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0.xml" ContentType="application/vnd.openxmlformats-officedocument.drawingml.chart+xml"/>
  <Override PartName="/word/charts/style12.xml" ContentType="application/vnd.ms-office.chartstyle+xml"/>
  <Override PartName="/word/charts/colors12.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F503" w14:textId="7230A118" w:rsidR="00B13162" w:rsidRDefault="00C92E0B" w:rsidP="00597239">
      <w:pPr>
        <w:pStyle w:val="NormalnyWeb"/>
      </w:pPr>
      <w:bookmarkStart w:id="0" w:name="_Hlk193964944"/>
      <w:bookmarkEnd w:id="0"/>
      <w:r>
        <w:rPr>
          <w:noProof/>
        </w:rPr>
        <w:drawing>
          <wp:inline distT="0" distB="0" distL="0" distR="0" wp14:anchorId="68419C45" wp14:editId="53725087">
            <wp:extent cx="1407160" cy="1383665"/>
            <wp:effectExtent l="0" t="0" r="2540" b="6985"/>
            <wp:docPr id="666753157"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53157" name="Obraz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7160" cy="1383665"/>
                    </a:xfrm>
                    <a:prstGeom prst="rect">
                      <a:avLst/>
                    </a:prstGeom>
                    <a:noFill/>
                    <a:ln>
                      <a:noFill/>
                    </a:ln>
                  </pic:spPr>
                </pic:pic>
              </a:graphicData>
            </a:graphic>
          </wp:inline>
        </w:drawing>
      </w:r>
    </w:p>
    <w:p w14:paraId="3D9BF4AE" w14:textId="6B81457C" w:rsidR="00BA104F" w:rsidRDefault="00BA104F" w:rsidP="00597239">
      <w:pPr>
        <w:spacing w:after="0"/>
        <w:rPr>
          <w:rFonts w:cstheme="minorHAnsi"/>
          <w:sz w:val="40"/>
          <w:szCs w:val="40"/>
        </w:rPr>
      </w:pPr>
    </w:p>
    <w:p w14:paraId="16604816" w14:textId="77777777" w:rsidR="00ED62DB" w:rsidRDefault="00ED62DB" w:rsidP="00597239">
      <w:pPr>
        <w:rPr>
          <w:rFonts w:cstheme="minorHAnsi"/>
          <w:sz w:val="40"/>
          <w:szCs w:val="40"/>
        </w:rPr>
      </w:pPr>
    </w:p>
    <w:p w14:paraId="26442A46" w14:textId="77777777" w:rsidR="00ED62DB" w:rsidRDefault="00ED62DB" w:rsidP="00597239">
      <w:pPr>
        <w:rPr>
          <w:rFonts w:cstheme="minorHAnsi"/>
          <w:sz w:val="40"/>
          <w:szCs w:val="40"/>
        </w:rPr>
      </w:pPr>
    </w:p>
    <w:p w14:paraId="2F2C69E3" w14:textId="77777777" w:rsidR="00ED62DB" w:rsidRPr="00C03ED9" w:rsidRDefault="00ED62DB" w:rsidP="00597239">
      <w:pPr>
        <w:rPr>
          <w:rFonts w:cstheme="minorHAnsi"/>
          <w:sz w:val="40"/>
          <w:szCs w:val="40"/>
        </w:rPr>
      </w:pPr>
    </w:p>
    <w:p w14:paraId="0EB2C6A5" w14:textId="4178F59D" w:rsidR="00A81B01" w:rsidRPr="00FC33E7" w:rsidRDefault="007E4A46" w:rsidP="00597239">
      <w:pPr>
        <w:rPr>
          <w:rFonts w:ascii="Calibri" w:hAnsi="Calibri" w:cs="Calibri"/>
          <w:sz w:val="44"/>
          <w:szCs w:val="44"/>
          <w14:shadow w14:blurRad="50800" w14:dist="38100" w14:dir="2700000" w14:sx="100000" w14:sy="100000" w14:kx="0" w14:ky="0" w14:algn="tl">
            <w14:srgbClr w14:val="000000">
              <w14:alpha w14:val="60000"/>
            </w14:srgbClr>
          </w14:shadow>
        </w:rPr>
      </w:pPr>
      <w:r>
        <w:rPr>
          <w:rFonts w:ascii="Calibri" w:hAnsi="Calibri" w:cs="Calibri"/>
          <w:sz w:val="44"/>
          <w:szCs w:val="44"/>
          <w14:shadow w14:blurRad="50800" w14:dist="38100" w14:dir="2700000" w14:sx="100000" w14:sy="100000" w14:kx="0" w14:ky="0" w14:algn="tl">
            <w14:srgbClr w14:val="000000">
              <w14:alpha w14:val="60000"/>
            </w14:srgbClr>
          </w14:shadow>
        </w:rPr>
        <w:t>STAN SANITARNY WOJEWÓDZTWA ZACHODNIOPOMORSKIEGO W 202</w:t>
      </w:r>
      <w:r w:rsidR="008517D3">
        <w:rPr>
          <w:rFonts w:ascii="Calibri" w:hAnsi="Calibri" w:cs="Calibri"/>
          <w:sz w:val="44"/>
          <w:szCs w:val="44"/>
          <w14:shadow w14:blurRad="50800" w14:dist="38100" w14:dir="2700000" w14:sx="100000" w14:sy="100000" w14:kx="0" w14:ky="0" w14:algn="tl">
            <w14:srgbClr w14:val="000000">
              <w14:alpha w14:val="60000"/>
            </w14:srgbClr>
          </w14:shadow>
        </w:rPr>
        <w:t xml:space="preserve">4 </w:t>
      </w:r>
      <w:r>
        <w:rPr>
          <w:rFonts w:ascii="Calibri" w:hAnsi="Calibri" w:cs="Calibri"/>
          <w:sz w:val="44"/>
          <w:szCs w:val="44"/>
          <w14:shadow w14:blurRad="50800" w14:dist="38100" w14:dir="2700000" w14:sx="100000" w14:sy="100000" w14:kx="0" w14:ky="0" w14:algn="tl">
            <w14:srgbClr w14:val="000000">
              <w14:alpha w14:val="60000"/>
            </w14:srgbClr>
          </w14:shadow>
        </w:rPr>
        <w:t>ROKU</w:t>
      </w:r>
    </w:p>
    <w:p w14:paraId="03025A91" w14:textId="77777777" w:rsidR="00ED62DB" w:rsidRDefault="00ED62DB" w:rsidP="00597239">
      <w:pPr>
        <w:tabs>
          <w:tab w:val="left" w:pos="1080"/>
        </w:tabs>
        <w:rPr>
          <w:rFonts w:ascii="Calibri" w:hAnsi="Calibri" w:cs="Calibri"/>
          <w:b/>
          <w:sz w:val="44"/>
          <w:szCs w:val="44"/>
        </w:rPr>
      </w:pPr>
    </w:p>
    <w:p w14:paraId="53C5B7BC" w14:textId="77777777" w:rsidR="00ED62DB" w:rsidRDefault="00ED62DB" w:rsidP="00597239">
      <w:pPr>
        <w:tabs>
          <w:tab w:val="left" w:pos="1080"/>
        </w:tabs>
        <w:rPr>
          <w:rFonts w:ascii="Calibri" w:hAnsi="Calibri" w:cs="Calibri"/>
          <w:b/>
          <w:sz w:val="44"/>
          <w:szCs w:val="44"/>
        </w:rPr>
      </w:pPr>
    </w:p>
    <w:p w14:paraId="5A5C4D08" w14:textId="77777777" w:rsidR="00ED62DB" w:rsidRDefault="00ED62DB" w:rsidP="00597239">
      <w:pPr>
        <w:tabs>
          <w:tab w:val="left" w:pos="1080"/>
        </w:tabs>
        <w:rPr>
          <w:rFonts w:ascii="Calibri" w:hAnsi="Calibri" w:cs="Calibri"/>
          <w:b/>
          <w:sz w:val="44"/>
          <w:szCs w:val="44"/>
        </w:rPr>
      </w:pPr>
    </w:p>
    <w:p w14:paraId="13AA3088" w14:textId="77777777" w:rsidR="00ED62DB" w:rsidRDefault="00ED62DB" w:rsidP="00597239">
      <w:pPr>
        <w:tabs>
          <w:tab w:val="left" w:pos="1080"/>
        </w:tabs>
        <w:rPr>
          <w:rFonts w:ascii="Calibri" w:hAnsi="Calibri" w:cs="Calibri"/>
          <w:b/>
          <w:sz w:val="44"/>
          <w:szCs w:val="44"/>
        </w:rPr>
      </w:pPr>
    </w:p>
    <w:p w14:paraId="44578DFD" w14:textId="77777777" w:rsidR="00ED62DB" w:rsidRDefault="00ED62DB" w:rsidP="00597239">
      <w:pPr>
        <w:tabs>
          <w:tab w:val="left" w:pos="1080"/>
        </w:tabs>
        <w:rPr>
          <w:rFonts w:ascii="Calibri" w:hAnsi="Calibri" w:cs="Calibri"/>
          <w:b/>
          <w:sz w:val="44"/>
          <w:szCs w:val="44"/>
        </w:rPr>
      </w:pPr>
    </w:p>
    <w:p w14:paraId="071DBB01" w14:textId="77777777" w:rsidR="00ED62DB" w:rsidRDefault="00ED62DB" w:rsidP="00597239">
      <w:pPr>
        <w:tabs>
          <w:tab w:val="left" w:pos="1080"/>
        </w:tabs>
        <w:rPr>
          <w:rFonts w:ascii="Calibri" w:hAnsi="Calibri" w:cs="Calibri"/>
          <w:b/>
          <w:sz w:val="44"/>
          <w:szCs w:val="44"/>
        </w:rPr>
      </w:pPr>
    </w:p>
    <w:p w14:paraId="184DBCE4" w14:textId="77777777" w:rsidR="00ED62DB" w:rsidRDefault="00ED62DB" w:rsidP="00597239">
      <w:pPr>
        <w:tabs>
          <w:tab w:val="left" w:pos="1080"/>
        </w:tabs>
        <w:rPr>
          <w:rFonts w:ascii="Calibri" w:hAnsi="Calibri" w:cs="Calibri"/>
          <w:b/>
          <w:sz w:val="44"/>
          <w:szCs w:val="44"/>
        </w:rPr>
      </w:pPr>
    </w:p>
    <w:p w14:paraId="07ED13C6" w14:textId="4F8CE221" w:rsidR="00A81B01" w:rsidRPr="004249F8" w:rsidRDefault="00A81B01" w:rsidP="00597239">
      <w:pPr>
        <w:tabs>
          <w:tab w:val="left" w:pos="1080"/>
        </w:tabs>
        <w:rPr>
          <w:rFonts w:cstheme="minorHAnsi"/>
          <w:b/>
          <w:sz w:val="24"/>
          <w:szCs w:val="24"/>
        </w:rPr>
      </w:pPr>
      <w:r w:rsidRPr="004249F8">
        <w:rPr>
          <w:rFonts w:cstheme="minorHAnsi"/>
          <w:b/>
          <w:sz w:val="24"/>
          <w:szCs w:val="24"/>
        </w:rPr>
        <w:t>Szczecin,</w:t>
      </w:r>
      <w:r>
        <w:rPr>
          <w:rFonts w:cstheme="minorHAnsi"/>
          <w:b/>
          <w:sz w:val="24"/>
          <w:szCs w:val="24"/>
        </w:rPr>
        <w:t xml:space="preserve"> </w:t>
      </w:r>
      <w:r w:rsidR="008517D3">
        <w:rPr>
          <w:rFonts w:cstheme="minorHAnsi"/>
          <w:b/>
          <w:sz w:val="24"/>
          <w:szCs w:val="24"/>
        </w:rPr>
        <w:t xml:space="preserve">marzec </w:t>
      </w:r>
      <w:r w:rsidRPr="004249F8">
        <w:rPr>
          <w:rFonts w:cstheme="minorHAnsi"/>
          <w:b/>
          <w:sz w:val="24"/>
          <w:szCs w:val="24"/>
        </w:rPr>
        <w:t>202</w:t>
      </w:r>
      <w:r w:rsidR="008517D3">
        <w:rPr>
          <w:rFonts w:cstheme="minorHAnsi"/>
          <w:b/>
          <w:sz w:val="24"/>
          <w:szCs w:val="24"/>
        </w:rPr>
        <w:t>5</w:t>
      </w:r>
      <w:r w:rsidRPr="004249F8">
        <w:rPr>
          <w:rFonts w:cstheme="minorHAnsi"/>
          <w:b/>
          <w:sz w:val="24"/>
          <w:szCs w:val="24"/>
        </w:rPr>
        <w:t xml:space="preserve"> r.</w:t>
      </w:r>
    </w:p>
    <w:p w14:paraId="1A9EA4CC" w14:textId="77777777" w:rsidR="00ED62DB" w:rsidRDefault="00ED62DB" w:rsidP="00597239">
      <w:pPr>
        <w:spacing w:after="0"/>
        <w:rPr>
          <w:rFonts w:cstheme="minorHAnsi"/>
          <w:sz w:val="24"/>
          <w:szCs w:val="24"/>
        </w:rPr>
      </w:pPr>
    </w:p>
    <w:p w14:paraId="4742527C" w14:textId="77777777" w:rsidR="00BA104F" w:rsidRDefault="00BA104F" w:rsidP="00597239">
      <w:pPr>
        <w:spacing w:after="0"/>
        <w:rPr>
          <w:rFonts w:cstheme="minorHAnsi"/>
          <w:sz w:val="24"/>
          <w:szCs w:val="24"/>
        </w:rPr>
      </w:pPr>
    </w:p>
    <w:p w14:paraId="366ABB12" w14:textId="77777777" w:rsidR="00BA104F" w:rsidRDefault="00BA104F" w:rsidP="00597239">
      <w:pPr>
        <w:spacing w:after="0"/>
        <w:rPr>
          <w:rFonts w:cstheme="minorHAnsi"/>
          <w:sz w:val="24"/>
          <w:szCs w:val="24"/>
        </w:rPr>
      </w:pPr>
    </w:p>
    <w:p w14:paraId="5ADE7F18" w14:textId="77777777" w:rsidR="004B0067" w:rsidRDefault="004B0067" w:rsidP="00597239">
      <w:pPr>
        <w:spacing w:after="0"/>
        <w:rPr>
          <w:rFonts w:cstheme="minorHAnsi"/>
          <w:sz w:val="24"/>
          <w:szCs w:val="24"/>
        </w:rPr>
      </w:pPr>
    </w:p>
    <w:p w14:paraId="47D85BC2" w14:textId="77777777" w:rsidR="00BA104F" w:rsidRDefault="00BA104F" w:rsidP="00597239">
      <w:pPr>
        <w:spacing w:after="0"/>
        <w:rPr>
          <w:rFonts w:cstheme="minorHAnsi"/>
          <w:sz w:val="24"/>
          <w:szCs w:val="24"/>
        </w:rPr>
      </w:pPr>
    </w:p>
    <w:p w14:paraId="31D016E5" w14:textId="7ED50B7C" w:rsidR="005A59CB" w:rsidRPr="005A59CB" w:rsidRDefault="005A59CB" w:rsidP="00597239">
      <w:pPr>
        <w:spacing w:after="0"/>
        <w:ind w:right="3969"/>
        <w:rPr>
          <w:rFonts w:cstheme="minorHAnsi"/>
          <w:sz w:val="20"/>
          <w:szCs w:val="20"/>
        </w:rPr>
      </w:pPr>
      <w:r w:rsidRPr="005A59CB">
        <w:rPr>
          <w:rFonts w:cstheme="minorHAnsi"/>
          <w:sz w:val="20"/>
          <w:szCs w:val="20"/>
        </w:rPr>
        <w:lastRenderedPageBreak/>
        <w:t>Wszelkie prawa zastrzeżone</w:t>
      </w:r>
      <w:r w:rsidR="002830D4">
        <w:rPr>
          <w:rFonts w:cstheme="minorHAnsi"/>
          <w:sz w:val="20"/>
          <w:szCs w:val="20"/>
        </w:rPr>
        <w:t>.</w:t>
      </w:r>
    </w:p>
    <w:p w14:paraId="170B1F5E" w14:textId="1ED28757" w:rsidR="005A59CB" w:rsidRPr="005A59CB" w:rsidRDefault="005A59CB" w:rsidP="00597239">
      <w:pPr>
        <w:spacing w:after="0"/>
        <w:ind w:right="3969"/>
        <w:rPr>
          <w:rFonts w:cstheme="minorHAnsi"/>
          <w:sz w:val="20"/>
          <w:szCs w:val="20"/>
        </w:rPr>
      </w:pPr>
      <w:r w:rsidRPr="005A59CB">
        <w:rPr>
          <w:rFonts w:cstheme="minorHAnsi"/>
          <w:sz w:val="20"/>
          <w:szCs w:val="20"/>
        </w:rPr>
        <w:t>Niniejsze opracowanie łącznie ze wszystkimi ilustracjami i</w:t>
      </w:r>
      <w:r w:rsidR="002830D4">
        <w:rPr>
          <w:rFonts w:cstheme="minorHAnsi"/>
          <w:sz w:val="20"/>
          <w:szCs w:val="20"/>
        </w:rPr>
        <w:t> </w:t>
      </w:r>
      <w:r w:rsidRPr="005A59CB">
        <w:rPr>
          <w:rFonts w:cstheme="minorHAnsi"/>
          <w:sz w:val="20"/>
          <w:szCs w:val="20"/>
        </w:rPr>
        <w:t>schematami jest chronione prawem autorskim.</w:t>
      </w:r>
    </w:p>
    <w:p w14:paraId="0996DE9A" w14:textId="761BB337" w:rsidR="005A59CB" w:rsidRPr="005A59CB" w:rsidRDefault="005A59CB" w:rsidP="00597239">
      <w:pPr>
        <w:spacing w:after="0"/>
        <w:ind w:right="3969"/>
        <w:rPr>
          <w:rFonts w:cstheme="minorHAnsi"/>
          <w:sz w:val="20"/>
          <w:szCs w:val="20"/>
        </w:rPr>
      </w:pPr>
      <w:r w:rsidRPr="005A59CB">
        <w:rPr>
          <w:rFonts w:cstheme="minorHAnsi"/>
          <w:sz w:val="20"/>
          <w:szCs w:val="20"/>
        </w:rPr>
        <w:t>Kopiowanie, przetwarzanie w systemach elektronicznych, tłumaczenie oraz jakiekolwiek inne wykorzystanie</w:t>
      </w:r>
      <w:r>
        <w:rPr>
          <w:rFonts w:cstheme="minorHAnsi"/>
          <w:sz w:val="20"/>
          <w:szCs w:val="20"/>
        </w:rPr>
        <w:t xml:space="preserve"> </w:t>
      </w:r>
      <w:r w:rsidRPr="005A59CB">
        <w:rPr>
          <w:rFonts w:cstheme="minorHAnsi"/>
          <w:sz w:val="20"/>
          <w:szCs w:val="20"/>
        </w:rPr>
        <w:t>niniejszego opracowania lub jego fragmentu wymaga wskazania autorów opracowania i źródła.</w:t>
      </w:r>
    </w:p>
    <w:p w14:paraId="64D4B92E" w14:textId="0811F080" w:rsidR="00ED62DB" w:rsidRPr="005A59CB" w:rsidRDefault="005A59CB" w:rsidP="00597239">
      <w:pPr>
        <w:spacing w:after="0"/>
        <w:ind w:right="3969"/>
        <w:rPr>
          <w:rFonts w:cstheme="minorHAnsi"/>
          <w:sz w:val="20"/>
          <w:szCs w:val="20"/>
        </w:rPr>
      </w:pPr>
      <w:r w:rsidRPr="005A59CB">
        <w:rPr>
          <w:rFonts w:cstheme="minorHAnsi"/>
          <w:sz w:val="20"/>
          <w:szCs w:val="20"/>
        </w:rPr>
        <w:t>Raport o stanie sanitarnym kraju zawiera dane na dzień 31</w:t>
      </w:r>
      <w:r w:rsidR="002830D4">
        <w:rPr>
          <w:rFonts w:cstheme="minorHAnsi"/>
          <w:sz w:val="20"/>
          <w:szCs w:val="20"/>
        </w:rPr>
        <w:t> </w:t>
      </w:r>
      <w:r w:rsidRPr="005A59CB">
        <w:rPr>
          <w:rFonts w:cstheme="minorHAnsi"/>
          <w:sz w:val="20"/>
          <w:szCs w:val="20"/>
        </w:rPr>
        <w:t xml:space="preserve">grudnia </w:t>
      </w:r>
      <w:r w:rsidR="00FD3723" w:rsidRPr="005A59CB">
        <w:rPr>
          <w:rFonts w:cstheme="minorHAnsi"/>
          <w:sz w:val="20"/>
          <w:szCs w:val="20"/>
        </w:rPr>
        <w:t>202</w:t>
      </w:r>
      <w:r w:rsidR="00FD3723">
        <w:rPr>
          <w:rFonts w:cstheme="minorHAnsi"/>
          <w:sz w:val="20"/>
          <w:szCs w:val="20"/>
        </w:rPr>
        <w:t>4 r.</w:t>
      </w:r>
    </w:p>
    <w:p w14:paraId="202D221A" w14:textId="77777777" w:rsidR="00ED62DB" w:rsidRPr="005A59CB" w:rsidRDefault="00ED62DB" w:rsidP="00597239">
      <w:pPr>
        <w:spacing w:after="0"/>
        <w:ind w:right="3969"/>
        <w:rPr>
          <w:rFonts w:cstheme="minorHAnsi"/>
          <w:sz w:val="20"/>
          <w:szCs w:val="20"/>
        </w:rPr>
      </w:pPr>
    </w:p>
    <w:p w14:paraId="5B98CAA9" w14:textId="77777777" w:rsidR="00ED62DB" w:rsidRDefault="00ED62DB" w:rsidP="00597239">
      <w:pPr>
        <w:spacing w:after="0"/>
        <w:ind w:right="3969"/>
        <w:rPr>
          <w:rFonts w:cstheme="minorHAnsi"/>
          <w:sz w:val="24"/>
          <w:szCs w:val="24"/>
        </w:rPr>
      </w:pPr>
    </w:p>
    <w:p w14:paraId="14FF1154" w14:textId="77777777" w:rsidR="00ED62DB" w:rsidRDefault="00ED62DB" w:rsidP="00597239">
      <w:pPr>
        <w:spacing w:after="0"/>
        <w:rPr>
          <w:rFonts w:cstheme="minorHAnsi"/>
          <w:sz w:val="24"/>
          <w:szCs w:val="24"/>
        </w:rPr>
      </w:pPr>
    </w:p>
    <w:p w14:paraId="3000F4D3" w14:textId="77777777" w:rsidR="00ED62DB" w:rsidRDefault="00ED62DB" w:rsidP="00597239">
      <w:pPr>
        <w:spacing w:after="0"/>
        <w:rPr>
          <w:rFonts w:cstheme="minorHAnsi"/>
          <w:sz w:val="24"/>
          <w:szCs w:val="24"/>
        </w:rPr>
      </w:pPr>
    </w:p>
    <w:p w14:paraId="038AF001" w14:textId="77777777" w:rsidR="00ED62DB" w:rsidRDefault="00ED62DB" w:rsidP="00597239">
      <w:pPr>
        <w:spacing w:after="0"/>
        <w:rPr>
          <w:rFonts w:cstheme="minorHAnsi"/>
          <w:sz w:val="24"/>
          <w:szCs w:val="24"/>
        </w:rPr>
      </w:pPr>
    </w:p>
    <w:p w14:paraId="40D3201B" w14:textId="77777777" w:rsidR="00ED62DB" w:rsidRDefault="00ED62DB" w:rsidP="00597239">
      <w:pPr>
        <w:spacing w:after="0"/>
        <w:rPr>
          <w:rFonts w:cstheme="minorHAnsi"/>
          <w:sz w:val="24"/>
          <w:szCs w:val="24"/>
        </w:rPr>
      </w:pPr>
    </w:p>
    <w:p w14:paraId="18DE69A2" w14:textId="77777777" w:rsidR="00ED62DB" w:rsidRDefault="00ED62DB" w:rsidP="00597239">
      <w:pPr>
        <w:spacing w:after="0"/>
        <w:rPr>
          <w:rFonts w:cstheme="minorHAnsi"/>
          <w:sz w:val="24"/>
          <w:szCs w:val="24"/>
        </w:rPr>
      </w:pPr>
    </w:p>
    <w:p w14:paraId="056DAF54" w14:textId="77777777" w:rsidR="00ED62DB" w:rsidRDefault="00ED62DB" w:rsidP="00597239">
      <w:pPr>
        <w:spacing w:after="0"/>
        <w:rPr>
          <w:rFonts w:cstheme="minorHAnsi"/>
          <w:sz w:val="24"/>
          <w:szCs w:val="24"/>
        </w:rPr>
      </w:pPr>
    </w:p>
    <w:p w14:paraId="04FC71C2" w14:textId="77777777" w:rsidR="00ED62DB" w:rsidRDefault="00ED62DB" w:rsidP="00597239">
      <w:pPr>
        <w:spacing w:after="0"/>
        <w:rPr>
          <w:rFonts w:cstheme="minorHAnsi"/>
          <w:sz w:val="24"/>
          <w:szCs w:val="24"/>
        </w:rPr>
      </w:pPr>
    </w:p>
    <w:p w14:paraId="42C548C4" w14:textId="77777777" w:rsidR="00ED62DB" w:rsidRDefault="00ED62DB" w:rsidP="00597239">
      <w:pPr>
        <w:spacing w:after="0"/>
        <w:rPr>
          <w:rFonts w:cstheme="minorHAnsi"/>
          <w:sz w:val="24"/>
          <w:szCs w:val="24"/>
        </w:rPr>
      </w:pPr>
    </w:p>
    <w:p w14:paraId="06BB0DC3" w14:textId="77777777" w:rsidR="00ED62DB" w:rsidRDefault="00ED62DB" w:rsidP="00597239">
      <w:pPr>
        <w:spacing w:after="0"/>
        <w:rPr>
          <w:rFonts w:cstheme="minorHAnsi"/>
          <w:sz w:val="24"/>
          <w:szCs w:val="24"/>
        </w:rPr>
      </w:pPr>
    </w:p>
    <w:p w14:paraId="45D4F17A" w14:textId="77777777" w:rsidR="00ED62DB" w:rsidRDefault="00ED62DB" w:rsidP="00597239">
      <w:pPr>
        <w:spacing w:after="0"/>
        <w:rPr>
          <w:rFonts w:cstheme="minorHAnsi"/>
          <w:sz w:val="24"/>
          <w:szCs w:val="24"/>
        </w:rPr>
      </w:pPr>
    </w:p>
    <w:p w14:paraId="70162C56" w14:textId="77777777" w:rsidR="00ED62DB" w:rsidRDefault="00ED62DB" w:rsidP="00597239">
      <w:pPr>
        <w:spacing w:after="0"/>
        <w:rPr>
          <w:rFonts w:cstheme="minorHAnsi"/>
          <w:sz w:val="24"/>
          <w:szCs w:val="24"/>
        </w:rPr>
      </w:pPr>
    </w:p>
    <w:p w14:paraId="7D727D4C" w14:textId="77777777" w:rsidR="00ED62DB" w:rsidRDefault="00ED62DB" w:rsidP="00597239">
      <w:pPr>
        <w:spacing w:after="0"/>
        <w:rPr>
          <w:rFonts w:cstheme="minorHAnsi"/>
          <w:sz w:val="24"/>
          <w:szCs w:val="24"/>
        </w:rPr>
      </w:pPr>
    </w:p>
    <w:p w14:paraId="5A4BB4DB" w14:textId="77777777" w:rsidR="00ED62DB" w:rsidRDefault="00ED62DB" w:rsidP="00597239">
      <w:pPr>
        <w:spacing w:after="0"/>
        <w:rPr>
          <w:rFonts w:cstheme="minorHAnsi"/>
          <w:sz w:val="24"/>
          <w:szCs w:val="24"/>
        </w:rPr>
      </w:pPr>
    </w:p>
    <w:p w14:paraId="5AD0868A" w14:textId="77777777" w:rsidR="00ED62DB" w:rsidRDefault="00ED62DB" w:rsidP="00597239">
      <w:pPr>
        <w:spacing w:after="0"/>
        <w:rPr>
          <w:rFonts w:cstheme="minorHAnsi"/>
          <w:sz w:val="24"/>
          <w:szCs w:val="24"/>
        </w:rPr>
      </w:pPr>
    </w:p>
    <w:p w14:paraId="2D982608" w14:textId="77777777" w:rsidR="00ED62DB" w:rsidRDefault="00ED62DB" w:rsidP="00597239">
      <w:pPr>
        <w:spacing w:after="0"/>
        <w:rPr>
          <w:rFonts w:cstheme="minorHAnsi"/>
          <w:sz w:val="24"/>
          <w:szCs w:val="24"/>
        </w:rPr>
      </w:pPr>
    </w:p>
    <w:p w14:paraId="7E844F15" w14:textId="77777777" w:rsidR="00ED62DB" w:rsidRDefault="00ED62DB" w:rsidP="00597239">
      <w:pPr>
        <w:spacing w:after="0"/>
        <w:rPr>
          <w:rFonts w:cstheme="minorHAnsi"/>
          <w:sz w:val="24"/>
          <w:szCs w:val="24"/>
        </w:rPr>
      </w:pPr>
    </w:p>
    <w:p w14:paraId="4A9D9679" w14:textId="77777777" w:rsidR="00ED62DB" w:rsidRDefault="00ED62DB" w:rsidP="00597239">
      <w:pPr>
        <w:spacing w:after="0"/>
        <w:rPr>
          <w:rFonts w:cstheme="minorHAnsi"/>
          <w:sz w:val="24"/>
          <w:szCs w:val="24"/>
        </w:rPr>
      </w:pPr>
    </w:p>
    <w:p w14:paraId="67216D87" w14:textId="77777777" w:rsidR="00ED62DB" w:rsidRDefault="00ED62DB" w:rsidP="00597239">
      <w:pPr>
        <w:spacing w:after="0"/>
        <w:rPr>
          <w:rFonts w:cstheme="minorHAnsi"/>
          <w:sz w:val="24"/>
          <w:szCs w:val="24"/>
        </w:rPr>
      </w:pPr>
    </w:p>
    <w:p w14:paraId="396E28DC" w14:textId="77777777" w:rsidR="002830D4" w:rsidRDefault="002830D4" w:rsidP="00597239">
      <w:pPr>
        <w:spacing w:after="0"/>
        <w:rPr>
          <w:rFonts w:cstheme="minorHAnsi"/>
          <w:sz w:val="24"/>
          <w:szCs w:val="24"/>
        </w:rPr>
      </w:pPr>
    </w:p>
    <w:p w14:paraId="0950913C" w14:textId="77777777" w:rsidR="002830D4" w:rsidRDefault="002830D4" w:rsidP="00597239">
      <w:pPr>
        <w:spacing w:after="0"/>
        <w:rPr>
          <w:rFonts w:cstheme="minorHAnsi"/>
          <w:sz w:val="24"/>
          <w:szCs w:val="24"/>
        </w:rPr>
      </w:pPr>
    </w:p>
    <w:p w14:paraId="5C943E39" w14:textId="77777777" w:rsidR="00ED62DB" w:rsidRDefault="00ED62DB" w:rsidP="00597239">
      <w:pPr>
        <w:spacing w:after="0"/>
        <w:rPr>
          <w:rFonts w:cstheme="minorHAnsi"/>
          <w:sz w:val="24"/>
          <w:szCs w:val="24"/>
        </w:rPr>
      </w:pPr>
    </w:p>
    <w:p w14:paraId="06A143BA" w14:textId="77777777" w:rsidR="00ED62DB" w:rsidRDefault="00ED62DB" w:rsidP="00597239">
      <w:pPr>
        <w:spacing w:after="0"/>
        <w:rPr>
          <w:rFonts w:cstheme="minorHAnsi"/>
          <w:sz w:val="24"/>
          <w:szCs w:val="24"/>
        </w:rPr>
      </w:pPr>
    </w:p>
    <w:p w14:paraId="412DE373" w14:textId="77777777" w:rsidR="00ED62DB" w:rsidRDefault="00ED62DB" w:rsidP="00597239">
      <w:pPr>
        <w:spacing w:after="0"/>
        <w:rPr>
          <w:rFonts w:cstheme="minorHAnsi"/>
          <w:sz w:val="24"/>
          <w:szCs w:val="24"/>
        </w:rPr>
      </w:pPr>
    </w:p>
    <w:p w14:paraId="583E4A84" w14:textId="77777777" w:rsidR="00ED62DB" w:rsidRDefault="00ED62DB" w:rsidP="00597239">
      <w:pPr>
        <w:spacing w:after="0"/>
        <w:rPr>
          <w:rFonts w:cstheme="minorHAnsi"/>
          <w:sz w:val="24"/>
          <w:szCs w:val="24"/>
        </w:rPr>
      </w:pPr>
    </w:p>
    <w:p w14:paraId="4AD484A4" w14:textId="77777777" w:rsidR="00ED62DB" w:rsidRDefault="00ED62DB" w:rsidP="00597239">
      <w:pPr>
        <w:spacing w:after="0"/>
        <w:rPr>
          <w:rFonts w:cstheme="minorHAnsi"/>
          <w:sz w:val="24"/>
          <w:szCs w:val="24"/>
        </w:rPr>
      </w:pPr>
    </w:p>
    <w:p w14:paraId="27869F4E" w14:textId="77777777" w:rsidR="00ED62DB" w:rsidRDefault="00ED62DB" w:rsidP="00597239">
      <w:pPr>
        <w:spacing w:after="0"/>
        <w:rPr>
          <w:rFonts w:cstheme="minorHAnsi"/>
          <w:sz w:val="24"/>
          <w:szCs w:val="24"/>
        </w:rPr>
      </w:pPr>
    </w:p>
    <w:p w14:paraId="214DEE87" w14:textId="77777777" w:rsidR="00ED62DB" w:rsidRDefault="00ED62DB" w:rsidP="00597239">
      <w:pPr>
        <w:spacing w:after="0"/>
        <w:rPr>
          <w:rFonts w:cstheme="minorHAnsi"/>
          <w:sz w:val="24"/>
          <w:szCs w:val="24"/>
        </w:rPr>
      </w:pPr>
    </w:p>
    <w:p w14:paraId="1B200AAE" w14:textId="77777777" w:rsidR="00ED62DB" w:rsidRDefault="00ED62DB" w:rsidP="00597239">
      <w:pPr>
        <w:spacing w:after="0"/>
        <w:rPr>
          <w:rFonts w:cstheme="minorHAnsi"/>
          <w:sz w:val="24"/>
          <w:szCs w:val="24"/>
        </w:rPr>
      </w:pPr>
    </w:p>
    <w:p w14:paraId="24A0A8CD" w14:textId="77777777" w:rsidR="00ED62DB" w:rsidRDefault="00ED62DB" w:rsidP="00597239">
      <w:pPr>
        <w:spacing w:after="0"/>
        <w:rPr>
          <w:rFonts w:cstheme="minorHAnsi"/>
          <w:sz w:val="24"/>
          <w:szCs w:val="24"/>
        </w:rPr>
      </w:pPr>
    </w:p>
    <w:p w14:paraId="22278166" w14:textId="77777777" w:rsidR="00ED62DB" w:rsidRDefault="00ED62DB" w:rsidP="00597239">
      <w:pPr>
        <w:spacing w:after="0"/>
        <w:rPr>
          <w:rFonts w:cstheme="minorHAnsi"/>
          <w:sz w:val="24"/>
          <w:szCs w:val="24"/>
        </w:rPr>
      </w:pPr>
    </w:p>
    <w:p w14:paraId="15159297" w14:textId="3D3B500E" w:rsidR="00FB08CC" w:rsidRDefault="000B0306" w:rsidP="00597239">
      <w:pPr>
        <w:spacing w:after="0"/>
        <w:rPr>
          <w:rFonts w:cstheme="minorHAnsi"/>
          <w:sz w:val="24"/>
          <w:szCs w:val="24"/>
        </w:rPr>
      </w:pPr>
      <w:r w:rsidRPr="00C03ED9">
        <w:rPr>
          <w:rFonts w:cstheme="minorHAnsi"/>
          <w:sz w:val="24"/>
          <w:szCs w:val="24"/>
        </w:rPr>
        <w:t>Zachodniopomorski Państwowy Wojewódzki Inspektor Sanitarny</w:t>
      </w:r>
      <w:r w:rsidR="00FB08CC">
        <w:rPr>
          <w:rFonts w:cstheme="minorHAnsi"/>
          <w:sz w:val="24"/>
          <w:szCs w:val="24"/>
        </w:rPr>
        <w:t xml:space="preserve"> </w:t>
      </w:r>
      <w:r w:rsidR="000E738B">
        <w:rPr>
          <w:rFonts w:cstheme="minorHAnsi"/>
          <w:sz w:val="24"/>
          <w:szCs w:val="24"/>
        </w:rPr>
        <w:t>w </w:t>
      </w:r>
      <w:r w:rsidRPr="00C03ED9">
        <w:rPr>
          <w:rFonts w:cstheme="minorHAnsi"/>
          <w:sz w:val="24"/>
          <w:szCs w:val="24"/>
        </w:rPr>
        <w:t>Szczecinie</w:t>
      </w:r>
    </w:p>
    <w:p w14:paraId="0BE2BE17" w14:textId="28BE47C1" w:rsidR="000B0306" w:rsidRDefault="000B0306" w:rsidP="00597239">
      <w:pPr>
        <w:spacing w:after="0"/>
        <w:rPr>
          <w:rFonts w:cstheme="minorHAnsi"/>
          <w:i/>
          <w:sz w:val="24"/>
          <w:szCs w:val="24"/>
        </w:rPr>
      </w:pPr>
      <w:r w:rsidRPr="00C03ED9">
        <w:rPr>
          <w:rFonts w:cstheme="minorHAnsi"/>
          <w:i/>
          <w:sz w:val="24"/>
          <w:szCs w:val="24"/>
        </w:rPr>
        <w:t>dr n. med. Małgorzata Domagała-Dobrzycka</w:t>
      </w:r>
    </w:p>
    <w:p w14:paraId="0952EDF1" w14:textId="77777777" w:rsidR="000B0306" w:rsidRDefault="000B0306" w:rsidP="00597239">
      <w:pPr>
        <w:rPr>
          <w:rFonts w:cstheme="minorHAnsi"/>
          <w:i/>
          <w:sz w:val="24"/>
          <w:szCs w:val="24"/>
        </w:rPr>
      </w:pPr>
    </w:p>
    <w:p w14:paraId="15CBC3AD" w14:textId="77777777" w:rsidR="009152FD" w:rsidRDefault="009152FD" w:rsidP="00597239">
      <w:pPr>
        <w:spacing w:after="0" w:line="276" w:lineRule="auto"/>
        <w:ind w:firstLine="360"/>
        <w:rPr>
          <w:rFonts w:eastAsia="Times New Roman" w:cstheme="minorHAnsi"/>
          <w:sz w:val="24"/>
          <w:szCs w:val="24"/>
          <w:lang w:eastAsia="pl-PL"/>
        </w:rPr>
        <w:sectPr w:rsidR="009152FD" w:rsidSect="006846B8">
          <w:headerReference w:type="default" r:id="rId12"/>
          <w:type w:val="continuous"/>
          <w:pgSz w:w="11906" w:h="16838"/>
          <w:pgMar w:top="1417" w:right="1417" w:bottom="1417" w:left="1417" w:header="709" w:footer="709" w:gutter="0"/>
          <w:cols w:space="708"/>
          <w:docGrid w:linePitch="360"/>
        </w:sectPr>
      </w:pPr>
    </w:p>
    <w:p w14:paraId="7C0426CE" w14:textId="6DF87F87" w:rsidR="00BB77F8" w:rsidRDefault="00BB77F8" w:rsidP="00597239">
      <w:pPr>
        <w:pStyle w:val="Nagwekspisutreci"/>
        <w:ind w:left="0" w:firstLine="0"/>
        <w:jc w:val="left"/>
      </w:pPr>
    </w:p>
    <w:p w14:paraId="74281C10" w14:textId="63F3E632" w:rsidR="003E57B8" w:rsidRDefault="003E57B8" w:rsidP="00597239">
      <w:pPr>
        <w:pStyle w:val="Nagwek1"/>
        <w:ind w:left="0" w:firstLine="0"/>
        <w:jc w:val="left"/>
        <w:rPr>
          <w:lang w:eastAsia="pl-PL"/>
        </w:rPr>
      </w:pPr>
      <w:bookmarkStart w:id="1" w:name="_Toc165372171"/>
      <w:bookmarkStart w:id="2" w:name="_Toc193694435"/>
      <w:bookmarkStart w:id="3" w:name="_Toc194059773"/>
      <w:r>
        <w:rPr>
          <w:lang w:eastAsia="pl-PL"/>
        </w:rPr>
        <w:t>Wstęp</w:t>
      </w:r>
      <w:bookmarkEnd w:id="1"/>
      <w:bookmarkEnd w:id="2"/>
      <w:bookmarkEnd w:id="3"/>
      <w:r>
        <w:rPr>
          <w:lang w:eastAsia="pl-PL"/>
        </w:rPr>
        <w:t xml:space="preserve"> </w:t>
      </w:r>
    </w:p>
    <w:p w14:paraId="4B1ACF14" w14:textId="77777777" w:rsidR="00C76616" w:rsidRPr="00C76616" w:rsidRDefault="00C76616" w:rsidP="00597239">
      <w:pPr>
        <w:rPr>
          <w:sz w:val="24"/>
          <w:szCs w:val="24"/>
          <w:lang w:eastAsia="pl-PL"/>
        </w:rPr>
      </w:pPr>
      <w:r w:rsidRPr="00C76616">
        <w:rPr>
          <w:sz w:val="24"/>
          <w:szCs w:val="24"/>
          <w:lang w:eastAsia="pl-PL"/>
        </w:rPr>
        <w:t>Szanowni Państwo,</w:t>
      </w:r>
    </w:p>
    <w:p w14:paraId="5E870B81" w14:textId="50DD5545" w:rsidR="00C76616" w:rsidRPr="00C76616" w:rsidRDefault="00C76616" w:rsidP="00597239">
      <w:pPr>
        <w:rPr>
          <w:sz w:val="24"/>
          <w:szCs w:val="24"/>
          <w:lang w:eastAsia="pl-PL"/>
        </w:rPr>
      </w:pPr>
      <w:r w:rsidRPr="00C76616">
        <w:rPr>
          <w:sz w:val="24"/>
          <w:szCs w:val="24"/>
          <w:lang w:eastAsia="pl-PL"/>
        </w:rPr>
        <w:t>Rok 2024 to szczególny czas dla Państwowej Inspekcji Sanitarnej, która obchodzi</w:t>
      </w:r>
      <w:r>
        <w:rPr>
          <w:sz w:val="24"/>
          <w:szCs w:val="24"/>
          <w:lang w:eastAsia="pl-PL"/>
        </w:rPr>
        <w:t>ła</w:t>
      </w:r>
      <w:r w:rsidRPr="00C76616">
        <w:rPr>
          <w:sz w:val="24"/>
          <w:szCs w:val="24"/>
          <w:lang w:eastAsia="pl-PL"/>
        </w:rPr>
        <w:t xml:space="preserve"> jubileusz 70-lecia swojego istnienia, a także dla polskich służb sanitarnych, które mogą poszczycić się już 105-letnią tradycją w zakresie ochrony zdrowia publicznego. To niezwykłe dziedzictwo zobowiązuje nas do kontynuowania misji, która od dziesięcioleci przyświeca naszej działalności – zapewnienia społeczeństwu warunków do zdrowego i bezpiecznego życia.</w:t>
      </w:r>
    </w:p>
    <w:p w14:paraId="7DD13A83" w14:textId="554197B1" w:rsidR="00C76616" w:rsidRPr="00C76616" w:rsidRDefault="00C76616" w:rsidP="00597239">
      <w:pPr>
        <w:rPr>
          <w:sz w:val="24"/>
          <w:szCs w:val="24"/>
          <w:lang w:eastAsia="pl-PL"/>
        </w:rPr>
      </w:pPr>
      <w:r w:rsidRPr="00C76616">
        <w:rPr>
          <w:sz w:val="24"/>
          <w:szCs w:val="24"/>
          <w:lang w:eastAsia="pl-PL"/>
        </w:rPr>
        <w:t xml:space="preserve">Państwowa Inspekcja Sanitarna województwa </w:t>
      </w:r>
      <w:r w:rsidR="00FD3723" w:rsidRPr="00C76616">
        <w:rPr>
          <w:sz w:val="24"/>
          <w:szCs w:val="24"/>
          <w:lang w:eastAsia="pl-PL"/>
        </w:rPr>
        <w:t>zachodniopomorskiego</w:t>
      </w:r>
      <w:r w:rsidRPr="00C76616">
        <w:rPr>
          <w:sz w:val="24"/>
          <w:szCs w:val="24"/>
          <w:lang w:eastAsia="pl-PL"/>
        </w:rPr>
        <w:t xml:space="preserve"> jako integralna część tej wieloletniej tradycji, każdego dnia realizuje swoje zadania, kierując się troską o zdrowie publiczne i bezpieczeństwo sanitarno-epidemiologiczne mieszkańców regionu. Nasza działalność obejmuje szeroki wachlarz działań, począwszy od nadzoru sanitarnego nad obiektami użyteczności publicznej, placówkami oświatowymi i zakładami pracy, poprzez monitorowanie jakości wody pitnej i żywności, aż po działania przeciwepidemiczne, edukacyjne i promujące zdrowy styl życia.</w:t>
      </w:r>
    </w:p>
    <w:p w14:paraId="5EBEADF2" w14:textId="77777777" w:rsidR="00C76616" w:rsidRPr="00C76616" w:rsidRDefault="00C76616" w:rsidP="00597239">
      <w:pPr>
        <w:rPr>
          <w:sz w:val="24"/>
          <w:szCs w:val="24"/>
          <w:lang w:eastAsia="pl-PL"/>
        </w:rPr>
      </w:pPr>
      <w:r w:rsidRPr="00C76616">
        <w:rPr>
          <w:sz w:val="24"/>
          <w:szCs w:val="24"/>
          <w:lang w:eastAsia="pl-PL"/>
        </w:rPr>
        <w:t>Miniony rok był dla nas czasem wytężonej pracy, nieustannego monitorowania zagrożeń epidemiologicznych i wdrażania skutecznych działań prewencyjnych. Szczególną uwagę poświęciliśmy nadzorowi nad warunkami higieniczno-sanitarnymi w placówkach ochrony zdrowia, edukacji i przestrzeni publicznej, a także intensyfikacji działań w zakresie profilaktyki chorób zakaźnych i edukacji zdrowotnej społeczeństwa.</w:t>
      </w:r>
    </w:p>
    <w:p w14:paraId="54240E94" w14:textId="77777777" w:rsidR="00C76616" w:rsidRPr="00C76616" w:rsidRDefault="00C76616" w:rsidP="00597239">
      <w:pPr>
        <w:rPr>
          <w:sz w:val="24"/>
          <w:szCs w:val="24"/>
          <w:lang w:eastAsia="pl-PL"/>
        </w:rPr>
      </w:pPr>
      <w:r w:rsidRPr="00C76616">
        <w:rPr>
          <w:sz w:val="24"/>
          <w:szCs w:val="24"/>
          <w:lang w:eastAsia="pl-PL"/>
        </w:rPr>
        <w:t>W prezentowanym raporcie pragniemy przybliżyć Państwu stan sanitarny województwa zachodniopomorskiego, ukazując zarówno wyzwania, z którymi się mierzymy, jak i osiągnięcia w zakresie poprawy bezpieczeństwa zdrowotnego. Mamy nadzieję, że publikacja ta pozwoli lepiej zrozumieć znaczenie naszej pracy oraz jej wpływ na codzienne życie mieszkańców regionu.</w:t>
      </w:r>
    </w:p>
    <w:p w14:paraId="72033D10" w14:textId="77777777" w:rsidR="00F87EA9" w:rsidRDefault="00F87EA9" w:rsidP="00597239">
      <w:pPr>
        <w:rPr>
          <w:lang w:eastAsia="pl-PL"/>
        </w:rPr>
      </w:pPr>
    </w:p>
    <w:p w14:paraId="253214A2" w14:textId="77777777" w:rsidR="00F87EA9" w:rsidRDefault="00F87EA9" w:rsidP="00597239">
      <w:pPr>
        <w:rPr>
          <w:lang w:eastAsia="pl-PL"/>
        </w:rPr>
      </w:pPr>
    </w:p>
    <w:p w14:paraId="0EFECB14" w14:textId="77777777" w:rsidR="00F87EA9" w:rsidRDefault="00F87EA9" w:rsidP="00597239">
      <w:pPr>
        <w:rPr>
          <w:lang w:eastAsia="pl-PL"/>
        </w:rPr>
      </w:pPr>
    </w:p>
    <w:p w14:paraId="1C89F85F" w14:textId="77777777" w:rsidR="00F87EA9" w:rsidRDefault="00F87EA9" w:rsidP="00597239">
      <w:pPr>
        <w:rPr>
          <w:lang w:eastAsia="pl-PL"/>
        </w:rPr>
      </w:pPr>
    </w:p>
    <w:p w14:paraId="443F7446" w14:textId="77777777" w:rsidR="00F87EA9" w:rsidRDefault="00F87EA9" w:rsidP="00597239">
      <w:pPr>
        <w:rPr>
          <w:lang w:eastAsia="pl-PL"/>
        </w:rPr>
      </w:pPr>
    </w:p>
    <w:p w14:paraId="651CCA49" w14:textId="77777777" w:rsidR="00F87EA9" w:rsidRDefault="00F87EA9" w:rsidP="00597239">
      <w:pPr>
        <w:rPr>
          <w:lang w:eastAsia="pl-PL"/>
        </w:rPr>
      </w:pPr>
    </w:p>
    <w:p w14:paraId="5A292109" w14:textId="77777777" w:rsidR="00F87EA9" w:rsidRDefault="00F87EA9" w:rsidP="00597239">
      <w:pPr>
        <w:rPr>
          <w:lang w:eastAsia="pl-PL"/>
        </w:rPr>
      </w:pPr>
    </w:p>
    <w:p w14:paraId="51F1EE27" w14:textId="77777777" w:rsidR="00F87EA9" w:rsidRDefault="00F87EA9" w:rsidP="00597239">
      <w:pPr>
        <w:rPr>
          <w:lang w:eastAsia="pl-PL"/>
        </w:rPr>
      </w:pPr>
    </w:p>
    <w:p w14:paraId="3E7494CF" w14:textId="77777777" w:rsidR="00F87EA9" w:rsidRDefault="00F87EA9" w:rsidP="00597239">
      <w:pPr>
        <w:rPr>
          <w:lang w:eastAsia="pl-PL"/>
        </w:rPr>
      </w:pPr>
    </w:p>
    <w:p w14:paraId="074697C0" w14:textId="77777777" w:rsidR="00F87EA9" w:rsidRDefault="00F87EA9" w:rsidP="00597239">
      <w:pPr>
        <w:rPr>
          <w:lang w:eastAsia="pl-PL"/>
        </w:rPr>
      </w:pPr>
    </w:p>
    <w:bookmarkStart w:id="4" w:name="_Toc192678696" w:displacedByCustomXml="next"/>
    <w:sdt>
      <w:sdtPr>
        <w:rPr>
          <w:rFonts w:asciiTheme="minorHAnsi" w:eastAsiaTheme="minorHAnsi" w:hAnsiTheme="minorHAnsi" w:cstheme="minorBidi"/>
          <w:b w:val="0"/>
          <w:color w:val="auto"/>
          <w:sz w:val="22"/>
          <w:szCs w:val="22"/>
          <w:lang w:eastAsia="en-US"/>
        </w:rPr>
        <w:id w:val="74017927"/>
        <w:docPartObj>
          <w:docPartGallery w:val="Table of Contents"/>
          <w:docPartUnique/>
        </w:docPartObj>
      </w:sdtPr>
      <w:sdtEndPr>
        <w:rPr>
          <w:bCs/>
        </w:rPr>
      </w:sdtEndPr>
      <w:sdtContent>
        <w:p w14:paraId="16FE8CC9" w14:textId="68117EA6" w:rsidR="008875B9" w:rsidRDefault="008875B9" w:rsidP="00597239">
          <w:pPr>
            <w:pStyle w:val="Nagwekspisutreci"/>
            <w:jc w:val="left"/>
          </w:pPr>
          <w:r>
            <w:t>Spis treści</w:t>
          </w:r>
        </w:p>
        <w:p w14:paraId="5640A584" w14:textId="1BD26193" w:rsidR="00F446E0" w:rsidRDefault="008875B9" w:rsidP="00597239">
          <w:pPr>
            <w:pStyle w:val="Spistreci1"/>
            <w:rPr>
              <w:rFonts w:eastAsiaTheme="minorEastAsia"/>
              <w:b w:val="0"/>
              <w:bCs w:val="0"/>
              <w:color w:val="auto"/>
              <w:kern w:val="2"/>
              <w:sz w:val="24"/>
              <w:szCs w:val="24"/>
              <w:lang w:eastAsia="pl-PL"/>
              <w14:ligatures w14:val="standardContextual"/>
            </w:rPr>
          </w:pPr>
          <w:r>
            <w:fldChar w:fldCharType="begin"/>
          </w:r>
          <w:r>
            <w:instrText xml:space="preserve"> TOC \o "1-3" \h \z \u </w:instrText>
          </w:r>
          <w:r>
            <w:fldChar w:fldCharType="separate"/>
          </w:r>
          <w:hyperlink w:anchor="_Toc194059773" w:history="1">
            <w:r w:rsidR="00F446E0" w:rsidRPr="00C5500D">
              <w:rPr>
                <w:rStyle w:val="Hipercze"/>
                <w:lang w:eastAsia="pl-PL"/>
              </w:rPr>
              <w:t>Wstęp</w:t>
            </w:r>
            <w:r w:rsidR="00F446E0">
              <w:rPr>
                <w:webHidden/>
              </w:rPr>
              <w:tab/>
            </w:r>
            <w:r w:rsidR="00F446E0">
              <w:rPr>
                <w:webHidden/>
              </w:rPr>
              <w:fldChar w:fldCharType="begin"/>
            </w:r>
            <w:r w:rsidR="00F446E0">
              <w:rPr>
                <w:webHidden/>
              </w:rPr>
              <w:instrText xml:space="preserve"> PAGEREF _Toc194059773 \h </w:instrText>
            </w:r>
            <w:r w:rsidR="00F446E0">
              <w:rPr>
                <w:webHidden/>
              </w:rPr>
            </w:r>
            <w:r w:rsidR="00F446E0">
              <w:rPr>
                <w:webHidden/>
              </w:rPr>
              <w:fldChar w:fldCharType="separate"/>
            </w:r>
            <w:r w:rsidR="00F446E0">
              <w:rPr>
                <w:webHidden/>
              </w:rPr>
              <w:t>3</w:t>
            </w:r>
            <w:r w:rsidR="00F446E0">
              <w:rPr>
                <w:webHidden/>
              </w:rPr>
              <w:fldChar w:fldCharType="end"/>
            </w:r>
          </w:hyperlink>
        </w:p>
        <w:p w14:paraId="091AA2C1" w14:textId="7AC72FF0"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774" w:history="1">
            <w:r w:rsidRPr="00C5500D">
              <w:rPr>
                <w:rStyle w:val="Hipercze"/>
                <w:rFonts w:cstheme="majorHAnsi"/>
              </w:rPr>
              <w:t>I.</w:t>
            </w:r>
            <w:r>
              <w:rPr>
                <w:rFonts w:eastAsiaTheme="minorEastAsia"/>
                <w:b w:val="0"/>
                <w:bCs w:val="0"/>
                <w:color w:val="auto"/>
                <w:kern w:val="2"/>
                <w:sz w:val="24"/>
                <w:szCs w:val="24"/>
                <w:lang w:eastAsia="pl-PL"/>
                <w14:ligatures w14:val="standardContextual"/>
              </w:rPr>
              <w:tab/>
            </w:r>
            <w:r w:rsidRPr="00C5500D">
              <w:rPr>
                <w:rStyle w:val="Hipercze"/>
                <w:rFonts w:cstheme="majorHAnsi"/>
              </w:rPr>
              <w:t>Zapobieganie oraz zwalczanie zakażeń i chorób zakaźnych u ludzi</w:t>
            </w:r>
            <w:r>
              <w:rPr>
                <w:webHidden/>
              </w:rPr>
              <w:tab/>
            </w:r>
            <w:r>
              <w:rPr>
                <w:webHidden/>
              </w:rPr>
              <w:fldChar w:fldCharType="begin"/>
            </w:r>
            <w:r>
              <w:rPr>
                <w:webHidden/>
              </w:rPr>
              <w:instrText xml:space="preserve"> PAGEREF _Toc194059774 \h </w:instrText>
            </w:r>
            <w:r>
              <w:rPr>
                <w:webHidden/>
              </w:rPr>
            </w:r>
            <w:r>
              <w:rPr>
                <w:webHidden/>
              </w:rPr>
              <w:fldChar w:fldCharType="separate"/>
            </w:r>
            <w:r>
              <w:rPr>
                <w:webHidden/>
              </w:rPr>
              <w:t>10</w:t>
            </w:r>
            <w:r>
              <w:rPr>
                <w:webHidden/>
              </w:rPr>
              <w:fldChar w:fldCharType="end"/>
            </w:r>
          </w:hyperlink>
        </w:p>
        <w:p w14:paraId="5DE28BDF" w14:textId="7645AC1A" w:rsidR="00F446E0" w:rsidRDefault="00F446E0" w:rsidP="00597239">
          <w:pPr>
            <w:pStyle w:val="Spistreci2"/>
            <w:rPr>
              <w:rFonts w:eastAsiaTheme="minorEastAsia"/>
              <w:noProof/>
              <w:kern w:val="2"/>
              <w:sz w:val="24"/>
              <w:szCs w:val="24"/>
              <w:lang w:eastAsia="pl-PL"/>
              <w14:ligatures w14:val="standardContextual"/>
            </w:rPr>
          </w:pPr>
          <w:hyperlink w:anchor="_Toc194059775"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Sytuacja epidemiologiczna wybranych chorób zakaźnych</w:t>
            </w:r>
            <w:r>
              <w:rPr>
                <w:noProof/>
                <w:webHidden/>
              </w:rPr>
              <w:tab/>
            </w:r>
            <w:r>
              <w:rPr>
                <w:noProof/>
                <w:webHidden/>
              </w:rPr>
              <w:fldChar w:fldCharType="begin"/>
            </w:r>
            <w:r>
              <w:rPr>
                <w:noProof/>
                <w:webHidden/>
              </w:rPr>
              <w:instrText xml:space="preserve"> PAGEREF _Toc194059775 \h </w:instrText>
            </w:r>
            <w:r>
              <w:rPr>
                <w:noProof/>
                <w:webHidden/>
              </w:rPr>
            </w:r>
            <w:r>
              <w:rPr>
                <w:noProof/>
                <w:webHidden/>
              </w:rPr>
              <w:fldChar w:fldCharType="separate"/>
            </w:r>
            <w:r>
              <w:rPr>
                <w:noProof/>
                <w:webHidden/>
              </w:rPr>
              <w:t>10</w:t>
            </w:r>
            <w:r>
              <w:rPr>
                <w:noProof/>
                <w:webHidden/>
              </w:rPr>
              <w:fldChar w:fldCharType="end"/>
            </w:r>
          </w:hyperlink>
        </w:p>
        <w:p w14:paraId="571CC7F9" w14:textId="63634FFC" w:rsidR="00F446E0" w:rsidRDefault="00F446E0" w:rsidP="00597239">
          <w:pPr>
            <w:pStyle w:val="Spistreci3"/>
            <w:rPr>
              <w:rFonts w:eastAsiaTheme="minorEastAsia"/>
              <w:noProof/>
              <w:kern w:val="2"/>
              <w:sz w:val="24"/>
              <w:szCs w:val="24"/>
              <w:lang w:eastAsia="pl-PL"/>
              <w14:ligatures w14:val="standardContextual"/>
            </w:rPr>
          </w:pPr>
          <w:hyperlink w:anchor="_Toc194059776" w:history="1">
            <w:r w:rsidRPr="00C5500D">
              <w:rPr>
                <w:rStyle w:val="Hipercze"/>
                <w:noProof/>
              </w:rPr>
              <w:t>1.1.</w:t>
            </w:r>
            <w:r>
              <w:rPr>
                <w:rFonts w:eastAsiaTheme="minorEastAsia"/>
                <w:noProof/>
                <w:kern w:val="2"/>
                <w:sz w:val="24"/>
                <w:szCs w:val="24"/>
                <w:lang w:eastAsia="pl-PL"/>
                <w14:ligatures w14:val="standardContextual"/>
              </w:rPr>
              <w:tab/>
            </w:r>
            <w:r w:rsidRPr="00C5500D">
              <w:rPr>
                <w:rStyle w:val="Hipercze"/>
                <w:noProof/>
              </w:rPr>
              <w:t>Zatrucia i zakażenia pokarmowe</w:t>
            </w:r>
            <w:r>
              <w:rPr>
                <w:noProof/>
                <w:webHidden/>
              </w:rPr>
              <w:tab/>
            </w:r>
            <w:r>
              <w:rPr>
                <w:noProof/>
                <w:webHidden/>
              </w:rPr>
              <w:fldChar w:fldCharType="begin"/>
            </w:r>
            <w:r>
              <w:rPr>
                <w:noProof/>
                <w:webHidden/>
              </w:rPr>
              <w:instrText xml:space="preserve"> PAGEREF _Toc194059776 \h </w:instrText>
            </w:r>
            <w:r>
              <w:rPr>
                <w:noProof/>
                <w:webHidden/>
              </w:rPr>
            </w:r>
            <w:r>
              <w:rPr>
                <w:noProof/>
                <w:webHidden/>
              </w:rPr>
              <w:fldChar w:fldCharType="separate"/>
            </w:r>
            <w:r>
              <w:rPr>
                <w:noProof/>
                <w:webHidden/>
              </w:rPr>
              <w:t>10</w:t>
            </w:r>
            <w:r>
              <w:rPr>
                <w:noProof/>
                <w:webHidden/>
              </w:rPr>
              <w:fldChar w:fldCharType="end"/>
            </w:r>
          </w:hyperlink>
        </w:p>
        <w:p w14:paraId="06306CC2" w14:textId="5716FE41" w:rsidR="00F446E0" w:rsidRDefault="00F446E0" w:rsidP="00597239">
          <w:pPr>
            <w:pStyle w:val="Spistreci3"/>
            <w:rPr>
              <w:rFonts w:eastAsiaTheme="minorEastAsia"/>
              <w:noProof/>
              <w:kern w:val="2"/>
              <w:sz w:val="24"/>
              <w:szCs w:val="24"/>
              <w:lang w:eastAsia="pl-PL"/>
              <w14:ligatures w14:val="standardContextual"/>
            </w:rPr>
          </w:pPr>
          <w:hyperlink w:anchor="_Toc194059777" w:history="1">
            <w:r w:rsidRPr="00C5500D">
              <w:rPr>
                <w:rStyle w:val="Hipercze"/>
                <w:noProof/>
              </w:rPr>
              <w:t>1.2.</w:t>
            </w:r>
            <w:r>
              <w:rPr>
                <w:rFonts w:eastAsiaTheme="minorEastAsia"/>
                <w:noProof/>
                <w:kern w:val="2"/>
                <w:sz w:val="24"/>
                <w:szCs w:val="24"/>
                <w:lang w:eastAsia="pl-PL"/>
                <w14:ligatures w14:val="standardContextual"/>
              </w:rPr>
              <w:tab/>
            </w:r>
            <w:r w:rsidRPr="00C5500D">
              <w:rPr>
                <w:rStyle w:val="Hipercze"/>
                <w:noProof/>
              </w:rPr>
              <w:t>Wirusowe zapalenia wątroby</w:t>
            </w:r>
            <w:r>
              <w:rPr>
                <w:noProof/>
                <w:webHidden/>
              </w:rPr>
              <w:tab/>
            </w:r>
            <w:r>
              <w:rPr>
                <w:noProof/>
                <w:webHidden/>
              </w:rPr>
              <w:fldChar w:fldCharType="begin"/>
            </w:r>
            <w:r>
              <w:rPr>
                <w:noProof/>
                <w:webHidden/>
              </w:rPr>
              <w:instrText xml:space="preserve"> PAGEREF _Toc194059777 \h </w:instrText>
            </w:r>
            <w:r>
              <w:rPr>
                <w:noProof/>
                <w:webHidden/>
              </w:rPr>
            </w:r>
            <w:r>
              <w:rPr>
                <w:noProof/>
                <w:webHidden/>
              </w:rPr>
              <w:fldChar w:fldCharType="separate"/>
            </w:r>
            <w:r>
              <w:rPr>
                <w:noProof/>
                <w:webHidden/>
              </w:rPr>
              <w:t>13</w:t>
            </w:r>
            <w:r>
              <w:rPr>
                <w:noProof/>
                <w:webHidden/>
              </w:rPr>
              <w:fldChar w:fldCharType="end"/>
            </w:r>
          </w:hyperlink>
        </w:p>
        <w:p w14:paraId="0AC90507" w14:textId="565A1211" w:rsidR="00F446E0" w:rsidRDefault="00F446E0" w:rsidP="00597239">
          <w:pPr>
            <w:pStyle w:val="Spistreci3"/>
            <w:rPr>
              <w:rFonts w:eastAsiaTheme="minorEastAsia"/>
              <w:noProof/>
              <w:kern w:val="2"/>
              <w:sz w:val="24"/>
              <w:szCs w:val="24"/>
              <w:lang w:eastAsia="pl-PL"/>
              <w14:ligatures w14:val="standardContextual"/>
            </w:rPr>
          </w:pPr>
          <w:hyperlink w:anchor="_Toc194059778" w:history="1">
            <w:r w:rsidRPr="00C5500D">
              <w:rPr>
                <w:rStyle w:val="Hipercze"/>
                <w:noProof/>
              </w:rPr>
              <w:t>1.3.</w:t>
            </w:r>
            <w:r>
              <w:rPr>
                <w:rFonts w:eastAsiaTheme="minorEastAsia"/>
                <w:noProof/>
                <w:kern w:val="2"/>
                <w:sz w:val="24"/>
                <w:szCs w:val="24"/>
                <w:lang w:eastAsia="pl-PL"/>
                <w14:ligatures w14:val="standardContextual"/>
              </w:rPr>
              <w:tab/>
            </w:r>
            <w:r w:rsidRPr="00C5500D">
              <w:rPr>
                <w:rStyle w:val="Hipercze"/>
                <w:noProof/>
              </w:rPr>
              <w:t>Wybrane choroby infekcyjne układu oddechowego: Covid-19, grypa i RSV</w:t>
            </w:r>
            <w:r>
              <w:rPr>
                <w:noProof/>
                <w:webHidden/>
              </w:rPr>
              <w:tab/>
            </w:r>
            <w:r>
              <w:rPr>
                <w:noProof/>
                <w:webHidden/>
              </w:rPr>
              <w:fldChar w:fldCharType="begin"/>
            </w:r>
            <w:r>
              <w:rPr>
                <w:noProof/>
                <w:webHidden/>
              </w:rPr>
              <w:instrText xml:space="preserve"> PAGEREF _Toc194059778 \h </w:instrText>
            </w:r>
            <w:r>
              <w:rPr>
                <w:noProof/>
                <w:webHidden/>
              </w:rPr>
            </w:r>
            <w:r>
              <w:rPr>
                <w:noProof/>
                <w:webHidden/>
              </w:rPr>
              <w:fldChar w:fldCharType="separate"/>
            </w:r>
            <w:r>
              <w:rPr>
                <w:noProof/>
                <w:webHidden/>
              </w:rPr>
              <w:t>15</w:t>
            </w:r>
            <w:r>
              <w:rPr>
                <w:noProof/>
                <w:webHidden/>
              </w:rPr>
              <w:fldChar w:fldCharType="end"/>
            </w:r>
          </w:hyperlink>
        </w:p>
        <w:p w14:paraId="5CD29A02" w14:textId="17421487" w:rsidR="00F446E0" w:rsidRDefault="00F446E0" w:rsidP="00597239">
          <w:pPr>
            <w:pStyle w:val="Spistreci3"/>
            <w:rPr>
              <w:rFonts w:eastAsiaTheme="minorEastAsia"/>
              <w:noProof/>
              <w:kern w:val="2"/>
              <w:sz w:val="24"/>
              <w:szCs w:val="24"/>
              <w:lang w:eastAsia="pl-PL"/>
              <w14:ligatures w14:val="standardContextual"/>
            </w:rPr>
          </w:pPr>
          <w:hyperlink w:anchor="_Toc194059779" w:history="1">
            <w:r w:rsidRPr="00C5500D">
              <w:rPr>
                <w:rStyle w:val="Hipercze"/>
                <w:noProof/>
              </w:rPr>
              <w:t>1.4.</w:t>
            </w:r>
            <w:r>
              <w:rPr>
                <w:rFonts w:eastAsiaTheme="minorEastAsia"/>
                <w:noProof/>
                <w:kern w:val="2"/>
                <w:sz w:val="24"/>
                <w:szCs w:val="24"/>
                <w:lang w:eastAsia="pl-PL"/>
                <w14:ligatures w14:val="standardContextual"/>
              </w:rPr>
              <w:tab/>
            </w:r>
            <w:r w:rsidRPr="00C5500D">
              <w:rPr>
                <w:rStyle w:val="Hipercze"/>
                <w:noProof/>
              </w:rPr>
              <w:t>Choroby wieku dziecięcego</w:t>
            </w:r>
            <w:r>
              <w:rPr>
                <w:noProof/>
                <w:webHidden/>
              </w:rPr>
              <w:tab/>
            </w:r>
            <w:r>
              <w:rPr>
                <w:noProof/>
                <w:webHidden/>
              </w:rPr>
              <w:fldChar w:fldCharType="begin"/>
            </w:r>
            <w:r>
              <w:rPr>
                <w:noProof/>
                <w:webHidden/>
              </w:rPr>
              <w:instrText xml:space="preserve"> PAGEREF _Toc194059779 \h </w:instrText>
            </w:r>
            <w:r>
              <w:rPr>
                <w:noProof/>
                <w:webHidden/>
              </w:rPr>
            </w:r>
            <w:r>
              <w:rPr>
                <w:noProof/>
                <w:webHidden/>
              </w:rPr>
              <w:fldChar w:fldCharType="separate"/>
            </w:r>
            <w:r>
              <w:rPr>
                <w:noProof/>
                <w:webHidden/>
              </w:rPr>
              <w:t>18</w:t>
            </w:r>
            <w:r>
              <w:rPr>
                <w:noProof/>
                <w:webHidden/>
              </w:rPr>
              <w:fldChar w:fldCharType="end"/>
            </w:r>
          </w:hyperlink>
        </w:p>
        <w:p w14:paraId="166B2EF9" w14:textId="6CFDC7A7" w:rsidR="00F446E0" w:rsidRDefault="00F446E0" w:rsidP="00597239">
          <w:pPr>
            <w:pStyle w:val="Spistreci3"/>
            <w:rPr>
              <w:rFonts w:eastAsiaTheme="minorEastAsia"/>
              <w:noProof/>
              <w:kern w:val="2"/>
              <w:sz w:val="24"/>
              <w:szCs w:val="24"/>
              <w:lang w:eastAsia="pl-PL"/>
              <w14:ligatures w14:val="standardContextual"/>
            </w:rPr>
          </w:pPr>
          <w:hyperlink w:anchor="_Toc194059780" w:history="1">
            <w:r w:rsidRPr="00C5500D">
              <w:rPr>
                <w:rStyle w:val="Hipercze"/>
                <w:noProof/>
              </w:rPr>
              <w:t>1.5.</w:t>
            </w:r>
            <w:r>
              <w:rPr>
                <w:rFonts w:eastAsiaTheme="minorEastAsia"/>
                <w:noProof/>
                <w:kern w:val="2"/>
                <w:sz w:val="24"/>
                <w:szCs w:val="24"/>
                <w:lang w:eastAsia="pl-PL"/>
                <w14:ligatures w14:val="standardContextual"/>
              </w:rPr>
              <w:tab/>
            </w:r>
            <w:r w:rsidRPr="00C5500D">
              <w:rPr>
                <w:rStyle w:val="Hipercze"/>
                <w:noProof/>
              </w:rPr>
              <w:t>Zapalenie opon mózgowo-rdzeniowych i mózgu</w:t>
            </w:r>
            <w:r>
              <w:rPr>
                <w:noProof/>
                <w:webHidden/>
              </w:rPr>
              <w:tab/>
            </w:r>
            <w:r>
              <w:rPr>
                <w:noProof/>
                <w:webHidden/>
              </w:rPr>
              <w:fldChar w:fldCharType="begin"/>
            </w:r>
            <w:r>
              <w:rPr>
                <w:noProof/>
                <w:webHidden/>
              </w:rPr>
              <w:instrText xml:space="preserve"> PAGEREF _Toc194059780 \h </w:instrText>
            </w:r>
            <w:r>
              <w:rPr>
                <w:noProof/>
                <w:webHidden/>
              </w:rPr>
            </w:r>
            <w:r>
              <w:rPr>
                <w:noProof/>
                <w:webHidden/>
              </w:rPr>
              <w:fldChar w:fldCharType="separate"/>
            </w:r>
            <w:r>
              <w:rPr>
                <w:noProof/>
                <w:webHidden/>
              </w:rPr>
              <w:t>22</w:t>
            </w:r>
            <w:r>
              <w:rPr>
                <w:noProof/>
                <w:webHidden/>
              </w:rPr>
              <w:fldChar w:fldCharType="end"/>
            </w:r>
          </w:hyperlink>
        </w:p>
        <w:p w14:paraId="28F5BDAE" w14:textId="7FCA9F5C" w:rsidR="00F446E0" w:rsidRDefault="00F446E0" w:rsidP="00597239">
          <w:pPr>
            <w:pStyle w:val="Spistreci3"/>
            <w:rPr>
              <w:rFonts w:eastAsiaTheme="minorEastAsia"/>
              <w:noProof/>
              <w:kern w:val="2"/>
              <w:sz w:val="24"/>
              <w:szCs w:val="24"/>
              <w:lang w:eastAsia="pl-PL"/>
              <w14:ligatures w14:val="standardContextual"/>
            </w:rPr>
          </w:pPr>
          <w:hyperlink w:anchor="_Toc194059781" w:history="1">
            <w:r w:rsidRPr="00C5500D">
              <w:rPr>
                <w:rStyle w:val="Hipercze"/>
                <w:noProof/>
              </w:rPr>
              <w:t>1.6.</w:t>
            </w:r>
            <w:r>
              <w:rPr>
                <w:rFonts w:eastAsiaTheme="minorEastAsia"/>
                <w:noProof/>
                <w:kern w:val="2"/>
                <w:sz w:val="24"/>
                <w:szCs w:val="24"/>
                <w:lang w:eastAsia="pl-PL"/>
                <w14:ligatures w14:val="standardContextual"/>
              </w:rPr>
              <w:tab/>
            </w:r>
            <w:r w:rsidRPr="00C5500D">
              <w:rPr>
                <w:rStyle w:val="Hipercze"/>
                <w:noProof/>
              </w:rPr>
              <w:t>Inwazyjna choroba meningokokowa</w:t>
            </w:r>
            <w:r>
              <w:rPr>
                <w:noProof/>
                <w:webHidden/>
              </w:rPr>
              <w:tab/>
            </w:r>
            <w:r>
              <w:rPr>
                <w:noProof/>
                <w:webHidden/>
              </w:rPr>
              <w:fldChar w:fldCharType="begin"/>
            </w:r>
            <w:r>
              <w:rPr>
                <w:noProof/>
                <w:webHidden/>
              </w:rPr>
              <w:instrText xml:space="preserve"> PAGEREF _Toc194059781 \h </w:instrText>
            </w:r>
            <w:r>
              <w:rPr>
                <w:noProof/>
                <w:webHidden/>
              </w:rPr>
            </w:r>
            <w:r>
              <w:rPr>
                <w:noProof/>
                <w:webHidden/>
              </w:rPr>
              <w:fldChar w:fldCharType="separate"/>
            </w:r>
            <w:r>
              <w:rPr>
                <w:noProof/>
                <w:webHidden/>
              </w:rPr>
              <w:t>23</w:t>
            </w:r>
            <w:r>
              <w:rPr>
                <w:noProof/>
                <w:webHidden/>
              </w:rPr>
              <w:fldChar w:fldCharType="end"/>
            </w:r>
          </w:hyperlink>
        </w:p>
        <w:p w14:paraId="767A9107" w14:textId="3F742BCB" w:rsidR="00F446E0" w:rsidRDefault="00F446E0" w:rsidP="00597239">
          <w:pPr>
            <w:pStyle w:val="Spistreci3"/>
            <w:rPr>
              <w:rFonts w:eastAsiaTheme="minorEastAsia"/>
              <w:noProof/>
              <w:kern w:val="2"/>
              <w:sz w:val="24"/>
              <w:szCs w:val="24"/>
              <w:lang w:eastAsia="pl-PL"/>
              <w14:ligatures w14:val="standardContextual"/>
            </w:rPr>
          </w:pPr>
          <w:hyperlink w:anchor="_Toc194059782" w:history="1">
            <w:r w:rsidRPr="00C5500D">
              <w:rPr>
                <w:rStyle w:val="Hipercze"/>
                <w:noProof/>
              </w:rPr>
              <w:t>1.7.</w:t>
            </w:r>
            <w:r>
              <w:rPr>
                <w:rFonts w:eastAsiaTheme="minorEastAsia"/>
                <w:noProof/>
                <w:kern w:val="2"/>
                <w:sz w:val="24"/>
                <w:szCs w:val="24"/>
                <w:lang w:eastAsia="pl-PL"/>
                <w14:ligatures w14:val="standardContextual"/>
              </w:rPr>
              <w:tab/>
            </w:r>
            <w:r w:rsidRPr="00C5500D">
              <w:rPr>
                <w:rStyle w:val="Hipercze"/>
                <w:noProof/>
              </w:rPr>
              <w:t>Borelioza z Lyme</w:t>
            </w:r>
            <w:r>
              <w:rPr>
                <w:noProof/>
                <w:webHidden/>
              </w:rPr>
              <w:tab/>
            </w:r>
            <w:r>
              <w:rPr>
                <w:noProof/>
                <w:webHidden/>
              </w:rPr>
              <w:fldChar w:fldCharType="begin"/>
            </w:r>
            <w:r>
              <w:rPr>
                <w:noProof/>
                <w:webHidden/>
              </w:rPr>
              <w:instrText xml:space="preserve"> PAGEREF _Toc194059782 \h </w:instrText>
            </w:r>
            <w:r>
              <w:rPr>
                <w:noProof/>
                <w:webHidden/>
              </w:rPr>
            </w:r>
            <w:r>
              <w:rPr>
                <w:noProof/>
                <w:webHidden/>
              </w:rPr>
              <w:fldChar w:fldCharType="separate"/>
            </w:r>
            <w:r>
              <w:rPr>
                <w:noProof/>
                <w:webHidden/>
              </w:rPr>
              <w:t>24</w:t>
            </w:r>
            <w:r>
              <w:rPr>
                <w:noProof/>
                <w:webHidden/>
              </w:rPr>
              <w:fldChar w:fldCharType="end"/>
            </w:r>
          </w:hyperlink>
        </w:p>
        <w:p w14:paraId="571AAB0F" w14:textId="6226FC85" w:rsidR="00F446E0" w:rsidRDefault="00F446E0" w:rsidP="00597239">
          <w:pPr>
            <w:pStyle w:val="Spistreci3"/>
            <w:rPr>
              <w:rFonts w:eastAsiaTheme="minorEastAsia"/>
              <w:noProof/>
              <w:kern w:val="2"/>
              <w:sz w:val="24"/>
              <w:szCs w:val="24"/>
              <w:lang w:eastAsia="pl-PL"/>
              <w14:ligatures w14:val="standardContextual"/>
            </w:rPr>
          </w:pPr>
          <w:hyperlink w:anchor="_Toc194059783" w:history="1">
            <w:r w:rsidRPr="00C5500D">
              <w:rPr>
                <w:rStyle w:val="Hipercze"/>
                <w:noProof/>
              </w:rPr>
              <w:t>1.8.</w:t>
            </w:r>
            <w:r>
              <w:rPr>
                <w:rFonts w:eastAsiaTheme="minorEastAsia"/>
                <w:noProof/>
                <w:kern w:val="2"/>
                <w:sz w:val="24"/>
                <w:szCs w:val="24"/>
                <w:lang w:eastAsia="pl-PL"/>
                <w14:ligatures w14:val="standardContextual"/>
              </w:rPr>
              <w:tab/>
            </w:r>
            <w:r w:rsidRPr="00C5500D">
              <w:rPr>
                <w:rStyle w:val="Hipercze"/>
                <w:noProof/>
              </w:rPr>
              <w:t>Wścieklizna</w:t>
            </w:r>
            <w:r>
              <w:rPr>
                <w:noProof/>
                <w:webHidden/>
              </w:rPr>
              <w:tab/>
            </w:r>
            <w:r>
              <w:rPr>
                <w:noProof/>
                <w:webHidden/>
              </w:rPr>
              <w:fldChar w:fldCharType="begin"/>
            </w:r>
            <w:r>
              <w:rPr>
                <w:noProof/>
                <w:webHidden/>
              </w:rPr>
              <w:instrText xml:space="preserve"> PAGEREF _Toc194059783 \h </w:instrText>
            </w:r>
            <w:r>
              <w:rPr>
                <w:noProof/>
                <w:webHidden/>
              </w:rPr>
            </w:r>
            <w:r>
              <w:rPr>
                <w:noProof/>
                <w:webHidden/>
              </w:rPr>
              <w:fldChar w:fldCharType="separate"/>
            </w:r>
            <w:r>
              <w:rPr>
                <w:noProof/>
                <w:webHidden/>
              </w:rPr>
              <w:t>25</w:t>
            </w:r>
            <w:r>
              <w:rPr>
                <w:noProof/>
                <w:webHidden/>
              </w:rPr>
              <w:fldChar w:fldCharType="end"/>
            </w:r>
          </w:hyperlink>
        </w:p>
        <w:p w14:paraId="35213F7B" w14:textId="3CFEEA9C" w:rsidR="00F446E0" w:rsidRDefault="00F446E0" w:rsidP="00597239">
          <w:pPr>
            <w:pStyle w:val="Spistreci3"/>
            <w:rPr>
              <w:rFonts w:eastAsiaTheme="minorEastAsia"/>
              <w:noProof/>
              <w:kern w:val="2"/>
              <w:sz w:val="24"/>
              <w:szCs w:val="24"/>
              <w:lang w:eastAsia="pl-PL"/>
              <w14:ligatures w14:val="standardContextual"/>
            </w:rPr>
          </w:pPr>
          <w:hyperlink w:anchor="_Toc194059784" w:history="1">
            <w:r w:rsidRPr="00C5500D">
              <w:rPr>
                <w:rStyle w:val="Hipercze"/>
                <w:noProof/>
              </w:rPr>
              <w:t>1.9.</w:t>
            </w:r>
            <w:r>
              <w:rPr>
                <w:rFonts w:eastAsiaTheme="minorEastAsia"/>
                <w:noProof/>
                <w:kern w:val="2"/>
                <w:sz w:val="24"/>
                <w:szCs w:val="24"/>
                <w:lang w:eastAsia="pl-PL"/>
                <w14:ligatures w14:val="standardContextual"/>
              </w:rPr>
              <w:tab/>
            </w:r>
            <w:r w:rsidRPr="00C5500D">
              <w:rPr>
                <w:rStyle w:val="Hipercze"/>
                <w:noProof/>
              </w:rPr>
              <w:t>Choroby przenoszone drogą płciową</w:t>
            </w:r>
            <w:r>
              <w:rPr>
                <w:noProof/>
                <w:webHidden/>
              </w:rPr>
              <w:tab/>
            </w:r>
            <w:r>
              <w:rPr>
                <w:noProof/>
                <w:webHidden/>
              </w:rPr>
              <w:fldChar w:fldCharType="begin"/>
            </w:r>
            <w:r>
              <w:rPr>
                <w:noProof/>
                <w:webHidden/>
              </w:rPr>
              <w:instrText xml:space="preserve"> PAGEREF _Toc194059784 \h </w:instrText>
            </w:r>
            <w:r>
              <w:rPr>
                <w:noProof/>
                <w:webHidden/>
              </w:rPr>
            </w:r>
            <w:r>
              <w:rPr>
                <w:noProof/>
                <w:webHidden/>
              </w:rPr>
              <w:fldChar w:fldCharType="separate"/>
            </w:r>
            <w:r>
              <w:rPr>
                <w:noProof/>
                <w:webHidden/>
              </w:rPr>
              <w:t>27</w:t>
            </w:r>
            <w:r>
              <w:rPr>
                <w:noProof/>
                <w:webHidden/>
              </w:rPr>
              <w:fldChar w:fldCharType="end"/>
            </w:r>
          </w:hyperlink>
        </w:p>
        <w:p w14:paraId="578D3423" w14:textId="163E7552" w:rsidR="00F446E0" w:rsidRDefault="00F446E0" w:rsidP="00597239">
          <w:pPr>
            <w:pStyle w:val="Spistreci3"/>
            <w:rPr>
              <w:rFonts w:eastAsiaTheme="minorEastAsia"/>
              <w:noProof/>
              <w:kern w:val="2"/>
              <w:sz w:val="24"/>
              <w:szCs w:val="24"/>
              <w:lang w:eastAsia="pl-PL"/>
              <w14:ligatures w14:val="standardContextual"/>
            </w:rPr>
          </w:pPr>
          <w:hyperlink w:anchor="_Toc194059785" w:history="1">
            <w:r w:rsidRPr="00C5500D">
              <w:rPr>
                <w:rStyle w:val="Hipercze"/>
                <w:noProof/>
              </w:rPr>
              <w:t>1.10.</w:t>
            </w:r>
            <w:r>
              <w:rPr>
                <w:rFonts w:eastAsiaTheme="minorEastAsia"/>
                <w:noProof/>
                <w:kern w:val="2"/>
                <w:sz w:val="24"/>
                <w:szCs w:val="24"/>
                <w:lang w:eastAsia="pl-PL"/>
                <w14:ligatures w14:val="standardContextual"/>
              </w:rPr>
              <w:tab/>
            </w:r>
            <w:r w:rsidRPr="00C5500D">
              <w:rPr>
                <w:rStyle w:val="Hipercze"/>
                <w:noProof/>
              </w:rPr>
              <w:t>Gruźlica</w:t>
            </w:r>
            <w:r>
              <w:rPr>
                <w:noProof/>
                <w:webHidden/>
              </w:rPr>
              <w:tab/>
            </w:r>
            <w:r>
              <w:rPr>
                <w:noProof/>
                <w:webHidden/>
              </w:rPr>
              <w:fldChar w:fldCharType="begin"/>
            </w:r>
            <w:r>
              <w:rPr>
                <w:noProof/>
                <w:webHidden/>
              </w:rPr>
              <w:instrText xml:space="preserve"> PAGEREF _Toc194059785 \h </w:instrText>
            </w:r>
            <w:r>
              <w:rPr>
                <w:noProof/>
                <w:webHidden/>
              </w:rPr>
            </w:r>
            <w:r>
              <w:rPr>
                <w:noProof/>
                <w:webHidden/>
              </w:rPr>
              <w:fldChar w:fldCharType="separate"/>
            </w:r>
            <w:r>
              <w:rPr>
                <w:noProof/>
                <w:webHidden/>
              </w:rPr>
              <w:t>28</w:t>
            </w:r>
            <w:r>
              <w:rPr>
                <w:noProof/>
                <w:webHidden/>
              </w:rPr>
              <w:fldChar w:fldCharType="end"/>
            </w:r>
          </w:hyperlink>
        </w:p>
        <w:p w14:paraId="5F16167A" w14:textId="3577387C" w:rsidR="00F446E0" w:rsidRDefault="00F446E0" w:rsidP="00597239">
          <w:pPr>
            <w:pStyle w:val="Spistreci3"/>
            <w:rPr>
              <w:rFonts w:eastAsiaTheme="minorEastAsia"/>
              <w:noProof/>
              <w:kern w:val="2"/>
              <w:sz w:val="24"/>
              <w:szCs w:val="24"/>
              <w:lang w:eastAsia="pl-PL"/>
              <w14:ligatures w14:val="standardContextual"/>
            </w:rPr>
          </w:pPr>
          <w:hyperlink w:anchor="_Toc194059786" w:history="1">
            <w:r w:rsidRPr="00C5500D">
              <w:rPr>
                <w:rStyle w:val="Hipercze"/>
                <w:noProof/>
              </w:rPr>
              <w:t>1.11.</w:t>
            </w:r>
            <w:r>
              <w:rPr>
                <w:rFonts w:eastAsiaTheme="minorEastAsia"/>
                <w:noProof/>
                <w:kern w:val="2"/>
                <w:sz w:val="24"/>
                <w:szCs w:val="24"/>
                <w:lang w:eastAsia="pl-PL"/>
                <w14:ligatures w14:val="standardContextual"/>
              </w:rPr>
              <w:tab/>
            </w:r>
            <w:r w:rsidRPr="00C5500D">
              <w:rPr>
                <w:rStyle w:val="Hipercze"/>
                <w:noProof/>
              </w:rPr>
              <w:t>Zakażenie wirusem HIV, choroba AIDS</w:t>
            </w:r>
            <w:r>
              <w:rPr>
                <w:noProof/>
                <w:webHidden/>
              </w:rPr>
              <w:tab/>
            </w:r>
            <w:r>
              <w:rPr>
                <w:noProof/>
                <w:webHidden/>
              </w:rPr>
              <w:fldChar w:fldCharType="begin"/>
            </w:r>
            <w:r>
              <w:rPr>
                <w:noProof/>
                <w:webHidden/>
              </w:rPr>
              <w:instrText xml:space="preserve"> PAGEREF _Toc194059786 \h </w:instrText>
            </w:r>
            <w:r>
              <w:rPr>
                <w:noProof/>
                <w:webHidden/>
              </w:rPr>
            </w:r>
            <w:r>
              <w:rPr>
                <w:noProof/>
                <w:webHidden/>
              </w:rPr>
              <w:fldChar w:fldCharType="separate"/>
            </w:r>
            <w:r>
              <w:rPr>
                <w:noProof/>
                <w:webHidden/>
              </w:rPr>
              <w:t>29</w:t>
            </w:r>
            <w:r>
              <w:rPr>
                <w:noProof/>
                <w:webHidden/>
              </w:rPr>
              <w:fldChar w:fldCharType="end"/>
            </w:r>
          </w:hyperlink>
        </w:p>
        <w:p w14:paraId="6D693882" w14:textId="3C570776" w:rsidR="00F446E0" w:rsidRDefault="00F446E0" w:rsidP="00597239">
          <w:pPr>
            <w:pStyle w:val="Spistreci3"/>
            <w:rPr>
              <w:rFonts w:eastAsiaTheme="minorEastAsia"/>
              <w:noProof/>
              <w:kern w:val="2"/>
              <w:sz w:val="24"/>
              <w:szCs w:val="24"/>
              <w:lang w:eastAsia="pl-PL"/>
              <w14:ligatures w14:val="standardContextual"/>
            </w:rPr>
          </w:pPr>
          <w:hyperlink w:anchor="_Toc194059787" w:history="1">
            <w:r w:rsidRPr="00C5500D">
              <w:rPr>
                <w:rStyle w:val="Hipercze"/>
                <w:noProof/>
              </w:rPr>
              <w:t>1.12.</w:t>
            </w:r>
            <w:r>
              <w:rPr>
                <w:rFonts w:eastAsiaTheme="minorEastAsia"/>
                <w:noProof/>
                <w:kern w:val="2"/>
                <w:sz w:val="24"/>
                <w:szCs w:val="24"/>
                <w:lang w:eastAsia="pl-PL"/>
                <w14:ligatures w14:val="standardContextual"/>
              </w:rPr>
              <w:tab/>
            </w:r>
            <w:r w:rsidRPr="00C5500D">
              <w:rPr>
                <w:rStyle w:val="Hipercze"/>
                <w:noProof/>
              </w:rPr>
              <w:t>Tularemia</w:t>
            </w:r>
            <w:r>
              <w:rPr>
                <w:noProof/>
                <w:webHidden/>
              </w:rPr>
              <w:tab/>
            </w:r>
            <w:r>
              <w:rPr>
                <w:noProof/>
                <w:webHidden/>
              </w:rPr>
              <w:fldChar w:fldCharType="begin"/>
            </w:r>
            <w:r>
              <w:rPr>
                <w:noProof/>
                <w:webHidden/>
              </w:rPr>
              <w:instrText xml:space="preserve"> PAGEREF _Toc194059787 \h </w:instrText>
            </w:r>
            <w:r>
              <w:rPr>
                <w:noProof/>
                <w:webHidden/>
              </w:rPr>
            </w:r>
            <w:r>
              <w:rPr>
                <w:noProof/>
                <w:webHidden/>
              </w:rPr>
              <w:fldChar w:fldCharType="separate"/>
            </w:r>
            <w:r>
              <w:rPr>
                <w:noProof/>
                <w:webHidden/>
              </w:rPr>
              <w:t>30</w:t>
            </w:r>
            <w:r>
              <w:rPr>
                <w:noProof/>
                <w:webHidden/>
              </w:rPr>
              <w:fldChar w:fldCharType="end"/>
            </w:r>
          </w:hyperlink>
        </w:p>
        <w:p w14:paraId="78A9CC88" w14:textId="62BFFAE4" w:rsidR="00F446E0" w:rsidRDefault="00F446E0" w:rsidP="00597239">
          <w:pPr>
            <w:pStyle w:val="Spistreci3"/>
            <w:rPr>
              <w:rFonts w:eastAsiaTheme="minorEastAsia"/>
              <w:noProof/>
              <w:kern w:val="2"/>
              <w:sz w:val="24"/>
              <w:szCs w:val="24"/>
              <w:lang w:eastAsia="pl-PL"/>
              <w14:ligatures w14:val="standardContextual"/>
            </w:rPr>
          </w:pPr>
          <w:hyperlink w:anchor="_Toc194059788" w:history="1">
            <w:r w:rsidRPr="00C5500D">
              <w:rPr>
                <w:rStyle w:val="Hipercze"/>
                <w:noProof/>
              </w:rPr>
              <w:t>1.13.</w:t>
            </w:r>
            <w:r>
              <w:rPr>
                <w:rFonts w:eastAsiaTheme="minorEastAsia"/>
                <w:noProof/>
                <w:kern w:val="2"/>
                <w:sz w:val="24"/>
                <w:szCs w:val="24"/>
                <w:lang w:eastAsia="pl-PL"/>
                <w14:ligatures w14:val="standardContextual"/>
              </w:rPr>
              <w:tab/>
            </w:r>
            <w:r w:rsidRPr="00C5500D">
              <w:rPr>
                <w:rStyle w:val="Hipercze"/>
                <w:noProof/>
              </w:rPr>
              <w:t>Zakażenia Mpox</w:t>
            </w:r>
            <w:r>
              <w:rPr>
                <w:noProof/>
                <w:webHidden/>
              </w:rPr>
              <w:tab/>
            </w:r>
            <w:r>
              <w:rPr>
                <w:noProof/>
                <w:webHidden/>
              </w:rPr>
              <w:fldChar w:fldCharType="begin"/>
            </w:r>
            <w:r>
              <w:rPr>
                <w:noProof/>
                <w:webHidden/>
              </w:rPr>
              <w:instrText xml:space="preserve"> PAGEREF _Toc194059788 \h </w:instrText>
            </w:r>
            <w:r>
              <w:rPr>
                <w:noProof/>
                <w:webHidden/>
              </w:rPr>
            </w:r>
            <w:r>
              <w:rPr>
                <w:noProof/>
                <w:webHidden/>
              </w:rPr>
              <w:fldChar w:fldCharType="separate"/>
            </w:r>
            <w:r>
              <w:rPr>
                <w:noProof/>
                <w:webHidden/>
              </w:rPr>
              <w:t>31</w:t>
            </w:r>
            <w:r>
              <w:rPr>
                <w:noProof/>
                <w:webHidden/>
              </w:rPr>
              <w:fldChar w:fldCharType="end"/>
            </w:r>
          </w:hyperlink>
        </w:p>
        <w:p w14:paraId="2518809C" w14:textId="35910593" w:rsidR="00F446E0" w:rsidRDefault="00F446E0" w:rsidP="00597239">
          <w:pPr>
            <w:pStyle w:val="Spistreci3"/>
            <w:rPr>
              <w:rFonts w:eastAsiaTheme="minorEastAsia"/>
              <w:noProof/>
              <w:kern w:val="2"/>
              <w:sz w:val="24"/>
              <w:szCs w:val="24"/>
              <w:lang w:eastAsia="pl-PL"/>
              <w14:ligatures w14:val="standardContextual"/>
            </w:rPr>
          </w:pPr>
          <w:hyperlink w:anchor="_Toc194059789" w:history="1">
            <w:r w:rsidRPr="00C5500D">
              <w:rPr>
                <w:rStyle w:val="Hipercze"/>
                <w:noProof/>
              </w:rPr>
              <w:t>1.14.</w:t>
            </w:r>
            <w:r>
              <w:rPr>
                <w:rFonts w:eastAsiaTheme="minorEastAsia"/>
                <w:noProof/>
                <w:kern w:val="2"/>
                <w:sz w:val="24"/>
                <w:szCs w:val="24"/>
                <w:lang w:eastAsia="pl-PL"/>
                <w14:ligatures w14:val="standardContextual"/>
              </w:rPr>
              <w:tab/>
            </w:r>
            <w:r w:rsidRPr="00C5500D">
              <w:rPr>
                <w:rStyle w:val="Hipercze"/>
                <w:noProof/>
              </w:rPr>
              <w:t>Podsumowanie</w:t>
            </w:r>
            <w:r>
              <w:rPr>
                <w:noProof/>
                <w:webHidden/>
              </w:rPr>
              <w:tab/>
            </w:r>
            <w:r>
              <w:rPr>
                <w:noProof/>
                <w:webHidden/>
              </w:rPr>
              <w:fldChar w:fldCharType="begin"/>
            </w:r>
            <w:r>
              <w:rPr>
                <w:noProof/>
                <w:webHidden/>
              </w:rPr>
              <w:instrText xml:space="preserve"> PAGEREF _Toc194059789 \h </w:instrText>
            </w:r>
            <w:r>
              <w:rPr>
                <w:noProof/>
                <w:webHidden/>
              </w:rPr>
            </w:r>
            <w:r>
              <w:rPr>
                <w:noProof/>
                <w:webHidden/>
              </w:rPr>
              <w:fldChar w:fldCharType="separate"/>
            </w:r>
            <w:r>
              <w:rPr>
                <w:noProof/>
                <w:webHidden/>
              </w:rPr>
              <w:t>31</w:t>
            </w:r>
            <w:r>
              <w:rPr>
                <w:noProof/>
                <w:webHidden/>
              </w:rPr>
              <w:fldChar w:fldCharType="end"/>
            </w:r>
          </w:hyperlink>
        </w:p>
        <w:p w14:paraId="380A963F" w14:textId="03453B21" w:rsidR="00F446E0" w:rsidRDefault="00F446E0" w:rsidP="00597239">
          <w:pPr>
            <w:pStyle w:val="Spistreci2"/>
            <w:rPr>
              <w:rFonts w:eastAsiaTheme="minorEastAsia"/>
              <w:noProof/>
              <w:kern w:val="2"/>
              <w:sz w:val="24"/>
              <w:szCs w:val="24"/>
              <w:lang w:eastAsia="pl-PL"/>
              <w14:ligatures w14:val="standardContextual"/>
            </w:rPr>
          </w:pPr>
          <w:hyperlink w:anchor="_Toc194059790"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Szczepienia ochronne</w:t>
            </w:r>
            <w:r>
              <w:rPr>
                <w:noProof/>
                <w:webHidden/>
              </w:rPr>
              <w:tab/>
            </w:r>
            <w:r>
              <w:rPr>
                <w:noProof/>
                <w:webHidden/>
              </w:rPr>
              <w:fldChar w:fldCharType="begin"/>
            </w:r>
            <w:r>
              <w:rPr>
                <w:noProof/>
                <w:webHidden/>
              </w:rPr>
              <w:instrText xml:space="preserve"> PAGEREF _Toc194059790 \h </w:instrText>
            </w:r>
            <w:r>
              <w:rPr>
                <w:noProof/>
                <w:webHidden/>
              </w:rPr>
            </w:r>
            <w:r>
              <w:rPr>
                <w:noProof/>
                <w:webHidden/>
              </w:rPr>
              <w:fldChar w:fldCharType="separate"/>
            </w:r>
            <w:r>
              <w:rPr>
                <w:noProof/>
                <w:webHidden/>
              </w:rPr>
              <w:t>33</w:t>
            </w:r>
            <w:r>
              <w:rPr>
                <w:noProof/>
                <w:webHidden/>
              </w:rPr>
              <w:fldChar w:fldCharType="end"/>
            </w:r>
          </w:hyperlink>
        </w:p>
        <w:p w14:paraId="0932C3DC" w14:textId="5579A2EF" w:rsidR="00F446E0" w:rsidRDefault="00F446E0" w:rsidP="00597239">
          <w:pPr>
            <w:pStyle w:val="Spistreci3"/>
            <w:rPr>
              <w:rFonts w:eastAsiaTheme="minorEastAsia"/>
              <w:noProof/>
              <w:kern w:val="2"/>
              <w:sz w:val="24"/>
              <w:szCs w:val="24"/>
              <w:lang w:eastAsia="pl-PL"/>
              <w14:ligatures w14:val="standardContextual"/>
            </w:rPr>
          </w:pPr>
          <w:hyperlink w:anchor="_Toc194059791" w:history="1">
            <w:r w:rsidRPr="00C5500D">
              <w:rPr>
                <w:rStyle w:val="Hipercze"/>
                <w:bCs/>
                <w:noProof/>
              </w:rPr>
              <w:t>2.1.</w:t>
            </w:r>
            <w:r>
              <w:rPr>
                <w:rFonts w:eastAsiaTheme="minorEastAsia"/>
                <w:noProof/>
                <w:kern w:val="2"/>
                <w:sz w:val="24"/>
                <w:szCs w:val="24"/>
                <w:lang w:eastAsia="pl-PL"/>
                <w14:ligatures w14:val="standardContextual"/>
              </w:rPr>
              <w:tab/>
            </w:r>
            <w:r w:rsidRPr="00C5500D">
              <w:rPr>
                <w:rStyle w:val="Hipercze"/>
                <w:noProof/>
              </w:rPr>
              <w:t>Realizacja programu szczepień ochronnych (PSO)</w:t>
            </w:r>
            <w:r>
              <w:rPr>
                <w:noProof/>
                <w:webHidden/>
              </w:rPr>
              <w:tab/>
            </w:r>
            <w:r>
              <w:rPr>
                <w:noProof/>
                <w:webHidden/>
              </w:rPr>
              <w:fldChar w:fldCharType="begin"/>
            </w:r>
            <w:r>
              <w:rPr>
                <w:noProof/>
                <w:webHidden/>
              </w:rPr>
              <w:instrText xml:space="preserve"> PAGEREF _Toc194059791 \h </w:instrText>
            </w:r>
            <w:r>
              <w:rPr>
                <w:noProof/>
                <w:webHidden/>
              </w:rPr>
            </w:r>
            <w:r>
              <w:rPr>
                <w:noProof/>
                <w:webHidden/>
              </w:rPr>
              <w:fldChar w:fldCharType="separate"/>
            </w:r>
            <w:r>
              <w:rPr>
                <w:noProof/>
                <w:webHidden/>
              </w:rPr>
              <w:t>33</w:t>
            </w:r>
            <w:r>
              <w:rPr>
                <w:noProof/>
                <w:webHidden/>
              </w:rPr>
              <w:fldChar w:fldCharType="end"/>
            </w:r>
          </w:hyperlink>
        </w:p>
        <w:p w14:paraId="7B9081A5" w14:textId="73B833AA" w:rsidR="00F446E0" w:rsidRDefault="00F446E0" w:rsidP="00597239">
          <w:pPr>
            <w:pStyle w:val="Spistreci3"/>
            <w:rPr>
              <w:rFonts w:eastAsiaTheme="minorEastAsia"/>
              <w:noProof/>
              <w:kern w:val="2"/>
              <w:sz w:val="24"/>
              <w:szCs w:val="24"/>
              <w:lang w:eastAsia="pl-PL"/>
              <w14:ligatures w14:val="standardContextual"/>
            </w:rPr>
          </w:pPr>
          <w:hyperlink w:anchor="_Toc194059792" w:history="1">
            <w:r w:rsidRPr="00C5500D">
              <w:rPr>
                <w:rStyle w:val="Hipercze"/>
                <w:bCs/>
                <w:noProof/>
              </w:rPr>
              <w:t>2.2.</w:t>
            </w:r>
            <w:r>
              <w:rPr>
                <w:rFonts w:eastAsiaTheme="minorEastAsia"/>
                <w:noProof/>
                <w:kern w:val="2"/>
                <w:sz w:val="24"/>
                <w:szCs w:val="24"/>
                <w:lang w:eastAsia="pl-PL"/>
                <w14:ligatures w14:val="standardContextual"/>
              </w:rPr>
              <w:tab/>
            </w:r>
            <w:r w:rsidRPr="00C5500D">
              <w:rPr>
                <w:rStyle w:val="Hipercze"/>
                <w:noProof/>
              </w:rPr>
              <w:t>Niepożądane odczyny poszczepienne (NOP)</w:t>
            </w:r>
            <w:r>
              <w:rPr>
                <w:noProof/>
                <w:webHidden/>
              </w:rPr>
              <w:tab/>
            </w:r>
            <w:r>
              <w:rPr>
                <w:noProof/>
                <w:webHidden/>
              </w:rPr>
              <w:fldChar w:fldCharType="begin"/>
            </w:r>
            <w:r>
              <w:rPr>
                <w:noProof/>
                <w:webHidden/>
              </w:rPr>
              <w:instrText xml:space="preserve"> PAGEREF _Toc194059792 \h </w:instrText>
            </w:r>
            <w:r>
              <w:rPr>
                <w:noProof/>
                <w:webHidden/>
              </w:rPr>
            </w:r>
            <w:r>
              <w:rPr>
                <w:noProof/>
                <w:webHidden/>
              </w:rPr>
              <w:fldChar w:fldCharType="separate"/>
            </w:r>
            <w:r>
              <w:rPr>
                <w:noProof/>
                <w:webHidden/>
              </w:rPr>
              <w:t>38</w:t>
            </w:r>
            <w:r>
              <w:rPr>
                <w:noProof/>
                <w:webHidden/>
              </w:rPr>
              <w:fldChar w:fldCharType="end"/>
            </w:r>
          </w:hyperlink>
        </w:p>
        <w:p w14:paraId="71CA9604" w14:textId="036B3960" w:rsidR="00F446E0" w:rsidRDefault="00F446E0" w:rsidP="00597239">
          <w:pPr>
            <w:pStyle w:val="Spistreci3"/>
            <w:rPr>
              <w:rFonts w:eastAsiaTheme="minorEastAsia"/>
              <w:noProof/>
              <w:kern w:val="2"/>
              <w:sz w:val="24"/>
              <w:szCs w:val="24"/>
              <w:lang w:eastAsia="pl-PL"/>
              <w14:ligatures w14:val="standardContextual"/>
            </w:rPr>
          </w:pPr>
          <w:hyperlink w:anchor="_Toc194059793" w:history="1">
            <w:r w:rsidRPr="00C5500D">
              <w:rPr>
                <w:rStyle w:val="Hipercze"/>
                <w:bCs/>
                <w:noProof/>
              </w:rPr>
              <w:t>2.3.</w:t>
            </w:r>
            <w:r>
              <w:rPr>
                <w:rFonts w:eastAsiaTheme="minorEastAsia"/>
                <w:noProof/>
                <w:kern w:val="2"/>
                <w:sz w:val="24"/>
                <w:szCs w:val="24"/>
                <w:lang w:eastAsia="pl-PL"/>
                <w14:ligatures w14:val="standardContextual"/>
              </w:rPr>
              <w:tab/>
            </w:r>
            <w:r w:rsidRPr="00C5500D">
              <w:rPr>
                <w:rStyle w:val="Hipercze"/>
                <w:noProof/>
              </w:rPr>
              <w:t>Podsumowanie</w:t>
            </w:r>
            <w:r>
              <w:rPr>
                <w:noProof/>
                <w:webHidden/>
              </w:rPr>
              <w:tab/>
            </w:r>
            <w:r>
              <w:rPr>
                <w:noProof/>
                <w:webHidden/>
              </w:rPr>
              <w:fldChar w:fldCharType="begin"/>
            </w:r>
            <w:r>
              <w:rPr>
                <w:noProof/>
                <w:webHidden/>
              </w:rPr>
              <w:instrText xml:space="preserve"> PAGEREF _Toc194059793 \h </w:instrText>
            </w:r>
            <w:r>
              <w:rPr>
                <w:noProof/>
                <w:webHidden/>
              </w:rPr>
            </w:r>
            <w:r>
              <w:rPr>
                <w:noProof/>
                <w:webHidden/>
              </w:rPr>
              <w:fldChar w:fldCharType="separate"/>
            </w:r>
            <w:r>
              <w:rPr>
                <w:noProof/>
                <w:webHidden/>
              </w:rPr>
              <w:t>39</w:t>
            </w:r>
            <w:r>
              <w:rPr>
                <w:noProof/>
                <w:webHidden/>
              </w:rPr>
              <w:fldChar w:fldCharType="end"/>
            </w:r>
          </w:hyperlink>
        </w:p>
        <w:p w14:paraId="03EA1A0F" w14:textId="49BF2E5D" w:rsidR="00F446E0" w:rsidRDefault="00F446E0" w:rsidP="00597239">
          <w:pPr>
            <w:pStyle w:val="Spistreci2"/>
            <w:rPr>
              <w:rFonts w:eastAsiaTheme="minorEastAsia"/>
              <w:noProof/>
              <w:kern w:val="2"/>
              <w:sz w:val="24"/>
              <w:szCs w:val="24"/>
              <w:lang w:eastAsia="pl-PL"/>
              <w14:ligatures w14:val="standardContextual"/>
            </w:rPr>
          </w:pPr>
          <w:hyperlink w:anchor="_Toc194059794"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Sytuacja epidemiologiczna w szpitalach</w:t>
            </w:r>
            <w:r>
              <w:rPr>
                <w:noProof/>
                <w:webHidden/>
              </w:rPr>
              <w:tab/>
            </w:r>
            <w:r>
              <w:rPr>
                <w:noProof/>
                <w:webHidden/>
              </w:rPr>
              <w:fldChar w:fldCharType="begin"/>
            </w:r>
            <w:r>
              <w:rPr>
                <w:noProof/>
                <w:webHidden/>
              </w:rPr>
              <w:instrText xml:space="preserve"> PAGEREF _Toc194059794 \h </w:instrText>
            </w:r>
            <w:r>
              <w:rPr>
                <w:noProof/>
                <w:webHidden/>
              </w:rPr>
            </w:r>
            <w:r>
              <w:rPr>
                <w:noProof/>
                <w:webHidden/>
              </w:rPr>
              <w:fldChar w:fldCharType="separate"/>
            </w:r>
            <w:r>
              <w:rPr>
                <w:noProof/>
                <w:webHidden/>
              </w:rPr>
              <w:t>40</w:t>
            </w:r>
            <w:r>
              <w:rPr>
                <w:noProof/>
                <w:webHidden/>
              </w:rPr>
              <w:fldChar w:fldCharType="end"/>
            </w:r>
          </w:hyperlink>
        </w:p>
        <w:p w14:paraId="46F655A4" w14:textId="0FD3299A" w:rsidR="00F446E0" w:rsidRDefault="00F446E0" w:rsidP="00597239">
          <w:pPr>
            <w:pStyle w:val="Spistreci3"/>
            <w:rPr>
              <w:rFonts w:eastAsiaTheme="minorEastAsia"/>
              <w:noProof/>
              <w:kern w:val="2"/>
              <w:sz w:val="24"/>
              <w:szCs w:val="24"/>
              <w:lang w:eastAsia="pl-PL"/>
              <w14:ligatures w14:val="standardContextual"/>
            </w:rPr>
          </w:pPr>
          <w:hyperlink w:anchor="_Toc194059795" w:history="1">
            <w:r w:rsidRPr="00C5500D">
              <w:rPr>
                <w:rStyle w:val="Hipercze"/>
                <w:noProof/>
              </w:rPr>
              <w:t>3.1.</w:t>
            </w:r>
            <w:r>
              <w:rPr>
                <w:rFonts w:eastAsiaTheme="minorEastAsia"/>
                <w:noProof/>
                <w:kern w:val="2"/>
                <w:sz w:val="24"/>
                <w:szCs w:val="24"/>
                <w:lang w:eastAsia="pl-PL"/>
                <w14:ligatures w14:val="standardContextual"/>
              </w:rPr>
              <w:tab/>
            </w:r>
            <w:r w:rsidRPr="00C5500D">
              <w:rPr>
                <w:rStyle w:val="Hipercze"/>
                <w:noProof/>
              </w:rPr>
              <w:t>Zakażenia szpitalne i działalność zespołów kontroli zakażeń szpitalnych</w:t>
            </w:r>
            <w:r>
              <w:rPr>
                <w:noProof/>
                <w:webHidden/>
              </w:rPr>
              <w:tab/>
            </w:r>
            <w:r>
              <w:rPr>
                <w:noProof/>
                <w:webHidden/>
              </w:rPr>
              <w:fldChar w:fldCharType="begin"/>
            </w:r>
            <w:r>
              <w:rPr>
                <w:noProof/>
                <w:webHidden/>
              </w:rPr>
              <w:instrText xml:space="preserve"> PAGEREF _Toc194059795 \h </w:instrText>
            </w:r>
            <w:r>
              <w:rPr>
                <w:noProof/>
                <w:webHidden/>
              </w:rPr>
            </w:r>
            <w:r>
              <w:rPr>
                <w:noProof/>
                <w:webHidden/>
              </w:rPr>
              <w:fldChar w:fldCharType="separate"/>
            </w:r>
            <w:r>
              <w:rPr>
                <w:noProof/>
                <w:webHidden/>
              </w:rPr>
              <w:t>40</w:t>
            </w:r>
            <w:r>
              <w:rPr>
                <w:noProof/>
                <w:webHidden/>
              </w:rPr>
              <w:fldChar w:fldCharType="end"/>
            </w:r>
          </w:hyperlink>
        </w:p>
        <w:p w14:paraId="73404426" w14:textId="33B92D1A" w:rsidR="00F446E0" w:rsidRDefault="00F446E0" w:rsidP="00597239">
          <w:pPr>
            <w:pStyle w:val="Spistreci3"/>
            <w:rPr>
              <w:rFonts w:eastAsiaTheme="minorEastAsia"/>
              <w:noProof/>
              <w:kern w:val="2"/>
              <w:sz w:val="24"/>
              <w:szCs w:val="24"/>
              <w:lang w:eastAsia="pl-PL"/>
              <w14:ligatures w14:val="standardContextual"/>
            </w:rPr>
          </w:pPr>
          <w:hyperlink w:anchor="_Toc194059796" w:history="1">
            <w:r w:rsidRPr="00C5500D">
              <w:rPr>
                <w:rStyle w:val="Hipercze"/>
                <w:noProof/>
              </w:rPr>
              <w:t>3.2.</w:t>
            </w:r>
            <w:r>
              <w:rPr>
                <w:rFonts w:eastAsiaTheme="minorEastAsia"/>
                <w:noProof/>
                <w:kern w:val="2"/>
                <w:sz w:val="24"/>
                <w:szCs w:val="24"/>
                <w:lang w:eastAsia="pl-PL"/>
                <w14:ligatures w14:val="standardContextual"/>
              </w:rPr>
              <w:tab/>
            </w:r>
            <w:r w:rsidRPr="00C5500D">
              <w:rPr>
                <w:rStyle w:val="Hipercze"/>
                <w:noProof/>
              </w:rPr>
              <w:t>Nadzór nad czynnikami alarmowymi w podmiotach leczniczych</w:t>
            </w:r>
            <w:r>
              <w:rPr>
                <w:noProof/>
                <w:webHidden/>
              </w:rPr>
              <w:tab/>
            </w:r>
            <w:r>
              <w:rPr>
                <w:noProof/>
                <w:webHidden/>
              </w:rPr>
              <w:fldChar w:fldCharType="begin"/>
            </w:r>
            <w:r>
              <w:rPr>
                <w:noProof/>
                <w:webHidden/>
              </w:rPr>
              <w:instrText xml:space="preserve"> PAGEREF _Toc194059796 \h </w:instrText>
            </w:r>
            <w:r>
              <w:rPr>
                <w:noProof/>
                <w:webHidden/>
              </w:rPr>
            </w:r>
            <w:r>
              <w:rPr>
                <w:noProof/>
                <w:webHidden/>
              </w:rPr>
              <w:fldChar w:fldCharType="separate"/>
            </w:r>
            <w:r>
              <w:rPr>
                <w:noProof/>
                <w:webHidden/>
              </w:rPr>
              <w:t>40</w:t>
            </w:r>
            <w:r>
              <w:rPr>
                <w:noProof/>
                <w:webHidden/>
              </w:rPr>
              <w:fldChar w:fldCharType="end"/>
            </w:r>
          </w:hyperlink>
        </w:p>
        <w:p w14:paraId="03836244" w14:textId="5E576741" w:rsidR="00F446E0" w:rsidRDefault="00F446E0" w:rsidP="00597239">
          <w:pPr>
            <w:pStyle w:val="Spistreci3"/>
            <w:rPr>
              <w:rFonts w:eastAsiaTheme="minorEastAsia"/>
              <w:noProof/>
              <w:kern w:val="2"/>
              <w:sz w:val="24"/>
              <w:szCs w:val="24"/>
              <w:lang w:eastAsia="pl-PL"/>
              <w14:ligatures w14:val="standardContextual"/>
            </w:rPr>
          </w:pPr>
          <w:hyperlink w:anchor="_Toc194059797" w:history="1">
            <w:r w:rsidRPr="00C5500D">
              <w:rPr>
                <w:rStyle w:val="Hipercze"/>
                <w:noProof/>
              </w:rPr>
              <w:t>3.3.</w:t>
            </w:r>
            <w:r>
              <w:rPr>
                <w:rFonts w:eastAsiaTheme="minorEastAsia"/>
                <w:noProof/>
                <w:kern w:val="2"/>
                <w:sz w:val="24"/>
                <w:szCs w:val="24"/>
                <w:lang w:eastAsia="pl-PL"/>
                <w14:ligatures w14:val="standardContextual"/>
              </w:rPr>
              <w:tab/>
            </w:r>
            <w:r w:rsidRPr="00C5500D">
              <w:rPr>
                <w:rStyle w:val="Hipercze"/>
                <w:noProof/>
              </w:rPr>
              <w:t>Podsumowanie</w:t>
            </w:r>
            <w:r>
              <w:rPr>
                <w:noProof/>
                <w:webHidden/>
              </w:rPr>
              <w:tab/>
            </w:r>
            <w:r>
              <w:rPr>
                <w:noProof/>
                <w:webHidden/>
              </w:rPr>
              <w:fldChar w:fldCharType="begin"/>
            </w:r>
            <w:r>
              <w:rPr>
                <w:noProof/>
                <w:webHidden/>
              </w:rPr>
              <w:instrText xml:space="preserve"> PAGEREF _Toc194059797 \h </w:instrText>
            </w:r>
            <w:r>
              <w:rPr>
                <w:noProof/>
                <w:webHidden/>
              </w:rPr>
            </w:r>
            <w:r>
              <w:rPr>
                <w:noProof/>
                <w:webHidden/>
              </w:rPr>
              <w:fldChar w:fldCharType="separate"/>
            </w:r>
            <w:r>
              <w:rPr>
                <w:noProof/>
                <w:webHidden/>
              </w:rPr>
              <w:t>41</w:t>
            </w:r>
            <w:r>
              <w:rPr>
                <w:noProof/>
                <w:webHidden/>
              </w:rPr>
              <w:fldChar w:fldCharType="end"/>
            </w:r>
          </w:hyperlink>
        </w:p>
        <w:p w14:paraId="625D72F0" w14:textId="55FB7538"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798" w:history="1">
            <w:r w:rsidRPr="00C5500D">
              <w:rPr>
                <w:rStyle w:val="Hipercze"/>
              </w:rPr>
              <w:t>II.</w:t>
            </w:r>
            <w:r>
              <w:rPr>
                <w:rFonts w:eastAsiaTheme="minorEastAsia"/>
                <w:b w:val="0"/>
                <w:bCs w:val="0"/>
                <w:color w:val="auto"/>
                <w:kern w:val="2"/>
                <w:sz w:val="24"/>
                <w:szCs w:val="24"/>
                <w:lang w:eastAsia="pl-PL"/>
                <w14:ligatures w14:val="standardContextual"/>
              </w:rPr>
              <w:tab/>
            </w:r>
            <w:r w:rsidRPr="00C5500D">
              <w:rPr>
                <w:rStyle w:val="Hipercze"/>
              </w:rPr>
              <w:t>Stan sanitarny podmiotów działalności leczniczej</w:t>
            </w:r>
            <w:r>
              <w:rPr>
                <w:webHidden/>
              </w:rPr>
              <w:tab/>
            </w:r>
            <w:r>
              <w:rPr>
                <w:webHidden/>
              </w:rPr>
              <w:fldChar w:fldCharType="begin"/>
            </w:r>
            <w:r>
              <w:rPr>
                <w:webHidden/>
              </w:rPr>
              <w:instrText xml:space="preserve"> PAGEREF _Toc194059798 \h </w:instrText>
            </w:r>
            <w:r>
              <w:rPr>
                <w:webHidden/>
              </w:rPr>
            </w:r>
            <w:r>
              <w:rPr>
                <w:webHidden/>
              </w:rPr>
              <w:fldChar w:fldCharType="separate"/>
            </w:r>
            <w:r>
              <w:rPr>
                <w:webHidden/>
              </w:rPr>
              <w:t>43</w:t>
            </w:r>
            <w:r>
              <w:rPr>
                <w:webHidden/>
              </w:rPr>
              <w:fldChar w:fldCharType="end"/>
            </w:r>
          </w:hyperlink>
        </w:p>
        <w:p w14:paraId="360F4FC8" w14:textId="3C8CF30F" w:rsidR="00F446E0" w:rsidRDefault="00F446E0" w:rsidP="00597239">
          <w:pPr>
            <w:pStyle w:val="Spistreci2"/>
            <w:rPr>
              <w:rFonts w:eastAsiaTheme="minorEastAsia"/>
              <w:noProof/>
              <w:kern w:val="2"/>
              <w:sz w:val="24"/>
              <w:szCs w:val="24"/>
              <w:lang w:eastAsia="pl-PL"/>
              <w14:ligatures w14:val="standardContextual"/>
            </w:rPr>
          </w:pPr>
          <w:hyperlink w:anchor="_Toc194059799"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Szpitale</w:t>
            </w:r>
            <w:r>
              <w:rPr>
                <w:noProof/>
                <w:webHidden/>
              </w:rPr>
              <w:tab/>
            </w:r>
            <w:r>
              <w:rPr>
                <w:noProof/>
                <w:webHidden/>
              </w:rPr>
              <w:fldChar w:fldCharType="begin"/>
            </w:r>
            <w:r>
              <w:rPr>
                <w:noProof/>
                <w:webHidden/>
              </w:rPr>
              <w:instrText xml:space="preserve"> PAGEREF _Toc194059799 \h </w:instrText>
            </w:r>
            <w:r>
              <w:rPr>
                <w:noProof/>
                <w:webHidden/>
              </w:rPr>
            </w:r>
            <w:r>
              <w:rPr>
                <w:noProof/>
                <w:webHidden/>
              </w:rPr>
              <w:fldChar w:fldCharType="separate"/>
            </w:r>
            <w:r>
              <w:rPr>
                <w:noProof/>
                <w:webHidden/>
              </w:rPr>
              <w:t>44</w:t>
            </w:r>
            <w:r>
              <w:rPr>
                <w:noProof/>
                <w:webHidden/>
              </w:rPr>
              <w:fldChar w:fldCharType="end"/>
            </w:r>
          </w:hyperlink>
        </w:p>
        <w:p w14:paraId="04748965" w14:textId="3E45A053" w:rsidR="00F446E0" w:rsidRDefault="00F446E0" w:rsidP="00597239">
          <w:pPr>
            <w:pStyle w:val="Spistreci3"/>
            <w:rPr>
              <w:rFonts w:eastAsiaTheme="minorEastAsia"/>
              <w:noProof/>
              <w:kern w:val="2"/>
              <w:sz w:val="24"/>
              <w:szCs w:val="24"/>
              <w:lang w:eastAsia="pl-PL"/>
              <w14:ligatures w14:val="standardContextual"/>
            </w:rPr>
          </w:pPr>
          <w:hyperlink w:anchor="_Toc194059800" w:history="1">
            <w:r w:rsidRPr="00C5500D">
              <w:rPr>
                <w:rStyle w:val="Hipercze"/>
                <w:noProof/>
              </w:rPr>
              <w:t>1.1.</w:t>
            </w:r>
            <w:r>
              <w:rPr>
                <w:rFonts w:eastAsiaTheme="minorEastAsia"/>
                <w:noProof/>
                <w:kern w:val="2"/>
                <w:sz w:val="24"/>
                <w:szCs w:val="24"/>
                <w:lang w:eastAsia="pl-PL"/>
                <w14:ligatures w14:val="standardContextual"/>
              </w:rPr>
              <w:tab/>
            </w:r>
            <w:r w:rsidRPr="00C5500D">
              <w:rPr>
                <w:rStyle w:val="Hipercze"/>
                <w:noProof/>
              </w:rPr>
              <w:t>Infrastruktura obiektów, ich stan techniczny i funkcjonalność</w:t>
            </w:r>
            <w:r>
              <w:rPr>
                <w:noProof/>
                <w:webHidden/>
              </w:rPr>
              <w:tab/>
            </w:r>
            <w:r>
              <w:rPr>
                <w:noProof/>
                <w:webHidden/>
              </w:rPr>
              <w:fldChar w:fldCharType="begin"/>
            </w:r>
            <w:r>
              <w:rPr>
                <w:noProof/>
                <w:webHidden/>
              </w:rPr>
              <w:instrText xml:space="preserve"> PAGEREF _Toc194059800 \h </w:instrText>
            </w:r>
            <w:r>
              <w:rPr>
                <w:noProof/>
                <w:webHidden/>
              </w:rPr>
            </w:r>
            <w:r>
              <w:rPr>
                <w:noProof/>
                <w:webHidden/>
              </w:rPr>
              <w:fldChar w:fldCharType="separate"/>
            </w:r>
            <w:r>
              <w:rPr>
                <w:noProof/>
                <w:webHidden/>
              </w:rPr>
              <w:t>47</w:t>
            </w:r>
            <w:r>
              <w:rPr>
                <w:noProof/>
                <w:webHidden/>
              </w:rPr>
              <w:fldChar w:fldCharType="end"/>
            </w:r>
          </w:hyperlink>
        </w:p>
        <w:p w14:paraId="05C7A416" w14:textId="6792BB0C" w:rsidR="00F446E0" w:rsidRDefault="00F446E0" w:rsidP="00597239">
          <w:pPr>
            <w:pStyle w:val="Spistreci3"/>
            <w:rPr>
              <w:rFonts w:eastAsiaTheme="minorEastAsia"/>
              <w:noProof/>
              <w:kern w:val="2"/>
              <w:sz w:val="24"/>
              <w:szCs w:val="24"/>
              <w:lang w:eastAsia="pl-PL"/>
              <w14:ligatures w14:val="standardContextual"/>
            </w:rPr>
          </w:pPr>
          <w:hyperlink w:anchor="_Toc194059801" w:history="1">
            <w:r w:rsidRPr="00C5500D">
              <w:rPr>
                <w:rStyle w:val="Hipercze"/>
                <w:noProof/>
              </w:rPr>
              <w:t>1.2.</w:t>
            </w:r>
            <w:r>
              <w:rPr>
                <w:rFonts w:eastAsiaTheme="minorEastAsia"/>
                <w:noProof/>
                <w:kern w:val="2"/>
                <w:sz w:val="24"/>
                <w:szCs w:val="24"/>
                <w:lang w:eastAsia="pl-PL"/>
                <w14:ligatures w14:val="standardContextual"/>
              </w:rPr>
              <w:tab/>
            </w:r>
            <w:r w:rsidRPr="00C5500D">
              <w:rPr>
                <w:rStyle w:val="Hipercze"/>
                <w:noProof/>
              </w:rPr>
              <w:t>Zaopatrzenie szpitali w wodę</w:t>
            </w:r>
            <w:r>
              <w:rPr>
                <w:noProof/>
                <w:webHidden/>
              </w:rPr>
              <w:tab/>
            </w:r>
            <w:r>
              <w:rPr>
                <w:noProof/>
                <w:webHidden/>
              </w:rPr>
              <w:fldChar w:fldCharType="begin"/>
            </w:r>
            <w:r>
              <w:rPr>
                <w:noProof/>
                <w:webHidden/>
              </w:rPr>
              <w:instrText xml:space="preserve"> PAGEREF _Toc194059801 \h </w:instrText>
            </w:r>
            <w:r>
              <w:rPr>
                <w:noProof/>
                <w:webHidden/>
              </w:rPr>
            </w:r>
            <w:r>
              <w:rPr>
                <w:noProof/>
                <w:webHidden/>
              </w:rPr>
              <w:fldChar w:fldCharType="separate"/>
            </w:r>
            <w:r>
              <w:rPr>
                <w:noProof/>
                <w:webHidden/>
              </w:rPr>
              <w:t>48</w:t>
            </w:r>
            <w:r>
              <w:rPr>
                <w:noProof/>
                <w:webHidden/>
              </w:rPr>
              <w:fldChar w:fldCharType="end"/>
            </w:r>
          </w:hyperlink>
        </w:p>
        <w:p w14:paraId="56EEA2E7" w14:textId="5C06FAA0" w:rsidR="00F446E0" w:rsidRDefault="00F446E0" w:rsidP="00597239">
          <w:pPr>
            <w:pStyle w:val="Spistreci3"/>
            <w:rPr>
              <w:rFonts w:eastAsiaTheme="minorEastAsia"/>
              <w:noProof/>
              <w:kern w:val="2"/>
              <w:sz w:val="24"/>
              <w:szCs w:val="24"/>
              <w:lang w:eastAsia="pl-PL"/>
              <w14:ligatures w14:val="standardContextual"/>
            </w:rPr>
          </w:pPr>
          <w:hyperlink w:anchor="_Toc194059802" w:history="1">
            <w:r w:rsidRPr="00C5500D">
              <w:rPr>
                <w:rStyle w:val="Hipercze"/>
                <w:noProof/>
              </w:rPr>
              <w:t>1.3.</w:t>
            </w:r>
            <w:r>
              <w:rPr>
                <w:rFonts w:eastAsiaTheme="minorEastAsia"/>
                <w:noProof/>
                <w:kern w:val="2"/>
                <w:sz w:val="24"/>
                <w:szCs w:val="24"/>
                <w:lang w:eastAsia="pl-PL"/>
                <w14:ligatures w14:val="standardContextual"/>
              </w:rPr>
              <w:tab/>
            </w:r>
            <w:r w:rsidRPr="00C5500D">
              <w:rPr>
                <w:rStyle w:val="Hipercze"/>
                <w:noProof/>
              </w:rPr>
              <w:t>Bloki żywieniowe</w:t>
            </w:r>
            <w:r>
              <w:rPr>
                <w:noProof/>
                <w:webHidden/>
              </w:rPr>
              <w:tab/>
            </w:r>
            <w:r>
              <w:rPr>
                <w:noProof/>
                <w:webHidden/>
              </w:rPr>
              <w:fldChar w:fldCharType="begin"/>
            </w:r>
            <w:r>
              <w:rPr>
                <w:noProof/>
                <w:webHidden/>
              </w:rPr>
              <w:instrText xml:space="preserve"> PAGEREF _Toc194059802 \h </w:instrText>
            </w:r>
            <w:r>
              <w:rPr>
                <w:noProof/>
                <w:webHidden/>
              </w:rPr>
            </w:r>
            <w:r>
              <w:rPr>
                <w:noProof/>
                <w:webHidden/>
              </w:rPr>
              <w:fldChar w:fldCharType="separate"/>
            </w:r>
            <w:r>
              <w:rPr>
                <w:noProof/>
                <w:webHidden/>
              </w:rPr>
              <w:t>49</w:t>
            </w:r>
            <w:r>
              <w:rPr>
                <w:noProof/>
                <w:webHidden/>
              </w:rPr>
              <w:fldChar w:fldCharType="end"/>
            </w:r>
          </w:hyperlink>
        </w:p>
        <w:p w14:paraId="1BEC59A1" w14:textId="73DD76B6" w:rsidR="00F446E0" w:rsidRDefault="00F446E0" w:rsidP="00597239">
          <w:pPr>
            <w:pStyle w:val="Spistreci3"/>
            <w:rPr>
              <w:rFonts w:eastAsiaTheme="minorEastAsia"/>
              <w:noProof/>
              <w:kern w:val="2"/>
              <w:sz w:val="24"/>
              <w:szCs w:val="24"/>
              <w:lang w:eastAsia="pl-PL"/>
              <w14:ligatures w14:val="standardContextual"/>
            </w:rPr>
          </w:pPr>
          <w:hyperlink w:anchor="_Toc194059803" w:history="1">
            <w:r w:rsidRPr="00C5500D">
              <w:rPr>
                <w:rStyle w:val="Hipercze"/>
                <w:noProof/>
              </w:rPr>
              <w:t>1.4.</w:t>
            </w:r>
            <w:r>
              <w:rPr>
                <w:rFonts w:eastAsiaTheme="minorEastAsia"/>
                <w:noProof/>
                <w:kern w:val="2"/>
                <w:sz w:val="24"/>
                <w:szCs w:val="24"/>
                <w:lang w:eastAsia="pl-PL"/>
                <w14:ligatures w14:val="standardContextual"/>
              </w:rPr>
              <w:tab/>
            </w:r>
            <w:r w:rsidRPr="00C5500D">
              <w:rPr>
                <w:rStyle w:val="Hipercze"/>
                <w:noProof/>
              </w:rPr>
              <w:t>Dezynfekcja</w:t>
            </w:r>
            <w:r>
              <w:rPr>
                <w:noProof/>
                <w:webHidden/>
              </w:rPr>
              <w:tab/>
            </w:r>
            <w:r>
              <w:rPr>
                <w:noProof/>
                <w:webHidden/>
              </w:rPr>
              <w:fldChar w:fldCharType="begin"/>
            </w:r>
            <w:r>
              <w:rPr>
                <w:noProof/>
                <w:webHidden/>
              </w:rPr>
              <w:instrText xml:space="preserve"> PAGEREF _Toc194059803 \h </w:instrText>
            </w:r>
            <w:r>
              <w:rPr>
                <w:noProof/>
                <w:webHidden/>
              </w:rPr>
            </w:r>
            <w:r>
              <w:rPr>
                <w:noProof/>
                <w:webHidden/>
              </w:rPr>
              <w:fldChar w:fldCharType="separate"/>
            </w:r>
            <w:r>
              <w:rPr>
                <w:noProof/>
                <w:webHidden/>
              </w:rPr>
              <w:t>50</w:t>
            </w:r>
            <w:r>
              <w:rPr>
                <w:noProof/>
                <w:webHidden/>
              </w:rPr>
              <w:fldChar w:fldCharType="end"/>
            </w:r>
          </w:hyperlink>
        </w:p>
        <w:p w14:paraId="55372391" w14:textId="3E9B7D86" w:rsidR="00F446E0" w:rsidRDefault="00F446E0" w:rsidP="00597239">
          <w:pPr>
            <w:pStyle w:val="Spistreci3"/>
            <w:rPr>
              <w:rFonts w:eastAsiaTheme="minorEastAsia"/>
              <w:noProof/>
              <w:kern w:val="2"/>
              <w:sz w:val="24"/>
              <w:szCs w:val="24"/>
              <w:lang w:eastAsia="pl-PL"/>
              <w14:ligatures w14:val="standardContextual"/>
            </w:rPr>
          </w:pPr>
          <w:hyperlink w:anchor="_Toc194059804" w:history="1">
            <w:r w:rsidRPr="00C5500D">
              <w:rPr>
                <w:rStyle w:val="Hipercze"/>
                <w:noProof/>
              </w:rPr>
              <w:t>1.5.</w:t>
            </w:r>
            <w:r>
              <w:rPr>
                <w:rFonts w:eastAsiaTheme="minorEastAsia"/>
                <w:noProof/>
                <w:kern w:val="2"/>
                <w:sz w:val="24"/>
                <w:szCs w:val="24"/>
                <w:lang w:eastAsia="pl-PL"/>
                <w14:ligatures w14:val="standardContextual"/>
              </w:rPr>
              <w:tab/>
            </w:r>
            <w:r w:rsidRPr="00C5500D">
              <w:rPr>
                <w:rStyle w:val="Hipercze"/>
                <w:noProof/>
              </w:rPr>
              <w:t>Sterylizacja</w:t>
            </w:r>
            <w:r>
              <w:rPr>
                <w:noProof/>
                <w:webHidden/>
              </w:rPr>
              <w:tab/>
            </w:r>
            <w:r>
              <w:rPr>
                <w:noProof/>
                <w:webHidden/>
              </w:rPr>
              <w:fldChar w:fldCharType="begin"/>
            </w:r>
            <w:r>
              <w:rPr>
                <w:noProof/>
                <w:webHidden/>
              </w:rPr>
              <w:instrText xml:space="preserve"> PAGEREF _Toc194059804 \h </w:instrText>
            </w:r>
            <w:r>
              <w:rPr>
                <w:noProof/>
                <w:webHidden/>
              </w:rPr>
            </w:r>
            <w:r>
              <w:rPr>
                <w:noProof/>
                <w:webHidden/>
              </w:rPr>
              <w:fldChar w:fldCharType="separate"/>
            </w:r>
            <w:r>
              <w:rPr>
                <w:noProof/>
                <w:webHidden/>
              </w:rPr>
              <w:t>51</w:t>
            </w:r>
            <w:r>
              <w:rPr>
                <w:noProof/>
                <w:webHidden/>
              </w:rPr>
              <w:fldChar w:fldCharType="end"/>
            </w:r>
          </w:hyperlink>
        </w:p>
        <w:p w14:paraId="3F5C66B7" w14:textId="2919FC73" w:rsidR="00F446E0" w:rsidRDefault="00F446E0" w:rsidP="00597239">
          <w:pPr>
            <w:pStyle w:val="Spistreci3"/>
            <w:rPr>
              <w:rFonts w:eastAsiaTheme="minorEastAsia"/>
              <w:noProof/>
              <w:kern w:val="2"/>
              <w:sz w:val="24"/>
              <w:szCs w:val="24"/>
              <w:lang w:eastAsia="pl-PL"/>
              <w14:ligatures w14:val="standardContextual"/>
            </w:rPr>
          </w:pPr>
          <w:hyperlink w:anchor="_Toc194059805" w:history="1">
            <w:r w:rsidRPr="00C5500D">
              <w:rPr>
                <w:rStyle w:val="Hipercze"/>
                <w:noProof/>
              </w:rPr>
              <w:t>1.6.</w:t>
            </w:r>
            <w:r>
              <w:rPr>
                <w:rFonts w:eastAsiaTheme="minorEastAsia"/>
                <w:noProof/>
                <w:kern w:val="2"/>
                <w:sz w:val="24"/>
                <w:szCs w:val="24"/>
                <w:lang w:eastAsia="pl-PL"/>
                <w14:ligatures w14:val="standardContextual"/>
              </w:rPr>
              <w:tab/>
            </w:r>
            <w:r w:rsidRPr="00C5500D">
              <w:rPr>
                <w:rStyle w:val="Hipercze"/>
                <w:noProof/>
              </w:rPr>
              <w:t>Utrzymanie bieżącej czystości i porządku</w:t>
            </w:r>
            <w:r>
              <w:rPr>
                <w:noProof/>
                <w:webHidden/>
              </w:rPr>
              <w:tab/>
            </w:r>
            <w:r>
              <w:rPr>
                <w:noProof/>
                <w:webHidden/>
              </w:rPr>
              <w:fldChar w:fldCharType="begin"/>
            </w:r>
            <w:r>
              <w:rPr>
                <w:noProof/>
                <w:webHidden/>
              </w:rPr>
              <w:instrText xml:space="preserve"> PAGEREF _Toc194059805 \h </w:instrText>
            </w:r>
            <w:r>
              <w:rPr>
                <w:noProof/>
                <w:webHidden/>
              </w:rPr>
            </w:r>
            <w:r>
              <w:rPr>
                <w:noProof/>
                <w:webHidden/>
              </w:rPr>
              <w:fldChar w:fldCharType="separate"/>
            </w:r>
            <w:r>
              <w:rPr>
                <w:noProof/>
                <w:webHidden/>
              </w:rPr>
              <w:t>52</w:t>
            </w:r>
            <w:r>
              <w:rPr>
                <w:noProof/>
                <w:webHidden/>
              </w:rPr>
              <w:fldChar w:fldCharType="end"/>
            </w:r>
          </w:hyperlink>
        </w:p>
        <w:p w14:paraId="56DD49AE" w14:textId="5E2F8D86" w:rsidR="00F446E0" w:rsidRDefault="00F446E0" w:rsidP="00597239">
          <w:pPr>
            <w:pStyle w:val="Spistreci3"/>
            <w:rPr>
              <w:rFonts w:eastAsiaTheme="minorEastAsia"/>
              <w:noProof/>
              <w:kern w:val="2"/>
              <w:sz w:val="24"/>
              <w:szCs w:val="24"/>
              <w:lang w:eastAsia="pl-PL"/>
              <w14:ligatures w14:val="standardContextual"/>
            </w:rPr>
          </w:pPr>
          <w:hyperlink w:anchor="_Toc194059806" w:history="1">
            <w:r w:rsidRPr="00C5500D">
              <w:rPr>
                <w:rStyle w:val="Hipercze"/>
                <w:noProof/>
              </w:rPr>
              <w:t>1.7.</w:t>
            </w:r>
            <w:r>
              <w:rPr>
                <w:rFonts w:eastAsiaTheme="minorEastAsia"/>
                <w:noProof/>
                <w:kern w:val="2"/>
                <w:sz w:val="24"/>
                <w:szCs w:val="24"/>
                <w:lang w:eastAsia="pl-PL"/>
                <w14:ligatures w14:val="standardContextual"/>
              </w:rPr>
              <w:tab/>
            </w:r>
            <w:r w:rsidRPr="00C5500D">
              <w:rPr>
                <w:rStyle w:val="Hipercze"/>
                <w:noProof/>
              </w:rPr>
              <w:t>Postępowanie z bielizną szpitalną</w:t>
            </w:r>
            <w:r>
              <w:rPr>
                <w:noProof/>
                <w:webHidden/>
              </w:rPr>
              <w:tab/>
            </w:r>
            <w:r>
              <w:rPr>
                <w:noProof/>
                <w:webHidden/>
              </w:rPr>
              <w:fldChar w:fldCharType="begin"/>
            </w:r>
            <w:r>
              <w:rPr>
                <w:noProof/>
                <w:webHidden/>
              </w:rPr>
              <w:instrText xml:space="preserve"> PAGEREF _Toc194059806 \h </w:instrText>
            </w:r>
            <w:r>
              <w:rPr>
                <w:noProof/>
                <w:webHidden/>
              </w:rPr>
            </w:r>
            <w:r>
              <w:rPr>
                <w:noProof/>
                <w:webHidden/>
              </w:rPr>
              <w:fldChar w:fldCharType="separate"/>
            </w:r>
            <w:r>
              <w:rPr>
                <w:noProof/>
                <w:webHidden/>
              </w:rPr>
              <w:t>52</w:t>
            </w:r>
            <w:r>
              <w:rPr>
                <w:noProof/>
                <w:webHidden/>
              </w:rPr>
              <w:fldChar w:fldCharType="end"/>
            </w:r>
          </w:hyperlink>
        </w:p>
        <w:p w14:paraId="026071D4" w14:textId="30521451" w:rsidR="00F446E0" w:rsidRDefault="00F446E0" w:rsidP="00597239">
          <w:pPr>
            <w:pStyle w:val="Spistreci3"/>
            <w:rPr>
              <w:rFonts w:eastAsiaTheme="minorEastAsia"/>
              <w:noProof/>
              <w:kern w:val="2"/>
              <w:sz w:val="24"/>
              <w:szCs w:val="24"/>
              <w:lang w:eastAsia="pl-PL"/>
              <w14:ligatures w14:val="standardContextual"/>
            </w:rPr>
          </w:pPr>
          <w:hyperlink w:anchor="_Toc194059807" w:history="1">
            <w:r w:rsidRPr="00C5500D">
              <w:rPr>
                <w:rStyle w:val="Hipercze"/>
                <w:noProof/>
              </w:rPr>
              <w:t>1.8.</w:t>
            </w:r>
            <w:r>
              <w:rPr>
                <w:rFonts w:eastAsiaTheme="minorEastAsia"/>
                <w:noProof/>
                <w:kern w:val="2"/>
                <w:sz w:val="24"/>
                <w:szCs w:val="24"/>
                <w:lang w:eastAsia="pl-PL"/>
                <w14:ligatures w14:val="standardContextual"/>
              </w:rPr>
              <w:tab/>
            </w:r>
            <w:r w:rsidRPr="00C5500D">
              <w:rPr>
                <w:rStyle w:val="Hipercze"/>
                <w:noProof/>
              </w:rPr>
              <w:t>Prosektoria i postępowanie ze zwłokami</w:t>
            </w:r>
            <w:r>
              <w:rPr>
                <w:noProof/>
                <w:webHidden/>
              </w:rPr>
              <w:tab/>
            </w:r>
            <w:r>
              <w:rPr>
                <w:noProof/>
                <w:webHidden/>
              </w:rPr>
              <w:fldChar w:fldCharType="begin"/>
            </w:r>
            <w:r>
              <w:rPr>
                <w:noProof/>
                <w:webHidden/>
              </w:rPr>
              <w:instrText xml:space="preserve"> PAGEREF _Toc194059807 \h </w:instrText>
            </w:r>
            <w:r>
              <w:rPr>
                <w:noProof/>
                <w:webHidden/>
              </w:rPr>
            </w:r>
            <w:r>
              <w:rPr>
                <w:noProof/>
                <w:webHidden/>
              </w:rPr>
              <w:fldChar w:fldCharType="separate"/>
            </w:r>
            <w:r>
              <w:rPr>
                <w:noProof/>
                <w:webHidden/>
              </w:rPr>
              <w:t>53</w:t>
            </w:r>
            <w:r>
              <w:rPr>
                <w:noProof/>
                <w:webHidden/>
              </w:rPr>
              <w:fldChar w:fldCharType="end"/>
            </w:r>
          </w:hyperlink>
        </w:p>
        <w:p w14:paraId="48FB8EC8" w14:textId="56924D38" w:rsidR="00F446E0" w:rsidRDefault="00F446E0" w:rsidP="00597239">
          <w:pPr>
            <w:pStyle w:val="Spistreci2"/>
            <w:rPr>
              <w:rFonts w:eastAsiaTheme="minorEastAsia"/>
              <w:noProof/>
              <w:kern w:val="2"/>
              <w:sz w:val="24"/>
              <w:szCs w:val="24"/>
              <w:lang w:eastAsia="pl-PL"/>
              <w14:ligatures w14:val="standardContextual"/>
            </w:rPr>
          </w:pPr>
          <w:hyperlink w:anchor="_Toc194059808"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Przychodnie, ośrodki zdrowia, poradnie i ambulatoria</w:t>
            </w:r>
            <w:r>
              <w:rPr>
                <w:noProof/>
                <w:webHidden/>
              </w:rPr>
              <w:tab/>
            </w:r>
            <w:r>
              <w:rPr>
                <w:noProof/>
                <w:webHidden/>
              </w:rPr>
              <w:fldChar w:fldCharType="begin"/>
            </w:r>
            <w:r>
              <w:rPr>
                <w:noProof/>
                <w:webHidden/>
              </w:rPr>
              <w:instrText xml:space="preserve"> PAGEREF _Toc194059808 \h </w:instrText>
            </w:r>
            <w:r>
              <w:rPr>
                <w:noProof/>
                <w:webHidden/>
              </w:rPr>
            </w:r>
            <w:r>
              <w:rPr>
                <w:noProof/>
                <w:webHidden/>
              </w:rPr>
              <w:fldChar w:fldCharType="separate"/>
            </w:r>
            <w:r>
              <w:rPr>
                <w:noProof/>
                <w:webHidden/>
              </w:rPr>
              <w:t>54</w:t>
            </w:r>
            <w:r>
              <w:rPr>
                <w:noProof/>
                <w:webHidden/>
              </w:rPr>
              <w:fldChar w:fldCharType="end"/>
            </w:r>
          </w:hyperlink>
        </w:p>
        <w:p w14:paraId="75A17469" w14:textId="78BFFC7E" w:rsidR="00F446E0" w:rsidRDefault="00F446E0" w:rsidP="00597239">
          <w:pPr>
            <w:pStyle w:val="Spistreci2"/>
            <w:rPr>
              <w:rFonts w:eastAsiaTheme="minorEastAsia"/>
              <w:noProof/>
              <w:kern w:val="2"/>
              <w:sz w:val="24"/>
              <w:szCs w:val="24"/>
              <w:lang w:eastAsia="pl-PL"/>
              <w14:ligatures w14:val="standardContextual"/>
            </w:rPr>
          </w:pPr>
          <w:hyperlink w:anchor="_Toc194059809"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Działalność lecznicza wykonywana przez praktykę zawodową</w:t>
            </w:r>
            <w:r>
              <w:rPr>
                <w:noProof/>
                <w:webHidden/>
              </w:rPr>
              <w:tab/>
            </w:r>
            <w:r>
              <w:rPr>
                <w:noProof/>
                <w:webHidden/>
              </w:rPr>
              <w:fldChar w:fldCharType="begin"/>
            </w:r>
            <w:r>
              <w:rPr>
                <w:noProof/>
                <w:webHidden/>
              </w:rPr>
              <w:instrText xml:space="preserve"> PAGEREF _Toc194059809 \h </w:instrText>
            </w:r>
            <w:r>
              <w:rPr>
                <w:noProof/>
                <w:webHidden/>
              </w:rPr>
            </w:r>
            <w:r>
              <w:rPr>
                <w:noProof/>
                <w:webHidden/>
              </w:rPr>
              <w:fldChar w:fldCharType="separate"/>
            </w:r>
            <w:r>
              <w:rPr>
                <w:noProof/>
                <w:webHidden/>
              </w:rPr>
              <w:t>54</w:t>
            </w:r>
            <w:r>
              <w:rPr>
                <w:noProof/>
                <w:webHidden/>
              </w:rPr>
              <w:fldChar w:fldCharType="end"/>
            </w:r>
          </w:hyperlink>
        </w:p>
        <w:p w14:paraId="4DFBC440" w14:textId="0C7E2688" w:rsidR="00F446E0" w:rsidRDefault="00F446E0" w:rsidP="00597239">
          <w:pPr>
            <w:pStyle w:val="Spistreci2"/>
            <w:rPr>
              <w:rFonts w:eastAsiaTheme="minorEastAsia"/>
              <w:noProof/>
              <w:kern w:val="2"/>
              <w:sz w:val="24"/>
              <w:szCs w:val="24"/>
              <w:lang w:eastAsia="pl-PL"/>
              <w14:ligatures w14:val="standardContextual"/>
            </w:rPr>
          </w:pPr>
          <w:hyperlink w:anchor="_Toc194059810" w:history="1">
            <w:r w:rsidRPr="00C5500D">
              <w:rPr>
                <w:rStyle w:val="Hipercze"/>
                <w:noProof/>
              </w:rPr>
              <w:t>4.</w:t>
            </w:r>
            <w:r>
              <w:rPr>
                <w:rFonts w:eastAsiaTheme="minorEastAsia"/>
                <w:noProof/>
                <w:kern w:val="2"/>
                <w:sz w:val="24"/>
                <w:szCs w:val="24"/>
                <w:lang w:eastAsia="pl-PL"/>
                <w14:ligatures w14:val="standardContextual"/>
              </w:rPr>
              <w:tab/>
            </w:r>
            <w:r w:rsidRPr="00C5500D">
              <w:rPr>
                <w:rStyle w:val="Hipercze"/>
                <w:noProof/>
              </w:rPr>
              <w:t>Postępowanie z odpadami medycznymi</w:t>
            </w:r>
            <w:r>
              <w:rPr>
                <w:noProof/>
                <w:webHidden/>
              </w:rPr>
              <w:tab/>
            </w:r>
            <w:r>
              <w:rPr>
                <w:noProof/>
                <w:webHidden/>
              </w:rPr>
              <w:fldChar w:fldCharType="begin"/>
            </w:r>
            <w:r>
              <w:rPr>
                <w:noProof/>
                <w:webHidden/>
              </w:rPr>
              <w:instrText xml:space="preserve"> PAGEREF _Toc194059810 \h </w:instrText>
            </w:r>
            <w:r>
              <w:rPr>
                <w:noProof/>
                <w:webHidden/>
              </w:rPr>
            </w:r>
            <w:r>
              <w:rPr>
                <w:noProof/>
                <w:webHidden/>
              </w:rPr>
              <w:fldChar w:fldCharType="separate"/>
            </w:r>
            <w:r>
              <w:rPr>
                <w:noProof/>
                <w:webHidden/>
              </w:rPr>
              <w:t>55</w:t>
            </w:r>
            <w:r>
              <w:rPr>
                <w:noProof/>
                <w:webHidden/>
              </w:rPr>
              <w:fldChar w:fldCharType="end"/>
            </w:r>
          </w:hyperlink>
        </w:p>
        <w:p w14:paraId="4EA49880" w14:textId="4FCE0DDC"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11" w:history="1">
            <w:r w:rsidRPr="00C5500D">
              <w:rPr>
                <w:rStyle w:val="Hipercze"/>
              </w:rPr>
              <w:t>III.</w:t>
            </w:r>
            <w:r>
              <w:rPr>
                <w:rFonts w:eastAsiaTheme="minorEastAsia"/>
                <w:b w:val="0"/>
                <w:bCs w:val="0"/>
                <w:color w:val="auto"/>
                <w:kern w:val="2"/>
                <w:sz w:val="24"/>
                <w:szCs w:val="24"/>
                <w:lang w:eastAsia="pl-PL"/>
                <w14:ligatures w14:val="standardContextual"/>
              </w:rPr>
              <w:tab/>
            </w:r>
            <w:r w:rsidRPr="00C5500D">
              <w:rPr>
                <w:rStyle w:val="Hipercze"/>
              </w:rPr>
              <w:t>Higiena Żywności, Żywienia i Przedmiotów Użytku</w:t>
            </w:r>
            <w:r>
              <w:rPr>
                <w:webHidden/>
              </w:rPr>
              <w:tab/>
            </w:r>
            <w:r>
              <w:rPr>
                <w:webHidden/>
              </w:rPr>
              <w:fldChar w:fldCharType="begin"/>
            </w:r>
            <w:r>
              <w:rPr>
                <w:webHidden/>
              </w:rPr>
              <w:instrText xml:space="preserve"> PAGEREF _Toc194059811 \h </w:instrText>
            </w:r>
            <w:r>
              <w:rPr>
                <w:webHidden/>
              </w:rPr>
            </w:r>
            <w:r>
              <w:rPr>
                <w:webHidden/>
              </w:rPr>
              <w:fldChar w:fldCharType="separate"/>
            </w:r>
            <w:r>
              <w:rPr>
                <w:webHidden/>
              </w:rPr>
              <w:t>59</w:t>
            </w:r>
            <w:r>
              <w:rPr>
                <w:webHidden/>
              </w:rPr>
              <w:fldChar w:fldCharType="end"/>
            </w:r>
          </w:hyperlink>
        </w:p>
        <w:p w14:paraId="1B7B4AC2" w14:textId="186E7BAA" w:rsidR="00F446E0" w:rsidRDefault="00F446E0" w:rsidP="00597239">
          <w:pPr>
            <w:pStyle w:val="Spistreci2"/>
            <w:rPr>
              <w:rFonts w:eastAsiaTheme="minorEastAsia"/>
              <w:noProof/>
              <w:kern w:val="2"/>
              <w:sz w:val="24"/>
              <w:szCs w:val="24"/>
              <w:lang w:eastAsia="pl-PL"/>
              <w14:ligatures w14:val="standardContextual"/>
            </w:rPr>
          </w:pPr>
          <w:hyperlink w:anchor="_Toc194059812"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Stan sanitarny nadzorowanych obiektów</w:t>
            </w:r>
            <w:r>
              <w:rPr>
                <w:noProof/>
                <w:webHidden/>
              </w:rPr>
              <w:tab/>
            </w:r>
            <w:r>
              <w:rPr>
                <w:noProof/>
                <w:webHidden/>
              </w:rPr>
              <w:fldChar w:fldCharType="begin"/>
            </w:r>
            <w:r>
              <w:rPr>
                <w:noProof/>
                <w:webHidden/>
              </w:rPr>
              <w:instrText xml:space="preserve"> PAGEREF _Toc194059812 \h </w:instrText>
            </w:r>
            <w:r>
              <w:rPr>
                <w:noProof/>
                <w:webHidden/>
              </w:rPr>
            </w:r>
            <w:r>
              <w:rPr>
                <w:noProof/>
                <w:webHidden/>
              </w:rPr>
              <w:fldChar w:fldCharType="separate"/>
            </w:r>
            <w:r>
              <w:rPr>
                <w:noProof/>
                <w:webHidden/>
              </w:rPr>
              <w:t>59</w:t>
            </w:r>
            <w:r>
              <w:rPr>
                <w:noProof/>
                <w:webHidden/>
              </w:rPr>
              <w:fldChar w:fldCharType="end"/>
            </w:r>
          </w:hyperlink>
        </w:p>
        <w:p w14:paraId="63EFA94D" w14:textId="6AB54E62" w:rsidR="00F446E0" w:rsidRDefault="00F446E0" w:rsidP="00597239">
          <w:pPr>
            <w:pStyle w:val="Spistreci3"/>
            <w:rPr>
              <w:rFonts w:eastAsiaTheme="minorEastAsia"/>
              <w:noProof/>
              <w:kern w:val="2"/>
              <w:sz w:val="24"/>
              <w:szCs w:val="24"/>
              <w:lang w:eastAsia="pl-PL"/>
              <w14:ligatures w14:val="standardContextual"/>
            </w:rPr>
          </w:pPr>
          <w:hyperlink w:anchor="_Toc194059813" w:history="1">
            <w:r w:rsidRPr="00C5500D">
              <w:rPr>
                <w:rStyle w:val="Hipercze"/>
                <w:noProof/>
              </w:rPr>
              <w:t>1.1.</w:t>
            </w:r>
            <w:r>
              <w:rPr>
                <w:rFonts w:eastAsiaTheme="minorEastAsia"/>
                <w:noProof/>
                <w:kern w:val="2"/>
                <w:sz w:val="24"/>
                <w:szCs w:val="24"/>
                <w:lang w:eastAsia="pl-PL"/>
                <w14:ligatures w14:val="standardContextual"/>
              </w:rPr>
              <w:tab/>
            </w:r>
            <w:r w:rsidRPr="00C5500D">
              <w:rPr>
                <w:rStyle w:val="Hipercze"/>
                <w:noProof/>
              </w:rPr>
              <w:t>Zakłady produkcji i obrotu żywnością</w:t>
            </w:r>
            <w:r>
              <w:rPr>
                <w:noProof/>
                <w:webHidden/>
              </w:rPr>
              <w:tab/>
            </w:r>
            <w:r>
              <w:rPr>
                <w:noProof/>
                <w:webHidden/>
              </w:rPr>
              <w:fldChar w:fldCharType="begin"/>
            </w:r>
            <w:r>
              <w:rPr>
                <w:noProof/>
                <w:webHidden/>
              </w:rPr>
              <w:instrText xml:space="preserve"> PAGEREF _Toc194059813 \h </w:instrText>
            </w:r>
            <w:r>
              <w:rPr>
                <w:noProof/>
                <w:webHidden/>
              </w:rPr>
            </w:r>
            <w:r>
              <w:rPr>
                <w:noProof/>
                <w:webHidden/>
              </w:rPr>
              <w:fldChar w:fldCharType="separate"/>
            </w:r>
            <w:r>
              <w:rPr>
                <w:noProof/>
                <w:webHidden/>
              </w:rPr>
              <w:t>59</w:t>
            </w:r>
            <w:r>
              <w:rPr>
                <w:noProof/>
                <w:webHidden/>
              </w:rPr>
              <w:fldChar w:fldCharType="end"/>
            </w:r>
          </w:hyperlink>
        </w:p>
        <w:p w14:paraId="7C3ECAFB" w14:textId="4CDF7083" w:rsidR="00F446E0" w:rsidRDefault="00F446E0" w:rsidP="00597239">
          <w:pPr>
            <w:pStyle w:val="Spistreci3"/>
            <w:rPr>
              <w:rFonts w:eastAsiaTheme="minorEastAsia"/>
              <w:noProof/>
              <w:kern w:val="2"/>
              <w:sz w:val="24"/>
              <w:szCs w:val="24"/>
              <w:lang w:eastAsia="pl-PL"/>
              <w14:ligatures w14:val="standardContextual"/>
            </w:rPr>
          </w:pPr>
          <w:hyperlink w:anchor="_Toc194059814" w:history="1">
            <w:r w:rsidRPr="00C5500D">
              <w:rPr>
                <w:rStyle w:val="Hipercze"/>
                <w:noProof/>
              </w:rPr>
              <w:t>1.2.</w:t>
            </w:r>
            <w:r>
              <w:rPr>
                <w:rFonts w:eastAsiaTheme="minorEastAsia"/>
                <w:noProof/>
                <w:kern w:val="2"/>
                <w:sz w:val="24"/>
                <w:szCs w:val="24"/>
                <w:lang w:eastAsia="pl-PL"/>
                <w14:ligatures w14:val="standardContextual"/>
              </w:rPr>
              <w:tab/>
            </w:r>
            <w:r w:rsidRPr="00C5500D">
              <w:rPr>
                <w:rStyle w:val="Hipercze"/>
                <w:noProof/>
              </w:rPr>
              <w:t>Produkcja pierwotna, dostawy bezpośrednie, rolniczy handel detaliczny</w:t>
            </w:r>
            <w:r>
              <w:rPr>
                <w:noProof/>
                <w:webHidden/>
              </w:rPr>
              <w:tab/>
            </w:r>
            <w:r>
              <w:rPr>
                <w:noProof/>
                <w:webHidden/>
              </w:rPr>
              <w:fldChar w:fldCharType="begin"/>
            </w:r>
            <w:r>
              <w:rPr>
                <w:noProof/>
                <w:webHidden/>
              </w:rPr>
              <w:instrText xml:space="preserve"> PAGEREF _Toc194059814 \h </w:instrText>
            </w:r>
            <w:r>
              <w:rPr>
                <w:noProof/>
                <w:webHidden/>
              </w:rPr>
            </w:r>
            <w:r>
              <w:rPr>
                <w:noProof/>
                <w:webHidden/>
              </w:rPr>
              <w:fldChar w:fldCharType="separate"/>
            </w:r>
            <w:r>
              <w:rPr>
                <w:noProof/>
                <w:webHidden/>
              </w:rPr>
              <w:t>60</w:t>
            </w:r>
            <w:r>
              <w:rPr>
                <w:noProof/>
                <w:webHidden/>
              </w:rPr>
              <w:fldChar w:fldCharType="end"/>
            </w:r>
          </w:hyperlink>
        </w:p>
        <w:p w14:paraId="0FFE017D" w14:textId="45ED51BB" w:rsidR="00F446E0" w:rsidRDefault="00F446E0" w:rsidP="00597239">
          <w:pPr>
            <w:pStyle w:val="Spistreci3"/>
            <w:rPr>
              <w:rFonts w:eastAsiaTheme="minorEastAsia"/>
              <w:noProof/>
              <w:kern w:val="2"/>
              <w:sz w:val="24"/>
              <w:szCs w:val="24"/>
              <w:lang w:eastAsia="pl-PL"/>
              <w14:ligatures w14:val="standardContextual"/>
            </w:rPr>
          </w:pPr>
          <w:hyperlink w:anchor="_Toc194059815" w:history="1">
            <w:r w:rsidRPr="00C5500D">
              <w:rPr>
                <w:rStyle w:val="Hipercze"/>
                <w:noProof/>
              </w:rPr>
              <w:t>1.3.</w:t>
            </w:r>
            <w:r>
              <w:rPr>
                <w:rFonts w:eastAsiaTheme="minorEastAsia"/>
                <w:noProof/>
                <w:kern w:val="2"/>
                <w:sz w:val="24"/>
                <w:szCs w:val="24"/>
                <w:lang w:eastAsia="pl-PL"/>
                <w14:ligatures w14:val="standardContextual"/>
              </w:rPr>
              <w:tab/>
            </w:r>
            <w:r w:rsidRPr="00C5500D">
              <w:rPr>
                <w:rStyle w:val="Hipercze"/>
                <w:noProof/>
              </w:rPr>
              <w:t>Zakłady produkcji i wprowadzania do obrotu materiałów i wyrobów przeznaczonych do kontaktu z żywnością</w:t>
            </w:r>
            <w:r>
              <w:rPr>
                <w:noProof/>
                <w:webHidden/>
              </w:rPr>
              <w:tab/>
            </w:r>
            <w:r>
              <w:rPr>
                <w:noProof/>
                <w:webHidden/>
              </w:rPr>
              <w:fldChar w:fldCharType="begin"/>
            </w:r>
            <w:r>
              <w:rPr>
                <w:noProof/>
                <w:webHidden/>
              </w:rPr>
              <w:instrText xml:space="preserve"> PAGEREF _Toc194059815 \h </w:instrText>
            </w:r>
            <w:r>
              <w:rPr>
                <w:noProof/>
                <w:webHidden/>
              </w:rPr>
            </w:r>
            <w:r>
              <w:rPr>
                <w:noProof/>
                <w:webHidden/>
              </w:rPr>
              <w:fldChar w:fldCharType="separate"/>
            </w:r>
            <w:r>
              <w:rPr>
                <w:noProof/>
                <w:webHidden/>
              </w:rPr>
              <w:t>61</w:t>
            </w:r>
            <w:r>
              <w:rPr>
                <w:noProof/>
                <w:webHidden/>
              </w:rPr>
              <w:fldChar w:fldCharType="end"/>
            </w:r>
          </w:hyperlink>
        </w:p>
        <w:p w14:paraId="1E8BC718" w14:textId="18FA68B7" w:rsidR="00F446E0" w:rsidRDefault="00F446E0" w:rsidP="00597239">
          <w:pPr>
            <w:pStyle w:val="Spistreci2"/>
            <w:rPr>
              <w:rFonts w:eastAsiaTheme="minorEastAsia"/>
              <w:noProof/>
              <w:kern w:val="2"/>
              <w:sz w:val="24"/>
              <w:szCs w:val="24"/>
              <w:lang w:eastAsia="pl-PL"/>
              <w14:ligatures w14:val="standardContextual"/>
            </w:rPr>
          </w:pPr>
          <w:hyperlink w:anchor="_Toc194059816"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Jakość zdrowotna środków spożywczych oraz materiałów i wyrobów przeznaczonych do kontaktu z żywnością.</w:t>
            </w:r>
            <w:r>
              <w:rPr>
                <w:noProof/>
                <w:webHidden/>
              </w:rPr>
              <w:tab/>
            </w:r>
            <w:r>
              <w:rPr>
                <w:noProof/>
                <w:webHidden/>
              </w:rPr>
              <w:fldChar w:fldCharType="begin"/>
            </w:r>
            <w:r>
              <w:rPr>
                <w:noProof/>
                <w:webHidden/>
              </w:rPr>
              <w:instrText xml:space="preserve"> PAGEREF _Toc194059816 \h </w:instrText>
            </w:r>
            <w:r>
              <w:rPr>
                <w:noProof/>
                <w:webHidden/>
              </w:rPr>
            </w:r>
            <w:r>
              <w:rPr>
                <w:noProof/>
                <w:webHidden/>
              </w:rPr>
              <w:fldChar w:fldCharType="separate"/>
            </w:r>
            <w:r>
              <w:rPr>
                <w:noProof/>
                <w:webHidden/>
              </w:rPr>
              <w:t>62</w:t>
            </w:r>
            <w:r>
              <w:rPr>
                <w:noProof/>
                <w:webHidden/>
              </w:rPr>
              <w:fldChar w:fldCharType="end"/>
            </w:r>
          </w:hyperlink>
        </w:p>
        <w:p w14:paraId="73619D69" w14:textId="03407015" w:rsidR="00F446E0" w:rsidRDefault="00F446E0" w:rsidP="00597239">
          <w:pPr>
            <w:pStyle w:val="Spistreci2"/>
            <w:rPr>
              <w:rFonts w:eastAsiaTheme="minorEastAsia"/>
              <w:noProof/>
              <w:kern w:val="2"/>
              <w:sz w:val="24"/>
              <w:szCs w:val="24"/>
              <w:lang w:eastAsia="pl-PL"/>
              <w14:ligatures w14:val="standardContextual"/>
            </w:rPr>
          </w:pPr>
          <w:hyperlink w:anchor="_Toc194059817"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Suplementy diety, żywność dla określonych grup odbiorców i żywność wzbogacana</w:t>
            </w:r>
            <w:r>
              <w:rPr>
                <w:noProof/>
                <w:webHidden/>
              </w:rPr>
              <w:tab/>
            </w:r>
            <w:r>
              <w:rPr>
                <w:noProof/>
                <w:webHidden/>
              </w:rPr>
              <w:fldChar w:fldCharType="begin"/>
            </w:r>
            <w:r>
              <w:rPr>
                <w:noProof/>
                <w:webHidden/>
              </w:rPr>
              <w:instrText xml:space="preserve"> PAGEREF _Toc194059817 \h </w:instrText>
            </w:r>
            <w:r>
              <w:rPr>
                <w:noProof/>
                <w:webHidden/>
              </w:rPr>
            </w:r>
            <w:r>
              <w:rPr>
                <w:noProof/>
                <w:webHidden/>
              </w:rPr>
              <w:fldChar w:fldCharType="separate"/>
            </w:r>
            <w:r>
              <w:rPr>
                <w:noProof/>
                <w:webHidden/>
              </w:rPr>
              <w:t>67</w:t>
            </w:r>
            <w:r>
              <w:rPr>
                <w:noProof/>
                <w:webHidden/>
              </w:rPr>
              <w:fldChar w:fldCharType="end"/>
            </w:r>
          </w:hyperlink>
        </w:p>
        <w:p w14:paraId="02E0C01B" w14:textId="6D4C3228" w:rsidR="00F446E0" w:rsidRDefault="00F446E0" w:rsidP="00597239">
          <w:pPr>
            <w:pStyle w:val="Spistreci2"/>
            <w:rPr>
              <w:rFonts w:eastAsiaTheme="minorEastAsia"/>
              <w:noProof/>
              <w:kern w:val="2"/>
              <w:sz w:val="24"/>
              <w:szCs w:val="24"/>
              <w:lang w:eastAsia="pl-PL"/>
              <w14:ligatures w14:val="standardContextual"/>
            </w:rPr>
          </w:pPr>
          <w:hyperlink w:anchor="_Toc194059818" w:history="1">
            <w:r w:rsidRPr="00C5500D">
              <w:rPr>
                <w:rStyle w:val="Hipercze"/>
                <w:noProof/>
              </w:rPr>
              <w:t>4.</w:t>
            </w:r>
            <w:r>
              <w:rPr>
                <w:rFonts w:eastAsiaTheme="minorEastAsia"/>
                <w:noProof/>
                <w:kern w:val="2"/>
                <w:sz w:val="24"/>
                <w:szCs w:val="24"/>
                <w:lang w:eastAsia="pl-PL"/>
                <w14:ligatures w14:val="standardContextual"/>
              </w:rPr>
              <w:tab/>
            </w:r>
            <w:r w:rsidRPr="00C5500D">
              <w:rPr>
                <w:rStyle w:val="Hipercze"/>
                <w:noProof/>
              </w:rPr>
              <w:t>Wzmożony nadzór nad zakładami żywienia zbiorowego w sezonie letnim</w:t>
            </w:r>
            <w:r>
              <w:rPr>
                <w:noProof/>
                <w:webHidden/>
              </w:rPr>
              <w:tab/>
            </w:r>
            <w:r>
              <w:rPr>
                <w:noProof/>
                <w:webHidden/>
              </w:rPr>
              <w:fldChar w:fldCharType="begin"/>
            </w:r>
            <w:r>
              <w:rPr>
                <w:noProof/>
                <w:webHidden/>
              </w:rPr>
              <w:instrText xml:space="preserve"> PAGEREF _Toc194059818 \h </w:instrText>
            </w:r>
            <w:r>
              <w:rPr>
                <w:noProof/>
                <w:webHidden/>
              </w:rPr>
            </w:r>
            <w:r>
              <w:rPr>
                <w:noProof/>
                <w:webHidden/>
              </w:rPr>
              <w:fldChar w:fldCharType="separate"/>
            </w:r>
            <w:r>
              <w:rPr>
                <w:noProof/>
                <w:webHidden/>
              </w:rPr>
              <w:t>68</w:t>
            </w:r>
            <w:r>
              <w:rPr>
                <w:noProof/>
                <w:webHidden/>
              </w:rPr>
              <w:fldChar w:fldCharType="end"/>
            </w:r>
          </w:hyperlink>
        </w:p>
        <w:p w14:paraId="03368223" w14:textId="6CEF13C9" w:rsidR="00F446E0" w:rsidRDefault="00F446E0" w:rsidP="00597239">
          <w:pPr>
            <w:pStyle w:val="Spistreci2"/>
            <w:rPr>
              <w:rFonts w:eastAsiaTheme="minorEastAsia"/>
              <w:noProof/>
              <w:kern w:val="2"/>
              <w:sz w:val="24"/>
              <w:szCs w:val="24"/>
              <w:lang w:eastAsia="pl-PL"/>
              <w14:ligatures w14:val="standardContextual"/>
            </w:rPr>
          </w:pPr>
          <w:hyperlink w:anchor="_Toc194059819" w:history="1">
            <w:r w:rsidRPr="00C5500D">
              <w:rPr>
                <w:rStyle w:val="Hipercze"/>
                <w:noProof/>
              </w:rPr>
              <w:t>5.</w:t>
            </w:r>
            <w:r>
              <w:rPr>
                <w:rFonts w:eastAsiaTheme="minorEastAsia"/>
                <w:noProof/>
                <w:kern w:val="2"/>
                <w:sz w:val="24"/>
                <w:szCs w:val="24"/>
                <w:lang w:eastAsia="pl-PL"/>
                <w14:ligatures w14:val="standardContextual"/>
              </w:rPr>
              <w:tab/>
            </w:r>
            <w:r w:rsidRPr="00C5500D">
              <w:rPr>
                <w:rStyle w:val="Hipercze"/>
                <w:noProof/>
              </w:rPr>
              <w:t>System Wczesnego Ostrzegania o Niebezpiecznej Żywności i Paszach – RASFF</w:t>
            </w:r>
            <w:r>
              <w:rPr>
                <w:noProof/>
                <w:webHidden/>
              </w:rPr>
              <w:tab/>
            </w:r>
            <w:r>
              <w:rPr>
                <w:noProof/>
                <w:webHidden/>
              </w:rPr>
              <w:fldChar w:fldCharType="begin"/>
            </w:r>
            <w:r>
              <w:rPr>
                <w:noProof/>
                <w:webHidden/>
              </w:rPr>
              <w:instrText xml:space="preserve"> PAGEREF _Toc194059819 \h </w:instrText>
            </w:r>
            <w:r>
              <w:rPr>
                <w:noProof/>
                <w:webHidden/>
              </w:rPr>
            </w:r>
            <w:r>
              <w:rPr>
                <w:noProof/>
                <w:webHidden/>
              </w:rPr>
              <w:fldChar w:fldCharType="separate"/>
            </w:r>
            <w:r>
              <w:rPr>
                <w:noProof/>
                <w:webHidden/>
              </w:rPr>
              <w:t>70</w:t>
            </w:r>
            <w:r>
              <w:rPr>
                <w:noProof/>
                <w:webHidden/>
              </w:rPr>
              <w:fldChar w:fldCharType="end"/>
            </w:r>
          </w:hyperlink>
        </w:p>
        <w:p w14:paraId="5D2B2047" w14:textId="1B56ACA8"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20" w:history="1">
            <w:r w:rsidRPr="00C5500D">
              <w:rPr>
                <w:rStyle w:val="Hipercze"/>
                <w:lang w:eastAsia="pl-PL"/>
              </w:rPr>
              <w:t>IV.</w:t>
            </w:r>
            <w:r>
              <w:rPr>
                <w:rFonts w:eastAsiaTheme="minorEastAsia"/>
                <w:b w:val="0"/>
                <w:bCs w:val="0"/>
                <w:color w:val="auto"/>
                <w:kern w:val="2"/>
                <w:sz w:val="24"/>
                <w:szCs w:val="24"/>
                <w:lang w:eastAsia="pl-PL"/>
                <w14:ligatures w14:val="standardContextual"/>
              </w:rPr>
              <w:tab/>
            </w:r>
            <w:r w:rsidRPr="00C5500D">
              <w:rPr>
                <w:rStyle w:val="Hipercze"/>
                <w:lang w:eastAsia="pl-PL"/>
              </w:rPr>
              <w:t>Jakość wody przeznaczonej do spożycia oraz wody użytkowej</w:t>
            </w:r>
            <w:r>
              <w:rPr>
                <w:webHidden/>
              </w:rPr>
              <w:tab/>
            </w:r>
            <w:r>
              <w:rPr>
                <w:webHidden/>
              </w:rPr>
              <w:fldChar w:fldCharType="begin"/>
            </w:r>
            <w:r>
              <w:rPr>
                <w:webHidden/>
              </w:rPr>
              <w:instrText xml:space="preserve"> PAGEREF _Toc194059820 \h </w:instrText>
            </w:r>
            <w:r>
              <w:rPr>
                <w:webHidden/>
              </w:rPr>
            </w:r>
            <w:r>
              <w:rPr>
                <w:webHidden/>
              </w:rPr>
              <w:fldChar w:fldCharType="separate"/>
            </w:r>
            <w:r>
              <w:rPr>
                <w:webHidden/>
              </w:rPr>
              <w:t>73</w:t>
            </w:r>
            <w:r>
              <w:rPr>
                <w:webHidden/>
              </w:rPr>
              <w:fldChar w:fldCharType="end"/>
            </w:r>
          </w:hyperlink>
        </w:p>
        <w:p w14:paraId="5A823108" w14:textId="6A2F7CB2" w:rsidR="00F446E0" w:rsidRDefault="00F446E0" w:rsidP="00597239">
          <w:pPr>
            <w:pStyle w:val="Spistreci2"/>
            <w:rPr>
              <w:rFonts w:eastAsiaTheme="minorEastAsia"/>
              <w:noProof/>
              <w:kern w:val="2"/>
              <w:sz w:val="24"/>
              <w:szCs w:val="24"/>
              <w:lang w:eastAsia="pl-PL"/>
              <w14:ligatures w14:val="standardContextual"/>
            </w:rPr>
          </w:pPr>
          <w:hyperlink w:anchor="_Toc194059821"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Infrastruktura zaopatrzenia ludności w wodę</w:t>
            </w:r>
            <w:r>
              <w:rPr>
                <w:noProof/>
                <w:webHidden/>
              </w:rPr>
              <w:tab/>
            </w:r>
            <w:r>
              <w:rPr>
                <w:noProof/>
                <w:webHidden/>
              </w:rPr>
              <w:fldChar w:fldCharType="begin"/>
            </w:r>
            <w:r>
              <w:rPr>
                <w:noProof/>
                <w:webHidden/>
              </w:rPr>
              <w:instrText xml:space="preserve"> PAGEREF _Toc194059821 \h </w:instrText>
            </w:r>
            <w:r>
              <w:rPr>
                <w:noProof/>
                <w:webHidden/>
              </w:rPr>
            </w:r>
            <w:r>
              <w:rPr>
                <w:noProof/>
                <w:webHidden/>
              </w:rPr>
              <w:fldChar w:fldCharType="separate"/>
            </w:r>
            <w:r>
              <w:rPr>
                <w:noProof/>
                <w:webHidden/>
              </w:rPr>
              <w:t>73</w:t>
            </w:r>
            <w:r>
              <w:rPr>
                <w:noProof/>
                <w:webHidden/>
              </w:rPr>
              <w:fldChar w:fldCharType="end"/>
            </w:r>
          </w:hyperlink>
        </w:p>
        <w:p w14:paraId="4F9FF205" w14:textId="0A9C56E2" w:rsidR="00F446E0" w:rsidRDefault="00F446E0" w:rsidP="00597239">
          <w:pPr>
            <w:pStyle w:val="Spistreci2"/>
            <w:rPr>
              <w:rFonts w:eastAsiaTheme="minorEastAsia"/>
              <w:noProof/>
              <w:kern w:val="2"/>
              <w:sz w:val="24"/>
              <w:szCs w:val="24"/>
              <w:lang w:eastAsia="pl-PL"/>
              <w14:ligatures w14:val="standardContextual"/>
            </w:rPr>
          </w:pPr>
          <w:hyperlink w:anchor="_Toc194059822"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Nadzór nad jakością wody do spożycia</w:t>
            </w:r>
            <w:r>
              <w:rPr>
                <w:noProof/>
                <w:webHidden/>
              </w:rPr>
              <w:tab/>
            </w:r>
            <w:r>
              <w:rPr>
                <w:noProof/>
                <w:webHidden/>
              </w:rPr>
              <w:fldChar w:fldCharType="begin"/>
            </w:r>
            <w:r>
              <w:rPr>
                <w:noProof/>
                <w:webHidden/>
              </w:rPr>
              <w:instrText xml:space="preserve"> PAGEREF _Toc194059822 \h </w:instrText>
            </w:r>
            <w:r>
              <w:rPr>
                <w:noProof/>
                <w:webHidden/>
              </w:rPr>
            </w:r>
            <w:r>
              <w:rPr>
                <w:noProof/>
                <w:webHidden/>
              </w:rPr>
              <w:fldChar w:fldCharType="separate"/>
            </w:r>
            <w:r>
              <w:rPr>
                <w:noProof/>
                <w:webHidden/>
              </w:rPr>
              <w:t>74</w:t>
            </w:r>
            <w:r>
              <w:rPr>
                <w:noProof/>
                <w:webHidden/>
              </w:rPr>
              <w:fldChar w:fldCharType="end"/>
            </w:r>
          </w:hyperlink>
        </w:p>
        <w:p w14:paraId="46149C28" w14:textId="1D932B8B" w:rsidR="00F446E0" w:rsidRDefault="00F446E0" w:rsidP="00597239">
          <w:pPr>
            <w:pStyle w:val="Spistreci3"/>
            <w:rPr>
              <w:rFonts w:eastAsiaTheme="minorEastAsia"/>
              <w:noProof/>
              <w:kern w:val="2"/>
              <w:sz w:val="24"/>
              <w:szCs w:val="24"/>
              <w:lang w:eastAsia="pl-PL"/>
              <w14:ligatures w14:val="standardContextual"/>
            </w:rPr>
          </w:pPr>
          <w:hyperlink w:anchor="_Toc194059823" w:history="1">
            <w:r w:rsidRPr="00C5500D">
              <w:rPr>
                <w:rStyle w:val="Hipercze"/>
                <w:noProof/>
              </w:rPr>
              <w:t>2.1.</w:t>
            </w:r>
            <w:r>
              <w:rPr>
                <w:rFonts w:eastAsiaTheme="minorEastAsia"/>
                <w:noProof/>
                <w:kern w:val="2"/>
                <w:sz w:val="24"/>
                <w:szCs w:val="24"/>
                <w:lang w:eastAsia="pl-PL"/>
                <w14:ligatures w14:val="standardContextual"/>
              </w:rPr>
              <w:tab/>
            </w:r>
            <w:r w:rsidRPr="00C5500D">
              <w:rPr>
                <w:rStyle w:val="Hipercze"/>
                <w:noProof/>
              </w:rPr>
              <w:t>Tymczasowe braki przydatności wody do spożycia, w związku z przekroczeniami parametrów mikrobiologicznych i fizykochemicznych</w:t>
            </w:r>
            <w:r>
              <w:rPr>
                <w:noProof/>
                <w:webHidden/>
              </w:rPr>
              <w:tab/>
            </w:r>
            <w:r>
              <w:rPr>
                <w:noProof/>
                <w:webHidden/>
              </w:rPr>
              <w:fldChar w:fldCharType="begin"/>
            </w:r>
            <w:r>
              <w:rPr>
                <w:noProof/>
                <w:webHidden/>
              </w:rPr>
              <w:instrText xml:space="preserve"> PAGEREF _Toc194059823 \h </w:instrText>
            </w:r>
            <w:r>
              <w:rPr>
                <w:noProof/>
                <w:webHidden/>
              </w:rPr>
            </w:r>
            <w:r>
              <w:rPr>
                <w:noProof/>
                <w:webHidden/>
              </w:rPr>
              <w:fldChar w:fldCharType="separate"/>
            </w:r>
            <w:r>
              <w:rPr>
                <w:noProof/>
                <w:webHidden/>
              </w:rPr>
              <w:t>74</w:t>
            </w:r>
            <w:r>
              <w:rPr>
                <w:noProof/>
                <w:webHidden/>
              </w:rPr>
              <w:fldChar w:fldCharType="end"/>
            </w:r>
          </w:hyperlink>
        </w:p>
        <w:p w14:paraId="1FB78B6A" w14:textId="27034BAD" w:rsidR="00F446E0" w:rsidRDefault="00F446E0" w:rsidP="00597239">
          <w:pPr>
            <w:pStyle w:val="Spistreci3"/>
            <w:rPr>
              <w:rFonts w:eastAsiaTheme="minorEastAsia"/>
              <w:noProof/>
              <w:kern w:val="2"/>
              <w:sz w:val="24"/>
              <w:szCs w:val="24"/>
              <w:lang w:eastAsia="pl-PL"/>
              <w14:ligatures w14:val="standardContextual"/>
            </w:rPr>
          </w:pPr>
          <w:hyperlink w:anchor="_Toc194059824" w:history="1">
            <w:r w:rsidRPr="00C5500D">
              <w:rPr>
                <w:rStyle w:val="Hipercze"/>
                <w:noProof/>
              </w:rPr>
              <w:t>2.2.</w:t>
            </w:r>
            <w:r>
              <w:rPr>
                <w:rFonts w:eastAsiaTheme="minorEastAsia"/>
                <w:noProof/>
                <w:kern w:val="2"/>
                <w:sz w:val="24"/>
                <w:szCs w:val="24"/>
                <w:lang w:eastAsia="pl-PL"/>
                <w14:ligatures w14:val="standardContextual"/>
              </w:rPr>
              <w:tab/>
            </w:r>
            <w:r w:rsidRPr="00C5500D">
              <w:rPr>
                <w:rStyle w:val="Hipercze"/>
                <w:noProof/>
              </w:rPr>
              <w:t>Przekroczenia parametrów mikrobiologicznych i fizykochemicznych stwierdzające okresową warunkową przydatność wody</w:t>
            </w:r>
            <w:r>
              <w:rPr>
                <w:noProof/>
                <w:webHidden/>
              </w:rPr>
              <w:tab/>
            </w:r>
            <w:r>
              <w:rPr>
                <w:noProof/>
                <w:webHidden/>
              </w:rPr>
              <w:fldChar w:fldCharType="begin"/>
            </w:r>
            <w:r>
              <w:rPr>
                <w:noProof/>
                <w:webHidden/>
              </w:rPr>
              <w:instrText xml:space="preserve"> PAGEREF _Toc194059824 \h </w:instrText>
            </w:r>
            <w:r>
              <w:rPr>
                <w:noProof/>
                <w:webHidden/>
              </w:rPr>
            </w:r>
            <w:r>
              <w:rPr>
                <w:noProof/>
                <w:webHidden/>
              </w:rPr>
              <w:fldChar w:fldCharType="separate"/>
            </w:r>
            <w:r>
              <w:rPr>
                <w:noProof/>
                <w:webHidden/>
              </w:rPr>
              <w:t>76</w:t>
            </w:r>
            <w:r>
              <w:rPr>
                <w:noProof/>
                <w:webHidden/>
              </w:rPr>
              <w:fldChar w:fldCharType="end"/>
            </w:r>
          </w:hyperlink>
        </w:p>
        <w:p w14:paraId="5F6C3606" w14:textId="1C6B687E" w:rsidR="00F446E0" w:rsidRDefault="00F446E0" w:rsidP="00597239">
          <w:pPr>
            <w:pStyle w:val="Spistreci3"/>
            <w:rPr>
              <w:rFonts w:eastAsiaTheme="minorEastAsia"/>
              <w:noProof/>
              <w:kern w:val="2"/>
              <w:sz w:val="24"/>
              <w:szCs w:val="24"/>
              <w:lang w:eastAsia="pl-PL"/>
              <w14:ligatures w14:val="standardContextual"/>
            </w:rPr>
          </w:pPr>
          <w:hyperlink w:anchor="_Toc194059825" w:history="1">
            <w:r w:rsidRPr="00C5500D">
              <w:rPr>
                <w:rStyle w:val="Hipercze"/>
                <w:noProof/>
              </w:rPr>
              <w:t>2.3.</w:t>
            </w:r>
            <w:r>
              <w:rPr>
                <w:rFonts w:eastAsiaTheme="minorEastAsia"/>
                <w:noProof/>
                <w:kern w:val="2"/>
                <w:sz w:val="24"/>
                <w:szCs w:val="24"/>
                <w:lang w:eastAsia="pl-PL"/>
                <w14:ligatures w14:val="standardContextual"/>
              </w:rPr>
              <w:tab/>
            </w:r>
            <w:r w:rsidRPr="00C5500D">
              <w:rPr>
                <w:rStyle w:val="Hipercze"/>
                <w:noProof/>
              </w:rPr>
              <w:t>Odstępstwa od wymaganej jakości wody do spożycia</w:t>
            </w:r>
            <w:r>
              <w:rPr>
                <w:noProof/>
                <w:webHidden/>
              </w:rPr>
              <w:tab/>
            </w:r>
            <w:r>
              <w:rPr>
                <w:noProof/>
                <w:webHidden/>
              </w:rPr>
              <w:fldChar w:fldCharType="begin"/>
            </w:r>
            <w:r>
              <w:rPr>
                <w:noProof/>
                <w:webHidden/>
              </w:rPr>
              <w:instrText xml:space="preserve"> PAGEREF _Toc194059825 \h </w:instrText>
            </w:r>
            <w:r>
              <w:rPr>
                <w:noProof/>
                <w:webHidden/>
              </w:rPr>
            </w:r>
            <w:r>
              <w:rPr>
                <w:noProof/>
                <w:webHidden/>
              </w:rPr>
              <w:fldChar w:fldCharType="separate"/>
            </w:r>
            <w:r>
              <w:rPr>
                <w:noProof/>
                <w:webHidden/>
              </w:rPr>
              <w:t>77</w:t>
            </w:r>
            <w:r>
              <w:rPr>
                <w:noProof/>
                <w:webHidden/>
              </w:rPr>
              <w:fldChar w:fldCharType="end"/>
            </w:r>
          </w:hyperlink>
        </w:p>
        <w:p w14:paraId="5561802F" w14:textId="21318545" w:rsidR="00F446E0" w:rsidRDefault="00F446E0" w:rsidP="00597239">
          <w:pPr>
            <w:pStyle w:val="Spistreci3"/>
            <w:rPr>
              <w:rFonts w:eastAsiaTheme="minorEastAsia"/>
              <w:noProof/>
              <w:kern w:val="2"/>
              <w:sz w:val="24"/>
              <w:szCs w:val="24"/>
              <w:lang w:eastAsia="pl-PL"/>
              <w14:ligatures w14:val="standardContextual"/>
            </w:rPr>
          </w:pPr>
          <w:hyperlink w:anchor="_Toc194059826" w:history="1">
            <w:r w:rsidRPr="00C5500D">
              <w:rPr>
                <w:rStyle w:val="Hipercze"/>
                <w:noProof/>
              </w:rPr>
              <w:t>2.4.</w:t>
            </w:r>
            <w:r>
              <w:rPr>
                <w:rFonts w:eastAsiaTheme="minorEastAsia"/>
                <w:noProof/>
                <w:kern w:val="2"/>
                <w:sz w:val="24"/>
                <w:szCs w:val="24"/>
                <w:lang w:eastAsia="pl-PL"/>
                <w14:ligatures w14:val="standardContextual"/>
              </w:rPr>
              <w:tab/>
            </w:r>
            <w:r w:rsidRPr="00C5500D">
              <w:rPr>
                <w:rStyle w:val="Hipercze"/>
                <w:noProof/>
              </w:rPr>
              <w:t>Substancje promieniotwórcze w wodzie przeznaczonej do spożycia</w:t>
            </w:r>
            <w:r>
              <w:rPr>
                <w:noProof/>
                <w:webHidden/>
              </w:rPr>
              <w:tab/>
            </w:r>
            <w:r>
              <w:rPr>
                <w:noProof/>
                <w:webHidden/>
              </w:rPr>
              <w:fldChar w:fldCharType="begin"/>
            </w:r>
            <w:r>
              <w:rPr>
                <w:noProof/>
                <w:webHidden/>
              </w:rPr>
              <w:instrText xml:space="preserve"> PAGEREF _Toc194059826 \h </w:instrText>
            </w:r>
            <w:r>
              <w:rPr>
                <w:noProof/>
                <w:webHidden/>
              </w:rPr>
            </w:r>
            <w:r>
              <w:rPr>
                <w:noProof/>
                <w:webHidden/>
              </w:rPr>
              <w:fldChar w:fldCharType="separate"/>
            </w:r>
            <w:r>
              <w:rPr>
                <w:noProof/>
                <w:webHidden/>
              </w:rPr>
              <w:t>78</w:t>
            </w:r>
            <w:r>
              <w:rPr>
                <w:noProof/>
                <w:webHidden/>
              </w:rPr>
              <w:fldChar w:fldCharType="end"/>
            </w:r>
          </w:hyperlink>
        </w:p>
        <w:p w14:paraId="187F7C85" w14:textId="580C74AD" w:rsidR="00F446E0" w:rsidRDefault="00F446E0" w:rsidP="00597239">
          <w:pPr>
            <w:pStyle w:val="Spistreci2"/>
            <w:rPr>
              <w:rFonts w:eastAsiaTheme="minorEastAsia"/>
              <w:noProof/>
              <w:kern w:val="2"/>
              <w:sz w:val="24"/>
              <w:szCs w:val="24"/>
              <w:lang w:eastAsia="pl-PL"/>
              <w14:ligatures w14:val="standardContextual"/>
            </w:rPr>
          </w:pPr>
          <w:hyperlink w:anchor="_Toc194059827"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Ocena jakości wody przeznaczonej do spożycia</w:t>
            </w:r>
            <w:r>
              <w:rPr>
                <w:noProof/>
                <w:webHidden/>
              </w:rPr>
              <w:tab/>
            </w:r>
            <w:r>
              <w:rPr>
                <w:noProof/>
                <w:webHidden/>
              </w:rPr>
              <w:fldChar w:fldCharType="begin"/>
            </w:r>
            <w:r>
              <w:rPr>
                <w:noProof/>
                <w:webHidden/>
              </w:rPr>
              <w:instrText xml:space="preserve"> PAGEREF _Toc194059827 \h </w:instrText>
            </w:r>
            <w:r>
              <w:rPr>
                <w:noProof/>
                <w:webHidden/>
              </w:rPr>
            </w:r>
            <w:r>
              <w:rPr>
                <w:noProof/>
                <w:webHidden/>
              </w:rPr>
              <w:fldChar w:fldCharType="separate"/>
            </w:r>
            <w:r>
              <w:rPr>
                <w:noProof/>
                <w:webHidden/>
              </w:rPr>
              <w:t>78</w:t>
            </w:r>
            <w:r>
              <w:rPr>
                <w:noProof/>
                <w:webHidden/>
              </w:rPr>
              <w:fldChar w:fldCharType="end"/>
            </w:r>
          </w:hyperlink>
        </w:p>
        <w:p w14:paraId="6DD8ADF1" w14:textId="19AC1F60" w:rsidR="00F446E0" w:rsidRDefault="00F446E0" w:rsidP="00597239">
          <w:pPr>
            <w:pStyle w:val="Spistreci2"/>
            <w:rPr>
              <w:rFonts w:eastAsiaTheme="minorEastAsia"/>
              <w:noProof/>
              <w:kern w:val="2"/>
              <w:sz w:val="24"/>
              <w:szCs w:val="24"/>
              <w:lang w:eastAsia="pl-PL"/>
              <w14:ligatures w14:val="standardContextual"/>
            </w:rPr>
          </w:pPr>
          <w:hyperlink w:anchor="_Toc194059828" w:history="1">
            <w:r w:rsidRPr="00C5500D">
              <w:rPr>
                <w:rStyle w:val="Hipercze"/>
                <w:rFonts w:eastAsia="MyriadPro-Regular"/>
                <w:noProof/>
                <w:lang w:eastAsia="pl-PL"/>
              </w:rPr>
              <w:t>4.</w:t>
            </w:r>
            <w:r>
              <w:rPr>
                <w:rFonts w:eastAsiaTheme="minorEastAsia"/>
                <w:noProof/>
                <w:kern w:val="2"/>
                <w:sz w:val="24"/>
                <w:szCs w:val="24"/>
                <w:lang w:eastAsia="pl-PL"/>
                <w14:ligatures w14:val="standardContextual"/>
              </w:rPr>
              <w:tab/>
            </w:r>
            <w:r w:rsidRPr="00C5500D">
              <w:rPr>
                <w:rStyle w:val="Hipercze"/>
                <w:rFonts w:eastAsia="MyriadPro-Regular"/>
                <w:noProof/>
                <w:lang w:eastAsia="pl-PL"/>
              </w:rPr>
              <w:t>Ciepła woda użytkowa</w:t>
            </w:r>
            <w:r>
              <w:rPr>
                <w:noProof/>
                <w:webHidden/>
              </w:rPr>
              <w:tab/>
            </w:r>
            <w:r>
              <w:rPr>
                <w:noProof/>
                <w:webHidden/>
              </w:rPr>
              <w:fldChar w:fldCharType="begin"/>
            </w:r>
            <w:r>
              <w:rPr>
                <w:noProof/>
                <w:webHidden/>
              </w:rPr>
              <w:instrText xml:space="preserve"> PAGEREF _Toc194059828 \h </w:instrText>
            </w:r>
            <w:r>
              <w:rPr>
                <w:noProof/>
                <w:webHidden/>
              </w:rPr>
            </w:r>
            <w:r>
              <w:rPr>
                <w:noProof/>
                <w:webHidden/>
              </w:rPr>
              <w:fldChar w:fldCharType="separate"/>
            </w:r>
            <w:r>
              <w:rPr>
                <w:noProof/>
                <w:webHidden/>
              </w:rPr>
              <w:t>79</w:t>
            </w:r>
            <w:r>
              <w:rPr>
                <w:noProof/>
                <w:webHidden/>
              </w:rPr>
              <w:fldChar w:fldCharType="end"/>
            </w:r>
          </w:hyperlink>
        </w:p>
        <w:p w14:paraId="2C95D629" w14:textId="48EB5894"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29" w:history="1">
            <w:r w:rsidRPr="00C5500D">
              <w:rPr>
                <w:rStyle w:val="Hipercze"/>
              </w:rPr>
              <w:t>V.</w:t>
            </w:r>
            <w:r>
              <w:rPr>
                <w:rFonts w:eastAsiaTheme="minorEastAsia"/>
                <w:b w:val="0"/>
                <w:bCs w:val="0"/>
                <w:color w:val="auto"/>
                <w:kern w:val="2"/>
                <w:sz w:val="24"/>
                <w:szCs w:val="24"/>
                <w:lang w:eastAsia="pl-PL"/>
                <w14:ligatures w14:val="standardContextual"/>
              </w:rPr>
              <w:tab/>
            </w:r>
            <w:r w:rsidRPr="00C5500D">
              <w:rPr>
                <w:rStyle w:val="Hipercze"/>
              </w:rPr>
              <w:t>Stan sanitarny pływalni i obiektów wyposażonych w niecki basenowe</w:t>
            </w:r>
            <w:r>
              <w:rPr>
                <w:webHidden/>
              </w:rPr>
              <w:tab/>
            </w:r>
            <w:r>
              <w:rPr>
                <w:webHidden/>
              </w:rPr>
              <w:fldChar w:fldCharType="begin"/>
            </w:r>
            <w:r>
              <w:rPr>
                <w:webHidden/>
              </w:rPr>
              <w:instrText xml:space="preserve"> PAGEREF _Toc194059829 \h </w:instrText>
            </w:r>
            <w:r>
              <w:rPr>
                <w:webHidden/>
              </w:rPr>
            </w:r>
            <w:r>
              <w:rPr>
                <w:webHidden/>
              </w:rPr>
              <w:fldChar w:fldCharType="separate"/>
            </w:r>
            <w:r>
              <w:rPr>
                <w:webHidden/>
              </w:rPr>
              <w:t>80</w:t>
            </w:r>
            <w:r>
              <w:rPr>
                <w:webHidden/>
              </w:rPr>
              <w:fldChar w:fldCharType="end"/>
            </w:r>
          </w:hyperlink>
        </w:p>
        <w:p w14:paraId="0B45B40C" w14:textId="3B5BA91E" w:rsidR="00F446E0" w:rsidRDefault="00F446E0" w:rsidP="00597239">
          <w:pPr>
            <w:pStyle w:val="Spistreci2"/>
            <w:rPr>
              <w:rFonts w:eastAsiaTheme="minorEastAsia"/>
              <w:noProof/>
              <w:kern w:val="2"/>
              <w:sz w:val="24"/>
              <w:szCs w:val="24"/>
              <w:lang w:eastAsia="pl-PL"/>
              <w14:ligatures w14:val="standardContextual"/>
            </w:rPr>
          </w:pPr>
          <w:hyperlink w:anchor="_Toc194059830"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Infrastruktura obiektów w województwie</w:t>
            </w:r>
            <w:r>
              <w:rPr>
                <w:noProof/>
                <w:webHidden/>
              </w:rPr>
              <w:tab/>
            </w:r>
            <w:r>
              <w:rPr>
                <w:noProof/>
                <w:webHidden/>
              </w:rPr>
              <w:fldChar w:fldCharType="begin"/>
            </w:r>
            <w:r>
              <w:rPr>
                <w:noProof/>
                <w:webHidden/>
              </w:rPr>
              <w:instrText xml:space="preserve"> PAGEREF _Toc194059830 \h </w:instrText>
            </w:r>
            <w:r>
              <w:rPr>
                <w:noProof/>
                <w:webHidden/>
              </w:rPr>
            </w:r>
            <w:r>
              <w:rPr>
                <w:noProof/>
                <w:webHidden/>
              </w:rPr>
              <w:fldChar w:fldCharType="separate"/>
            </w:r>
            <w:r>
              <w:rPr>
                <w:noProof/>
                <w:webHidden/>
              </w:rPr>
              <w:t>80</w:t>
            </w:r>
            <w:r>
              <w:rPr>
                <w:noProof/>
                <w:webHidden/>
              </w:rPr>
              <w:fldChar w:fldCharType="end"/>
            </w:r>
          </w:hyperlink>
        </w:p>
        <w:p w14:paraId="0C18D8F9" w14:textId="2E14A8F2" w:rsidR="00F446E0" w:rsidRDefault="00F446E0" w:rsidP="00597239">
          <w:pPr>
            <w:pStyle w:val="Spistreci2"/>
            <w:rPr>
              <w:rFonts w:eastAsiaTheme="minorEastAsia"/>
              <w:noProof/>
              <w:kern w:val="2"/>
              <w:sz w:val="24"/>
              <w:szCs w:val="24"/>
              <w:lang w:eastAsia="pl-PL"/>
              <w14:ligatures w14:val="standardContextual"/>
            </w:rPr>
          </w:pPr>
          <w:hyperlink w:anchor="_Toc194059831"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Jakość wody na pływalniach i w obiektach wyposażonych w niecki basenowe</w:t>
            </w:r>
            <w:r>
              <w:rPr>
                <w:noProof/>
                <w:webHidden/>
              </w:rPr>
              <w:tab/>
            </w:r>
            <w:r>
              <w:rPr>
                <w:noProof/>
                <w:webHidden/>
              </w:rPr>
              <w:fldChar w:fldCharType="begin"/>
            </w:r>
            <w:r>
              <w:rPr>
                <w:noProof/>
                <w:webHidden/>
              </w:rPr>
              <w:instrText xml:space="preserve"> PAGEREF _Toc194059831 \h </w:instrText>
            </w:r>
            <w:r>
              <w:rPr>
                <w:noProof/>
                <w:webHidden/>
              </w:rPr>
            </w:r>
            <w:r>
              <w:rPr>
                <w:noProof/>
                <w:webHidden/>
              </w:rPr>
              <w:fldChar w:fldCharType="separate"/>
            </w:r>
            <w:r>
              <w:rPr>
                <w:noProof/>
                <w:webHidden/>
              </w:rPr>
              <w:t>80</w:t>
            </w:r>
            <w:r>
              <w:rPr>
                <w:noProof/>
                <w:webHidden/>
              </w:rPr>
              <w:fldChar w:fldCharType="end"/>
            </w:r>
          </w:hyperlink>
        </w:p>
        <w:p w14:paraId="30488D2B" w14:textId="6E46E9CB" w:rsidR="00F446E0" w:rsidRDefault="00F446E0" w:rsidP="00597239">
          <w:pPr>
            <w:pStyle w:val="Spistreci2"/>
            <w:rPr>
              <w:rFonts w:eastAsiaTheme="minorEastAsia"/>
              <w:noProof/>
              <w:kern w:val="2"/>
              <w:sz w:val="24"/>
              <w:szCs w:val="24"/>
              <w:lang w:eastAsia="pl-PL"/>
              <w14:ligatures w14:val="standardContextual"/>
            </w:rPr>
          </w:pPr>
          <w:hyperlink w:anchor="_Toc194059832"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Stan sanitarny i techniczny pływalni i obiektów wyposażonych w niecki basenowe</w:t>
            </w:r>
            <w:r>
              <w:rPr>
                <w:noProof/>
                <w:webHidden/>
              </w:rPr>
              <w:tab/>
            </w:r>
            <w:r>
              <w:rPr>
                <w:noProof/>
                <w:webHidden/>
              </w:rPr>
              <w:fldChar w:fldCharType="begin"/>
            </w:r>
            <w:r>
              <w:rPr>
                <w:noProof/>
                <w:webHidden/>
              </w:rPr>
              <w:instrText xml:space="preserve"> PAGEREF _Toc194059832 \h </w:instrText>
            </w:r>
            <w:r>
              <w:rPr>
                <w:noProof/>
                <w:webHidden/>
              </w:rPr>
            </w:r>
            <w:r>
              <w:rPr>
                <w:noProof/>
                <w:webHidden/>
              </w:rPr>
              <w:fldChar w:fldCharType="separate"/>
            </w:r>
            <w:r>
              <w:rPr>
                <w:noProof/>
                <w:webHidden/>
              </w:rPr>
              <w:t>81</w:t>
            </w:r>
            <w:r>
              <w:rPr>
                <w:noProof/>
                <w:webHidden/>
              </w:rPr>
              <w:fldChar w:fldCharType="end"/>
            </w:r>
          </w:hyperlink>
        </w:p>
        <w:p w14:paraId="6A5C73C0" w14:textId="6EDFF66D"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33" w:history="1">
            <w:r w:rsidRPr="00C5500D">
              <w:rPr>
                <w:rStyle w:val="Hipercze"/>
              </w:rPr>
              <w:t>VI.</w:t>
            </w:r>
            <w:r>
              <w:rPr>
                <w:rFonts w:eastAsiaTheme="minorEastAsia"/>
                <w:b w:val="0"/>
                <w:bCs w:val="0"/>
                <w:color w:val="auto"/>
                <w:kern w:val="2"/>
                <w:sz w:val="24"/>
                <w:szCs w:val="24"/>
                <w:lang w:eastAsia="pl-PL"/>
                <w14:ligatures w14:val="standardContextual"/>
              </w:rPr>
              <w:tab/>
            </w:r>
            <w:r w:rsidRPr="00C5500D">
              <w:rPr>
                <w:rStyle w:val="Hipercze"/>
              </w:rPr>
              <w:t>Stan sanitarny kąpielisk i miejsc okazjonalnie wykorzystywanych do kąpieli</w:t>
            </w:r>
            <w:r>
              <w:rPr>
                <w:webHidden/>
              </w:rPr>
              <w:tab/>
            </w:r>
            <w:r>
              <w:rPr>
                <w:webHidden/>
              </w:rPr>
              <w:fldChar w:fldCharType="begin"/>
            </w:r>
            <w:r>
              <w:rPr>
                <w:webHidden/>
              </w:rPr>
              <w:instrText xml:space="preserve"> PAGEREF _Toc194059833 \h </w:instrText>
            </w:r>
            <w:r>
              <w:rPr>
                <w:webHidden/>
              </w:rPr>
            </w:r>
            <w:r>
              <w:rPr>
                <w:webHidden/>
              </w:rPr>
              <w:fldChar w:fldCharType="separate"/>
            </w:r>
            <w:r>
              <w:rPr>
                <w:webHidden/>
              </w:rPr>
              <w:t>82</w:t>
            </w:r>
            <w:r>
              <w:rPr>
                <w:webHidden/>
              </w:rPr>
              <w:fldChar w:fldCharType="end"/>
            </w:r>
          </w:hyperlink>
        </w:p>
        <w:p w14:paraId="77D17160" w14:textId="10E95831" w:rsidR="00F446E0" w:rsidRDefault="00F446E0" w:rsidP="00597239">
          <w:pPr>
            <w:pStyle w:val="Spistreci2"/>
            <w:rPr>
              <w:rFonts w:eastAsiaTheme="minorEastAsia"/>
              <w:noProof/>
              <w:kern w:val="2"/>
              <w:sz w:val="24"/>
              <w:szCs w:val="24"/>
              <w:lang w:eastAsia="pl-PL"/>
              <w14:ligatures w14:val="standardContextual"/>
            </w:rPr>
          </w:pPr>
          <w:hyperlink w:anchor="_Toc194059834"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Infrastruktura obiektów w województwie i serwis kąpieliskowy</w:t>
            </w:r>
            <w:r>
              <w:rPr>
                <w:noProof/>
                <w:webHidden/>
              </w:rPr>
              <w:tab/>
            </w:r>
            <w:r>
              <w:rPr>
                <w:noProof/>
                <w:webHidden/>
              </w:rPr>
              <w:fldChar w:fldCharType="begin"/>
            </w:r>
            <w:r>
              <w:rPr>
                <w:noProof/>
                <w:webHidden/>
              </w:rPr>
              <w:instrText xml:space="preserve"> PAGEREF _Toc194059834 \h </w:instrText>
            </w:r>
            <w:r>
              <w:rPr>
                <w:noProof/>
                <w:webHidden/>
              </w:rPr>
            </w:r>
            <w:r>
              <w:rPr>
                <w:noProof/>
                <w:webHidden/>
              </w:rPr>
              <w:fldChar w:fldCharType="separate"/>
            </w:r>
            <w:r>
              <w:rPr>
                <w:noProof/>
                <w:webHidden/>
              </w:rPr>
              <w:t>82</w:t>
            </w:r>
            <w:r>
              <w:rPr>
                <w:noProof/>
                <w:webHidden/>
              </w:rPr>
              <w:fldChar w:fldCharType="end"/>
            </w:r>
          </w:hyperlink>
        </w:p>
        <w:p w14:paraId="38F76DE8" w14:textId="74A0CE17" w:rsidR="00F446E0" w:rsidRDefault="00F446E0" w:rsidP="00597239">
          <w:pPr>
            <w:pStyle w:val="Spistreci2"/>
            <w:rPr>
              <w:rFonts w:eastAsiaTheme="minorEastAsia"/>
              <w:noProof/>
              <w:kern w:val="2"/>
              <w:sz w:val="24"/>
              <w:szCs w:val="24"/>
              <w:lang w:eastAsia="pl-PL"/>
              <w14:ligatures w14:val="standardContextual"/>
            </w:rPr>
          </w:pPr>
          <w:hyperlink w:anchor="_Toc194059835"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Stan sanitarny i jakość wody w kąpieliskach</w:t>
            </w:r>
            <w:r>
              <w:rPr>
                <w:noProof/>
                <w:webHidden/>
              </w:rPr>
              <w:tab/>
            </w:r>
            <w:r>
              <w:rPr>
                <w:noProof/>
                <w:webHidden/>
              </w:rPr>
              <w:fldChar w:fldCharType="begin"/>
            </w:r>
            <w:r>
              <w:rPr>
                <w:noProof/>
                <w:webHidden/>
              </w:rPr>
              <w:instrText xml:space="preserve"> PAGEREF _Toc194059835 \h </w:instrText>
            </w:r>
            <w:r>
              <w:rPr>
                <w:noProof/>
                <w:webHidden/>
              </w:rPr>
            </w:r>
            <w:r>
              <w:rPr>
                <w:noProof/>
                <w:webHidden/>
              </w:rPr>
              <w:fldChar w:fldCharType="separate"/>
            </w:r>
            <w:r>
              <w:rPr>
                <w:noProof/>
                <w:webHidden/>
              </w:rPr>
              <w:t>83</w:t>
            </w:r>
            <w:r>
              <w:rPr>
                <w:noProof/>
                <w:webHidden/>
              </w:rPr>
              <w:fldChar w:fldCharType="end"/>
            </w:r>
          </w:hyperlink>
        </w:p>
        <w:p w14:paraId="074024D7" w14:textId="5DEC442D" w:rsidR="00F446E0" w:rsidRDefault="00F446E0" w:rsidP="00597239">
          <w:pPr>
            <w:pStyle w:val="Spistreci2"/>
            <w:rPr>
              <w:rFonts w:eastAsiaTheme="minorEastAsia"/>
              <w:noProof/>
              <w:kern w:val="2"/>
              <w:sz w:val="24"/>
              <w:szCs w:val="24"/>
              <w:lang w:eastAsia="pl-PL"/>
              <w14:ligatures w14:val="standardContextual"/>
            </w:rPr>
          </w:pPr>
          <w:hyperlink w:anchor="_Toc194059836"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Stan sanitarny i jakość wody w miejscach okazjonalnie wykorzystywanych do kąpieli</w:t>
            </w:r>
            <w:r>
              <w:rPr>
                <w:noProof/>
                <w:webHidden/>
              </w:rPr>
              <w:tab/>
            </w:r>
            <w:r>
              <w:rPr>
                <w:noProof/>
                <w:webHidden/>
              </w:rPr>
              <w:fldChar w:fldCharType="begin"/>
            </w:r>
            <w:r>
              <w:rPr>
                <w:noProof/>
                <w:webHidden/>
              </w:rPr>
              <w:instrText xml:space="preserve"> PAGEREF _Toc194059836 \h </w:instrText>
            </w:r>
            <w:r>
              <w:rPr>
                <w:noProof/>
                <w:webHidden/>
              </w:rPr>
            </w:r>
            <w:r>
              <w:rPr>
                <w:noProof/>
                <w:webHidden/>
              </w:rPr>
              <w:fldChar w:fldCharType="separate"/>
            </w:r>
            <w:r>
              <w:rPr>
                <w:noProof/>
                <w:webHidden/>
              </w:rPr>
              <w:t>84</w:t>
            </w:r>
            <w:r>
              <w:rPr>
                <w:noProof/>
                <w:webHidden/>
              </w:rPr>
              <w:fldChar w:fldCharType="end"/>
            </w:r>
          </w:hyperlink>
        </w:p>
        <w:p w14:paraId="42D2117D" w14:textId="73986F0B"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37" w:history="1">
            <w:r w:rsidRPr="00C5500D">
              <w:rPr>
                <w:rStyle w:val="Hipercze"/>
              </w:rPr>
              <w:t>VII.</w:t>
            </w:r>
            <w:r>
              <w:rPr>
                <w:rFonts w:eastAsiaTheme="minorEastAsia"/>
                <w:b w:val="0"/>
                <w:bCs w:val="0"/>
                <w:color w:val="auto"/>
                <w:kern w:val="2"/>
                <w:sz w:val="24"/>
                <w:szCs w:val="24"/>
                <w:lang w:eastAsia="pl-PL"/>
                <w14:ligatures w14:val="standardContextual"/>
              </w:rPr>
              <w:tab/>
            </w:r>
            <w:r w:rsidRPr="00C5500D">
              <w:rPr>
                <w:rStyle w:val="Hipercze"/>
              </w:rPr>
              <w:t>Stan sanitarny miejsc ogólnie dostępnych oraz obiektów użyteczności publicznej</w:t>
            </w:r>
            <w:r>
              <w:rPr>
                <w:webHidden/>
              </w:rPr>
              <w:tab/>
            </w:r>
            <w:r>
              <w:rPr>
                <w:webHidden/>
              </w:rPr>
              <w:fldChar w:fldCharType="begin"/>
            </w:r>
            <w:r>
              <w:rPr>
                <w:webHidden/>
              </w:rPr>
              <w:instrText xml:space="preserve"> PAGEREF _Toc194059837 \h </w:instrText>
            </w:r>
            <w:r>
              <w:rPr>
                <w:webHidden/>
              </w:rPr>
            </w:r>
            <w:r>
              <w:rPr>
                <w:webHidden/>
              </w:rPr>
              <w:fldChar w:fldCharType="separate"/>
            </w:r>
            <w:r>
              <w:rPr>
                <w:webHidden/>
              </w:rPr>
              <w:t>85</w:t>
            </w:r>
            <w:r>
              <w:rPr>
                <w:webHidden/>
              </w:rPr>
              <w:fldChar w:fldCharType="end"/>
            </w:r>
          </w:hyperlink>
        </w:p>
        <w:p w14:paraId="0FF5C9E5" w14:textId="793781F2" w:rsidR="00F446E0" w:rsidRDefault="00F446E0" w:rsidP="00597239">
          <w:pPr>
            <w:pStyle w:val="Spistreci2"/>
            <w:rPr>
              <w:rFonts w:eastAsiaTheme="minorEastAsia"/>
              <w:noProof/>
              <w:kern w:val="2"/>
              <w:sz w:val="24"/>
              <w:szCs w:val="24"/>
              <w:lang w:eastAsia="pl-PL"/>
              <w14:ligatures w14:val="standardContextual"/>
            </w:rPr>
          </w:pPr>
          <w:hyperlink w:anchor="_Toc194059838"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Nadzór nad obiektami użyteczności publicznej</w:t>
            </w:r>
            <w:r>
              <w:rPr>
                <w:noProof/>
                <w:webHidden/>
              </w:rPr>
              <w:tab/>
            </w:r>
            <w:r>
              <w:rPr>
                <w:noProof/>
                <w:webHidden/>
              </w:rPr>
              <w:fldChar w:fldCharType="begin"/>
            </w:r>
            <w:r>
              <w:rPr>
                <w:noProof/>
                <w:webHidden/>
              </w:rPr>
              <w:instrText xml:space="preserve"> PAGEREF _Toc194059838 \h </w:instrText>
            </w:r>
            <w:r>
              <w:rPr>
                <w:noProof/>
                <w:webHidden/>
              </w:rPr>
            </w:r>
            <w:r>
              <w:rPr>
                <w:noProof/>
                <w:webHidden/>
              </w:rPr>
              <w:fldChar w:fldCharType="separate"/>
            </w:r>
            <w:r>
              <w:rPr>
                <w:noProof/>
                <w:webHidden/>
              </w:rPr>
              <w:t>85</w:t>
            </w:r>
            <w:r>
              <w:rPr>
                <w:noProof/>
                <w:webHidden/>
              </w:rPr>
              <w:fldChar w:fldCharType="end"/>
            </w:r>
          </w:hyperlink>
        </w:p>
        <w:p w14:paraId="634F15BB" w14:textId="34E500C2" w:rsidR="00F446E0" w:rsidRDefault="00F446E0" w:rsidP="00597239">
          <w:pPr>
            <w:pStyle w:val="Spistreci2"/>
            <w:rPr>
              <w:rFonts w:eastAsiaTheme="minorEastAsia"/>
              <w:noProof/>
              <w:kern w:val="2"/>
              <w:sz w:val="24"/>
              <w:szCs w:val="24"/>
              <w:lang w:eastAsia="pl-PL"/>
              <w14:ligatures w14:val="standardContextual"/>
            </w:rPr>
          </w:pPr>
          <w:hyperlink w:anchor="_Toc194059839"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Zabezpieczenie sanitarne imprez masowych</w:t>
            </w:r>
            <w:r>
              <w:rPr>
                <w:noProof/>
                <w:webHidden/>
              </w:rPr>
              <w:tab/>
            </w:r>
            <w:r>
              <w:rPr>
                <w:noProof/>
                <w:webHidden/>
              </w:rPr>
              <w:fldChar w:fldCharType="begin"/>
            </w:r>
            <w:r>
              <w:rPr>
                <w:noProof/>
                <w:webHidden/>
              </w:rPr>
              <w:instrText xml:space="preserve"> PAGEREF _Toc194059839 \h </w:instrText>
            </w:r>
            <w:r>
              <w:rPr>
                <w:noProof/>
                <w:webHidden/>
              </w:rPr>
            </w:r>
            <w:r>
              <w:rPr>
                <w:noProof/>
                <w:webHidden/>
              </w:rPr>
              <w:fldChar w:fldCharType="separate"/>
            </w:r>
            <w:r>
              <w:rPr>
                <w:noProof/>
                <w:webHidden/>
              </w:rPr>
              <w:t>86</w:t>
            </w:r>
            <w:r>
              <w:rPr>
                <w:noProof/>
                <w:webHidden/>
              </w:rPr>
              <w:fldChar w:fldCharType="end"/>
            </w:r>
          </w:hyperlink>
        </w:p>
        <w:p w14:paraId="6C0181F8" w14:textId="130283C7" w:rsidR="00F446E0" w:rsidRDefault="00F446E0" w:rsidP="00597239">
          <w:pPr>
            <w:pStyle w:val="Spistreci2"/>
            <w:rPr>
              <w:rFonts w:eastAsiaTheme="minorEastAsia"/>
              <w:noProof/>
              <w:kern w:val="2"/>
              <w:sz w:val="24"/>
              <w:szCs w:val="24"/>
              <w:lang w:eastAsia="pl-PL"/>
              <w14:ligatures w14:val="standardContextual"/>
            </w:rPr>
          </w:pPr>
          <w:hyperlink w:anchor="_Toc194059840"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Nadzór nad postępowaniem ze zwłokami i szczątkami ludzkimi</w:t>
            </w:r>
            <w:r>
              <w:rPr>
                <w:noProof/>
                <w:webHidden/>
              </w:rPr>
              <w:tab/>
            </w:r>
            <w:r>
              <w:rPr>
                <w:noProof/>
                <w:webHidden/>
              </w:rPr>
              <w:fldChar w:fldCharType="begin"/>
            </w:r>
            <w:r>
              <w:rPr>
                <w:noProof/>
                <w:webHidden/>
              </w:rPr>
              <w:instrText xml:space="preserve"> PAGEREF _Toc194059840 \h </w:instrText>
            </w:r>
            <w:r>
              <w:rPr>
                <w:noProof/>
                <w:webHidden/>
              </w:rPr>
            </w:r>
            <w:r>
              <w:rPr>
                <w:noProof/>
                <w:webHidden/>
              </w:rPr>
              <w:fldChar w:fldCharType="separate"/>
            </w:r>
            <w:r>
              <w:rPr>
                <w:noProof/>
                <w:webHidden/>
              </w:rPr>
              <w:t>87</w:t>
            </w:r>
            <w:r>
              <w:rPr>
                <w:noProof/>
                <w:webHidden/>
              </w:rPr>
              <w:fldChar w:fldCharType="end"/>
            </w:r>
          </w:hyperlink>
        </w:p>
        <w:p w14:paraId="10E3FB89" w14:textId="05A4E715"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41" w:history="1">
            <w:r w:rsidRPr="00C5500D">
              <w:rPr>
                <w:rStyle w:val="Hipercze"/>
                <w:rFonts w:eastAsia="Times New Roman"/>
              </w:rPr>
              <w:t>VIII.</w:t>
            </w:r>
            <w:r>
              <w:rPr>
                <w:rFonts w:eastAsiaTheme="minorEastAsia"/>
                <w:b w:val="0"/>
                <w:bCs w:val="0"/>
                <w:color w:val="auto"/>
                <w:kern w:val="2"/>
                <w:sz w:val="24"/>
                <w:szCs w:val="24"/>
                <w:lang w:eastAsia="pl-PL"/>
                <w14:ligatures w14:val="standardContextual"/>
              </w:rPr>
              <w:tab/>
            </w:r>
            <w:r w:rsidRPr="00C5500D">
              <w:rPr>
                <w:rStyle w:val="Hipercze"/>
                <w:rFonts w:eastAsia="Times New Roman"/>
              </w:rPr>
              <w:t>Warunki higieniczno-sanitarne w placówkach oświatowo-wychowawczych</w:t>
            </w:r>
            <w:r>
              <w:rPr>
                <w:webHidden/>
              </w:rPr>
              <w:tab/>
            </w:r>
            <w:r>
              <w:rPr>
                <w:webHidden/>
              </w:rPr>
              <w:fldChar w:fldCharType="begin"/>
            </w:r>
            <w:r>
              <w:rPr>
                <w:webHidden/>
              </w:rPr>
              <w:instrText xml:space="preserve"> PAGEREF _Toc194059841 \h </w:instrText>
            </w:r>
            <w:r>
              <w:rPr>
                <w:webHidden/>
              </w:rPr>
            </w:r>
            <w:r>
              <w:rPr>
                <w:webHidden/>
              </w:rPr>
              <w:fldChar w:fldCharType="separate"/>
            </w:r>
            <w:r>
              <w:rPr>
                <w:webHidden/>
              </w:rPr>
              <w:t>89</w:t>
            </w:r>
            <w:r>
              <w:rPr>
                <w:webHidden/>
              </w:rPr>
              <w:fldChar w:fldCharType="end"/>
            </w:r>
          </w:hyperlink>
        </w:p>
        <w:p w14:paraId="153574BD" w14:textId="3BBF9C9C" w:rsidR="00F446E0" w:rsidRDefault="00F446E0" w:rsidP="00597239">
          <w:pPr>
            <w:pStyle w:val="Spistreci2"/>
            <w:rPr>
              <w:rFonts w:eastAsiaTheme="minorEastAsia"/>
              <w:noProof/>
              <w:kern w:val="2"/>
              <w:sz w:val="24"/>
              <w:szCs w:val="24"/>
              <w:lang w:eastAsia="pl-PL"/>
              <w14:ligatures w14:val="standardContextual"/>
            </w:rPr>
          </w:pPr>
          <w:hyperlink w:anchor="_Toc194059842" w:history="1">
            <w:r w:rsidRPr="00C5500D">
              <w:rPr>
                <w:rStyle w:val="Hipercze"/>
                <w:rFonts w:eastAsia="Times New Roman"/>
                <w:noProof/>
              </w:rPr>
              <w:t>1.</w:t>
            </w:r>
            <w:r>
              <w:rPr>
                <w:rFonts w:eastAsiaTheme="minorEastAsia"/>
                <w:noProof/>
                <w:kern w:val="2"/>
                <w:sz w:val="24"/>
                <w:szCs w:val="24"/>
                <w:lang w:eastAsia="pl-PL"/>
                <w14:ligatures w14:val="standardContextual"/>
              </w:rPr>
              <w:tab/>
            </w:r>
            <w:r w:rsidRPr="00C5500D">
              <w:rPr>
                <w:rStyle w:val="Hipercze"/>
                <w:rFonts w:eastAsia="Times New Roman"/>
                <w:noProof/>
              </w:rPr>
              <w:t>Stan higieniczno-sanitarny placówek oświatowo-wychowawczych</w:t>
            </w:r>
            <w:r>
              <w:rPr>
                <w:noProof/>
                <w:webHidden/>
              </w:rPr>
              <w:tab/>
            </w:r>
            <w:r>
              <w:rPr>
                <w:noProof/>
                <w:webHidden/>
              </w:rPr>
              <w:fldChar w:fldCharType="begin"/>
            </w:r>
            <w:r>
              <w:rPr>
                <w:noProof/>
                <w:webHidden/>
              </w:rPr>
              <w:instrText xml:space="preserve"> PAGEREF _Toc194059842 \h </w:instrText>
            </w:r>
            <w:r>
              <w:rPr>
                <w:noProof/>
                <w:webHidden/>
              </w:rPr>
            </w:r>
            <w:r>
              <w:rPr>
                <w:noProof/>
                <w:webHidden/>
              </w:rPr>
              <w:fldChar w:fldCharType="separate"/>
            </w:r>
            <w:r>
              <w:rPr>
                <w:noProof/>
                <w:webHidden/>
              </w:rPr>
              <w:t>89</w:t>
            </w:r>
            <w:r>
              <w:rPr>
                <w:noProof/>
                <w:webHidden/>
              </w:rPr>
              <w:fldChar w:fldCharType="end"/>
            </w:r>
          </w:hyperlink>
        </w:p>
        <w:p w14:paraId="3ECC3274" w14:textId="43262156" w:rsidR="00F446E0" w:rsidRDefault="00F446E0" w:rsidP="00597239">
          <w:pPr>
            <w:pStyle w:val="Spistreci2"/>
            <w:rPr>
              <w:rFonts w:eastAsiaTheme="minorEastAsia"/>
              <w:noProof/>
              <w:kern w:val="2"/>
              <w:sz w:val="24"/>
              <w:szCs w:val="24"/>
              <w:lang w:eastAsia="pl-PL"/>
              <w14:ligatures w14:val="standardContextual"/>
            </w:rPr>
          </w:pPr>
          <w:hyperlink w:anchor="_Toc194059843" w:history="1">
            <w:r w:rsidRPr="00C5500D">
              <w:rPr>
                <w:rStyle w:val="Hipercze"/>
                <w:rFonts w:eastAsia="Times New Roman"/>
                <w:noProof/>
              </w:rPr>
              <w:t>2.</w:t>
            </w:r>
            <w:r>
              <w:rPr>
                <w:rFonts w:eastAsiaTheme="minorEastAsia"/>
                <w:noProof/>
                <w:kern w:val="2"/>
                <w:sz w:val="24"/>
                <w:szCs w:val="24"/>
                <w:lang w:eastAsia="pl-PL"/>
                <w14:ligatures w14:val="standardContextual"/>
              </w:rPr>
              <w:tab/>
            </w:r>
            <w:r w:rsidRPr="00C5500D">
              <w:rPr>
                <w:rStyle w:val="Hipercze"/>
                <w:rFonts w:eastAsia="Times New Roman"/>
                <w:noProof/>
              </w:rPr>
              <w:t>Higiena procesów nauczania</w:t>
            </w:r>
            <w:r>
              <w:rPr>
                <w:noProof/>
                <w:webHidden/>
              </w:rPr>
              <w:tab/>
            </w:r>
            <w:r>
              <w:rPr>
                <w:noProof/>
                <w:webHidden/>
              </w:rPr>
              <w:fldChar w:fldCharType="begin"/>
            </w:r>
            <w:r>
              <w:rPr>
                <w:noProof/>
                <w:webHidden/>
              </w:rPr>
              <w:instrText xml:space="preserve"> PAGEREF _Toc194059843 \h </w:instrText>
            </w:r>
            <w:r>
              <w:rPr>
                <w:noProof/>
                <w:webHidden/>
              </w:rPr>
            </w:r>
            <w:r>
              <w:rPr>
                <w:noProof/>
                <w:webHidden/>
              </w:rPr>
              <w:fldChar w:fldCharType="separate"/>
            </w:r>
            <w:r>
              <w:rPr>
                <w:noProof/>
                <w:webHidden/>
              </w:rPr>
              <w:t>90</w:t>
            </w:r>
            <w:r>
              <w:rPr>
                <w:noProof/>
                <w:webHidden/>
              </w:rPr>
              <w:fldChar w:fldCharType="end"/>
            </w:r>
          </w:hyperlink>
        </w:p>
        <w:p w14:paraId="3AB86408" w14:textId="429F365B" w:rsidR="00F446E0" w:rsidRDefault="00F446E0" w:rsidP="00597239">
          <w:pPr>
            <w:pStyle w:val="Spistreci2"/>
            <w:rPr>
              <w:rFonts w:eastAsiaTheme="minorEastAsia"/>
              <w:noProof/>
              <w:kern w:val="2"/>
              <w:sz w:val="24"/>
              <w:szCs w:val="24"/>
              <w:lang w:eastAsia="pl-PL"/>
              <w14:ligatures w14:val="standardContextual"/>
            </w:rPr>
          </w:pPr>
          <w:hyperlink w:anchor="_Toc194059844" w:history="1">
            <w:r w:rsidRPr="00C5500D">
              <w:rPr>
                <w:rStyle w:val="Hipercze"/>
                <w:rFonts w:eastAsia="Times New Roman"/>
                <w:noProof/>
              </w:rPr>
              <w:t>3.</w:t>
            </w:r>
            <w:r>
              <w:rPr>
                <w:rFonts w:eastAsiaTheme="minorEastAsia"/>
                <w:noProof/>
                <w:kern w:val="2"/>
                <w:sz w:val="24"/>
                <w:szCs w:val="24"/>
                <w:lang w:eastAsia="pl-PL"/>
                <w14:ligatures w14:val="standardContextual"/>
              </w:rPr>
              <w:tab/>
            </w:r>
            <w:r w:rsidRPr="00C5500D">
              <w:rPr>
                <w:rStyle w:val="Hipercze"/>
                <w:rFonts w:eastAsia="Times New Roman"/>
                <w:noProof/>
              </w:rPr>
              <w:t>Warunki do prowadzenia zajęć wychowania fizycznego</w:t>
            </w:r>
            <w:r>
              <w:rPr>
                <w:noProof/>
                <w:webHidden/>
              </w:rPr>
              <w:tab/>
            </w:r>
            <w:r>
              <w:rPr>
                <w:noProof/>
                <w:webHidden/>
              </w:rPr>
              <w:fldChar w:fldCharType="begin"/>
            </w:r>
            <w:r>
              <w:rPr>
                <w:noProof/>
                <w:webHidden/>
              </w:rPr>
              <w:instrText xml:space="preserve"> PAGEREF _Toc194059844 \h </w:instrText>
            </w:r>
            <w:r>
              <w:rPr>
                <w:noProof/>
                <w:webHidden/>
              </w:rPr>
            </w:r>
            <w:r>
              <w:rPr>
                <w:noProof/>
                <w:webHidden/>
              </w:rPr>
              <w:fldChar w:fldCharType="separate"/>
            </w:r>
            <w:r>
              <w:rPr>
                <w:noProof/>
                <w:webHidden/>
              </w:rPr>
              <w:t>91</w:t>
            </w:r>
            <w:r>
              <w:rPr>
                <w:noProof/>
                <w:webHidden/>
              </w:rPr>
              <w:fldChar w:fldCharType="end"/>
            </w:r>
          </w:hyperlink>
        </w:p>
        <w:p w14:paraId="4EE26338" w14:textId="2FB9327F" w:rsidR="00F446E0" w:rsidRDefault="00F446E0" w:rsidP="00597239">
          <w:pPr>
            <w:pStyle w:val="Spistreci2"/>
            <w:rPr>
              <w:rFonts w:eastAsiaTheme="minorEastAsia"/>
              <w:noProof/>
              <w:kern w:val="2"/>
              <w:sz w:val="24"/>
              <w:szCs w:val="24"/>
              <w:lang w:eastAsia="pl-PL"/>
              <w14:ligatures w14:val="standardContextual"/>
            </w:rPr>
          </w:pPr>
          <w:hyperlink w:anchor="_Toc194059845" w:history="1">
            <w:r w:rsidRPr="00C5500D">
              <w:rPr>
                <w:rStyle w:val="Hipercze"/>
                <w:rFonts w:eastAsia="Times New Roman"/>
                <w:noProof/>
              </w:rPr>
              <w:t>4.</w:t>
            </w:r>
            <w:r>
              <w:rPr>
                <w:rFonts w:eastAsiaTheme="minorEastAsia"/>
                <w:noProof/>
                <w:kern w:val="2"/>
                <w:sz w:val="24"/>
                <w:szCs w:val="24"/>
                <w:lang w:eastAsia="pl-PL"/>
                <w14:ligatures w14:val="standardContextual"/>
              </w:rPr>
              <w:tab/>
            </w:r>
            <w:r w:rsidRPr="00C5500D">
              <w:rPr>
                <w:rStyle w:val="Hipercze"/>
                <w:rFonts w:eastAsia="Times New Roman"/>
                <w:noProof/>
              </w:rPr>
              <w:t>Żywienie / Dożywianie dzieci i młodzieży w placówkach</w:t>
            </w:r>
            <w:r>
              <w:rPr>
                <w:noProof/>
                <w:webHidden/>
              </w:rPr>
              <w:tab/>
            </w:r>
            <w:r>
              <w:rPr>
                <w:noProof/>
                <w:webHidden/>
              </w:rPr>
              <w:fldChar w:fldCharType="begin"/>
            </w:r>
            <w:r>
              <w:rPr>
                <w:noProof/>
                <w:webHidden/>
              </w:rPr>
              <w:instrText xml:space="preserve"> PAGEREF _Toc194059845 \h </w:instrText>
            </w:r>
            <w:r>
              <w:rPr>
                <w:noProof/>
                <w:webHidden/>
              </w:rPr>
            </w:r>
            <w:r>
              <w:rPr>
                <w:noProof/>
                <w:webHidden/>
              </w:rPr>
              <w:fldChar w:fldCharType="separate"/>
            </w:r>
            <w:r>
              <w:rPr>
                <w:noProof/>
                <w:webHidden/>
              </w:rPr>
              <w:t>92</w:t>
            </w:r>
            <w:r>
              <w:rPr>
                <w:noProof/>
                <w:webHidden/>
              </w:rPr>
              <w:fldChar w:fldCharType="end"/>
            </w:r>
          </w:hyperlink>
        </w:p>
        <w:p w14:paraId="5E052CCA" w14:textId="6520EDC9" w:rsidR="00F446E0" w:rsidRDefault="00F446E0" w:rsidP="00597239">
          <w:pPr>
            <w:pStyle w:val="Spistreci2"/>
            <w:rPr>
              <w:rFonts w:eastAsiaTheme="minorEastAsia"/>
              <w:noProof/>
              <w:kern w:val="2"/>
              <w:sz w:val="24"/>
              <w:szCs w:val="24"/>
              <w:lang w:eastAsia="pl-PL"/>
              <w14:ligatures w14:val="standardContextual"/>
            </w:rPr>
          </w:pPr>
          <w:hyperlink w:anchor="_Toc194059846" w:history="1">
            <w:r w:rsidRPr="00C5500D">
              <w:rPr>
                <w:rStyle w:val="Hipercze"/>
                <w:rFonts w:eastAsia="Calibri"/>
                <w:noProof/>
              </w:rPr>
              <w:t>5.</w:t>
            </w:r>
            <w:r>
              <w:rPr>
                <w:rFonts w:eastAsiaTheme="minorEastAsia"/>
                <w:noProof/>
                <w:kern w:val="2"/>
                <w:sz w:val="24"/>
                <w:szCs w:val="24"/>
                <w:lang w:eastAsia="pl-PL"/>
                <w14:ligatures w14:val="standardContextual"/>
              </w:rPr>
              <w:tab/>
            </w:r>
            <w:r w:rsidRPr="00C5500D">
              <w:rPr>
                <w:rStyle w:val="Hipercze"/>
                <w:rFonts w:eastAsia="Calibri"/>
                <w:noProof/>
              </w:rPr>
              <w:t>Warunki realizacji profilaktycznej opieki zdrowotnej nad uczniami w szkołach</w:t>
            </w:r>
            <w:r>
              <w:rPr>
                <w:noProof/>
                <w:webHidden/>
              </w:rPr>
              <w:tab/>
            </w:r>
            <w:r>
              <w:rPr>
                <w:noProof/>
                <w:webHidden/>
              </w:rPr>
              <w:fldChar w:fldCharType="begin"/>
            </w:r>
            <w:r>
              <w:rPr>
                <w:noProof/>
                <w:webHidden/>
              </w:rPr>
              <w:instrText xml:space="preserve"> PAGEREF _Toc194059846 \h </w:instrText>
            </w:r>
            <w:r>
              <w:rPr>
                <w:noProof/>
                <w:webHidden/>
              </w:rPr>
            </w:r>
            <w:r>
              <w:rPr>
                <w:noProof/>
                <w:webHidden/>
              </w:rPr>
              <w:fldChar w:fldCharType="separate"/>
            </w:r>
            <w:r>
              <w:rPr>
                <w:noProof/>
                <w:webHidden/>
              </w:rPr>
              <w:t>94</w:t>
            </w:r>
            <w:r>
              <w:rPr>
                <w:noProof/>
                <w:webHidden/>
              </w:rPr>
              <w:fldChar w:fldCharType="end"/>
            </w:r>
          </w:hyperlink>
        </w:p>
        <w:p w14:paraId="07942C3C" w14:textId="44535F22"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47" w:history="1">
            <w:r w:rsidRPr="00C5500D">
              <w:rPr>
                <w:rStyle w:val="Hipercze"/>
                <w:rFonts w:eastAsia="Times New Roman"/>
              </w:rPr>
              <w:t>IX.</w:t>
            </w:r>
            <w:r>
              <w:rPr>
                <w:rFonts w:eastAsiaTheme="minorEastAsia"/>
                <w:b w:val="0"/>
                <w:bCs w:val="0"/>
                <w:color w:val="auto"/>
                <w:kern w:val="2"/>
                <w:sz w:val="24"/>
                <w:szCs w:val="24"/>
                <w:lang w:eastAsia="pl-PL"/>
                <w14:ligatures w14:val="standardContextual"/>
              </w:rPr>
              <w:tab/>
            </w:r>
            <w:r w:rsidRPr="00C5500D">
              <w:rPr>
                <w:rStyle w:val="Hipercze"/>
                <w:rFonts w:eastAsia="Times New Roman"/>
              </w:rPr>
              <w:t>Warunki wypoczynku oraz rekreacji dzieci i młodzieży</w:t>
            </w:r>
            <w:r>
              <w:rPr>
                <w:webHidden/>
              </w:rPr>
              <w:tab/>
            </w:r>
            <w:r>
              <w:rPr>
                <w:webHidden/>
              </w:rPr>
              <w:fldChar w:fldCharType="begin"/>
            </w:r>
            <w:r>
              <w:rPr>
                <w:webHidden/>
              </w:rPr>
              <w:instrText xml:space="preserve"> PAGEREF _Toc194059847 \h </w:instrText>
            </w:r>
            <w:r>
              <w:rPr>
                <w:webHidden/>
              </w:rPr>
            </w:r>
            <w:r>
              <w:rPr>
                <w:webHidden/>
              </w:rPr>
              <w:fldChar w:fldCharType="separate"/>
            </w:r>
            <w:r>
              <w:rPr>
                <w:webHidden/>
              </w:rPr>
              <w:t>96</w:t>
            </w:r>
            <w:r>
              <w:rPr>
                <w:webHidden/>
              </w:rPr>
              <w:fldChar w:fldCharType="end"/>
            </w:r>
          </w:hyperlink>
        </w:p>
        <w:p w14:paraId="5A71AE05" w14:textId="3B47F2E1" w:rsidR="00F446E0" w:rsidRDefault="00F446E0" w:rsidP="00597239">
          <w:pPr>
            <w:pStyle w:val="Spistreci2"/>
            <w:rPr>
              <w:rFonts w:eastAsiaTheme="minorEastAsia"/>
              <w:noProof/>
              <w:kern w:val="2"/>
              <w:sz w:val="24"/>
              <w:szCs w:val="24"/>
              <w:lang w:eastAsia="pl-PL"/>
              <w14:ligatures w14:val="standardContextual"/>
            </w:rPr>
          </w:pPr>
          <w:hyperlink w:anchor="_Toc194059848" w:history="1">
            <w:r w:rsidRPr="00C5500D">
              <w:rPr>
                <w:rStyle w:val="Hipercze"/>
                <w:rFonts w:eastAsia="Times New Roman"/>
                <w:noProof/>
              </w:rPr>
              <w:t>1.</w:t>
            </w:r>
            <w:r>
              <w:rPr>
                <w:rFonts w:eastAsiaTheme="minorEastAsia"/>
                <w:noProof/>
                <w:kern w:val="2"/>
                <w:sz w:val="24"/>
                <w:szCs w:val="24"/>
                <w:lang w:eastAsia="pl-PL"/>
                <w14:ligatures w14:val="standardContextual"/>
              </w:rPr>
              <w:tab/>
            </w:r>
            <w:r w:rsidRPr="00C5500D">
              <w:rPr>
                <w:rStyle w:val="Hipercze"/>
                <w:rFonts w:eastAsia="Times New Roman"/>
                <w:noProof/>
              </w:rPr>
              <w:t>Wypoczynek zimowy</w:t>
            </w:r>
            <w:r>
              <w:rPr>
                <w:noProof/>
                <w:webHidden/>
              </w:rPr>
              <w:tab/>
            </w:r>
            <w:r>
              <w:rPr>
                <w:noProof/>
                <w:webHidden/>
              </w:rPr>
              <w:fldChar w:fldCharType="begin"/>
            </w:r>
            <w:r>
              <w:rPr>
                <w:noProof/>
                <w:webHidden/>
              </w:rPr>
              <w:instrText xml:space="preserve"> PAGEREF _Toc194059848 \h </w:instrText>
            </w:r>
            <w:r>
              <w:rPr>
                <w:noProof/>
                <w:webHidden/>
              </w:rPr>
            </w:r>
            <w:r>
              <w:rPr>
                <w:noProof/>
                <w:webHidden/>
              </w:rPr>
              <w:fldChar w:fldCharType="separate"/>
            </w:r>
            <w:r>
              <w:rPr>
                <w:noProof/>
                <w:webHidden/>
              </w:rPr>
              <w:t>96</w:t>
            </w:r>
            <w:r>
              <w:rPr>
                <w:noProof/>
                <w:webHidden/>
              </w:rPr>
              <w:fldChar w:fldCharType="end"/>
            </w:r>
          </w:hyperlink>
        </w:p>
        <w:p w14:paraId="562DE6CF" w14:textId="77DFC6AD" w:rsidR="00F446E0" w:rsidRDefault="00F446E0" w:rsidP="00597239">
          <w:pPr>
            <w:pStyle w:val="Spistreci2"/>
            <w:rPr>
              <w:rFonts w:eastAsiaTheme="minorEastAsia"/>
              <w:noProof/>
              <w:kern w:val="2"/>
              <w:sz w:val="24"/>
              <w:szCs w:val="24"/>
              <w:lang w:eastAsia="pl-PL"/>
              <w14:ligatures w14:val="standardContextual"/>
            </w:rPr>
          </w:pPr>
          <w:hyperlink w:anchor="_Toc194059849" w:history="1">
            <w:r w:rsidRPr="00C5500D">
              <w:rPr>
                <w:rStyle w:val="Hipercze"/>
                <w:rFonts w:eastAsia="Times New Roman"/>
                <w:noProof/>
              </w:rPr>
              <w:t>2.</w:t>
            </w:r>
            <w:r>
              <w:rPr>
                <w:rFonts w:eastAsiaTheme="minorEastAsia"/>
                <w:noProof/>
                <w:kern w:val="2"/>
                <w:sz w:val="24"/>
                <w:szCs w:val="24"/>
                <w:lang w:eastAsia="pl-PL"/>
                <w14:ligatures w14:val="standardContextual"/>
              </w:rPr>
              <w:tab/>
            </w:r>
            <w:r w:rsidRPr="00C5500D">
              <w:rPr>
                <w:rStyle w:val="Hipercze"/>
                <w:rFonts w:eastAsia="Times New Roman"/>
                <w:noProof/>
              </w:rPr>
              <w:t>Wypoczynek letni</w:t>
            </w:r>
            <w:r>
              <w:rPr>
                <w:noProof/>
                <w:webHidden/>
              </w:rPr>
              <w:tab/>
            </w:r>
            <w:r>
              <w:rPr>
                <w:noProof/>
                <w:webHidden/>
              </w:rPr>
              <w:fldChar w:fldCharType="begin"/>
            </w:r>
            <w:r>
              <w:rPr>
                <w:noProof/>
                <w:webHidden/>
              </w:rPr>
              <w:instrText xml:space="preserve"> PAGEREF _Toc194059849 \h </w:instrText>
            </w:r>
            <w:r>
              <w:rPr>
                <w:noProof/>
                <w:webHidden/>
              </w:rPr>
            </w:r>
            <w:r>
              <w:rPr>
                <w:noProof/>
                <w:webHidden/>
              </w:rPr>
              <w:fldChar w:fldCharType="separate"/>
            </w:r>
            <w:r>
              <w:rPr>
                <w:noProof/>
                <w:webHidden/>
              </w:rPr>
              <w:t>96</w:t>
            </w:r>
            <w:r>
              <w:rPr>
                <w:noProof/>
                <w:webHidden/>
              </w:rPr>
              <w:fldChar w:fldCharType="end"/>
            </w:r>
          </w:hyperlink>
        </w:p>
        <w:p w14:paraId="39FC69BE" w14:textId="17C21EF2"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50" w:history="1">
            <w:r w:rsidRPr="00C5500D">
              <w:rPr>
                <w:rStyle w:val="Hipercze"/>
              </w:rPr>
              <w:t>X.</w:t>
            </w:r>
            <w:r>
              <w:rPr>
                <w:rFonts w:eastAsiaTheme="minorEastAsia"/>
                <w:b w:val="0"/>
                <w:bCs w:val="0"/>
                <w:color w:val="auto"/>
                <w:kern w:val="2"/>
                <w:sz w:val="24"/>
                <w:szCs w:val="24"/>
                <w:lang w:eastAsia="pl-PL"/>
                <w14:ligatures w14:val="standardContextual"/>
              </w:rPr>
              <w:tab/>
            </w:r>
            <w:r w:rsidRPr="00C5500D">
              <w:rPr>
                <w:rStyle w:val="Hipercze"/>
              </w:rPr>
              <w:t>Warunki higienicznosanitarne środowiska pracy</w:t>
            </w:r>
            <w:r>
              <w:rPr>
                <w:webHidden/>
              </w:rPr>
              <w:tab/>
            </w:r>
            <w:r>
              <w:rPr>
                <w:webHidden/>
              </w:rPr>
              <w:fldChar w:fldCharType="begin"/>
            </w:r>
            <w:r>
              <w:rPr>
                <w:webHidden/>
              </w:rPr>
              <w:instrText xml:space="preserve"> PAGEREF _Toc194059850 \h </w:instrText>
            </w:r>
            <w:r>
              <w:rPr>
                <w:webHidden/>
              </w:rPr>
            </w:r>
            <w:r>
              <w:rPr>
                <w:webHidden/>
              </w:rPr>
              <w:fldChar w:fldCharType="separate"/>
            </w:r>
            <w:r>
              <w:rPr>
                <w:webHidden/>
              </w:rPr>
              <w:t>99</w:t>
            </w:r>
            <w:r>
              <w:rPr>
                <w:webHidden/>
              </w:rPr>
              <w:fldChar w:fldCharType="end"/>
            </w:r>
          </w:hyperlink>
        </w:p>
        <w:p w14:paraId="23716FFF" w14:textId="06693B5D" w:rsidR="00F446E0" w:rsidRDefault="00F446E0" w:rsidP="00597239">
          <w:pPr>
            <w:pStyle w:val="Spistreci2"/>
            <w:rPr>
              <w:rFonts w:eastAsiaTheme="minorEastAsia"/>
              <w:noProof/>
              <w:kern w:val="2"/>
              <w:sz w:val="24"/>
              <w:szCs w:val="24"/>
              <w:lang w:eastAsia="pl-PL"/>
              <w14:ligatures w14:val="standardContextual"/>
            </w:rPr>
          </w:pPr>
          <w:hyperlink w:anchor="_Toc194059851"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Stan sanitarny zakładów pracy</w:t>
            </w:r>
            <w:r>
              <w:rPr>
                <w:noProof/>
                <w:webHidden/>
              </w:rPr>
              <w:tab/>
            </w:r>
            <w:r>
              <w:rPr>
                <w:noProof/>
                <w:webHidden/>
              </w:rPr>
              <w:fldChar w:fldCharType="begin"/>
            </w:r>
            <w:r>
              <w:rPr>
                <w:noProof/>
                <w:webHidden/>
              </w:rPr>
              <w:instrText xml:space="preserve"> PAGEREF _Toc194059851 \h </w:instrText>
            </w:r>
            <w:r>
              <w:rPr>
                <w:noProof/>
                <w:webHidden/>
              </w:rPr>
            </w:r>
            <w:r>
              <w:rPr>
                <w:noProof/>
                <w:webHidden/>
              </w:rPr>
              <w:fldChar w:fldCharType="separate"/>
            </w:r>
            <w:r>
              <w:rPr>
                <w:noProof/>
                <w:webHidden/>
              </w:rPr>
              <w:t>99</w:t>
            </w:r>
            <w:r>
              <w:rPr>
                <w:noProof/>
                <w:webHidden/>
              </w:rPr>
              <w:fldChar w:fldCharType="end"/>
            </w:r>
          </w:hyperlink>
        </w:p>
        <w:p w14:paraId="51E25889" w14:textId="2C0B6048" w:rsidR="00F446E0" w:rsidRDefault="00F446E0" w:rsidP="00597239">
          <w:pPr>
            <w:pStyle w:val="Spistreci2"/>
            <w:rPr>
              <w:rFonts w:eastAsiaTheme="minorEastAsia"/>
              <w:noProof/>
              <w:kern w:val="2"/>
              <w:sz w:val="24"/>
              <w:szCs w:val="24"/>
              <w:lang w:eastAsia="pl-PL"/>
              <w14:ligatures w14:val="standardContextual"/>
            </w:rPr>
          </w:pPr>
          <w:hyperlink w:anchor="_Toc194059852"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Narażenie na czynniki szkodliwe i uciążliwe dla zdrowia w środowisku pracy</w:t>
            </w:r>
            <w:r>
              <w:rPr>
                <w:noProof/>
                <w:webHidden/>
              </w:rPr>
              <w:tab/>
            </w:r>
            <w:r>
              <w:rPr>
                <w:noProof/>
                <w:webHidden/>
              </w:rPr>
              <w:fldChar w:fldCharType="begin"/>
            </w:r>
            <w:r>
              <w:rPr>
                <w:noProof/>
                <w:webHidden/>
              </w:rPr>
              <w:instrText xml:space="preserve"> PAGEREF _Toc194059852 \h </w:instrText>
            </w:r>
            <w:r>
              <w:rPr>
                <w:noProof/>
                <w:webHidden/>
              </w:rPr>
            </w:r>
            <w:r>
              <w:rPr>
                <w:noProof/>
                <w:webHidden/>
              </w:rPr>
              <w:fldChar w:fldCharType="separate"/>
            </w:r>
            <w:r>
              <w:rPr>
                <w:noProof/>
                <w:webHidden/>
              </w:rPr>
              <w:t>99</w:t>
            </w:r>
            <w:r>
              <w:rPr>
                <w:noProof/>
                <w:webHidden/>
              </w:rPr>
              <w:fldChar w:fldCharType="end"/>
            </w:r>
          </w:hyperlink>
        </w:p>
        <w:p w14:paraId="736B63DF" w14:textId="7CA0AB03" w:rsidR="00F446E0" w:rsidRDefault="00F446E0" w:rsidP="00597239">
          <w:pPr>
            <w:pStyle w:val="Spistreci2"/>
            <w:rPr>
              <w:rFonts w:eastAsiaTheme="minorEastAsia"/>
              <w:noProof/>
              <w:kern w:val="2"/>
              <w:sz w:val="24"/>
              <w:szCs w:val="24"/>
              <w:lang w:eastAsia="pl-PL"/>
              <w14:ligatures w14:val="standardContextual"/>
            </w:rPr>
          </w:pPr>
          <w:hyperlink w:anchor="_Toc194059853"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Narażenie na czynniki rakotwórcze i mutagenne w środowisku pracy</w:t>
            </w:r>
            <w:r>
              <w:rPr>
                <w:noProof/>
                <w:webHidden/>
              </w:rPr>
              <w:tab/>
            </w:r>
            <w:r>
              <w:rPr>
                <w:noProof/>
                <w:webHidden/>
              </w:rPr>
              <w:fldChar w:fldCharType="begin"/>
            </w:r>
            <w:r>
              <w:rPr>
                <w:noProof/>
                <w:webHidden/>
              </w:rPr>
              <w:instrText xml:space="preserve"> PAGEREF _Toc194059853 \h </w:instrText>
            </w:r>
            <w:r>
              <w:rPr>
                <w:noProof/>
                <w:webHidden/>
              </w:rPr>
            </w:r>
            <w:r>
              <w:rPr>
                <w:noProof/>
                <w:webHidden/>
              </w:rPr>
              <w:fldChar w:fldCharType="separate"/>
            </w:r>
            <w:r>
              <w:rPr>
                <w:noProof/>
                <w:webHidden/>
              </w:rPr>
              <w:t>100</w:t>
            </w:r>
            <w:r>
              <w:rPr>
                <w:noProof/>
                <w:webHidden/>
              </w:rPr>
              <w:fldChar w:fldCharType="end"/>
            </w:r>
          </w:hyperlink>
        </w:p>
        <w:p w14:paraId="79E3559F" w14:textId="5B781B66" w:rsidR="00F446E0" w:rsidRDefault="00F446E0" w:rsidP="00597239">
          <w:pPr>
            <w:pStyle w:val="Spistreci2"/>
            <w:rPr>
              <w:rFonts w:eastAsiaTheme="minorEastAsia"/>
              <w:noProof/>
              <w:kern w:val="2"/>
              <w:sz w:val="24"/>
              <w:szCs w:val="24"/>
              <w:lang w:eastAsia="pl-PL"/>
              <w14:ligatures w14:val="standardContextual"/>
            </w:rPr>
          </w:pPr>
          <w:hyperlink w:anchor="_Toc194059854" w:history="1">
            <w:r w:rsidRPr="00C5500D">
              <w:rPr>
                <w:rStyle w:val="Hipercze"/>
                <w:noProof/>
              </w:rPr>
              <w:t>4.</w:t>
            </w:r>
            <w:r>
              <w:rPr>
                <w:rFonts w:eastAsiaTheme="minorEastAsia"/>
                <w:noProof/>
                <w:kern w:val="2"/>
                <w:sz w:val="24"/>
                <w:szCs w:val="24"/>
                <w:lang w:eastAsia="pl-PL"/>
                <w14:ligatures w14:val="standardContextual"/>
              </w:rPr>
              <w:tab/>
            </w:r>
            <w:r w:rsidRPr="00C5500D">
              <w:rPr>
                <w:rStyle w:val="Hipercze"/>
                <w:noProof/>
              </w:rPr>
              <w:t>Narażenie na szkodliwe czynniki biologiczne w środowisku pracy</w:t>
            </w:r>
            <w:r>
              <w:rPr>
                <w:noProof/>
                <w:webHidden/>
              </w:rPr>
              <w:tab/>
            </w:r>
            <w:r>
              <w:rPr>
                <w:noProof/>
                <w:webHidden/>
              </w:rPr>
              <w:fldChar w:fldCharType="begin"/>
            </w:r>
            <w:r>
              <w:rPr>
                <w:noProof/>
                <w:webHidden/>
              </w:rPr>
              <w:instrText xml:space="preserve"> PAGEREF _Toc194059854 \h </w:instrText>
            </w:r>
            <w:r>
              <w:rPr>
                <w:noProof/>
                <w:webHidden/>
              </w:rPr>
            </w:r>
            <w:r>
              <w:rPr>
                <w:noProof/>
                <w:webHidden/>
              </w:rPr>
              <w:fldChar w:fldCharType="separate"/>
            </w:r>
            <w:r>
              <w:rPr>
                <w:noProof/>
                <w:webHidden/>
              </w:rPr>
              <w:t>101</w:t>
            </w:r>
            <w:r>
              <w:rPr>
                <w:noProof/>
                <w:webHidden/>
              </w:rPr>
              <w:fldChar w:fldCharType="end"/>
            </w:r>
          </w:hyperlink>
        </w:p>
        <w:p w14:paraId="2158BF75" w14:textId="4413A69C" w:rsidR="00F446E0" w:rsidRDefault="00F446E0" w:rsidP="00597239">
          <w:pPr>
            <w:pStyle w:val="Spistreci2"/>
            <w:rPr>
              <w:rFonts w:eastAsiaTheme="minorEastAsia"/>
              <w:noProof/>
              <w:kern w:val="2"/>
              <w:sz w:val="24"/>
              <w:szCs w:val="24"/>
              <w:lang w:eastAsia="pl-PL"/>
              <w14:ligatures w14:val="standardContextual"/>
            </w:rPr>
          </w:pPr>
          <w:hyperlink w:anchor="_Toc194059855" w:history="1">
            <w:r w:rsidRPr="00C5500D">
              <w:rPr>
                <w:rStyle w:val="Hipercze"/>
                <w:noProof/>
              </w:rPr>
              <w:t>5.</w:t>
            </w:r>
            <w:r>
              <w:rPr>
                <w:rFonts w:eastAsiaTheme="minorEastAsia"/>
                <w:noProof/>
                <w:kern w:val="2"/>
                <w:sz w:val="24"/>
                <w:szCs w:val="24"/>
                <w:lang w:eastAsia="pl-PL"/>
                <w14:ligatures w14:val="standardContextual"/>
              </w:rPr>
              <w:tab/>
            </w:r>
            <w:r w:rsidRPr="00C5500D">
              <w:rPr>
                <w:rStyle w:val="Hipercze"/>
                <w:noProof/>
              </w:rPr>
              <w:t>Stosowanie w działalności zawodowej chemikaliów</w:t>
            </w:r>
            <w:r>
              <w:rPr>
                <w:noProof/>
                <w:webHidden/>
              </w:rPr>
              <w:tab/>
            </w:r>
            <w:r>
              <w:rPr>
                <w:noProof/>
                <w:webHidden/>
              </w:rPr>
              <w:fldChar w:fldCharType="begin"/>
            </w:r>
            <w:r>
              <w:rPr>
                <w:noProof/>
                <w:webHidden/>
              </w:rPr>
              <w:instrText xml:space="preserve"> PAGEREF _Toc194059855 \h </w:instrText>
            </w:r>
            <w:r>
              <w:rPr>
                <w:noProof/>
                <w:webHidden/>
              </w:rPr>
            </w:r>
            <w:r>
              <w:rPr>
                <w:noProof/>
                <w:webHidden/>
              </w:rPr>
              <w:fldChar w:fldCharType="separate"/>
            </w:r>
            <w:r>
              <w:rPr>
                <w:noProof/>
                <w:webHidden/>
              </w:rPr>
              <w:t>103</w:t>
            </w:r>
            <w:r>
              <w:rPr>
                <w:noProof/>
                <w:webHidden/>
              </w:rPr>
              <w:fldChar w:fldCharType="end"/>
            </w:r>
          </w:hyperlink>
        </w:p>
        <w:p w14:paraId="64B5A75F" w14:textId="59F7A960" w:rsidR="00F446E0" w:rsidRDefault="00F446E0" w:rsidP="00597239">
          <w:pPr>
            <w:pStyle w:val="Spistreci2"/>
            <w:rPr>
              <w:rFonts w:eastAsiaTheme="minorEastAsia"/>
              <w:noProof/>
              <w:kern w:val="2"/>
              <w:sz w:val="24"/>
              <w:szCs w:val="24"/>
              <w:lang w:eastAsia="pl-PL"/>
              <w14:ligatures w14:val="standardContextual"/>
            </w:rPr>
          </w:pPr>
          <w:hyperlink w:anchor="_Toc194059856" w:history="1">
            <w:r w:rsidRPr="00C5500D">
              <w:rPr>
                <w:rStyle w:val="Hipercze"/>
                <w:noProof/>
              </w:rPr>
              <w:t>6.</w:t>
            </w:r>
            <w:r>
              <w:rPr>
                <w:rFonts w:eastAsiaTheme="minorEastAsia"/>
                <w:noProof/>
                <w:kern w:val="2"/>
                <w:sz w:val="24"/>
                <w:szCs w:val="24"/>
                <w:lang w:eastAsia="pl-PL"/>
                <w14:ligatures w14:val="standardContextual"/>
              </w:rPr>
              <w:tab/>
            </w:r>
            <w:r w:rsidRPr="00C5500D">
              <w:rPr>
                <w:rStyle w:val="Hipercze"/>
                <w:noProof/>
              </w:rPr>
              <w:t>Choroby zawodowe</w:t>
            </w:r>
            <w:r>
              <w:rPr>
                <w:noProof/>
                <w:webHidden/>
              </w:rPr>
              <w:tab/>
            </w:r>
            <w:r>
              <w:rPr>
                <w:noProof/>
                <w:webHidden/>
              </w:rPr>
              <w:fldChar w:fldCharType="begin"/>
            </w:r>
            <w:r>
              <w:rPr>
                <w:noProof/>
                <w:webHidden/>
              </w:rPr>
              <w:instrText xml:space="preserve"> PAGEREF _Toc194059856 \h </w:instrText>
            </w:r>
            <w:r>
              <w:rPr>
                <w:noProof/>
                <w:webHidden/>
              </w:rPr>
            </w:r>
            <w:r>
              <w:rPr>
                <w:noProof/>
                <w:webHidden/>
              </w:rPr>
              <w:fldChar w:fldCharType="separate"/>
            </w:r>
            <w:r>
              <w:rPr>
                <w:noProof/>
                <w:webHidden/>
              </w:rPr>
              <w:t>103</w:t>
            </w:r>
            <w:r>
              <w:rPr>
                <w:noProof/>
                <w:webHidden/>
              </w:rPr>
              <w:fldChar w:fldCharType="end"/>
            </w:r>
          </w:hyperlink>
        </w:p>
        <w:p w14:paraId="27E2C65F" w14:textId="0A67CCBA"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57" w:history="1">
            <w:r w:rsidRPr="00C5500D">
              <w:rPr>
                <w:rStyle w:val="Hipercze"/>
                <w:rFonts w:eastAsia="Times New Roman"/>
                <w:lang w:eastAsia="pl-PL"/>
              </w:rPr>
              <w:t>XI.</w:t>
            </w:r>
            <w:r>
              <w:rPr>
                <w:rFonts w:eastAsiaTheme="minorEastAsia"/>
                <w:b w:val="0"/>
                <w:bCs w:val="0"/>
                <w:color w:val="auto"/>
                <w:kern w:val="2"/>
                <w:sz w:val="24"/>
                <w:szCs w:val="24"/>
                <w:lang w:eastAsia="pl-PL"/>
                <w14:ligatures w14:val="standardContextual"/>
              </w:rPr>
              <w:tab/>
            </w:r>
            <w:r w:rsidRPr="00C5500D">
              <w:rPr>
                <w:rStyle w:val="Hipercze"/>
                <w:rFonts w:eastAsia="Times New Roman"/>
                <w:lang w:eastAsia="pl-PL"/>
              </w:rPr>
              <w:t>Higiena Radiacyjna</w:t>
            </w:r>
            <w:r>
              <w:rPr>
                <w:webHidden/>
              </w:rPr>
              <w:tab/>
            </w:r>
            <w:r>
              <w:rPr>
                <w:webHidden/>
              </w:rPr>
              <w:fldChar w:fldCharType="begin"/>
            </w:r>
            <w:r>
              <w:rPr>
                <w:webHidden/>
              </w:rPr>
              <w:instrText xml:space="preserve"> PAGEREF _Toc194059857 \h </w:instrText>
            </w:r>
            <w:r>
              <w:rPr>
                <w:webHidden/>
              </w:rPr>
            </w:r>
            <w:r>
              <w:rPr>
                <w:webHidden/>
              </w:rPr>
              <w:fldChar w:fldCharType="separate"/>
            </w:r>
            <w:r>
              <w:rPr>
                <w:webHidden/>
              </w:rPr>
              <w:t>106</w:t>
            </w:r>
            <w:r>
              <w:rPr>
                <w:webHidden/>
              </w:rPr>
              <w:fldChar w:fldCharType="end"/>
            </w:r>
          </w:hyperlink>
        </w:p>
        <w:p w14:paraId="41E102B4" w14:textId="28200907" w:rsidR="00F446E0" w:rsidRDefault="00F446E0" w:rsidP="00597239">
          <w:pPr>
            <w:pStyle w:val="Spistreci2"/>
            <w:rPr>
              <w:rFonts w:eastAsiaTheme="minorEastAsia"/>
              <w:noProof/>
              <w:kern w:val="2"/>
              <w:sz w:val="24"/>
              <w:szCs w:val="24"/>
              <w:lang w:eastAsia="pl-PL"/>
              <w14:ligatures w14:val="standardContextual"/>
            </w:rPr>
          </w:pPr>
          <w:hyperlink w:anchor="_Toc194059858" w:history="1">
            <w:r w:rsidRPr="00C5500D">
              <w:rPr>
                <w:rStyle w:val="Hipercze"/>
                <w:rFonts w:eastAsia="Times New Roman"/>
                <w:noProof/>
                <w:lang w:eastAsia="pl-PL"/>
              </w:rPr>
              <w:t>1.</w:t>
            </w:r>
            <w:r>
              <w:rPr>
                <w:rFonts w:eastAsiaTheme="minorEastAsia"/>
                <w:noProof/>
                <w:kern w:val="2"/>
                <w:sz w:val="24"/>
                <w:szCs w:val="24"/>
                <w:lang w:eastAsia="pl-PL"/>
                <w14:ligatures w14:val="standardContextual"/>
              </w:rPr>
              <w:tab/>
            </w:r>
            <w:r w:rsidRPr="00C5500D">
              <w:rPr>
                <w:rStyle w:val="Hipercze"/>
                <w:rFonts w:eastAsia="Times New Roman"/>
                <w:noProof/>
                <w:lang w:eastAsia="pl-PL"/>
              </w:rPr>
              <w:t>Promieniowanie jonizujące</w:t>
            </w:r>
            <w:r>
              <w:rPr>
                <w:noProof/>
                <w:webHidden/>
              </w:rPr>
              <w:tab/>
            </w:r>
            <w:r>
              <w:rPr>
                <w:noProof/>
                <w:webHidden/>
              </w:rPr>
              <w:fldChar w:fldCharType="begin"/>
            </w:r>
            <w:r>
              <w:rPr>
                <w:noProof/>
                <w:webHidden/>
              </w:rPr>
              <w:instrText xml:space="preserve"> PAGEREF _Toc194059858 \h </w:instrText>
            </w:r>
            <w:r>
              <w:rPr>
                <w:noProof/>
                <w:webHidden/>
              </w:rPr>
            </w:r>
            <w:r>
              <w:rPr>
                <w:noProof/>
                <w:webHidden/>
              </w:rPr>
              <w:fldChar w:fldCharType="separate"/>
            </w:r>
            <w:r>
              <w:rPr>
                <w:noProof/>
                <w:webHidden/>
              </w:rPr>
              <w:t>106</w:t>
            </w:r>
            <w:r>
              <w:rPr>
                <w:noProof/>
                <w:webHidden/>
              </w:rPr>
              <w:fldChar w:fldCharType="end"/>
            </w:r>
          </w:hyperlink>
        </w:p>
        <w:p w14:paraId="70318536" w14:textId="76669096" w:rsidR="00F446E0" w:rsidRDefault="00F446E0" w:rsidP="00597239">
          <w:pPr>
            <w:pStyle w:val="Spistreci2"/>
            <w:rPr>
              <w:rFonts w:eastAsiaTheme="minorEastAsia"/>
              <w:noProof/>
              <w:kern w:val="2"/>
              <w:sz w:val="24"/>
              <w:szCs w:val="24"/>
              <w:lang w:eastAsia="pl-PL"/>
              <w14:ligatures w14:val="standardContextual"/>
            </w:rPr>
          </w:pPr>
          <w:hyperlink w:anchor="_Toc194059859"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Promieniowanie niejonizujące (Pole elektromagnetyczne)</w:t>
            </w:r>
            <w:r>
              <w:rPr>
                <w:noProof/>
                <w:webHidden/>
              </w:rPr>
              <w:tab/>
            </w:r>
            <w:r>
              <w:rPr>
                <w:noProof/>
                <w:webHidden/>
              </w:rPr>
              <w:fldChar w:fldCharType="begin"/>
            </w:r>
            <w:r>
              <w:rPr>
                <w:noProof/>
                <w:webHidden/>
              </w:rPr>
              <w:instrText xml:space="preserve"> PAGEREF _Toc194059859 \h </w:instrText>
            </w:r>
            <w:r>
              <w:rPr>
                <w:noProof/>
                <w:webHidden/>
              </w:rPr>
            </w:r>
            <w:r>
              <w:rPr>
                <w:noProof/>
                <w:webHidden/>
              </w:rPr>
              <w:fldChar w:fldCharType="separate"/>
            </w:r>
            <w:r>
              <w:rPr>
                <w:noProof/>
                <w:webHidden/>
              </w:rPr>
              <w:t>108</w:t>
            </w:r>
            <w:r>
              <w:rPr>
                <w:noProof/>
                <w:webHidden/>
              </w:rPr>
              <w:fldChar w:fldCharType="end"/>
            </w:r>
          </w:hyperlink>
        </w:p>
        <w:p w14:paraId="36D04FF2" w14:textId="59EE771C" w:rsidR="00F446E0" w:rsidRDefault="00F446E0" w:rsidP="00597239">
          <w:pPr>
            <w:pStyle w:val="Spistreci2"/>
            <w:rPr>
              <w:rFonts w:eastAsiaTheme="minorEastAsia"/>
              <w:noProof/>
              <w:kern w:val="2"/>
              <w:sz w:val="24"/>
              <w:szCs w:val="24"/>
              <w:lang w:eastAsia="pl-PL"/>
              <w14:ligatures w14:val="standardContextual"/>
            </w:rPr>
          </w:pPr>
          <w:hyperlink w:anchor="_Toc194059860"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Skażenia promieniotwórcze</w:t>
            </w:r>
            <w:r>
              <w:rPr>
                <w:noProof/>
                <w:webHidden/>
              </w:rPr>
              <w:tab/>
            </w:r>
            <w:r>
              <w:rPr>
                <w:noProof/>
                <w:webHidden/>
              </w:rPr>
              <w:fldChar w:fldCharType="begin"/>
            </w:r>
            <w:r>
              <w:rPr>
                <w:noProof/>
                <w:webHidden/>
              </w:rPr>
              <w:instrText xml:space="preserve"> PAGEREF _Toc194059860 \h </w:instrText>
            </w:r>
            <w:r>
              <w:rPr>
                <w:noProof/>
                <w:webHidden/>
              </w:rPr>
            </w:r>
            <w:r>
              <w:rPr>
                <w:noProof/>
                <w:webHidden/>
              </w:rPr>
              <w:fldChar w:fldCharType="separate"/>
            </w:r>
            <w:r>
              <w:rPr>
                <w:noProof/>
                <w:webHidden/>
              </w:rPr>
              <w:t>108</w:t>
            </w:r>
            <w:r>
              <w:rPr>
                <w:noProof/>
                <w:webHidden/>
              </w:rPr>
              <w:fldChar w:fldCharType="end"/>
            </w:r>
          </w:hyperlink>
        </w:p>
        <w:p w14:paraId="7097BCF8" w14:textId="05B5EDE6"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61" w:history="1">
            <w:r w:rsidRPr="00C5500D">
              <w:rPr>
                <w:rStyle w:val="Hipercze"/>
              </w:rPr>
              <w:t>XII.</w:t>
            </w:r>
            <w:r>
              <w:rPr>
                <w:rFonts w:eastAsiaTheme="minorEastAsia"/>
                <w:b w:val="0"/>
                <w:bCs w:val="0"/>
                <w:color w:val="auto"/>
                <w:kern w:val="2"/>
                <w:sz w:val="24"/>
                <w:szCs w:val="24"/>
                <w:lang w:eastAsia="pl-PL"/>
                <w14:ligatures w14:val="standardContextual"/>
              </w:rPr>
              <w:tab/>
            </w:r>
            <w:r w:rsidRPr="00C5500D">
              <w:rPr>
                <w:rStyle w:val="Hipercze"/>
              </w:rPr>
              <w:t>Nadzór nad Chemikaliami</w:t>
            </w:r>
            <w:r>
              <w:rPr>
                <w:webHidden/>
              </w:rPr>
              <w:tab/>
            </w:r>
            <w:r>
              <w:rPr>
                <w:webHidden/>
              </w:rPr>
              <w:fldChar w:fldCharType="begin"/>
            </w:r>
            <w:r>
              <w:rPr>
                <w:webHidden/>
              </w:rPr>
              <w:instrText xml:space="preserve"> PAGEREF _Toc194059861 \h </w:instrText>
            </w:r>
            <w:r>
              <w:rPr>
                <w:webHidden/>
              </w:rPr>
            </w:r>
            <w:r>
              <w:rPr>
                <w:webHidden/>
              </w:rPr>
              <w:fldChar w:fldCharType="separate"/>
            </w:r>
            <w:r>
              <w:rPr>
                <w:webHidden/>
              </w:rPr>
              <w:t>111</w:t>
            </w:r>
            <w:r>
              <w:rPr>
                <w:webHidden/>
              </w:rPr>
              <w:fldChar w:fldCharType="end"/>
            </w:r>
          </w:hyperlink>
        </w:p>
        <w:p w14:paraId="08396FEE" w14:textId="5C1DA748" w:rsidR="00F446E0" w:rsidRDefault="00F446E0" w:rsidP="00597239">
          <w:pPr>
            <w:pStyle w:val="Spistreci2"/>
            <w:rPr>
              <w:rFonts w:eastAsiaTheme="minorEastAsia"/>
              <w:noProof/>
              <w:kern w:val="2"/>
              <w:sz w:val="24"/>
              <w:szCs w:val="24"/>
              <w:lang w:eastAsia="pl-PL"/>
              <w14:ligatures w14:val="standardContextual"/>
            </w:rPr>
          </w:pPr>
          <w:hyperlink w:anchor="_Toc194059862"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Substancje chemiczne i ich mieszaniny</w:t>
            </w:r>
            <w:r>
              <w:rPr>
                <w:noProof/>
                <w:webHidden/>
              </w:rPr>
              <w:tab/>
            </w:r>
            <w:r>
              <w:rPr>
                <w:noProof/>
                <w:webHidden/>
              </w:rPr>
              <w:fldChar w:fldCharType="begin"/>
            </w:r>
            <w:r>
              <w:rPr>
                <w:noProof/>
                <w:webHidden/>
              </w:rPr>
              <w:instrText xml:space="preserve"> PAGEREF _Toc194059862 \h </w:instrText>
            </w:r>
            <w:r>
              <w:rPr>
                <w:noProof/>
                <w:webHidden/>
              </w:rPr>
            </w:r>
            <w:r>
              <w:rPr>
                <w:noProof/>
                <w:webHidden/>
              </w:rPr>
              <w:fldChar w:fldCharType="separate"/>
            </w:r>
            <w:r>
              <w:rPr>
                <w:noProof/>
                <w:webHidden/>
              </w:rPr>
              <w:t>111</w:t>
            </w:r>
            <w:r>
              <w:rPr>
                <w:noProof/>
                <w:webHidden/>
              </w:rPr>
              <w:fldChar w:fldCharType="end"/>
            </w:r>
          </w:hyperlink>
        </w:p>
        <w:p w14:paraId="1E87BE6D" w14:textId="5027A1C0" w:rsidR="00F446E0" w:rsidRDefault="00F446E0" w:rsidP="00597239">
          <w:pPr>
            <w:pStyle w:val="Spistreci2"/>
            <w:rPr>
              <w:rFonts w:eastAsiaTheme="minorEastAsia"/>
              <w:noProof/>
              <w:kern w:val="2"/>
              <w:sz w:val="24"/>
              <w:szCs w:val="24"/>
              <w:lang w:eastAsia="pl-PL"/>
              <w14:ligatures w14:val="standardContextual"/>
            </w:rPr>
          </w:pPr>
          <w:hyperlink w:anchor="_Toc194059863"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Produkty biobójcze</w:t>
            </w:r>
            <w:r>
              <w:rPr>
                <w:noProof/>
                <w:webHidden/>
              </w:rPr>
              <w:tab/>
            </w:r>
            <w:r>
              <w:rPr>
                <w:noProof/>
                <w:webHidden/>
              </w:rPr>
              <w:fldChar w:fldCharType="begin"/>
            </w:r>
            <w:r>
              <w:rPr>
                <w:noProof/>
                <w:webHidden/>
              </w:rPr>
              <w:instrText xml:space="preserve"> PAGEREF _Toc194059863 \h </w:instrText>
            </w:r>
            <w:r>
              <w:rPr>
                <w:noProof/>
                <w:webHidden/>
              </w:rPr>
            </w:r>
            <w:r>
              <w:rPr>
                <w:noProof/>
                <w:webHidden/>
              </w:rPr>
              <w:fldChar w:fldCharType="separate"/>
            </w:r>
            <w:r>
              <w:rPr>
                <w:noProof/>
                <w:webHidden/>
              </w:rPr>
              <w:t>111</w:t>
            </w:r>
            <w:r>
              <w:rPr>
                <w:noProof/>
                <w:webHidden/>
              </w:rPr>
              <w:fldChar w:fldCharType="end"/>
            </w:r>
          </w:hyperlink>
        </w:p>
        <w:p w14:paraId="58A12194" w14:textId="5BC53F1A" w:rsidR="00F446E0" w:rsidRDefault="00F446E0" w:rsidP="00597239">
          <w:pPr>
            <w:pStyle w:val="Spistreci2"/>
            <w:rPr>
              <w:rFonts w:eastAsiaTheme="minorEastAsia"/>
              <w:noProof/>
              <w:kern w:val="2"/>
              <w:sz w:val="24"/>
              <w:szCs w:val="24"/>
              <w:lang w:eastAsia="pl-PL"/>
              <w14:ligatures w14:val="standardContextual"/>
            </w:rPr>
          </w:pPr>
          <w:hyperlink w:anchor="_Toc194059864"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Produkty kosmetyczne</w:t>
            </w:r>
            <w:r>
              <w:rPr>
                <w:noProof/>
                <w:webHidden/>
              </w:rPr>
              <w:tab/>
            </w:r>
            <w:r>
              <w:rPr>
                <w:noProof/>
                <w:webHidden/>
              </w:rPr>
              <w:fldChar w:fldCharType="begin"/>
            </w:r>
            <w:r>
              <w:rPr>
                <w:noProof/>
                <w:webHidden/>
              </w:rPr>
              <w:instrText xml:space="preserve"> PAGEREF _Toc194059864 \h </w:instrText>
            </w:r>
            <w:r>
              <w:rPr>
                <w:noProof/>
                <w:webHidden/>
              </w:rPr>
            </w:r>
            <w:r>
              <w:rPr>
                <w:noProof/>
                <w:webHidden/>
              </w:rPr>
              <w:fldChar w:fldCharType="separate"/>
            </w:r>
            <w:r>
              <w:rPr>
                <w:noProof/>
                <w:webHidden/>
              </w:rPr>
              <w:t>112</w:t>
            </w:r>
            <w:r>
              <w:rPr>
                <w:noProof/>
                <w:webHidden/>
              </w:rPr>
              <w:fldChar w:fldCharType="end"/>
            </w:r>
          </w:hyperlink>
        </w:p>
        <w:p w14:paraId="38921DA2" w14:textId="4F0A5F81" w:rsidR="00F446E0" w:rsidRDefault="00F446E0" w:rsidP="00597239">
          <w:pPr>
            <w:pStyle w:val="Spistreci2"/>
            <w:rPr>
              <w:rFonts w:eastAsiaTheme="minorEastAsia"/>
              <w:noProof/>
              <w:kern w:val="2"/>
              <w:sz w:val="24"/>
              <w:szCs w:val="24"/>
              <w:lang w:eastAsia="pl-PL"/>
              <w14:ligatures w14:val="standardContextual"/>
            </w:rPr>
          </w:pPr>
          <w:hyperlink w:anchor="_Toc194059865" w:history="1">
            <w:r w:rsidRPr="00C5500D">
              <w:rPr>
                <w:rStyle w:val="Hipercze"/>
                <w:noProof/>
              </w:rPr>
              <w:t>4.</w:t>
            </w:r>
            <w:r>
              <w:rPr>
                <w:rFonts w:eastAsiaTheme="minorEastAsia"/>
                <w:noProof/>
                <w:kern w:val="2"/>
                <w:sz w:val="24"/>
                <w:szCs w:val="24"/>
                <w:lang w:eastAsia="pl-PL"/>
                <w14:ligatures w14:val="standardContextual"/>
              </w:rPr>
              <w:tab/>
            </w:r>
            <w:r w:rsidRPr="00C5500D">
              <w:rPr>
                <w:rStyle w:val="Hipercze"/>
                <w:noProof/>
              </w:rPr>
              <w:t>Środki zastępcze, nowe substancje psychoaktywne oraz prekursory narkotyków kat. 2 i 3</w:t>
            </w:r>
            <w:r>
              <w:rPr>
                <w:noProof/>
                <w:webHidden/>
              </w:rPr>
              <w:tab/>
            </w:r>
            <w:r>
              <w:rPr>
                <w:noProof/>
                <w:webHidden/>
              </w:rPr>
              <w:fldChar w:fldCharType="begin"/>
            </w:r>
            <w:r>
              <w:rPr>
                <w:noProof/>
                <w:webHidden/>
              </w:rPr>
              <w:instrText xml:space="preserve"> PAGEREF _Toc194059865 \h </w:instrText>
            </w:r>
            <w:r>
              <w:rPr>
                <w:noProof/>
                <w:webHidden/>
              </w:rPr>
            </w:r>
            <w:r>
              <w:rPr>
                <w:noProof/>
                <w:webHidden/>
              </w:rPr>
              <w:fldChar w:fldCharType="separate"/>
            </w:r>
            <w:r>
              <w:rPr>
                <w:noProof/>
                <w:webHidden/>
              </w:rPr>
              <w:t>112</w:t>
            </w:r>
            <w:r>
              <w:rPr>
                <w:noProof/>
                <w:webHidden/>
              </w:rPr>
              <w:fldChar w:fldCharType="end"/>
            </w:r>
          </w:hyperlink>
        </w:p>
        <w:p w14:paraId="588794C9" w14:textId="6E2D65B8"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66" w:history="1">
            <w:r w:rsidRPr="00C5500D">
              <w:rPr>
                <w:rStyle w:val="Hipercze"/>
              </w:rPr>
              <w:t>XIII.</w:t>
            </w:r>
            <w:r>
              <w:rPr>
                <w:rFonts w:eastAsiaTheme="minorEastAsia"/>
                <w:b w:val="0"/>
                <w:bCs w:val="0"/>
                <w:color w:val="auto"/>
                <w:kern w:val="2"/>
                <w:sz w:val="24"/>
                <w:szCs w:val="24"/>
                <w:lang w:eastAsia="pl-PL"/>
                <w14:ligatures w14:val="standardContextual"/>
              </w:rPr>
              <w:tab/>
            </w:r>
            <w:r w:rsidRPr="00C5500D">
              <w:rPr>
                <w:rStyle w:val="Hipercze"/>
              </w:rPr>
              <w:t>Zapobiegawczy Nadzór Sanitarny</w:t>
            </w:r>
            <w:r>
              <w:rPr>
                <w:webHidden/>
              </w:rPr>
              <w:tab/>
            </w:r>
            <w:r>
              <w:rPr>
                <w:webHidden/>
              </w:rPr>
              <w:fldChar w:fldCharType="begin"/>
            </w:r>
            <w:r>
              <w:rPr>
                <w:webHidden/>
              </w:rPr>
              <w:instrText xml:space="preserve"> PAGEREF _Toc194059866 \h </w:instrText>
            </w:r>
            <w:r>
              <w:rPr>
                <w:webHidden/>
              </w:rPr>
            </w:r>
            <w:r>
              <w:rPr>
                <w:webHidden/>
              </w:rPr>
              <w:fldChar w:fldCharType="separate"/>
            </w:r>
            <w:r>
              <w:rPr>
                <w:webHidden/>
              </w:rPr>
              <w:t>116</w:t>
            </w:r>
            <w:r>
              <w:rPr>
                <w:webHidden/>
              </w:rPr>
              <w:fldChar w:fldCharType="end"/>
            </w:r>
          </w:hyperlink>
        </w:p>
        <w:p w14:paraId="6463C10D" w14:textId="40F2F9B1" w:rsidR="00F446E0" w:rsidRDefault="00F446E0" w:rsidP="00597239">
          <w:pPr>
            <w:pStyle w:val="Spistreci2"/>
            <w:rPr>
              <w:rFonts w:eastAsiaTheme="minorEastAsia"/>
              <w:noProof/>
              <w:kern w:val="2"/>
              <w:sz w:val="24"/>
              <w:szCs w:val="24"/>
              <w:lang w:eastAsia="pl-PL"/>
              <w14:ligatures w14:val="standardContextual"/>
            </w:rPr>
          </w:pPr>
          <w:hyperlink w:anchor="_Toc194059867"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Zakres i cel sprawowania zapobiegawczego nadzoru sanitarnego</w:t>
            </w:r>
            <w:r>
              <w:rPr>
                <w:noProof/>
                <w:webHidden/>
              </w:rPr>
              <w:tab/>
            </w:r>
            <w:r>
              <w:rPr>
                <w:noProof/>
                <w:webHidden/>
              </w:rPr>
              <w:fldChar w:fldCharType="begin"/>
            </w:r>
            <w:r>
              <w:rPr>
                <w:noProof/>
                <w:webHidden/>
              </w:rPr>
              <w:instrText xml:space="preserve"> PAGEREF _Toc194059867 \h </w:instrText>
            </w:r>
            <w:r>
              <w:rPr>
                <w:noProof/>
                <w:webHidden/>
              </w:rPr>
            </w:r>
            <w:r>
              <w:rPr>
                <w:noProof/>
                <w:webHidden/>
              </w:rPr>
              <w:fldChar w:fldCharType="separate"/>
            </w:r>
            <w:r>
              <w:rPr>
                <w:noProof/>
                <w:webHidden/>
              </w:rPr>
              <w:t>116</w:t>
            </w:r>
            <w:r>
              <w:rPr>
                <w:noProof/>
                <w:webHidden/>
              </w:rPr>
              <w:fldChar w:fldCharType="end"/>
            </w:r>
          </w:hyperlink>
        </w:p>
        <w:p w14:paraId="61F20E5A" w14:textId="47777EC5" w:rsidR="00F446E0" w:rsidRDefault="00F446E0" w:rsidP="00597239">
          <w:pPr>
            <w:pStyle w:val="Spistreci2"/>
            <w:rPr>
              <w:rFonts w:eastAsiaTheme="minorEastAsia"/>
              <w:noProof/>
              <w:kern w:val="2"/>
              <w:sz w:val="24"/>
              <w:szCs w:val="24"/>
              <w:lang w:eastAsia="pl-PL"/>
              <w14:ligatures w14:val="standardContextual"/>
            </w:rPr>
          </w:pPr>
          <w:hyperlink w:anchor="_Toc194059868"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Działania Państwowej Inspekcji Sanitarnej w ramach zapobiegawczego nadzoru sanitarnego</w:t>
            </w:r>
            <w:r>
              <w:rPr>
                <w:noProof/>
                <w:webHidden/>
              </w:rPr>
              <w:tab/>
            </w:r>
            <w:r>
              <w:rPr>
                <w:noProof/>
                <w:webHidden/>
              </w:rPr>
              <w:fldChar w:fldCharType="begin"/>
            </w:r>
            <w:r>
              <w:rPr>
                <w:noProof/>
                <w:webHidden/>
              </w:rPr>
              <w:instrText xml:space="preserve"> PAGEREF _Toc194059868 \h </w:instrText>
            </w:r>
            <w:r>
              <w:rPr>
                <w:noProof/>
                <w:webHidden/>
              </w:rPr>
            </w:r>
            <w:r>
              <w:rPr>
                <w:noProof/>
                <w:webHidden/>
              </w:rPr>
              <w:fldChar w:fldCharType="separate"/>
            </w:r>
            <w:r>
              <w:rPr>
                <w:noProof/>
                <w:webHidden/>
              </w:rPr>
              <w:t>116</w:t>
            </w:r>
            <w:r>
              <w:rPr>
                <w:noProof/>
                <w:webHidden/>
              </w:rPr>
              <w:fldChar w:fldCharType="end"/>
            </w:r>
          </w:hyperlink>
        </w:p>
        <w:p w14:paraId="1E1D6B7D" w14:textId="5EBE4F7E" w:rsidR="00F446E0" w:rsidRDefault="00F446E0" w:rsidP="00597239">
          <w:pPr>
            <w:pStyle w:val="Spistreci3"/>
            <w:rPr>
              <w:rFonts w:eastAsiaTheme="minorEastAsia"/>
              <w:noProof/>
              <w:kern w:val="2"/>
              <w:sz w:val="24"/>
              <w:szCs w:val="24"/>
              <w:lang w:eastAsia="pl-PL"/>
              <w14:ligatures w14:val="standardContextual"/>
            </w:rPr>
          </w:pPr>
          <w:hyperlink w:anchor="_Toc194059869" w:history="1">
            <w:r w:rsidRPr="00C5500D">
              <w:rPr>
                <w:rStyle w:val="Hipercze"/>
                <w:noProof/>
              </w:rPr>
              <w:t>2.1.</w:t>
            </w:r>
            <w:r>
              <w:rPr>
                <w:rFonts w:eastAsiaTheme="minorEastAsia"/>
                <w:noProof/>
                <w:kern w:val="2"/>
                <w:sz w:val="24"/>
                <w:szCs w:val="24"/>
                <w:lang w:eastAsia="pl-PL"/>
                <w14:ligatures w14:val="standardContextual"/>
              </w:rPr>
              <w:tab/>
            </w:r>
            <w:r w:rsidRPr="00C5500D">
              <w:rPr>
                <w:rStyle w:val="Hipercze"/>
                <w:noProof/>
              </w:rPr>
              <w:t>Stanowiska zajmowane w ramach strategicznej oceny oddziaływania na środowisko</w:t>
            </w:r>
            <w:r>
              <w:rPr>
                <w:noProof/>
                <w:webHidden/>
              </w:rPr>
              <w:tab/>
            </w:r>
            <w:r>
              <w:rPr>
                <w:noProof/>
                <w:webHidden/>
              </w:rPr>
              <w:fldChar w:fldCharType="begin"/>
            </w:r>
            <w:r>
              <w:rPr>
                <w:noProof/>
                <w:webHidden/>
              </w:rPr>
              <w:instrText xml:space="preserve"> PAGEREF _Toc194059869 \h </w:instrText>
            </w:r>
            <w:r>
              <w:rPr>
                <w:noProof/>
                <w:webHidden/>
              </w:rPr>
            </w:r>
            <w:r>
              <w:rPr>
                <w:noProof/>
                <w:webHidden/>
              </w:rPr>
              <w:fldChar w:fldCharType="separate"/>
            </w:r>
            <w:r>
              <w:rPr>
                <w:noProof/>
                <w:webHidden/>
              </w:rPr>
              <w:t>116</w:t>
            </w:r>
            <w:r>
              <w:rPr>
                <w:noProof/>
                <w:webHidden/>
              </w:rPr>
              <w:fldChar w:fldCharType="end"/>
            </w:r>
          </w:hyperlink>
        </w:p>
        <w:p w14:paraId="69B15740" w14:textId="1F0FCDF3" w:rsidR="00F446E0" w:rsidRDefault="00F446E0" w:rsidP="00597239">
          <w:pPr>
            <w:pStyle w:val="Spistreci3"/>
            <w:rPr>
              <w:rFonts w:eastAsiaTheme="minorEastAsia"/>
              <w:noProof/>
              <w:kern w:val="2"/>
              <w:sz w:val="24"/>
              <w:szCs w:val="24"/>
              <w:lang w:eastAsia="pl-PL"/>
              <w14:ligatures w14:val="standardContextual"/>
            </w:rPr>
          </w:pPr>
          <w:hyperlink w:anchor="_Toc194059870" w:history="1">
            <w:r w:rsidRPr="00C5500D">
              <w:rPr>
                <w:rStyle w:val="Hipercze"/>
                <w:noProof/>
              </w:rPr>
              <w:t>2.2.</w:t>
            </w:r>
            <w:r>
              <w:rPr>
                <w:rFonts w:eastAsiaTheme="minorEastAsia"/>
                <w:noProof/>
                <w:kern w:val="2"/>
                <w:sz w:val="24"/>
                <w:szCs w:val="24"/>
                <w:lang w:eastAsia="pl-PL"/>
                <w14:ligatures w14:val="standardContextual"/>
              </w:rPr>
              <w:tab/>
            </w:r>
            <w:r w:rsidRPr="00C5500D">
              <w:rPr>
                <w:rStyle w:val="Hipercze"/>
                <w:noProof/>
              </w:rPr>
              <w:t>Stanowiska dotyczące projektów studium uwarunkowań i kierunków zagospodarowania przestrzennego gminy i projektów planów zagospodarowania przestrzennego gminy, w innym trybie niż strategiczna ocena oddziaływania na środowisko</w:t>
            </w:r>
            <w:r>
              <w:rPr>
                <w:noProof/>
                <w:webHidden/>
              </w:rPr>
              <w:tab/>
            </w:r>
            <w:r>
              <w:rPr>
                <w:noProof/>
                <w:webHidden/>
              </w:rPr>
              <w:fldChar w:fldCharType="begin"/>
            </w:r>
            <w:r>
              <w:rPr>
                <w:noProof/>
                <w:webHidden/>
              </w:rPr>
              <w:instrText xml:space="preserve"> PAGEREF _Toc194059870 \h </w:instrText>
            </w:r>
            <w:r>
              <w:rPr>
                <w:noProof/>
                <w:webHidden/>
              </w:rPr>
            </w:r>
            <w:r>
              <w:rPr>
                <w:noProof/>
                <w:webHidden/>
              </w:rPr>
              <w:fldChar w:fldCharType="separate"/>
            </w:r>
            <w:r>
              <w:rPr>
                <w:noProof/>
                <w:webHidden/>
              </w:rPr>
              <w:t>116</w:t>
            </w:r>
            <w:r>
              <w:rPr>
                <w:noProof/>
                <w:webHidden/>
              </w:rPr>
              <w:fldChar w:fldCharType="end"/>
            </w:r>
          </w:hyperlink>
        </w:p>
        <w:p w14:paraId="536D1EF8" w14:textId="67F874A4" w:rsidR="00F446E0" w:rsidRDefault="00F446E0" w:rsidP="00597239">
          <w:pPr>
            <w:pStyle w:val="Spistreci3"/>
            <w:rPr>
              <w:rFonts w:eastAsiaTheme="minorEastAsia"/>
              <w:noProof/>
              <w:kern w:val="2"/>
              <w:sz w:val="24"/>
              <w:szCs w:val="24"/>
              <w:lang w:eastAsia="pl-PL"/>
              <w14:ligatures w14:val="standardContextual"/>
            </w:rPr>
          </w:pPr>
          <w:hyperlink w:anchor="_Toc194059871" w:history="1">
            <w:r w:rsidRPr="00C5500D">
              <w:rPr>
                <w:rStyle w:val="Hipercze"/>
                <w:noProof/>
              </w:rPr>
              <w:t>2.3.</w:t>
            </w:r>
            <w:r>
              <w:rPr>
                <w:rFonts w:eastAsiaTheme="minorEastAsia"/>
                <w:noProof/>
                <w:kern w:val="2"/>
                <w:sz w:val="24"/>
                <w:szCs w:val="24"/>
                <w:lang w:eastAsia="pl-PL"/>
                <w14:ligatures w14:val="standardContextual"/>
              </w:rPr>
              <w:tab/>
            </w:r>
            <w:r w:rsidRPr="00C5500D">
              <w:rPr>
                <w:rStyle w:val="Hipercze"/>
                <w:noProof/>
              </w:rPr>
              <w:t>Stanowiska dotyczące projektów planów remediacji, przeprowadzania działań naprawczych w środowisku oraz projektów gminnych programów rewitalizacji</w:t>
            </w:r>
            <w:r>
              <w:rPr>
                <w:noProof/>
                <w:webHidden/>
              </w:rPr>
              <w:tab/>
            </w:r>
            <w:r>
              <w:rPr>
                <w:noProof/>
                <w:webHidden/>
              </w:rPr>
              <w:fldChar w:fldCharType="begin"/>
            </w:r>
            <w:r>
              <w:rPr>
                <w:noProof/>
                <w:webHidden/>
              </w:rPr>
              <w:instrText xml:space="preserve"> PAGEREF _Toc194059871 \h </w:instrText>
            </w:r>
            <w:r>
              <w:rPr>
                <w:noProof/>
                <w:webHidden/>
              </w:rPr>
            </w:r>
            <w:r>
              <w:rPr>
                <w:noProof/>
                <w:webHidden/>
              </w:rPr>
              <w:fldChar w:fldCharType="separate"/>
            </w:r>
            <w:r>
              <w:rPr>
                <w:noProof/>
                <w:webHidden/>
              </w:rPr>
              <w:t>117</w:t>
            </w:r>
            <w:r>
              <w:rPr>
                <w:noProof/>
                <w:webHidden/>
              </w:rPr>
              <w:fldChar w:fldCharType="end"/>
            </w:r>
          </w:hyperlink>
        </w:p>
        <w:p w14:paraId="1C49FF71" w14:textId="1408D958" w:rsidR="00F446E0" w:rsidRDefault="00F446E0" w:rsidP="00597239">
          <w:pPr>
            <w:pStyle w:val="Spistreci3"/>
            <w:rPr>
              <w:rFonts w:eastAsiaTheme="minorEastAsia"/>
              <w:noProof/>
              <w:kern w:val="2"/>
              <w:sz w:val="24"/>
              <w:szCs w:val="24"/>
              <w:lang w:eastAsia="pl-PL"/>
              <w14:ligatures w14:val="standardContextual"/>
            </w:rPr>
          </w:pPr>
          <w:hyperlink w:anchor="_Toc194059872" w:history="1">
            <w:r w:rsidRPr="00C5500D">
              <w:rPr>
                <w:rStyle w:val="Hipercze"/>
                <w:noProof/>
              </w:rPr>
              <w:t>2.4.</w:t>
            </w:r>
            <w:r>
              <w:rPr>
                <w:rFonts w:eastAsiaTheme="minorEastAsia"/>
                <w:noProof/>
                <w:kern w:val="2"/>
                <w:sz w:val="24"/>
                <w:szCs w:val="24"/>
                <w:lang w:eastAsia="pl-PL"/>
                <w14:ligatures w14:val="standardContextual"/>
              </w:rPr>
              <w:tab/>
            </w:r>
            <w:r w:rsidRPr="00C5500D">
              <w:rPr>
                <w:rStyle w:val="Hipercze"/>
                <w:noProof/>
              </w:rPr>
              <w:t>Ocena oddziaływania przedsięwzięć mogących znacząco oddziaływać na środowisko</w:t>
            </w:r>
            <w:r>
              <w:rPr>
                <w:noProof/>
                <w:webHidden/>
              </w:rPr>
              <w:tab/>
            </w:r>
            <w:r>
              <w:rPr>
                <w:noProof/>
                <w:webHidden/>
              </w:rPr>
              <w:fldChar w:fldCharType="begin"/>
            </w:r>
            <w:r>
              <w:rPr>
                <w:noProof/>
                <w:webHidden/>
              </w:rPr>
              <w:instrText xml:space="preserve"> PAGEREF _Toc194059872 \h </w:instrText>
            </w:r>
            <w:r>
              <w:rPr>
                <w:noProof/>
                <w:webHidden/>
              </w:rPr>
            </w:r>
            <w:r>
              <w:rPr>
                <w:noProof/>
                <w:webHidden/>
              </w:rPr>
              <w:fldChar w:fldCharType="separate"/>
            </w:r>
            <w:r>
              <w:rPr>
                <w:noProof/>
                <w:webHidden/>
              </w:rPr>
              <w:t>117</w:t>
            </w:r>
            <w:r>
              <w:rPr>
                <w:noProof/>
                <w:webHidden/>
              </w:rPr>
              <w:fldChar w:fldCharType="end"/>
            </w:r>
          </w:hyperlink>
        </w:p>
        <w:p w14:paraId="5DD94261" w14:textId="7986ED88" w:rsidR="00F446E0" w:rsidRDefault="00F446E0" w:rsidP="00597239">
          <w:pPr>
            <w:pStyle w:val="Spistreci3"/>
            <w:rPr>
              <w:rFonts w:eastAsiaTheme="minorEastAsia"/>
              <w:noProof/>
              <w:kern w:val="2"/>
              <w:sz w:val="24"/>
              <w:szCs w:val="24"/>
              <w:lang w:eastAsia="pl-PL"/>
              <w14:ligatures w14:val="standardContextual"/>
            </w:rPr>
          </w:pPr>
          <w:hyperlink w:anchor="_Toc194059873" w:history="1">
            <w:r w:rsidRPr="00C5500D">
              <w:rPr>
                <w:rStyle w:val="Hipercze"/>
                <w:noProof/>
              </w:rPr>
              <w:t>2.5.</w:t>
            </w:r>
            <w:r>
              <w:rPr>
                <w:rFonts w:eastAsiaTheme="minorEastAsia"/>
                <w:noProof/>
                <w:kern w:val="2"/>
                <w:sz w:val="24"/>
                <w:szCs w:val="24"/>
                <w:lang w:eastAsia="pl-PL"/>
                <w14:ligatures w14:val="standardContextual"/>
              </w:rPr>
              <w:tab/>
            </w:r>
            <w:r w:rsidRPr="00C5500D">
              <w:rPr>
                <w:rStyle w:val="Hipercze"/>
                <w:noProof/>
              </w:rPr>
              <w:t>Uzgadnianie dokumentacji projektowej</w:t>
            </w:r>
            <w:r>
              <w:rPr>
                <w:noProof/>
                <w:webHidden/>
              </w:rPr>
              <w:tab/>
            </w:r>
            <w:r>
              <w:rPr>
                <w:noProof/>
                <w:webHidden/>
              </w:rPr>
              <w:fldChar w:fldCharType="begin"/>
            </w:r>
            <w:r>
              <w:rPr>
                <w:noProof/>
                <w:webHidden/>
              </w:rPr>
              <w:instrText xml:space="preserve"> PAGEREF _Toc194059873 \h </w:instrText>
            </w:r>
            <w:r>
              <w:rPr>
                <w:noProof/>
                <w:webHidden/>
              </w:rPr>
            </w:r>
            <w:r>
              <w:rPr>
                <w:noProof/>
                <w:webHidden/>
              </w:rPr>
              <w:fldChar w:fldCharType="separate"/>
            </w:r>
            <w:r>
              <w:rPr>
                <w:noProof/>
                <w:webHidden/>
              </w:rPr>
              <w:t>117</w:t>
            </w:r>
            <w:r>
              <w:rPr>
                <w:noProof/>
                <w:webHidden/>
              </w:rPr>
              <w:fldChar w:fldCharType="end"/>
            </w:r>
          </w:hyperlink>
        </w:p>
        <w:p w14:paraId="72D46325" w14:textId="0E3235AB" w:rsidR="00F446E0" w:rsidRDefault="00F446E0" w:rsidP="00597239">
          <w:pPr>
            <w:pStyle w:val="Spistreci3"/>
            <w:rPr>
              <w:rFonts w:eastAsiaTheme="minorEastAsia"/>
              <w:noProof/>
              <w:kern w:val="2"/>
              <w:sz w:val="24"/>
              <w:szCs w:val="24"/>
              <w:lang w:eastAsia="pl-PL"/>
              <w14:ligatures w14:val="standardContextual"/>
            </w:rPr>
          </w:pPr>
          <w:hyperlink w:anchor="_Toc194059874" w:history="1">
            <w:r w:rsidRPr="00C5500D">
              <w:rPr>
                <w:rStyle w:val="Hipercze"/>
                <w:noProof/>
              </w:rPr>
              <w:t>2.6.</w:t>
            </w:r>
            <w:r>
              <w:rPr>
                <w:rFonts w:eastAsiaTheme="minorEastAsia"/>
                <w:noProof/>
                <w:kern w:val="2"/>
                <w:sz w:val="24"/>
                <w:szCs w:val="24"/>
                <w:lang w:eastAsia="pl-PL"/>
                <w14:ligatures w14:val="standardContextual"/>
              </w:rPr>
              <w:tab/>
            </w:r>
            <w:r w:rsidRPr="00C5500D">
              <w:rPr>
                <w:rStyle w:val="Hipercze"/>
                <w:noProof/>
              </w:rPr>
              <w:t>Odstępstwa od obowiązujących przepisów</w:t>
            </w:r>
            <w:r>
              <w:rPr>
                <w:noProof/>
                <w:webHidden/>
              </w:rPr>
              <w:tab/>
            </w:r>
            <w:r>
              <w:rPr>
                <w:noProof/>
                <w:webHidden/>
              </w:rPr>
              <w:fldChar w:fldCharType="begin"/>
            </w:r>
            <w:r>
              <w:rPr>
                <w:noProof/>
                <w:webHidden/>
              </w:rPr>
              <w:instrText xml:space="preserve"> PAGEREF _Toc194059874 \h </w:instrText>
            </w:r>
            <w:r>
              <w:rPr>
                <w:noProof/>
                <w:webHidden/>
              </w:rPr>
            </w:r>
            <w:r>
              <w:rPr>
                <w:noProof/>
                <w:webHidden/>
              </w:rPr>
              <w:fldChar w:fldCharType="separate"/>
            </w:r>
            <w:r>
              <w:rPr>
                <w:noProof/>
                <w:webHidden/>
              </w:rPr>
              <w:t>117</w:t>
            </w:r>
            <w:r>
              <w:rPr>
                <w:noProof/>
                <w:webHidden/>
              </w:rPr>
              <w:fldChar w:fldCharType="end"/>
            </w:r>
          </w:hyperlink>
        </w:p>
        <w:p w14:paraId="58EC6F76" w14:textId="77BED32B" w:rsidR="00F446E0" w:rsidRDefault="00F446E0" w:rsidP="00597239">
          <w:pPr>
            <w:pStyle w:val="Spistreci3"/>
            <w:rPr>
              <w:rFonts w:eastAsiaTheme="minorEastAsia"/>
              <w:noProof/>
              <w:kern w:val="2"/>
              <w:sz w:val="24"/>
              <w:szCs w:val="24"/>
              <w:lang w:eastAsia="pl-PL"/>
              <w14:ligatures w14:val="standardContextual"/>
            </w:rPr>
          </w:pPr>
          <w:hyperlink w:anchor="_Toc194059875" w:history="1">
            <w:r w:rsidRPr="00C5500D">
              <w:rPr>
                <w:rStyle w:val="Hipercze"/>
                <w:noProof/>
              </w:rPr>
              <w:t>2.7.</w:t>
            </w:r>
            <w:r>
              <w:rPr>
                <w:rFonts w:eastAsiaTheme="minorEastAsia"/>
                <w:noProof/>
                <w:kern w:val="2"/>
                <w:sz w:val="24"/>
                <w:szCs w:val="24"/>
                <w:lang w:eastAsia="pl-PL"/>
                <w14:ligatures w14:val="standardContextual"/>
              </w:rPr>
              <w:tab/>
            </w:r>
            <w:r w:rsidRPr="00C5500D">
              <w:rPr>
                <w:rStyle w:val="Hipercze"/>
                <w:noProof/>
              </w:rPr>
              <w:t>Inne sprawy w zakresie Zapobiegawczego Nadzoru Sanitarnego, w tym dotyczące uzgadniania projektu decyzji o warunkach zabudowy i zagospodarowaniu terenu oraz decyzji o ustaleniu lokalizacji inwestycji celu publicznego</w:t>
            </w:r>
            <w:r>
              <w:rPr>
                <w:noProof/>
                <w:webHidden/>
              </w:rPr>
              <w:tab/>
            </w:r>
            <w:r>
              <w:rPr>
                <w:noProof/>
                <w:webHidden/>
              </w:rPr>
              <w:fldChar w:fldCharType="begin"/>
            </w:r>
            <w:r>
              <w:rPr>
                <w:noProof/>
                <w:webHidden/>
              </w:rPr>
              <w:instrText xml:space="preserve"> PAGEREF _Toc194059875 \h </w:instrText>
            </w:r>
            <w:r>
              <w:rPr>
                <w:noProof/>
                <w:webHidden/>
              </w:rPr>
            </w:r>
            <w:r>
              <w:rPr>
                <w:noProof/>
                <w:webHidden/>
              </w:rPr>
              <w:fldChar w:fldCharType="separate"/>
            </w:r>
            <w:r>
              <w:rPr>
                <w:noProof/>
                <w:webHidden/>
              </w:rPr>
              <w:t>117</w:t>
            </w:r>
            <w:r>
              <w:rPr>
                <w:noProof/>
                <w:webHidden/>
              </w:rPr>
              <w:fldChar w:fldCharType="end"/>
            </w:r>
          </w:hyperlink>
        </w:p>
        <w:p w14:paraId="017CE6CD" w14:textId="361FE01A" w:rsidR="00F446E0" w:rsidRDefault="00F446E0" w:rsidP="00597239">
          <w:pPr>
            <w:pStyle w:val="Spistreci3"/>
            <w:rPr>
              <w:rFonts w:eastAsiaTheme="minorEastAsia"/>
              <w:noProof/>
              <w:kern w:val="2"/>
              <w:sz w:val="24"/>
              <w:szCs w:val="24"/>
              <w:lang w:eastAsia="pl-PL"/>
              <w14:ligatures w14:val="standardContextual"/>
            </w:rPr>
          </w:pPr>
          <w:hyperlink w:anchor="_Toc194059876" w:history="1">
            <w:r w:rsidRPr="00C5500D">
              <w:rPr>
                <w:rStyle w:val="Hipercze"/>
                <w:noProof/>
              </w:rPr>
              <w:t>2.8.</w:t>
            </w:r>
            <w:r>
              <w:rPr>
                <w:rFonts w:eastAsiaTheme="minorEastAsia"/>
                <w:noProof/>
                <w:kern w:val="2"/>
                <w:sz w:val="24"/>
                <w:szCs w:val="24"/>
                <w:lang w:eastAsia="pl-PL"/>
                <w14:ligatures w14:val="standardContextual"/>
              </w:rPr>
              <w:tab/>
            </w:r>
            <w:r w:rsidRPr="00C5500D">
              <w:rPr>
                <w:rStyle w:val="Hipercze"/>
                <w:noProof/>
              </w:rPr>
              <w:t>Dopuszczenie do użytkowania obiektów budowlanych</w:t>
            </w:r>
            <w:r>
              <w:rPr>
                <w:noProof/>
                <w:webHidden/>
              </w:rPr>
              <w:tab/>
            </w:r>
            <w:r>
              <w:rPr>
                <w:noProof/>
                <w:webHidden/>
              </w:rPr>
              <w:fldChar w:fldCharType="begin"/>
            </w:r>
            <w:r>
              <w:rPr>
                <w:noProof/>
                <w:webHidden/>
              </w:rPr>
              <w:instrText xml:space="preserve"> PAGEREF _Toc194059876 \h </w:instrText>
            </w:r>
            <w:r>
              <w:rPr>
                <w:noProof/>
                <w:webHidden/>
              </w:rPr>
            </w:r>
            <w:r>
              <w:rPr>
                <w:noProof/>
                <w:webHidden/>
              </w:rPr>
              <w:fldChar w:fldCharType="separate"/>
            </w:r>
            <w:r>
              <w:rPr>
                <w:noProof/>
                <w:webHidden/>
              </w:rPr>
              <w:t>118</w:t>
            </w:r>
            <w:r>
              <w:rPr>
                <w:noProof/>
                <w:webHidden/>
              </w:rPr>
              <w:fldChar w:fldCharType="end"/>
            </w:r>
          </w:hyperlink>
        </w:p>
        <w:p w14:paraId="2FAEED49" w14:textId="5C83DE30" w:rsidR="00F446E0" w:rsidRDefault="00F446E0" w:rsidP="00597239">
          <w:pPr>
            <w:pStyle w:val="Spistreci1"/>
            <w:rPr>
              <w:rFonts w:eastAsiaTheme="minorEastAsia"/>
              <w:b w:val="0"/>
              <w:bCs w:val="0"/>
              <w:color w:val="auto"/>
              <w:kern w:val="2"/>
              <w:sz w:val="24"/>
              <w:szCs w:val="24"/>
              <w:lang w:eastAsia="pl-PL"/>
              <w14:ligatures w14:val="standardContextual"/>
            </w:rPr>
          </w:pPr>
          <w:hyperlink w:anchor="_Toc194059877" w:history="1">
            <w:r w:rsidRPr="00C5500D">
              <w:rPr>
                <w:rStyle w:val="Hipercze"/>
                <w:rFonts w:cs="Calibri"/>
              </w:rPr>
              <w:t>XIV.</w:t>
            </w:r>
            <w:r>
              <w:rPr>
                <w:rFonts w:eastAsiaTheme="minorEastAsia"/>
                <w:b w:val="0"/>
                <w:bCs w:val="0"/>
                <w:color w:val="auto"/>
                <w:kern w:val="2"/>
                <w:sz w:val="24"/>
                <w:szCs w:val="24"/>
                <w:lang w:eastAsia="pl-PL"/>
                <w14:ligatures w14:val="standardContextual"/>
              </w:rPr>
              <w:tab/>
            </w:r>
            <w:r w:rsidRPr="00C5500D">
              <w:rPr>
                <w:rStyle w:val="Hipercze"/>
                <w:rFonts w:cs="Calibri"/>
              </w:rPr>
              <w:t>Profilaktyka i Promocja Zdrowia</w:t>
            </w:r>
            <w:r>
              <w:rPr>
                <w:webHidden/>
              </w:rPr>
              <w:tab/>
            </w:r>
            <w:r>
              <w:rPr>
                <w:webHidden/>
              </w:rPr>
              <w:fldChar w:fldCharType="begin"/>
            </w:r>
            <w:r>
              <w:rPr>
                <w:webHidden/>
              </w:rPr>
              <w:instrText xml:space="preserve"> PAGEREF _Toc194059877 \h </w:instrText>
            </w:r>
            <w:r>
              <w:rPr>
                <w:webHidden/>
              </w:rPr>
            </w:r>
            <w:r>
              <w:rPr>
                <w:webHidden/>
              </w:rPr>
              <w:fldChar w:fldCharType="separate"/>
            </w:r>
            <w:r>
              <w:rPr>
                <w:webHidden/>
              </w:rPr>
              <w:t>119</w:t>
            </w:r>
            <w:r>
              <w:rPr>
                <w:webHidden/>
              </w:rPr>
              <w:fldChar w:fldCharType="end"/>
            </w:r>
          </w:hyperlink>
        </w:p>
        <w:p w14:paraId="64D1E6CE" w14:textId="36F4CF03" w:rsidR="00F446E0" w:rsidRDefault="00F446E0" w:rsidP="00597239">
          <w:pPr>
            <w:pStyle w:val="Spistreci2"/>
            <w:rPr>
              <w:rFonts w:eastAsiaTheme="minorEastAsia"/>
              <w:noProof/>
              <w:kern w:val="2"/>
              <w:sz w:val="24"/>
              <w:szCs w:val="24"/>
              <w:lang w:eastAsia="pl-PL"/>
              <w14:ligatures w14:val="standardContextual"/>
            </w:rPr>
          </w:pPr>
          <w:hyperlink w:anchor="_Toc194059878" w:history="1">
            <w:r w:rsidRPr="00C5500D">
              <w:rPr>
                <w:rStyle w:val="Hipercze"/>
                <w:noProof/>
              </w:rPr>
              <w:t>1.</w:t>
            </w:r>
            <w:r>
              <w:rPr>
                <w:rFonts w:eastAsiaTheme="minorEastAsia"/>
                <w:noProof/>
                <w:kern w:val="2"/>
                <w:sz w:val="24"/>
                <w:szCs w:val="24"/>
                <w:lang w:eastAsia="pl-PL"/>
                <w14:ligatures w14:val="standardContextual"/>
              </w:rPr>
              <w:tab/>
            </w:r>
            <w:r w:rsidRPr="00C5500D">
              <w:rPr>
                <w:rStyle w:val="Hipercze"/>
                <w:noProof/>
              </w:rPr>
              <w:t>Profilaktyka nadwagi i otyłości</w:t>
            </w:r>
            <w:r>
              <w:rPr>
                <w:noProof/>
                <w:webHidden/>
              </w:rPr>
              <w:tab/>
            </w:r>
            <w:r>
              <w:rPr>
                <w:noProof/>
                <w:webHidden/>
              </w:rPr>
              <w:fldChar w:fldCharType="begin"/>
            </w:r>
            <w:r>
              <w:rPr>
                <w:noProof/>
                <w:webHidden/>
              </w:rPr>
              <w:instrText xml:space="preserve"> PAGEREF _Toc194059878 \h </w:instrText>
            </w:r>
            <w:r>
              <w:rPr>
                <w:noProof/>
                <w:webHidden/>
              </w:rPr>
            </w:r>
            <w:r>
              <w:rPr>
                <w:noProof/>
                <w:webHidden/>
              </w:rPr>
              <w:fldChar w:fldCharType="separate"/>
            </w:r>
            <w:r>
              <w:rPr>
                <w:noProof/>
                <w:webHidden/>
              </w:rPr>
              <w:t>119</w:t>
            </w:r>
            <w:r>
              <w:rPr>
                <w:noProof/>
                <w:webHidden/>
              </w:rPr>
              <w:fldChar w:fldCharType="end"/>
            </w:r>
          </w:hyperlink>
        </w:p>
        <w:p w14:paraId="639057A5" w14:textId="30E3D7A6" w:rsidR="00F446E0" w:rsidRDefault="00F446E0" w:rsidP="00597239">
          <w:pPr>
            <w:pStyle w:val="Spistreci3"/>
            <w:rPr>
              <w:rFonts w:eastAsiaTheme="minorEastAsia"/>
              <w:noProof/>
              <w:kern w:val="2"/>
              <w:sz w:val="24"/>
              <w:szCs w:val="24"/>
              <w:lang w:eastAsia="pl-PL"/>
              <w14:ligatures w14:val="standardContextual"/>
            </w:rPr>
          </w:pPr>
          <w:hyperlink w:anchor="_Toc194059879" w:history="1">
            <w:r w:rsidRPr="00C5500D">
              <w:rPr>
                <w:rStyle w:val="Hipercze"/>
                <w:noProof/>
              </w:rPr>
              <w:t>1.1.</w:t>
            </w:r>
            <w:r>
              <w:rPr>
                <w:rFonts w:eastAsiaTheme="minorEastAsia"/>
                <w:noProof/>
                <w:kern w:val="2"/>
                <w:sz w:val="24"/>
                <w:szCs w:val="24"/>
                <w:lang w:eastAsia="pl-PL"/>
                <w14:ligatures w14:val="standardContextual"/>
              </w:rPr>
              <w:tab/>
            </w:r>
            <w:r w:rsidRPr="00C5500D">
              <w:rPr>
                <w:rStyle w:val="Hipercze"/>
                <w:noProof/>
              </w:rPr>
              <w:t>Krajowy</w:t>
            </w:r>
            <w:r w:rsidRPr="00C5500D">
              <w:rPr>
                <w:rStyle w:val="Hipercze"/>
                <w:bCs/>
                <w:noProof/>
              </w:rPr>
              <w:t xml:space="preserve"> </w:t>
            </w:r>
            <w:r w:rsidRPr="00C5500D">
              <w:rPr>
                <w:rStyle w:val="Hipercze"/>
                <w:noProof/>
              </w:rPr>
              <w:t>Program Edukacyjny „Trzymaj Formę!”</w:t>
            </w:r>
            <w:r>
              <w:rPr>
                <w:noProof/>
                <w:webHidden/>
              </w:rPr>
              <w:tab/>
            </w:r>
            <w:r>
              <w:rPr>
                <w:noProof/>
                <w:webHidden/>
              </w:rPr>
              <w:fldChar w:fldCharType="begin"/>
            </w:r>
            <w:r>
              <w:rPr>
                <w:noProof/>
                <w:webHidden/>
              </w:rPr>
              <w:instrText xml:space="preserve"> PAGEREF _Toc194059879 \h </w:instrText>
            </w:r>
            <w:r>
              <w:rPr>
                <w:noProof/>
                <w:webHidden/>
              </w:rPr>
            </w:r>
            <w:r>
              <w:rPr>
                <w:noProof/>
                <w:webHidden/>
              </w:rPr>
              <w:fldChar w:fldCharType="separate"/>
            </w:r>
            <w:r>
              <w:rPr>
                <w:noProof/>
                <w:webHidden/>
              </w:rPr>
              <w:t>119</w:t>
            </w:r>
            <w:r>
              <w:rPr>
                <w:noProof/>
                <w:webHidden/>
              </w:rPr>
              <w:fldChar w:fldCharType="end"/>
            </w:r>
          </w:hyperlink>
        </w:p>
        <w:p w14:paraId="337F3F31" w14:textId="0A05C969" w:rsidR="00F446E0" w:rsidRDefault="00F446E0" w:rsidP="00597239">
          <w:pPr>
            <w:pStyle w:val="Spistreci3"/>
            <w:rPr>
              <w:rFonts w:eastAsiaTheme="minorEastAsia"/>
              <w:noProof/>
              <w:kern w:val="2"/>
              <w:sz w:val="24"/>
              <w:szCs w:val="24"/>
              <w:lang w:eastAsia="pl-PL"/>
              <w14:ligatures w14:val="standardContextual"/>
            </w:rPr>
          </w:pPr>
          <w:hyperlink w:anchor="_Toc194059880" w:history="1">
            <w:r w:rsidRPr="00C5500D">
              <w:rPr>
                <w:rStyle w:val="Hipercze"/>
                <w:noProof/>
              </w:rPr>
              <w:t>1.2.</w:t>
            </w:r>
            <w:r>
              <w:rPr>
                <w:rFonts w:eastAsiaTheme="minorEastAsia"/>
                <w:noProof/>
                <w:kern w:val="2"/>
                <w:sz w:val="24"/>
                <w:szCs w:val="24"/>
                <w:lang w:eastAsia="pl-PL"/>
                <w14:ligatures w14:val="standardContextual"/>
              </w:rPr>
              <w:tab/>
            </w:r>
            <w:r w:rsidRPr="00C5500D">
              <w:rPr>
                <w:rStyle w:val="Hipercze"/>
                <w:noProof/>
              </w:rPr>
              <w:t>Promocja aktywności fizycznej i prawidłowego odżywiania</w:t>
            </w:r>
            <w:r>
              <w:rPr>
                <w:noProof/>
                <w:webHidden/>
              </w:rPr>
              <w:tab/>
            </w:r>
            <w:r>
              <w:rPr>
                <w:noProof/>
                <w:webHidden/>
              </w:rPr>
              <w:fldChar w:fldCharType="begin"/>
            </w:r>
            <w:r>
              <w:rPr>
                <w:noProof/>
                <w:webHidden/>
              </w:rPr>
              <w:instrText xml:space="preserve"> PAGEREF _Toc194059880 \h </w:instrText>
            </w:r>
            <w:r>
              <w:rPr>
                <w:noProof/>
                <w:webHidden/>
              </w:rPr>
            </w:r>
            <w:r>
              <w:rPr>
                <w:noProof/>
                <w:webHidden/>
              </w:rPr>
              <w:fldChar w:fldCharType="separate"/>
            </w:r>
            <w:r>
              <w:rPr>
                <w:noProof/>
                <w:webHidden/>
              </w:rPr>
              <w:t>119</w:t>
            </w:r>
            <w:r>
              <w:rPr>
                <w:noProof/>
                <w:webHidden/>
              </w:rPr>
              <w:fldChar w:fldCharType="end"/>
            </w:r>
          </w:hyperlink>
        </w:p>
        <w:p w14:paraId="33A80402" w14:textId="04210316" w:rsidR="00F446E0" w:rsidRDefault="00F446E0" w:rsidP="00597239">
          <w:pPr>
            <w:pStyle w:val="Spistreci2"/>
            <w:rPr>
              <w:rFonts w:eastAsiaTheme="minorEastAsia"/>
              <w:noProof/>
              <w:kern w:val="2"/>
              <w:sz w:val="24"/>
              <w:szCs w:val="24"/>
              <w:lang w:eastAsia="pl-PL"/>
              <w14:ligatures w14:val="standardContextual"/>
            </w:rPr>
          </w:pPr>
          <w:hyperlink w:anchor="_Toc194059881" w:history="1">
            <w:r w:rsidRPr="00C5500D">
              <w:rPr>
                <w:rStyle w:val="Hipercze"/>
                <w:noProof/>
              </w:rPr>
              <w:t>2.</w:t>
            </w:r>
            <w:r>
              <w:rPr>
                <w:rFonts w:eastAsiaTheme="minorEastAsia"/>
                <w:noProof/>
                <w:kern w:val="2"/>
                <w:sz w:val="24"/>
                <w:szCs w:val="24"/>
                <w:lang w:eastAsia="pl-PL"/>
                <w14:ligatures w14:val="standardContextual"/>
              </w:rPr>
              <w:tab/>
            </w:r>
            <w:r w:rsidRPr="00C5500D">
              <w:rPr>
                <w:rStyle w:val="Hipercze"/>
                <w:noProof/>
              </w:rPr>
              <w:t>Profilaktyka palenia tytoniu</w:t>
            </w:r>
            <w:r>
              <w:rPr>
                <w:noProof/>
                <w:webHidden/>
              </w:rPr>
              <w:tab/>
            </w:r>
            <w:r>
              <w:rPr>
                <w:noProof/>
                <w:webHidden/>
              </w:rPr>
              <w:fldChar w:fldCharType="begin"/>
            </w:r>
            <w:r>
              <w:rPr>
                <w:noProof/>
                <w:webHidden/>
              </w:rPr>
              <w:instrText xml:space="preserve"> PAGEREF _Toc194059881 \h </w:instrText>
            </w:r>
            <w:r>
              <w:rPr>
                <w:noProof/>
                <w:webHidden/>
              </w:rPr>
            </w:r>
            <w:r>
              <w:rPr>
                <w:noProof/>
                <w:webHidden/>
              </w:rPr>
              <w:fldChar w:fldCharType="separate"/>
            </w:r>
            <w:r>
              <w:rPr>
                <w:noProof/>
                <w:webHidden/>
              </w:rPr>
              <w:t>120</w:t>
            </w:r>
            <w:r>
              <w:rPr>
                <w:noProof/>
                <w:webHidden/>
              </w:rPr>
              <w:fldChar w:fldCharType="end"/>
            </w:r>
          </w:hyperlink>
        </w:p>
        <w:p w14:paraId="4FAE85F6" w14:textId="2D7EC7ED" w:rsidR="00F446E0" w:rsidRDefault="00F446E0" w:rsidP="00597239">
          <w:pPr>
            <w:pStyle w:val="Spistreci3"/>
            <w:rPr>
              <w:rFonts w:eastAsiaTheme="minorEastAsia"/>
              <w:noProof/>
              <w:kern w:val="2"/>
              <w:sz w:val="24"/>
              <w:szCs w:val="24"/>
              <w:lang w:eastAsia="pl-PL"/>
              <w14:ligatures w14:val="standardContextual"/>
            </w:rPr>
          </w:pPr>
          <w:hyperlink w:anchor="_Toc194059882" w:history="1">
            <w:r w:rsidRPr="00C5500D">
              <w:rPr>
                <w:rStyle w:val="Hipercze"/>
                <w:bCs/>
                <w:noProof/>
              </w:rPr>
              <w:t>2.1.</w:t>
            </w:r>
            <w:r>
              <w:rPr>
                <w:rFonts w:eastAsiaTheme="minorEastAsia"/>
                <w:noProof/>
                <w:kern w:val="2"/>
                <w:sz w:val="24"/>
                <w:szCs w:val="24"/>
                <w:lang w:eastAsia="pl-PL"/>
                <w14:ligatures w14:val="standardContextual"/>
              </w:rPr>
              <w:tab/>
            </w:r>
            <w:r w:rsidRPr="00C5500D">
              <w:rPr>
                <w:rStyle w:val="Hipercze"/>
                <w:noProof/>
              </w:rPr>
              <w:t>Światowy Dzień bez Tytoniu</w:t>
            </w:r>
            <w:r>
              <w:rPr>
                <w:noProof/>
                <w:webHidden/>
              </w:rPr>
              <w:tab/>
            </w:r>
            <w:r>
              <w:rPr>
                <w:noProof/>
                <w:webHidden/>
              </w:rPr>
              <w:fldChar w:fldCharType="begin"/>
            </w:r>
            <w:r>
              <w:rPr>
                <w:noProof/>
                <w:webHidden/>
              </w:rPr>
              <w:instrText xml:space="preserve"> PAGEREF _Toc194059882 \h </w:instrText>
            </w:r>
            <w:r>
              <w:rPr>
                <w:noProof/>
                <w:webHidden/>
              </w:rPr>
            </w:r>
            <w:r>
              <w:rPr>
                <w:noProof/>
                <w:webHidden/>
              </w:rPr>
              <w:fldChar w:fldCharType="separate"/>
            </w:r>
            <w:r>
              <w:rPr>
                <w:noProof/>
                <w:webHidden/>
              </w:rPr>
              <w:t>120</w:t>
            </w:r>
            <w:r>
              <w:rPr>
                <w:noProof/>
                <w:webHidden/>
              </w:rPr>
              <w:fldChar w:fldCharType="end"/>
            </w:r>
          </w:hyperlink>
        </w:p>
        <w:p w14:paraId="755601E9" w14:textId="61CEF4A3" w:rsidR="00F446E0" w:rsidRDefault="00F446E0" w:rsidP="00597239">
          <w:pPr>
            <w:pStyle w:val="Spistreci3"/>
            <w:rPr>
              <w:rFonts w:eastAsiaTheme="minorEastAsia"/>
              <w:noProof/>
              <w:kern w:val="2"/>
              <w:sz w:val="24"/>
              <w:szCs w:val="24"/>
              <w:lang w:eastAsia="pl-PL"/>
              <w14:ligatures w14:val="standardContextual"/>
            </w:rPr>
          </w:pPr>
          <w:hyperlink w:anchor="_Toc194059883" w:history="1">
            <w:r w:rsidRPr="00C5500D">
              <w:rPr>
                <w:rStyle w:val="Hipercze"/>
                <w:noProof/>
              </w:rPr>
              <w:t>2.2.</w:t>
            </w:r>
            <w:r>
              <w:rPr>
                <w:rFonts w:eastAsiaTheme="minorEastAsia"/>
                <w:noProof/>
                <w:kern w:val="2"/>
                <w:sz w:val="24"/>
                <w:szCs w:val="24"/>
                <w:lang w:eastAsia="pl-PL"/>
                <w14:ligatures w14:val="standardContextual"/>
              </w:rPr>
              <w:tab/>
            </w:r>
            <w:r w:rsidRPr="00C5500D">
              <w:rPr>
                <w:rStyle w:val="Hipercze"/>
                <w:noProof/>
              </w:rPr>
              <w:t>Światowy Dzień Rzucania Palenia</w:t>
            </w:r>
            <w:r>
              <w:rPr>
                <w:noProof/>
                <w:webHidden/>
              </w:rPr>
              <w:tab/>
            </w:r>
            <w:r>
              <w:rPr>
                <w:noProof/>
                <w:webHidden/>
              </w:rPr>
              <w:fldChar w:fldCharType="begin"/>
            </w:r>
            <w:r>
              <w:rPr>
                <w:noProof/>
                <w:webHidden/>
              </w:rPr>
              <w:instrText xml:space="preserve"> PAGEREF _Toc194059883 \h </w:instrText>
            </w:r>
            <w:r>
              <w:rPr>
                <w:noProof/>
                <w:webHidden/>
              </w:rPr>
            </w:r>
            <w:r>
              <w:rPr>
                <w:noProof/>
                <w:webHidden/>
              </w:rPr>
              <w:fldChar w:fldCharType="separate"/>
            </w:r>
            <w:r>
              <w:rPr>
                <w:noProof/>
                <w:webHidden/>
              </w:rPr>
              <w:t>122</w:t>
            </w:r>
            <w:r>
              <w:rPr>
                <w:noProof/>
                <w:webHidden/>
              </w:rPr>
              <w:fldChar w:fldCharType="end"/>
            </w:r>
          </w:hyperlink>
        </w:p>
        <w:p w14:paraId="7F9435C9" w14:textId="2609DE2A" w:rsidR="00F446E0" w:rsidRDefault="00F446E0" w:rsidP="00597239">
          <w:pPr>
            <w:pStyle w:val="Spistreci2"/>
            <w:rPr>
              <w:rFonts w:eastAsiaTheme="minorEastAsia"/>
              <w:noProof/>
              <w:kern w:val="2"/>
              <w:sz w:val="24"/>
              <w:szCs w:val="24"/>
              <w:lang w:eastAsia="pl-PL"/>
              <w14:ligatures w14:val="standardContextual"/>
            </w:rPr>
          </w:pPr>
          <w:hyperlink w:anchor="_Toc194059884" w:history="1">
            <w:r w:rsidRPr="00C5500D">
              <w:rPr>
                <w:rStyle w:val="Hipercze"/>
                <w:noProof/>
              </w:rPr>
              <w:t>3.</w:t>
            </w:r>
            <w:r>
              <w:rPr>
                <w:rFonts w:eastAsiaTheme="minorEastAsia"/>
                <w:noProof/>
                <w:kern w:val="2"/>
                <w:sz w:val="24"/>
                <w:szCs w:val="24"/>
                <w:lang w:eastAsia="pl-PL"/>
                <w14:ligatures w14:val="standardContextual"/>
              </w:rPr>
              <w:tab/>
            </w:r>
            <w:r w:rsidRPr="00C5500D">
              <w:rPr>
                <w:rStyle w:val="Hipercze"/>
                <w:noProof/>
              </w:rPr>
              <w:t>Profilaktyka uzależnień</w:t>
            </w:r>
            <w:r>
              <w:rPr>
                <w:noProof/>
                <w:webHidden/>
              </w:rPr>
              <w:tab/>
            </w:r>
            <w:r>
              <w:rPr>
                <w:noProof/>
                <w:webHidden/>
              </w:rPr>
              <w:fldChar w:fldCharType="begin"/>
            </w:r>
            <w:r>
              <w:rPr>
                <w:noProof/>
                <w:webHidden/>
              </w:rPr>
              <w:instrText xml:space="preserve"> PAGEREF _Toc194059884 \h </w:instrText>
            </w:r>
            <w:r>
              <w:rPr>
                <w:noProof/>
                <w:webHidden/>
              </w:rPr>
            </w:r>
            <w:r>
              <w:rPr>
                <w:noProof/>
                <w:webHidden/>
              </w:rPr>
              <w:fldChar w:fldCharType="separate"/>
            </w:r>
            <w:r>
              <w:rPr>
                <w:noProof/>
                <w:webHidden/>
              </w:rPr>
              <w:t>122</w:t>
            </w:r>
            <w:r>
              <w:rPr>
                <w:noProof/>
                <w:webHidden/>
              </w:rPr>
              <w:fldChar w:fldCharType="end"/>
            </w:r>
          </w:hyperlink>
        </w:p>
        <w:p w14:paraId="73E060D2" w14:textId="4D6F5DD8" w:rsidR="00F446E0" w:rsidRDefault="00F446E0" w:rsidP="00597239">
          <w:pPr>
            <w:pStyle w:val="Spistreci3"/>
            <w:rPr>
              <w:rFonts w:eastAsiaTheme="minorEastAsia"/>
              <w:noProof/>
              <w:kern w:val="2"/>
              <w:sz w:val="24"/>
              <w:szCs w:val="24"/>
              <w:lang w:eastAsia="pl-PL"/>
              <w14:ligatures w14:val="standardContextual"/>
            </w:rPr>
          </w:pPr>
          <w:hyperlink w:anchor="_Toc194059885" w:history="1">
            <w:r w:rsidRPr="00C5500D">
              <w:rPr>
                <w:rStyle w:val="Hipercze"/>
                <w:noProof/>
              </w:rPr>
              <w:t>3.1.</w:t>
            </w:r>
            <w:r>
              <w:rPr>
                <w:rFonts w:eastAsiaTheme="minorEastAsia"/>
                <w:noProof/>
                <w:kern w:val="2"/>
                <w:sz w:val="24"/>
                <w:szCs w:val="24"/>
                <w:lang w:eastAsia="pl-PL"/>
                <w14:ligatures w14:val="standardContextual"/>
              </w:rPr>
              <w:tab/>
            </w:r>
            <w:r w:rsidRPr="00C5500D">
              <w:rPr>
                <w:rStyle w:val="Hipercze"/>
                <w:noProof/>
              </w:rPr>
              <w:t>Wojewódzki program profilaktyki używania substancji psychoaktywnych, w tym    nowych narkotyków „Porozmawiajmy o zdrowiu i nowych zagrożeniach”</w:t>
            </w:r>
            <w:r>
              <w:rPr>
                <w:noProof/>
                <w:webHidden/>
              </w:rPr>
              <w:tab/>
            </w:r>
            <w:r>
              <w:rPr>
                <w:noProof/>
                <w:webHidden/>
              </w:rPr>
              <w:fldChar w:fldCharType="begin"/>
            </w:r>
            <w:r>
              <w:rPr>
                <w:noProof/>
                <w:webHidden/>
              </w:rPr>
              <w:instrText xml:space="preserve"> PAGEREF _Toc194059885 \h </w:instrText>
            </w:r>
            <w:r>
              <w:rPr>
                <w:noProof/>
                <w:webHidden/>
              </w:rPr>
            </w:r>
            <w:r>
              <w:rPr>
                <w:noProof/>
                <w:webHidden/>
              </w:rPr>
              <w:fldChar w:fldCharType="separate"/>
            </w:r>
            <w:r>
              <w:rPr>
                <w:noProof/>
                <w:webHidden/>
              </w:rPr>
              <w:t>122</w:t>
            </w:r>
            <w:r>
              <w:rPr>
                <w:noProof/>
                <w:webHidden/>
              </w:rPr>
              <w:fldChar w:fldCharType="end"/>
            </w:r>
          </w:hyperlink>
        </w:p>
        <w:p w14:paraId="01EF3B6C" w14:textId="29B12CA9" w:rsidR="00F446E0" w:rsidRDefault="00F446E0" w:rsidP="00597239">
          <w:pPr>
            <w:pStyle w:val="Spistreci3"/>
            <w:rPr>
              <w:rFonts w:eastAsiaTheme="minorEastAsia"/>
              <w:noProof/>
              <w:kern w:val="2"/>
              <w:sz w:val="24"/>
              <w:szCs w:val="24"/>
              <w:lang w:eastAsia="pl-PL"/>
              <w14:ligatures w14:val="standardContextual"/>
            </w:rPr>
          </w:pPr>
          <w:hyperlink w:anchor="_Toc194059886" w:history="1">
            <w:r w:rsidRPr="00C5500D">
              <w:rPr>
                <w:rStyle w:val="Hipercze"/>
                <w:noProof/>
              </w:rPr>
              <w:t>3.2.</w:t>
            </w:r>
            <w:r>
              <w:rPr>
                <w:rFonts w:eastAsiaTheme="minorEastAsia"/>
                <w:noProof/>
                <w:kern w:val="2"/>
                <w:sz w:val="24"/>
                <w:szCs w:val="24"/>
                <w:lang w:eastAsia="pl-PL"/>
                <w14:ligatures w14:val="standardContextual"/>
              </w:rPr>
              <w:tab/>
            </w:r>
            <w:r w:rsidRPr="00C5500D">
              <w:rPr>
                <w:rStyle w:val="Hipercze"/>
                <w:noProof/>
              </w:rPr>
              <w:t>Profilaktyka używania substancji psychoaktywnych, w tym nowych narkotyków</w:t>
            </w:r>
            <w:r>
              <w:rPr>
                <w:noProof/>
                <w:webHidden/>
              </w:rPr>
              <w:tab/>
            </w:r>
            <w:r>
              <w:rPr>
                <w:noProof/>
                <w:webHidden/>
              </w:rPr>
              <w:fldChar w:fldCharType="begin"/>
            </w:r>
            <w:r>
              <w:rPr>
                <w:noProof/>
                <w:webHidden/>
              </w:rPr>
              <w:instrText xml:space="preserve"> PAGEREF _Toc194059886 \h </w:instrText>
            </w:r>
            <w:r>
              <w:rPr>
                <w:noProof/>
                <w:webHidden/>
              </w:rPr>
            </w:r>
            <w:r>
              <w:rPr>
                <w:noProof/>
                <w:webHidden/>
              </w:rPr>
              <w:fldChar w:fldCharType="separate"/>
            </w:r>
            <w:r>
              <w:rPr>
                <w:noProof/>
                <w:webHidden/>
              </w:rPr>
              <w:t>124</w:t>
            </w:r>
            <w:r>
              <w:rPr>
                <w:noProof/>
                <w:webHidden/>
              </w:rPr>
              <w:fldChar w:fldCharType="end"/>
            </w:r>
          </w:hyperlink>
        </w:p>
        <w:p w14:paraId="51C75DB3" w14:textId="4C93E8B0" w:rsidR="00F446E0" w:rsidRDefault="00F446E0" w:rsidP="00597239">
          <w:pPr>
            <w:pStyle w:val="Spistreci2"/>
            <w:rPr>
              <w:rFonts w:eastAsiaTheme="minorEastAsia"/>
              <w:noProof/>
              <w:kern w:val="2"/>
              <w:sz w:val="24"/>
              <w:szCs w:val="24"/>
              <w:lang w:eastAsia="pl-PL"/>
              <w14:ligatures w14:val="standardContextual"/>
            </w:rPr>
          </w:pPr>
          <w:hyperlink w:anchor="_Toc194059887" w:history="1">
            <w:r w:rsidRPr="00C5500D">
              <w:rPr>
                <w:rStyle w:val="Hipercze"/>
                <w:noProof/>
              </w:rPr>
              <w:t>4.</w:t>
            </w:r>
            <w:r>
              <w:rPr>
                <w:rFonts w:eastAsiaTheme="minorEastAsia"/>
                <w:noProof/>
                <w:kern w:val="2"/>
                <w:sz w:val="24"/>
                <w:szCs w:val="24"/>
                <w:lang w:eastAsia="pl-PL"/>
                <w14:ligatures w14:val="standardContextual"/>
              </w:rPr>
              <w:tab/>
            </w:r>
            <w:r w:rsidRPr="00C5500D">
              <w:rPr>
                <w:rStyle w:val="Hipercze"/>
                <w:noProof/>
              </w:rPr>
              <w:t>Profilaktyka zdrowia psychicznego</w:t>
            </w:r>
            <w:r>
              <w:rPr>
                <w:noProof/>
                <w:webHidden/>
              </w:rPr>
              <w:tab/>
            </w:r>
            <w:r>
              <w:rPr>
                <w:noProof/>
                <w:webHidden/>
              </w:rPr>
              <w:fldChar w:fldCharType="begin"/>
            </w:r>
            <w:r>
              <w:rPr>
                <w:noProof/>
                <w:webHidden/>
              </w:rPr>
              <w:instrText xml:space="preserve"> PAGEREF _Toc194059887 \h </w:instrText>
            </w:r>
            <w:r>
              <w:rPr>
                <w:noProof/>
                <w:webHidden/>
              </w:rPr>
            </w:r>
            <w:r>
              <w:rPr>
                <w:noProof/>
                <w:webHidden/>
              </w:rPr>
              <w:fldChar w:fldCharType="separate"/>
            </w:r>
            <w:r>
              <w:rPr>
                <w:noProof/>
                <w:webHidden/>
              </w:rPr>
              <w:t>124</w:t>
            </w:r>
            <w:r>
              <w:rPr>
                <w:noProof/>
                <w:webHidden/>
              </w:rPr>
              <w:fldChar w:fldCharType="end"/>
            </w:r>
          </w:hyperlink>
        </w:p>
        <w:p w14:paraId="68627019" w14:textId="57DC7ACC" w:rsidR="00F446E0" w:rsidRDefault="00F446E0" w:rsidP="00597239">
          <w:pPr>
            <w:pStyle w:val="Spistreci3"/>
            <w:rPr>
              <w:rFonts w:eastAsiaTheme="minorEastAsia"/>
              <w:noProof/>
              <w:kern w:val="2"/>
              <w:sz w:val="24"/>
              <w:szCs w:val="24"/>
              <w:lang w:eastAsia="pl-PL"/>
              <w14:ligatures w14:val="standardContextual"/>
            </w:rPr>
          </w:pPr>
          <w:hyperlink w:anchor="_Toc194059888" w:history="1">
            <w:r w:rsidRPr="00C5500D">
              <w:rPr>
                <w:rStyle w:val="Hipercze"/>
                <w:noProof/>
              </w:rPr>
              <w:t>4.1.</w:t>
            </w:r>
            <w:r>
              <w:rPr>
                <w:rFonts w:eastAsiaTheme="minorEastAsia"/>
                <w:noProof/>
                <w:kern w:val="2"/>
                <w:sz w:val="24"/>
                <w:szCs w:val="24"/>
                <w:lang w:eastAsia="pl-PL"/>
                <w14:ligatures w14:val="standardContextual"/>
              </w:rPr>
              <w:tab/>
            </w:r>
            <w:r w:rsidRPr="00C5500D">
              <w:rPr>
                <w:rStyle w:val="Hipercze"/>
                <w:noProof/>
              </w:rPr>
              <w:t>Powiatowy Program Zwalczania Depresji Wśród Młodzieży pt. „Zdemaskuj depresję!” - PSSE Łobez</w:t>
            </w:r>
            <w:r>
              <w:rPr>
                <w:noProof/>
                <w:webHidden/>
              </w:rPr>
              <w:tab/>
            </w:r>
            <w:r>
              <w:rPr>
                <w:noProof/>
                <w:webHidden/>
              </w:rPr>
              <w:fldChar w:fldCharType="begin"/>
            </w:r>
            <w:r>
              <w:rPr>
                <w:noProof/>
                <w:webHidden/>
              </w:rPr>
              <w:instrText xml:space="preserve"> PAGEREF _Toc194059888 \h </w:instrText>
            </w:r>
            <w:r>
              <w:rPr>
                <w:noProof/>
                <w:webHidden/>
              </w:rPr>
            </w:r>
            <w:r>
              <w:rPr>
                <w:noProof/>
                <w:webHidden/>
              </w:rPr>
              <w:fldChar w:fldCharType="separate"/>
            </w:r>
            <w:r>
              <w:rPr>
                <w:noProof/>
                <w:webHidden/>
              </w:rPr>
              <w:t>124</w:t>
            </w:r>
            <w:r>
              <w:rPr>
                <w:noProof/>
                <w:webHidden/>
              </w:rPr>
              <w:fldChar w:fldCharType="end"/>
            </w:r>
          </w:hyperlink>
        </w:p>
        <w:p w14:paraId="23735849" w14:textId="1C75E45F" w:rsidR="00F446E0" w:rsidRDefault="00F446E0" w:rsidP="00597239">
          <w:pPr>
            <w:pStyle w:val="Spistreci2"/>
            <w:rPr>
              <w:rFonts w:eastAsiaTheme="minorEastAsia"/>
              <w:noProof/>
              <w:kern w:val="2"/>
              <w:sz w:val="24"/>
              <w:szCs w:val="24"/>
              <w:lang w:eastAsia="pl-PL"/>
              <w14:ligatures w14:val="standardContextual"/>
            </w:rPr>
          </w:pPr>
          <w:hyperlink w:anchor="_Toc194059889" w:history="1">
            <w:r w:rsidRPr="00C5500D">
              <w:rPr>
                <w:rStyle w:val="Hipercze"/>
                <w:noProof/>
              </w:rPr>
              <w:t>5.</w:t>
            </w:r>
            <w:r>
              <w:rPr>
                <w:rFonts w:eastAsiaTheme="minorEastAsia"/>
                <w:noProof/>
                <w:kern w:val="2"/>
                <w:sz w:val="24"/>
                <w:szCs w:val="24"/>
                <w:lang w:eastAsia="pl-PL"/>
                <w14:ligatures w14:val="standardContextual"/>
              </w:rPr>
              <w:tab/>
            </w:r>
            <w:r w:rsidRPr="00C5500D">
              <w:rPr>
                <w:rStyle w:val="Hipercze"/>
                <w:noProof/>
              </w:rPr>
              <w:t>Profilaktyka chorób zakaźnych, w tym realizacja programu profilaktyki HIV/AIDS</w:t>
            </w:r>
            <w:r>
              <w:rPr>
                <w:noProof/>
                <w:webHidden/>
              </w:rPr>
              <w:tab/>
            </w:r>
            <w:r>
              <w:rPr>
                <w:noProof/>
                <w:webHidden/>
              </w:rPr>
              <w:fldChar w:fldCharType="begin"/>
            </w:r>
            <w:r>
              <w:rPr>
                <w:noProof/>
                <w:webHidden/>
              </w:rPr>
              <w:instrText xml:space="preserve"> PAGEREF _Toc194059889 \h </w:instrText>
            </w:r>
            <w:r>
              <w:rPr>
                <w:noProof/>
                <w:webHidden/>
              </w:rPr>
            </w:r>
            <w:r>
              <w:rPr>
                <w:noProof/>
                <w:webHidden/>
              </w:rPr>
              <w:fldChar w:fldCharType="separate"/>
            </w:r>
            <w:r>
              <w:rPr>
                <w:noProof/>
                <w:webHidden/>
              </w:rPr>
              <w:t>124</w:t>
            </w:r>
            <w:r>
              <w:rPr>
                <w:noProof/>
                <w:webHidden/>
              </w:rPr>
              <w:fldChar w:fldCharType="end"/>
            </w:r>
          </w:hyperlink>
        </w:p>
        <w:p w14:paraId="1B0E9CE6" w14:textId="11D6C200" w:rsidR="00F446E0" w:rsidRDefault="00F446E0" w:rsidP="00597239">
          <w:pPr>
            <w:pStyle w:val="Spistreci3"/>
            <w:rPr>
              <w:rFonts w:eastAsiaTheme="minorEastAsia"/>
              <w:noProof/>
              <w:kern w:val="2"/>
              <w:sz w:val="24"/>
              <w:szCs w:val="24"/>
              <w:lang w:eastAsia="pl-PL"/>
              <w14:ligatures w14:val="standardContextual"/>
            </w:rPr>
          </w:pPr>
          <w:hyperlink w:anchor="_Toc194059890" w:history="1">
            <w:r w:rsidRPr="00C5500D">
              <w:rPr>
                <w:rStyle w:val="Hipercze"/>
                <w:noProof/>
              </w:rPr>
              <w:t>5.1.</w:t>
            </w:r>
            <w:r>
              <w:rPr>
                <w:rFonts w:eastAsiaTheme="minorEastAsia"/>
                <w:noProof/>
                <w:kern w:val="2"/>
                <w:sz w:val="24"/>
                <w:szCs w:val="24"/>
                <w:lang w:eastAsia="pl-PL"/>
                <w14:ligatures w14:val="standardContextual"/>
              </w:rPr>
              <w:tab/>
            </w:r>
            <w:r w:rsidRPr="00C5500D">
              <w:rPr>
                <w:rStyle w:val="Hipercze"/>
                <w:noProof/>
              </w:rPr>
              <w:t>Krajowy Program Zapobiegania Zakażeniom HIV i Zwalczania AIDS</w:t>
            </w:r>
            <w:r>
              <w:rPr>
                <w:noProof/>
                <w:webHidden/>
              </w:rPr>
              <w:tab/>
            </w:r>
            <w:r>
              <w:rPr>
                <w:noProof/>
                <w:webHidden/>
              </w:rPr>
              <w:fldChar w:fldCharType="begin"/>
            </w:r>
            <w:r>
              <w:rPr>
                <w:noProof/>
                <w:webHidden/>
              </w:rPr>
              <w:instrText xml:space="preserve"> PAGEREF _Toc194059890 \h </w:instrText>
            </w:r>
            <w:r>
              <w:rPr>
                <w:noProof/>
                <w:webHidden/>
              </w:rPr>
            </w:r>
            <w:r>
              <w:rPr>
                <w:noProof/>
                <w:webHidden/>
              </w:rPr>
              <w:fldChar w:fldCharType="separate"/>
            </w:r>
            <w:r>
              <w:rPr>
                <w:noProof/>
                <w:webHidden/>
              </w:rPr>
              <w:t>124</w:t>
            </w:r>
            <w:r>
              <w:rPr>
                <w:noProof/>
                <w:webHidden/>
              </w:rPr>
              <w:fldChar w:fldCharType="end"/>
            </w:r>
          </w:hyperlink>
        </w:p>
        <w:p w14:paraId="1AA5D5C2" w14:textId="4A47746F" w:rsidR="00F446E0" w:rsidRDefault="00F446E0" w:rsidP="00597239">
          <w:pPr>
            <w:pStyle w:val="Spistreci3"/>
            <w:rPr>
              <w:rFonts w:eastAsiaTheme="minorEastAsia"/>
              <w:noProof/>
              <w:kern w:val="2"/>
              <w:sz w:val="24"/>
              <w:szCs w:val="24"/>
              <w:lang w:eastAsia="pl-PL"/>
              <w14:ligatures w14:val="standardContextual"/>
            </w:rPr>
          </w:pPr>
          <w:hyperlink w:anchor="_Toc194059891" w:history="1">
            <w:r w:rsidRPr="00C5500D">
              <w:rPr>
                <w:rStyle w:val="Hipercze"/>
                <w:noProof/>
              </w:rPr>
              <w:t>5.2.</w:t>
            </w:r>
            <w:r>
              <w:rPr>
                <w:rFonts w:eastAsiaTheme="minorEastAsia"/>
                <w:noProof/>
                <w:kern w:val="2"/>
                <w:sz w:val="24"/>
                <w:szCs w:val="24"/>
                <w:lang w:eastAsia="pl-PL"/>
                <w14:ligatures w14:val="standardContextual"/>
              </w:rPr>
              <w:tab/>
            </w:r>
            <w:r w:rsidRPr="00C5500D">
              <w:rPr>
                <w:rStyle w:val="Hipercze"/>
                <w:noProof/>
              </w:rPr>
              <w:t>Wojewódzki program higieny i profilaktyki wybranych chorób zakaźnych „Higiena naszą tarczą ochronną”</w:t>
            </w:r>
            <w:r>
              <w:rPr>
                <w:noProof/>
                <w:webHidden/>
              </w:rPr>
              <w:tab/>
            </w:r>
            <w:r>
              <w:rPr>
                <w:noProof/>
                <w:webHidden/>
              </w:rPr>
              <w:fldChar w:fldCharType="begin"/>
            </w:r>
            <w:r>
              <w:rPr>
                <w:noProof/>
                <w:webHidden/>
              </w:rPr>
              <w:instrText xml:space="preserve"> PAGEREF _Toc194059891 \h </w:instrText>
            </w:r>
            <w:r>
              <w:rPr>
                <w:noProof/>
                <w:webHidden/>
              </w:rPr>
            </w:r>
            <w:r>
              <w:rPr>
                <w:noProof/>
                <w:webHidden/>
              </w:rPr>
              <w:fldChar w:fldCharType="separate"/>
            </w:r>
            <w:r>
              <w:rPr>
                <w:noProof/>
                <w:webHidden/>
              </w:rPr>
              <w:t>125</w:t>
            </w:r>
            <w:r>
              <w:rPr>
                <w:noProof/>
                <w:webHidden/>
              </w:rPr>
              <w:fldChar w:fldCharType="end"/>
            </w:r>
          </w:hyperlink>
        </w:p>
        <w:p w14:paraId="670641C6" w14:textId="42518D94" w:rsidR="00F446E0" w:rsidRDefault="00F446E0" w:rsidP="00597239">
          <w:pPr>
            <w:pStyle w:val="Spistreci3"/>
            <w:rPr>
              <w:rFonts w:eastAsiaTheme="minorEastAsia"/>
              <w:noProof/>
              <w:kern w:val="2"/>
              <w:sz w:val="24"/>
              <w:szCs w:val="24"/>
              <w:lang w:eastAsia="pl-PL"/>
              <w14:ligatures w14:val="standardContextual"/>
            </w:rPr>
          </w:pPr>
          <w:hyperlink w:anchor="_Toc194059892" w:history="1">
            <w:r w:rsidRPr="00C5500D">
              <w:rPr>
                <w:rStyle w:val="Hipercze"/>
                <w:noProof/>
              </w:rPr>
              <w:t>5.3.</w:t>
            </w:r>
            <w:r>
              <w:rPr>
                <w:rFonts w:eastAsiaTheme="minorEastAsia"/>
                <w:noProof/>
                <w:kern w:val="2"/>
                <w:sz w:val="24"/>
                <w:szCs w:val="24"/>
                <w:lang w:eastAsia="pl-PL"/>
                <w14:ligatures w14:val="standardContextual"/>
              </w:rPr>
              <w:tab/>
            </w:r>
            <w:r w:rsidRPr="00C5500D">
              <w:rPr>
                <w:rStyle w:val="Hipercze"/>
                <w:noProof/>
              </w:rPr>
              <w:t>Wojewódzki przedszkolny program zdrowia jamy ustnej i zapobiegania próchnicy „Zdrowe zęby mamy marchewkę zajadamy”</w:t>
            </w:r>
            <w:r>
              <w:rPr>
                <w:noProof/>
                <w:webHidden/>
              </w:rPr>
              <w:tab/>
            </w:r>
            <w:r>
              <w:rPr>
                <w:noProof/>
                <w:webHidden/>
              </w:rPr>
              <w:fldChar w:fldCharType="begin"/>
            </w:r>
            <w:r>
              <w:rPr>
                <w:noProof/>
                <w:webHidden/>
              </w:rPr>
              <w:instrText xml:space="preserve"> PAGEREF _Toc194059892 \h </w:instrText>
            </w:r>
            <w:r>
              <w:rPr>
                <w:noProof/>
                <w:webHidden/>
              </w:rPr>
            </w:r>
            <w:r>
              <w:rPr>
                <w:noProof/>
                <w:webHidden/>
              </w:rPr>
              <w:fldChar w:fldCharType="separate"/>
            </w:r>
            <w:r>
              <w:rPr>
                <w:noProof/>
                <w:webHidden/>
              </w:rPr>
              <w:t>125</w:t>
            </w:r>
            <w:r>
              <w:rPr>
                <w:noProof/>
                <w:webHidden/>
              </w:rPr>
              <w:fldChar w:fldCharType="end"/>
            </w:r>
          </w:hyperlink>
        </w:p>
        <w:p w14:paraId="76164203" w14:textId="61EE5D30" w:rsidR="00F446E0" w:rsidRDefault="00F446E0" w:rsidP="00597239">
          <w:pPr>
            <w:pStyle w:val="Spistreci3"/>
            <w:rPr>
              <w:rFonts w:eastAsiaTheme="minorEastAsia"/>
              <w:noProof/>
              <w:kern w:val="2"/>
              <w:sz w:val="24"/>
              <w:szCs w:val="24"/>
              <w:lang w:eastAsia="pl-PL"/>
              <w14:ligatures w14:val="standardContextual"/>
            </w:rPr>
          </w:pPr>
          <w:hyperlink w:anchor="_Toc194059893" w:history="1">
            <w:r w:rsidRPr="00C5500D">
              <w:rPr>
                <w:rStyle w:val="Hipercze"/>
                <w:noProof/>
              </w:rPr>
              <w:t>5.4.</w:t>
            </w:r>
            <w:r>
              <w:rPr>
                <w:rFonts w:eastAsiaTheme="minorEastAsia"/>
                <w:noProof/>
                <w:kern w:val="2"/>
                <w:sz w:val="24"/>
                <w:szCs w:val="24"/>
                <w:lang w:eastAsia="pl-PL"/>
                <w14:ligatures w14:val="standardContextual"/>
              </w:rPr>
              <w:tab/>
            </w:r>
            <w:r w:rsidRPr="00C5500D">
              <w:rPr>
                <w:rStyle w:val="Hipercze"/>
                <w:noProof/>
              </w:rPr>
              <w:t>Profilaktyka chorób zakaźnych, w tym WZW i promocja szczepień ochronnych</w:t>
            </w:r>
            <w:r>
              <w:rPr>
                <w:noProof/>
                <w:webHidden/>
              </w:rPr>
              <w:tab/>
            </w:r>
            <w:r>
              <w:rPr>
                <w:noProof/>
                <w:webHidden/>
              </w:rPr>
              <w:fldChar w:fldCharType="begin"/>
            </w:r>
            <w:r>
              <w:rPr>
                <w:noProof/>
                <w:webHidden/>
              </w:rPr>
              <w:instrText xml:space="preserve"> PAGEREF _Toc194059893 \h </w:instrText>
            </w:r>
            <w:r>
              <w:rPr>
                <w:noProof/>
                <w:webHidden/>
              </w:rPr>
            </w:r>
            <w:r>
              <w:rPr>
                <w:noProof/>
                <w:webHidden/>
              </w:rPr>
              <w:fldChar w:fldCharType="separate"/>
            </w:r>
            <w:r>
              <w:rPr>
                <w:noProof/>
                <w:webHidden/>
              </w:rPr>
              <w:t>125</w:t>
            </w:r>
            <w:r>
              <w:rPr>
                <w:noProof/>
                <w:webHidden/>
              </w:rPr>
              <w:fldChar w:fldCharType="end"/>
            </w:r>
          </w:hyperlink>
        </w:p>
        <w:p w14:paraId="4EEF5B4F" w14:textId="23F824B6" w:rsidR="00F446E0" w:rsidRDefault="00F446E0" w:rsidP="00597239">
          <w:pPr>
            <w:pStyle w:val="Spistreci2"/>
            <w:rPr>
              <w:rFonts w:eastAsiaTheme="minorEastAsia"/>
              <w:noProof/>
              <w:kern w:val="2"/>
              <w:sz w:val="24"/>
              <w:szCs w:val="24"/>
              <w:lang w:eastAsia="pl-PL"/>
              <w14:ligatures w14:val="standardContextual"/>
            </w:rPr>
          </w:pPr>
          <w:hyperlink w:anchor="_Toc194059894" w:history="1">
            <w:r w:rsidRPr="00C5500D">
              <w:rPr>
                <w:rStyle w:val="Hipercze"/>
                <w:noProof/>
              </w:rPr>
              <w:t>6.</w:t>
            </w:r>
            <w:r>
              <w:rPr>
                <w:rFonts w:eastAsiaTheme="minorEastAsia"/>
                <w:noProof/>
                <w:kern w:val="2"/>
                <w:sz w:val="24"/>
                <w:szCs w:val="24"/>
                <w:lang w:eastAsia="pl-PL"/>
                <w14:ligatures w14:val="standardContextual"/>
              </w:rPr>
              <w:tab/>
            </w:r>
            <w:r w:rsidRPr="00C5500D">
              <w:rPr>
                <w:rStyle w:val="Hipercze"/>
                <w:noProof/>
              </w:rPr>
              <w:t>Profilaktyka chorób nowotworowych</w:t>
            </w:r>
            <w:r>
              <w:rPr>
                <w:noProof/>
                <w:webHidden/>
              </w:rPr>
              <w:tab/>
            </w:r>
            <w:r>
              <w:rPr>
                <w:noProof/>
                <w:webHidden/>
              </w:rPr>
              <w:fldChar w:fldCharType="begin"/>
            </w:r>
            <w:r>
              <w:rPr>
                <w:noProof/>
                <w:webHidden/>
              </w:rPr>
              <w:instrText xml:space="preserve"> PAGEREF _Toc194059894 \h </w:instrText>
            </w:r>
            <w:r>
              <w:rPr>
                <w:noProof/>
                <w:webHidden/>
              </w:rPr>
            </w:r>
            <w:r>
              <w:rPr>
                <w:noProof/>
                <w:webHidden/>
              </w:rPr>
              <w:fldChar w:fldCharType="separate"/>
            </w:r>
            <w:r>
              <w:rPr>
                <w:noProof/>
                <w:webHidden/>
              </w:rPr>
              <w:t>127</w:t>
            </w:r>
            <w:r>
              <w:rPr>
                <w:noProof/>
                <w:webHidden/>
              </w:rPr>
              <w:fldChar w:fldCharType="end"/>
            </w:r>
          </w:hyperlink>
        </w:p>
        <w:p w14:paraId="4F8EC708" w14:textId="05884994" w:rsidR="00F446E0" w:rsidRDefault="00F446E0" w:rsidP="00597239">
          <w:pPr>
            <w:pStyle w:val="Spistreci3"/>
            <w:rPr>
              <w:rFonts w:eastAsiaTheme="minorEastAsia"/>
              <w:noProof/>
              <w:kern w:val="2"/>
              <w:sz w:val="24"/>
              <w:szCs w:val="24"/>
              <w:lang w:eastAsia="pl-PL"/>
              <w14:ligatures w14:val="standardContextual"/>
            </w:rPr>
          </w:pPr>
          <w:hyperlink w:anchor="_Toc194059895" w:history="1">
            <w:r w:rsidRPr="00C5500D">
              <w:rPr>
                <w:rStyle w:val="Hipercze"/>
                <w:noProof/>
              </w:rPr>
              <w:t>6.1.</w:t>
            </w:r>
            <w:r>
              <w:rPr>
                <w:rFonts w:eastAsiaTheme="minorEastAsia"/>
                <w:noProof/>
                <w:kern w:val="2"/>
                <w:sz w:val="24"/>
                <w:szCs w:val="24"/>
                <w:lang w:eastAsia="pl-PL"/>
                <w14:ligatures w14:val="standardContextual"/>
              </w:rPr>
              <w:tab/>
            </w:r>
            <w:r w:rsidRPr="00C5500D">
              <w:rPr>
                <w:rStyle w:val="Hipercze"/>
                <w:noProof/>
              </w:rPr>
              <w:t>Program edukacyjny Program edukacyjny "Znamię! Znam je?"</w:t>
            </w:r>
            <w:r>
              <w:rPr>
                <w:noProof/>
                <w:webHidden/>
              </w:rPr>
              <w:tab/>
            </w:r>
            <w:r>
              <w:rPr>
                <w:noProof/>
                <w:webHidden/>
              </w:rPr>
              <w:fldChar w:fldCharType="begin"/>
            </w:r>
            <w:r>
              <w:rPr>
                <w:noProof/>
                <w:webHidden/>
              </w:rPr>
              <w:instrText xml:space="preserve"> PAGEREF _Toc194059895 \h </w:instrText>
            </w:r>
            <w:r>
              <w:rPr>
                <w:noProof/>
                <w:webHidden/>
              </w:rPr>
            </w:r>
            <w:r>
              <w:rPr>
                <w:noProof/>
                <w:webHidden/>
              </w:rPr>
              <w:fldChar w:fldCharType="separate"/>
            </w:r>
            <w:r>
              <w:rPr>
                <w:noProof/>
                <w:webHidden/>
              </w:rPr>
              <w:t>127</w:t>
            </w:r>
            <w:r>
              <w:rPr>
                <w:noProof/>
                <w:webHidden/>
              </w:rPr>
              <w:fldChar w:fldCharType="end"/>
            </w:r>
          </w:hyperlink>
        </w:p>
        <w:p w14:paraId="337655E0" w14:textId="08C3A780" w:rsidR="00F446E0" w:rsidRDefault="00F446E0" w:rsidP="00597239">
          <w:pPr>
            <w:pStyle w:val="Spistreci3"/>
            <w:rPr>
              <w:rFonts w:eastAsiaTheme="minorEastAsia"/>
              <w:noProof/>
              <w:kern w:val="2"/>
              <w:sz w:val="24"/>
              <w:szCs w:val="24"/>
              <w:lang w:eastAsia="pl-PL"/>
              <w14:ligatures w14:val="standardContextual"/>
            </w:rPr>
          </w:pPr>
          <w:hyperlink w:anchor="_Toc194059896" w:history="1">
            <w:r w:rsidRPr="00C5500D">
              <w:rPr>
                <w:rStyle w:val="Hipercze"/>
                <w:noProof/>
              </w:rPr>
              <w:t>6.2.</w:t>
            </w:r>
            <w:r>
              <w:rPr>
                <w:rFonts w:eastAsiaTheme="minorEastAsia"/>
                <w:noProof/>
                <w:kern w:val="2"/>
                <w:sz w:val="24"/>
                <w:szCs w:val="24"/>
                <w:lang w:eastAsia="pl-PL"/>
                <w14:ligatures w14:val="standardContextual"/>
              </w:rPr>
              <w:tab/>
            </w:r>
            <w:r w:rsidRPr="00C5500D">
              <w:rPr>
                <w:rStyle w:val="Hipercze"/>
                <w:noProof/>
              </w:rPr>
              <w:t>Kampania wojewódzka „Bądź swoją bohaterką”</w:t>
            </w:r>
            <w:r>
              <w:rPr>
                <w:noProof/>
                <w:webHidden/>
              </w:rPr>
              <w:tab/>
            </w:r>
            <w:r>
              <w:rPr>
                <w:noProof/>
                <w:webHidden/>
              </w:rPr>
              <w:fldChar w:fldCharType="begin"/>
            </w:r>
            <w:r>
              <w:rPr>
                <w:noProof/>
                <w:webHidden/>
              </w:rPr>
              <w:instrText xml:space="preserve"> PAGEREF _Toc194059896 \h </w:instrText>
            </w:r>
            <w:r>
              <w:rPr>
                <w:noProof/>
                <w:webHidden/>
              </w:rPr>
            </w:r>
            <w:r>
              <w:rPr>
                <w:noProof/>
                <w:webHidden/>
              </w:rPr>
              <w:fldChar w:fldCharType="separate"/>
            </w:r>
            <w:r>
              <w:rPr>
                <w:noProof/>
                <w:webHidden/>
              </w:rPr>
              <w:t>127</w:t>
            </w:r>
            <w:r>
              <w:rPr>
                <w:noProof/>
                <w:webHidden/>
              </w:rPr>
              <w:fldChar w:fldCharType="end"/>
            </w:r>
          </w:hyperlink>
        </w:p>
        <w:p w14:paraId="5DC92F4A" w14:textId="27932FCC" w:rsidR="00F446E0" w:rsidRDefault="00F446E0" w:rsidP="00597239">
          <w:pPr>
            <w:pStyle w:val="Spistreci2"/>
            <w:rPr>
              <w:rFonts w:eastAsiaTheme="minorEastAsia"/>
              <w:noProof/>
              <w:kern w:val="2"/>
              <w:sz w:val="24"/>
              <w:szCs w:val="24"/>
              <w:lang w:eastAsia="pl-PL"/>
              <w14:ligatures w14:val="standardContextual"/>
            </w:rPr>
          </w:pPr>
          <w:hyperlink w:anchor="_Toc194059897" w:history="1">
            <w:r w:rsidRPr="00C5500D">
              <w:rPr>
                <w:rStyle w:val="Hipercze"/>
                <w:noProof/>
              </w:rPr>
              <w:t>7.</w:t>
            </w:r>
            <w:r>
              <w:rPr>
                <w:rFonts w:eastAsiaTheme="minorEastAsia"/>
                <w:noProof/>
                <w:kern w:val="2"/>
                <w:sz w:val="24"/>
                <w:szCs w:val="24"/>
                <w:lang w:eastAsia="pl-PL"/>
                <w14:ligatures w14:val="standardContextual"/>
              </w:rPr>
              <w:tab/>
            </w:r>
            <w:r w:rsidRPr="00C5500D">
              <w:rPr>
                <w:rStyle w:val="Hipercze"/>
                <w:noProof/>
              </w:rPr>
              <w:t>Promocja zdrowego stylu życia</w:t>
            </w:r>
            <w:r>
              <w:rPr>
                <w:noProof/>
                <w:webHidden/>
              </w:rPr>
              <w:tab/>
            </w:r>
            <w:r>
              <w:rPr>
                <w:noProof/>
                <w:webHidden/>
              </w:rPr>
              <w:fldChar w:fldCharType="begin"/>
            </w:r>
            <w:r>
              <w:rPr>
                <w:noProof/>
                <w:webHidden/>
              </w:rPr>
              <w:instrText xml:space="preserve"> PAGEREF _Toc194059897 \h </w:instrText>
            </w:r>
            <w:r>
              <w:rPr>
                <w:noProof/>
                <w:webHidden/>
              </w:rPr>
            </w:r>
            <w:r>
              <w:rPr>
                <w:noProof/>
                <w:webHidden/>
              </w:rPr>
              <w:fldChar w:fldCharType="separate"/>
            </w:r>
            <w:r>
              <w:rPr>
                <w:noProof/>
                <w:webHidden/>
              </w:rPr>
              <w:t>127</w:t>
            </w:r>
            <w:r>
              <w:rPr>
                <w:noProof/>
                <w:webHidden/>
              </w:rPr>
              <w:fldChar w:fldCharType="end"/>
            </w:r>
          </w:hyperlink>
        </w:p>
        <w:p w14:paraId="0A281D93" w14:textId="00DAF6D2" w:rsidR="00F446E0" w:rsidRDefault="00F446E0" w:rsidP="00597239">
          <w:pPr>
            <w:pStyle w:val="Spistreci3"/>
            <w:rPr>
              <w:rFonts w:eastAsiaTheme="minorEastAsia"/>
              <w:noProof/>
              <w:kern w:val="2"/>
              <w:sz w:val="24"/>
              <w:szCs w:val="24"/>
              <w:lang w:eastAsia="pl-PL"/>
              <w14:ligatures w14:val="standardContextual"/>
            </w:rPr>
          </w:pPr>
          <w:hyperlink w:anchor="_Toc194059898" w:history="1">
            <w:r w:rsidRPr="00C5500D">
              <w:rPr>
                <w:rStyle w:val="Hipercze"/>
                <w:noProof/>
              </w:rPr>
              <w:t>7.1.</w:t>
            </w:r>
            <w:r>
              <w:rPr>
                <w:rFonts w:eastAsiaTheme="minorEastAsia"/>
                <w:noProof/>
                <w:kern w:val="2"/>
                <w:sz w:val="24"/>
                <w:szCs w:val="24"/>
                <w:lang w:eastAsia="pl-PL"/>
                <w14:ligatures w14:val="standardContextual"/>
              </w:rPr>
              <w:tab/>
            </w:r>
            <w:r w:rsidRPr="00C5500D">
              <w:rPr>
                <w:rStyle w:val="Hipercze"/>
                <w:noProof/>
              </w:rPr>
              <w:t>Światowy Dzień Zdrowia</w:t>
            </w:r>
            <w:r>
              <w:rPr>
                <w:noProof/>
                <w:webHidden/>
              </w:rPr>
              <w:tab/>
            </w:r>
            <w:r>
              <w:rPr>
                <w:noProof/>
                <w:webHidden/>
              </w:rPr>
              <w:fldChar w:fldCharType="begin"/>
            </w:r>
            <w:r>
              <w:rPr>
                <w:noProof/>
                <w:webHidden/>
              </w:rPr>
              <w:instrText xml:space="preserve"> PAGEREF _Toc194059898 \h </w:instrText>
            </w:r>
            <w:r>
              <w:rPr>
                <w:noProof/>
                <w:webHidden/>
              </w:rPr>
            </w:r>
            <w:r>
              <w:rPr>
                <w:noProof/>
                <w:webHidden/>
              </w:rPr>
              <w:fldChar w:fldCharType="separate"/>
            </w:r>
            <w:r>
              <w:rPr>
                <w:noProof/>
                <w:webHidden/>
              </w:rPr>
              <w:t>127</w:t>
            </w:r>
            <w:r>
              <w:rPr>
                <w:noProof/>
                <w:webHidden/>
              </w:rPr>
              <w:fldChar w:fldCharType="end"/>
            </w:r>
          </w:hyperlink>
        </w:p>
        <w:p w14:paraId="40035543" w14:textId="663F991D" w:rsidR="00F446E0" w:rsidRDefault="00F446E0" w:rsidP="00597239">
          <w:pPr>
            <w:pStyle w:val="Spistreci3"/>
            <w:rPr>
              <w:rFonts w:eastAsiaTheme="minorEastAsia"/>
              <w:noProof/>
              <w:kern w:val="2"/>
              <w:sz w:val="24"/>
              <w:szCs w:val="24"/>
              <w:lang w:eastAsia="pl-PL"/>
              <w14:ligatures w14:val="standardContextual"/>
            </w:rPr>
          </w:pPr>
          <w:hyperlink w:anchor="_Toc194059899" w:history="1">
            <w:r w:rsidRPr="00C5500D">
              <w:rPr>
                <w:rStyle w:val="Hipercze"/>
                <w:noProof/>
              </w:rPr>
              <w:t>7.2.</w:t>
            </w:r>
            <w:r>
              <w:rPr>
                <w:rFonts w:eastAsiaTheme="minorEastAsia"/>
                <w:noProof/>
                <w:kern w:val="2"/>
                <w:sz w:val="24"/>
                <w:szCs w:val="24"/>
                <w:lang w:eastAsia="pl-PL"/>
                <w14:ligatures w14:val="standardContextual"/>
              </w:rPr>
              <w:tab/>
            </w:r>
            <w:r w:rsidRPr="00C5500D">
              <w:rPr>
                <w:rStyle w:val="Hipercze"/>
                <w:noProof/>
              </w:rPr>
              <w:t>Promocja bezpiecznego grzybobrania i profilaktyka zatruć grzybami</w:t>
            </w:r>
            <w:r>
              <w:rPr>
                <w:noProof/>
                <w:webHidden/>
              </w:rPr>
              <w:tab/>
            </w:r>
            <w:r>
              <w:rPr>
                <w:noProof/>
                <w:webHidden/>
              </w:rPr>
              <w:fldChar w:fldCharType="begin"/>
            </w:r>
            <w:r>
              <w:rPr>
                <w:noProof/>
                <w:webHidden/>
              </w:rPr>
              <w:instrText xml:space="preserve"> PAGEREF _Toc194059899 \h </w:instrText>
            </w:r>
            <w:r>
              <w:rPr>
                <w:noProof/>
                <w:webHidden/>
              </w:rPr>
            </w:r>
            <w:r>
              <w:rPr>
                <w:noProof/>
                <w:webHidden/>
              </w:rPr>
              <w:fldChar w:fldCharType="separate"/>
            </w:r>
            <w:r>
              <w:rPr>
                <w:noProof/>
                <w:webHidden/>
              </w:rPr>
              <w:t>130</w:t>
            </w:r>
            <w:r>
              <w:rPr>
                <w:noProof/>
                <w:webHidden/>
              </w:rPr>
              <w:fldChar w:fldCharType="end"/>
            </w:r>
          </w:hyperlink>
        </w:p>
        <w:p w14:paraId="5AEAC268" w14:textId="4AA7303D" w:rsidR="00F446E0" w:rsidRDefault="00F446E0" w:rsidP="00597239">
          <w:pPr>
            <w:pStyle w:val="Spistreci3"/>
            <w:rPr>
              <w:rFonts w:eastAsiaTheme="minorEastAsia"/>
              <w:noProof/>
              <w:kern w:val="2"/>
              <w:sz w:val="24"/>
              <w:szCs w:val="24"/>
              <w:lang w:eastAsia="pl-PL"/>
              <w14:ligatures w14:val="standardContextual"/>
            </w:rPr>
          </w:pPr>
          <w:hyperlink w:anchor="_Toc194059900" w:history="1">
            <w:r w:rsidRPr="00C5500D">
              <w:rPr>
                <w:rStyle w:val="Hipercze"/>
                <w:noProof/>
              </w:rPr>
              <w:t>7.3.</w:t>
            </w:r>
            <w:r>
              <w:rPr>
                <w:rFonts w:eastAsiaTheme="minorEastAsia"/>
                <w:noProof/>
                <w:kern w:val="2"/>
                <w:sz w:val="24"/>
                <w:szCs w:val="24"/>
                <w:lang w:eastAsia="pl-PL"/>
                <w14:ligatures w14:val="standardContextual"/>
              </w:rPr>
              <w:tab/>
            </w:r>
            <w:r w:rsidRPr="00C5500D">
              <w:rPr>
                <w:rStyle w:val="Hipercze"/>
                <w:noProof/>
              </w:rPr>
              <w:t>Europejski i Światowy Dzień Wiedzy o Antybiotykach</w:t>
            </w:r>
            <w:r>
              <w:rPr>
                <w:noProof/>
                <w:webHidden/>
              </w:rPr>
              <w:tab/>
            </w:r>
            <w:r>
              <w:rPr>
                <w:noProof/>
                <w:webHidden/>
              </w:rPr>
              <w:fldChar w:fldCharType="begin"/>
            </w:r>
            <w:r>
              <w:rPr>
                <w:noProof/>
                <w:webHidden/>
              </w:rPr>
              <w:instrText xml:space="preserve"> PAGEREF _Toc194059900 \h </w:instrText>
            </w:r>
            <w:r>
              <w:rPr>
                <w:noProof/>
                <w:webHidden/>
              </w:rPr>
            </w:r>
            <w:r>
              <w:rPr>
                <w:noProof/>
                <w:webHidden/>
              </w:rPr>
              <w:fldChar w:fldCharType="separate"/>
            </w:r>
            <w:r>
              <w:rPr>
                <w:noProof/>
                <w:webHidden/>
              </w:rPr>
              <w:t>130</w:t>
            </w:r>
            <w:r>
              <w:rPr>
                <w:noProof/>
                <w:webHidden/>
              </w:rPr>
              <w:fldChar w:fldCharType="end"/>
            </w:r>
          </w:hyperlink>
        </w:p>
        <w:p w14:paraId="7B30EC2A" w14:textId="779522BE" w:rsidR="00F446E0" w:rsidRDefault="00F446E0" w:rsidP="00597239">
          <w:pPr>
            <w:pStyle w:val="Spistreci3"/>
            <w:rPr>
              <w:rFonts w:eastAsiaTheme="minorEastAsia"/>
              <w:noProof/>
              <w:kern w:val="2"/>
              <w:sz w:val="24"/>
              <w:szCs w:val="24"/>
              <w:lang w:eastAsia="pl-PL"/>
              <w14:ligatures w14:val="standardContextual"/>
            </w:rPr>
          </w:pPr>
          <w:hyperlink w:anchor="_Toc194059901" w:history="1">
            <w:r w:rsidRPr="00C5500D">
              <w:rPr>
                <w:rStyle w:val="Hipercze"/>
                <w:noProof/>
              </w:rPr>
              <w:t>7.4.</w:t>
            </w:r>
            <w:r>
              <w:rPr>
                <w:rFonts w:eastAsiaTheme="minorEastAsia"/>
                <w:noProof/>
                <w:kern w:val="2"/>
                <w:sz w:val="24"/>
                <w:szCs w:val="24"/>
                <w:lang w:eastAsia="pl-PL"/>
                <w14:ligatures w14:val="standardContextual"/>
              </w:rPr>
              <w:tab/>
            </w:r>
            <w:r w:rsidRPr="00C5500D">
              <w:rPr>
                <w:rStyle w:val="Hipercze"/>
                <w:noProof/>
              </w:rPr>
              <w:t>Bezpieczeństwo dzieci podczas wypoczynku letniego i zimowego Bezpieczne Ferie i Wakacje</w:t>
            </w:r>
            <w:r>
              <w:rPr>
                <w:noProof/>
                <w:webHidden/>
              </w:rPr>
              <w:tab/>
            </w:r>
            <w:r>
              <w:rPr>
                <w:noProof/>
                <w:webHidden/>
              </w:rPr>
              <w:fldChar w:fldCharType="begin"/>
            </w:r>
            <w:r>
              <w:rPr>
                <w:noProof/>
                <w:webHidden/>
              </w:rPr>
              <w:instrText xml:space="preserve"> PAGEREF _Toc194059901 \h </w:instrText>
            </w:r>
            <w:r>
              <w:rPr>
                <w:noProof/>
                <w:webHidden/>
              </w:rPr>
            </w:r>
            <w:r>
              <w:rPr>
                <w:noProof/>
                <w:webHidden/>
              </w:rPr>
              <w:fldChar w:fldCharType="separate"/>
            </w:r>
            <w:r>
              <w:rPr>
                <w:noProof/>
                <w:webHidden/>
              </w:rPr>
              <w:t>130</w:t>
            </w:r>
            <w:r>
              <w:rPr>
                <w:noProof/>
                <w:webHidden/>
              </w:rPr>
              <w:fldChar w:fldCharType="end"/>
            </w:r>
          </w:hyperlink>
        </w:p>
        <w:p w14:paraId="1EE1060A" w14:textId="6FD0F9BD" w:rsidR="00F446E0" w:rsidRDefault="00F446E0" w:rsidP="00597239">
          <w:pPr>
            <w:pStyle w:val="Spistreci3"/>
            <w:rPr>
              <w:rFonts w:eastAsiaTheme="minorEastAsia"/>
              <w:noProof/>
              <w:kern w:val="2"/>
              <w:sz w:val="24"/>
              <w:szCs w:val="24"/>
              <w:lang w:eastAsia="pl-PL"/>
              <w14:ligatures w14:val="standardContextual"/>
            </w:rPr>
          </w:pPr>
          <w:hyperlink w:anchor="_Toc194059902" w:history="1">
            <w:r w:rsidRPr="00C5500D">
              <w:rPr>
                <w:rStyle w:val="Hipercze"/>
                <w:noProof/>
              </w:rPr>
              <w:t>7.5.</w:t>
            </w:r>
            <w:r>
              <w:rPr>
                <w:rFonts w:eastAsiaTheme="minorEastAsia"/>
                <w:noProof/>
                <w:kern w:val="2"/>
                <w:sz w:val="24"/>
                <w:szCs w:val="24"/>
                <w:lang w:eastAsia="pl-PL"/>
                <w14:ligatures w14:val="standardContextual"/>
              </w:rPr>
              <w:tab/>
            </w:r>
            <w:r w:rsidRPr="00C5500D">
              <w:rPr>
                <w:rStyle w:val="Hipercze"/>
                <w:noProof/>
              </w:rPr>
              <w:t>Zdrowy Senior (PSSE Gryfice, PSSE Kamień Pomorski, PSSE Kołobrzeg)</w:t>
            </w:r>
            <w:r>
              <w:rPr>
                <w:noProof/>
                <w:webHidden/>
              </w:rPr>
              <w:tab/>
            </w:r>
            <w:r>
              <w:rPr>
                <w:noProof/>
                <w:webHidden/>
              </w:rPr>
              <w:fldChar w:fldCharType="begin"/>
            </w:r>
            <w:r>
              <w:rPr>
                <w:noProof/>
                <w:webHidden/>
              </w:rPr>
              <w:instrText xml:space="preserve"> PAGEREF _Toc194059902 \h </w:instrText>
            </w:r>
            <w:r>
              <w:rPr>
                <w:noProof/>
                <w:webHidden/>
              </w:rPr>
            </w:r>
            <w:r>
              <w:rPr>
                <w:noProof/>
                <w:webHidden/>
              </w:rPr>
              <w:fldChar w:fldCharType="separate"/>
            </w:r>
            <w:r>
              <w:rPr>
                <w:noProof/>
                <w:webHidden/>
              </w:rPr>
              <w:t>130</w:t>
            </w:r>
            <w:r>
              <w:rPr>
                <w:noProof/>
                <w:webHidden/>
              </w:rPr>
              <w:fldChar w:fldCharType="end"/>
            </w:r>
          </w:hyperlink>
        </w:p>
        <w:p w14:paraId="39B16DFF" w14:textId="1DC104A3" w:rsidR="00F446E0" w:rsidRDefault="00F446E0" w:rsidP="00597239">
          <w:pPr>
            <w:pStyle w:val="Spistreci3"/>
            <w:rPr>
              <w:rFonts w:eastAsiaTheme="minorEastAsia"/>
              <w:noProof/>
              <w:kern w:val="2"/>
              <w:sz w:val="24"/>
              <w:szCs w:val="24"/>
              <w:lang w:eastAsia="pl-PL"/>
              <w14:ligatures w14:val="standardContextual"/>
            </w:rPr>
          </w:pPr>
          <w:hyperlink w:anchor="_Toc194059903" w:history="1">
            <w:r w:rsidRPr="00C5500D">
              <w:rPr>
                <w:rStyle w:val="Hipercze"/>
                <w:noProof/>
              </w:rPr>
              <w:t>7.6.</w:t>
            </w:r>
            <w:r>
              <w:rPr>
                <w:rFonts w:eastAsiaTheme="minorEastAsia"/>
                <w:noProof/>
                <w:kern w:val="2"/>
                <w:sz w:val="24"/>
                <w:szCs w:val="24"/>
                <w:lang w:eastAsia="pl-PL"/>
                <w14:ligatures w14:val="standardContextual"/>
              </w:rPr>
              <w:tab/>
            </w:r>
            <w:r w:rsidRPr="00C5500D">
              <w:rPr>
                <w:rStyle w:val="Hipercze"/>
                <w:noProof/>
              </w:rPr>
              <w:t>Wpływ czynników środowiskowych na zdrowie człowieka (PEM, Radon itp.)</w:t>
            </w:r>
            <w:r>
              <w:rPr>
                <w:noProof/>
                <w:webHidden/>
              </w:rPr>
              <w:tab/>
            </w:r>
            <w:r>
              <w:rPr>
                <w:noProof/>
                <w:webHidden/>
              </w:rPr>
              <w:fldChar w:fldCharType="begin"/>
            </w:r>
            <w:r>
              <w:rPr>
                <w:noProof/>
                <w:webHidden/>
              </w:rPr>
              <w:instrText xml:space="preserve"> PAGEREF _Toc194059903 \h </w:instrText>
            </w:r>
            <w:r>
              <w:rPr>
                <w:noProof/>
                <w:webHidden/>
              </w:rPr>
            </w:r>
            <w:r>
              <w:rPr>
                <w:noProof/>
                <w:webHidden/>
              </w:rPr>
              <w:fldChar w:fldCharType="separate"/>
            </w:r>
            <w:r>
              <w:rPr>
                <w:noProof/>
                <w:webHidden/>
              </w:rPr>
              <w:t>131</w:t>
            </w:r>
            <w:r>
              <w:rPr>
                <w:noProof/>
                <w:webHidden/>
              </w:rPr>
              <w:fldChar w:fldCharType="end"/>
            </w:r>
          </w:hyperlink>
        </w:p>
        <w:p w14:paraId="66D5AA99" w14:textId="3D780B79" w:rsidR="00F446E0" w:rsidRDefault="00F446E0" w:rsidP="00597239">
          <w:pPr>
            <w:pStyle w:val="Spistreci2"/>
            <w:rPr>
              <w:rFonts w:eastAsiaTheme="minorEastAsia"/>
              <w:noProof/>
              <w:kern w:val="2"/>
              <w:sz w:val="24"/>
              <w:szCs w:val="24"/>
              <w:lang w:eastAsia="pl-PL"/>
              <w14:ligatures w14:val="standardContextual"/>
            </w:rPr>
          </w:pPr>
          <w:hyperlink w:anchor="_Toc194059904" w:history="1">
            <w:r w:rsidRPr="00C5500D">
              <w:rPr>
                <w:rStyle w:val="Hipercze"/>
                <w:noProof/>
              </w:rPr>
              <w:t>8.</w:t>
            </w:r>
            <w:r>
              <w:rPr>
                <w:rFonts w:eastAsiaTheme="minorEastAsia"/>
                <w:noProof/>
                <w:kern w:val="2"/>
                <w:sz w:val="24"/>
                <w:szCs w:val="24"/>
                <w:lang w:eastAsia="pl-PL"/>
                <w14:ligatures w14:val="standardContextual"/>
              </w:rPr>
              <w:tab/>
            </w:r>
            <w:r w:rsidRPr="00C5500D">
              <w:rPr>
                <w:rStyle w:val="Hipercze"/>
                <w:noProof/>
              </w:rPr>
              <w:t>Inne działania</w:t>
            </w:r>
            <w:r>
              <w:rPr>
                <w:noProof/>
                <w:webHidden/>
              </w:rPr>
              <w:tab/>
            </w:r>
            <w:r>
              <w:rPr>
                <w:noProof/>
                <w:webHidden/>
              </w:rPr>
              <w:fldChar w:fldCharType="begin"/>
            </w:r>
            <w:r>
              <w:rPr>
                <w:noProof/>
                <w:webHidden/>
              </w:rPr>
              <w:instrText xml:space="preserve"> PAGEREF _Toc194059904 \h </w:instrText>
            </w:r>
            <w:r>
              <w:rPr>
                <w:noProof/>
                <w:webHidden/>
              </w:rPr>
            </w:r>
            <w:r>
              <w:rPr>
                <w:noProof/>
                <w:webHidden/>
              </w:rPr>
              <w:fldChar w:fldCharType="separate"/>
            </w:r>
            <w:r>
              <w:rPr>
                <w:noProof/>
                <w:webHidden/>
              </w:rPr>
              <w:t>131</w:t>
            </w:r>
            <w:r>
              <w:rPr>
                <w:noProof/>
                <w:webHidden/>
              </w:rPr>
              <w:fldChar w:fldCharType="end"/>
            </w:r>
          </w:hyperlink>
        </w:p>
        <w:p w14:paraId="2DFE9D0E" w14:textId="718E531C" w:rsidR="00F446E0" w:rsidRDefault="00F446E0" w:rsidP="00597239">
          <w:pPr>
            <w:pStyle w:val="Spistreci3"/>
            <w:rPr>
              <w:rFonts w:eastAsiaTheme="minorEastAsia"/>
              <w:noProof/>
              <w:kern w:val="2"/>
              <w:sz w:val="24"/>
              <w:szCs w:val="24"/>
              <w:lang w:eastAsia="pl-PL"/>
              <w14:ligatures w14:val="standardContextual"/>
            </w:rPr>
          </w:pPr>
          <w:hyperlink w:anchor="_Toc194059905" w:history="1">
            <w:r w:rsidRPr="00C5500D">
              <w:rPr>
                <w:rStyle w:val="Hipercze"/>
                <w:noProof/>
              </w:rPr>
              <w:t>8.1.</w:t>
            </w:r>
            <w:r>
              <w:rPr>
                <w:rFonts w:eastAsiaTheme="minorEastAsia"/>
                <w:noProof/>
                <w:kern w:val="2"/>
                <w:sz w:val="24"/>
                <w:szCs w:val="24"/>
                <w:lang w:eastAsia="pl-PL"/>
                <w14:ligatures w14:val="standardContextual"/>
              </w:rPr>
              <w:tab/>
            </w:r>
            <w:r w:rsidRPr="00C5500D">
              <w:rPr>
                <w:rStyle w:val="Hipercze"/>
                <w:noProof/>
              </w:rPr>
              <w:t>II edycja kampanii wojewódzkiej #MojaSzkołaZdrowaSzkoła</w:t>
            </w:r>
            <w:r>
              <w:rPr>
                <w:noProof/>
                <w:webHidden/>
              </w:rPr>
              <w:tab/>
            </w:r>
            <w:r>
              <w:rPr>
                <w:noProof/>
                <w:webHidden/>
              </w:rPr>
              <w:fldChar w:fldCharType="begin"/>
            </w:r>
            <w:r>
              <w:rPr>
                <w:noProof/>
                <w:webHidden/>
              </w:rPr>
              <w:instrText xml:space="preserve"> PAGEREF _Toc194059905 \h </w:instrText>
            </w:r>
            <w:r>
              <w:rPr>
                <w:noProof/>
                <w:webHidden/>
              </w:rPr>
            </w:r>
            <w:r>
              <w:rPr>
                <w:noProof/>
                <w:webHidden/>
              </w:rPr>
              <w:fldChar w:fldCharType="separate"/>
            </w:r>
            <w:r>
              <w:rPr>
                <w:noProof/>
                <w:webHidden/>
              </w:rPr>
              <w:t>131</w:t>
            </w:r>
            <w:r>
              <w:rPr>
                <w:noProof/>
                <w:webHidden/>
              </w:rPr>
              <w:fldChar w:fldCharType="end"/>
            </w:r>
          </w:hyperlink>
        </w:p>
        <w:p w14:paraId="1BDBE406" w14:textId="256EF48A" w:rsidR="00F446E0" w:rsidRDefault="00F446E0" w:rsidP="00597239">
          <w:pPr>
            <w:pStyle w:val="Spistreci3"/>
            <w:rPr>
              <w:rFonts w:eastAsiaTheme="minorEastAsia"/>
              <w:noProof/>
              <w:kern w:val="2"/>
              <w:sz w:val="24"/>
              <w:szCs w:val="24"/>
              <w:lang w:eastAsia="pl-PL"/>
              <w14:ligatures w14:val="standardContextual"/>
            </w:rPr>
          </w:pPr>
          <w:hyperlink w:anchor="_Toc194059906" w:history="1">
            <w:r w:rsidRPr="00C5500D">
              <w:rPr>
                <w:rStyle w:val="Hipercze"/>
                <w:noProof/>
              </w:rPr>
              <w:t>8.2.</w:t>
            </w:r>
            <w:r>
              <w:rPr>
                <w:rFonts w:eastAsiaTheme="minorEastAsia"/>
                <w:noProof/>
                <w:kern w:val="2"/>
                <w:sz w:val="24"/>
                <w:szCs w:val="24"/>
                <w:lang w:eastAsia="pl-PL"/>
                <w14:ligatures w14:val="standardContextual"/>
              </w:rPr>
              <w:tab/>
            </w:r>
            <w:r w:rsidRPr="00C5500D">
              <w:rPr>
                <w:rStyle w:val="Hipercze"/>
                <w:noProof/>
              </w:rPr>
              <w:t>Powiatowy Program Edukacyjny „Zero Papierosów, Setki Możliwości” realizowany przez PSSE w Gryficach</w:t>
            </w:r>
            <w:r>
              <w:rPr>
                <w:noProof/>
                <w:webHidden/>
              </w:rPr>
              <w:tab/>
            </w:r>
            <w:r>
              <w:rPr>
                <w:noProof/>
                <w:webHidden/>
              </w:rPr>
              <w:fldChar w:fldCharType="begin"/>
            </w:r>
            <w:r>
              <w:rPr>
                <w:noProof/>
                <w:webHidden/>
              </w:rPr>
              <w:instrText xml:space="preserve"> PAGEREF _Toc194059906 \h </w:instrText>
            </w:r>
            <w:r>
              <w:rPr>
                <w:noProof/>
                <w:webHidden/>
              </w:rPr>
            </w:r>
            <w:r>
              <w:rPr>
                <w:noProof/>
                <w:webHidden/>
              </w:rPr>
              <w:fldChar w:fldCharType="separate"/>
            </w:r>
            <w:r>
              <w:rPr>
                <w:noProof/>
                <w:webHidden/>
              </w:rPr>
              <w:t>132</w:t>
            </w:r>
            <w:r>
              <w:rPr>
                <w:noProof/>
                <w:webHidden/>
              </w:rPr>
              <w:fldChar w:fldCharType="end"/>
            </w:r>
          </w:hyperlink>
        </w:p>
        <w:p w14:paraId="5DC78E06" w14:textId="402EEBE4" w:rsidR="00F446E0" w:rsidRDefault="00F446E0" w:rsidP="00597239">
          <w:pPr>
            <w:pStyle w:val="Spistreci3"/>
            <w:rPr>
              <w:rFonts w:eastAsiaTheme="minorEastAsia"/>
              <w:noProof/>
              <w:kern w:val="2"/>
              <w:sz w:val="24"/>
              <w:szCs w:val="24"/>
              <w:lang w:eastAsia="pl-PL"/>
              <w14:ligatures w14:val="standardContextual"/>
            </w:rPr>
          </w:pPr>
          <w:hyperlink w:anchor="_Toc194059907" w:history="1">
            <w:r w:rsidRPr="00C5500D">
              <w:rPr>
                <w:rStyle w:val="Hipercze"/>
                <w:noProof/>
              </w:rPr>
              <w:t>8.3.</w:t>
            </w:r>
            <w:r>
              <w:rPr>
                <w:rFonts w:eastAsiaTheme="minorEastAsia"/>
                <w:noProof/>
                <w:kern w:val="2"/>
                <w:sz w:val="24"/>
                <w:szCs w:val="24"/>
                <w:lang w:eastAsia="pl-PL"/>
                <w14:ligatures w14:val="standardContextual"/>
              </w:rPr>
              <w:tab/>
            </w:r>
            <w:r w:rsidRPr="00C5500D">
              <w:rPr>
                <w:rStyle w:val="Hipercze"/>
                <w:noProof/>
              </w:rPr>
              <w:t>Cyberprzemoc - PSSE Myślibórz</w:t>
            </w:r>
            <w:r>
              <w:rPr>
                <w:noProof/>
                <w:webHidden/>
              </w:rPr>
              <w:tab/>
            </w:r>
            <w:r>
              <w:rPr>
                <w:noProof/>
                <w:webHidden/>
              </w:rPr>
              <w:fldChar w:fldCharType="begin"/>
            </w:r>
            <w:r>
              <w:rPr>
                <w:noProof/>
                <w:webHidden/>
              </w:rPr>
              <w:instrText xml:space="preserve"> PAGEREF _Toc194059907 \h </w:instrText>
            </w:r>
            <w:r>
              <w:rPr>
                <w:noProof/>
                <w:webHidden/>
              </w:rPr>
            </w:r>
            <w:r>
              <w:rPr>
                <w:noProof/>
                <w:webHidden/>
              </w:rPr>
              <w:fldChar w:fldCharType="separate"/>
            </w:r>
            <w:r>
              <w:rPr>
                <w:noProof/>
                <w:webHidden/>
              </w:rPr>
              <w:t>132</w:t>
            </w:r>
            <w:r>
              <w:rPr>
                <w:noProof/>
                <w:webHidden/>
              </w:rPr>
              <w:fldChar w:fldCharType="end"/>
            </w:r>
          </w:hyperlink>
        </w:p>
        <w:p w14:paraId="4BA05FD5" w14:textId="36D4C9AA" w:rsidR="00F446E0" w:rsidRDefault="00F446E0" w:rsidP="00597239">
          <w:pPr>
            <w:pStyle w:val="Spistreci3"/>
            <w:rPr>
              <w:rFonts w:eastAsiaTheme="minorEastAsia"/>
              <w:noProof/>
              <w:kern w:val="2"/>
              <w:sz w:val="24"/>
              <w:szCs w:val="24"/>
              <w:lang w:eastAsia="pl-PL"/>
              <w14:ligatures w14:val="standardContextual"/>
            </w:rPr>
          </w:pPr>
          <w:hyperlink w:anchor="_Toc194059908" w:history="1">
            <w:r w:rsidRPr="00C5500D">
              <w:rPr>
                <w:rStyle w:val="Hipercze"/>
                <w:noProof/>
              </w:rPr>
              <w:t>8.4.</w:t>
            </w:r>
            <w:r>
              <w:rPr>
                <w:rFonts w:eastAsiaTheme="minorEastAsia"/>
                <w:noProof/>
                <w:kern w:val="2"/>
                <w:sz w:val="24"/>
                <w:szCs w:val="24"/>
                <w:lang w:eastAsia="pl-PL"/>
                <w14:ligatures w14:val="standardContextual"/>
              </w:rPr>
              <w:tab/>
            </w:r>
            <w:r w:rsidRPr="00C5500D">
              <w:rPr>
                <w:rStyle w:val="Hipercze"/>
                <w:noProof/>
              </w:rPr>
              <w:t>Zdrowie psychiczne – depresja - PSSE Police</w:t>
            </w:r>
            <w:r>
              <w:rPr>
                <w:noProof/>
                <w:webHidden/>
              </w:rPr>
              <w:tab/>
            </w:r>
            <w:r>
              <w:rPr>
                <w:noProof/>
                <w:webHidden/>
              </w:rPr>
              <w:fldChar w:fldCharType="begin"/>
            </w:r>
            <w:r>
              <w:rPr>
                <w:noProof/>
                <w:webHidden/>
              </w:rPr>
              <w:instrText xml:space="preserve"> PAGEREF _Toc194059908 \h </w:instrText>
            </w:r>
            <w:r>
              <w:rPr>
                <w:noProof/>
                <w:webHidden/>
              </w:rPr>
            </w:r>
            <w:r>
              <w:rPr>
                <w:noProof/>
                <w:webHidden/>
              </w:rPr>
              <w:fldChar w:fldCharType="separate"/>
            </w:r>
            <w:r>
              <w:rPr>
                <w:noProof/>
                <w:webHidden/>
              </w:rPr>
              <w:t>132</w:t>
            </w:r>
            <w:r>
              <w:rPr>
                <w:noProof/>
                <w:webHidden/>
              </w:rPr>
              <w:fldChar w:fldCharType="end"/>
            </w:r>
          </w:hyperlink>
        </w:p>
        <w:p w14:paraId="62895E8B" w14:textId="11E76B9D" w:rsidR="00F446E0" w:rsidRDefault="00F446E0" w:rsidP="00597239">
          <w:pPr>
            <w:pStyle w:val="Spistreci3"/>
            <w:rPr>
              <w:rFonts w:eastAsiaTheme="minorEastAsia"/>
              <w:noProof/>
              <w:kern w:val="2"/>
              <w:sz w:val="24"/>
              <w:szCs w:val="24"/>
              <w:lang w:eastAsia="pl-PL"/>
              <w14:ligatures w14:val="standardContextual"/>
            </w:rPr>
          </w:pPr>
          <w:hyperlink w:anchor="_Toc194059909" w:history="1">
            <w:r w:rsidRPr="00C5500D">
              <w:rPr>
                <w:rStyle w:val="Hipercze"/>
                <w:noProof/>
              </w:rPr>
              <w:t>8.5.</w:t>
            </w:r>
            <w:r>
              <w:rPr>
                <w:rFonts w:eastAsiaTheme="minorEastAsia"/>
                <w:noProof/>
                <w:kern w:val="2"/>
                <w:sz w:val="24"/>
                <w:szCs w:val="24"/>
                <w:lang w:eastAsia="pl-PL"/>
                <w14:ligatures w14:val="standardContextual"/>
              </w:rPr>
              <w:tab/>
            </w:r>
            <w:r w:rsidRPr="00C5500D">
              <w:rPr>
                <w:rStyle w:val="Hipercze"/>
                <w:noProof/>
              </w:rPr>
              <w:t>Program edukacyjny dla dzieci w wieku przedszkolnym, ich rodziców i opiekunów pt. „Czyste powietrze wokół nas” (PSSE Kołobrzeg, Sławno, Choszczno)</w:t>
            </w:r>
            <w:r>
              <w:rPr>
                <w:noProof/>
                <w:webHidden/>
              </w:rPr>
              <w:tab/>
            </w:r>
            <w:r>
              <w:rPr>
                <w:noProof/>
                <w:webHidden/>
              </w:rPr>
              <w:fldChar w:fldCharType="begin"/>
            </w:r>
            <w:r>
              <w:rPr>
                <w:noProof/>
                <w:webHidden/>
              </w:rPr>
              <w:instrText xml:space="preserve"> PAGEREF _Toc194059909 \h </w:instrText>
            </w:r>
            <w:r>
              <w:rPr>
                <w:noProof/>
                <w:webHidden/>
              </w:rPr>
            </w:r>
            <w:r>
              <w:rPr>
                <w:noProof/>
                <w:webHidden/>
              </w:rPr>
              <w:fldChar w:fldCharType="separate"/>
            </w:r>
            <w:r>
              <w:rPr>
                <w:noProof/>
                <w:webHidden/>
              </w:rPr>
              <w:t>132</w:t>
            </w:r>
            <w:r>
              <w:rPr>
                <w:noProof/>
                <w:webHidden/>
              </w:rPr>
              <w:fldChar w:fldCharType="end"/>
            </w:r>
          </w:hyperlink>
        </w:p>
        <w:p w14:paraId="4AFCF77A" w14:textId="2622B6E3" w:rsidR="00F446E0" w:rsidRDefault="00F446E0" w:rsidP="00597239">
          <w:pPr>
            <w:pStyle w:val="Spistreci3"/>
            <w:rPr>
              <w:rFonts w:eastAsiaTheme="minorEastAsia"/>
              <w:noProof/>
              <w:kern w:val="2"/>
              <w:sz w:val="24"/>
              <w:szCs w:val="24"/>
              <w:lang w:eastAsia="pl-PL"/>
              <w14:ligatures w14:val="standardContextual"/>
            </w:rPr>
          </w:pPr>
          <w:hyperlink w:anchor="_Toc194059910" w:history="1">
            <w:r w:rsidRPr="00C5500D">
              <w:rPr>
                <w:rStyle w:val="Hipercze"/>
                <w:noProof/>
              </w:rPr>
              <w:t>8.6.</w:t>
            </w:r>
            <w:r>
              <w:rPr>
                <w:rFonts w:eastAsiaTheme="minorEastAsia"/>
                <w:noProof/>
                <w:kern w:val="2"/>
                <w:sz w:val="24"/>
                <w:szCs w:val="24"/>
                <w:lang w:eastAsia="pl-PL"/>
                <w14:ligatures w14:val="standardContextual"/>
              </w:rPr>
              <w:tab/>
            </w:r>
            <w:r w:rsidRPr="00C5500D">
              <w:rPr>
                <w:rStyle w:val="Hipercze"/>
                <w:noProof/>
              </w:rPr>
              <w:t>„Nie pal przy mnie, proszę!” - PSSE Pyrzyce</w:t>
            </w:r>
            <w:r>
              <w:rPr>
                <w:noProof/>
                <w:webHidden/>
              </w:rPr>
              <w:tab/>
            </w:r>
            <w:r>
              <w:rPr>
                <w:noProof/>
                <w:webHidden/>
              </w:rPr>
              <w:fldChar w:fldCharType="begin"/>
            </w:r>
            <w:r>
              <w:rPr>
                <w:noProof/>
                <w:webHidden/>
              </w:rPr>
              <w:instrText xml:space="preserve"> PAGEREF _Toc194059910 \h </w:instrText>
            </w:r>
            <w:r>
              <w:rPr>
                <w:noProof/>
                <w:webHidden/>
              </w:rPr>
            </w:r>
            <w:r>
              <w:rPr>
                <w:noProof/>
                <w:webHidden/>
              </w:rPr>
              <w:fldChar w:fldCharType="separate"/>
            </w:r>
            <w:r>
              <w:rPr>
                <w:noProof/>
                <w:webHidden/>
              </w:rPr>
              <w:t>132</w:t>
            </w:r>
            <w:r>
              <w:rPr>
                <w:noProof/>
                <w:webHidden/>
              </w:rPr>
              <w:fldChar w:fldCharType="end"/>
            </w:r>
          </w:hyperlink>
        </w:p>
        <w:p w14:paraId="65AEDC42" w14:textId="51BC95B9" w:rsidR="00F446E0" w:rsidRDefault="00F446E0" w:rsidP="00597239">
          <w:pPr>
            <w:pStyle w:val="Spistreci3"/>
            <w:rPr>
              <w:rFonts w:eastAsiaTheme="minorEastAsia"/>
              <w:noProof/>
              <w:kern w:val="2"/>
              <w:sz w:val="24"/>
              <w:szCs w:val="24"/>
              <w:lang w:eastAsia="pl-PL"/>
              <w14:ligatures w14:val="standardContextual"/>
            </w:rPr>
          </w:pPr>
          <w:hyperlink w:anchor="_Toc194059911" w:history="1">
            <w:r w:rsidRPr="00C5500D">
              <w:rPr>
                <w:rStyle w:val="Hipercze"/>
                <w:noProof/>
              </w:rPr>
              <w:t>8.7.</w:t>
            </w:r>
            <w:r>
              <w:rPr>
                <w:rFonts w:eastAsiaTheme="minorEastAsia"/>
                <w:noProof/>
                <w:kern w:val="2"/>
                <w:sz w:val="24"/>
                <w:szCs w:val="24"/>
                <w:lang w:eastAsia="pl-PL"/>
                <w14:ligatures w14:val="standardContextual"/>
              </w:rPr>
              <w:tab/>
            </w:r>
            <w:r w:rsidRPr="00C5500D">
              <w:rPr>
                <w:rStyle w:val="Hipercze"/>
                <w:noProof/>
              </w:rPr>
              <w:t>Program „Bieg po zdrowie” - PSSE Pyrzyce</w:t>
            </w:r>
            <w:r>
              <w:rPr>
                <w:noProof/>
                <w:webHidden/>
              </w:rPr>
              <w:tab/>
            </w:r>
            <w:r>
              <w:rPr>
                <w:noProof/>
                <w:webHidden/>
              </w:rPr>
              <w:fldChar w:fldCharType="begin"/>
            </w:r>
            <w:r>
              <w:rPr>
                <w:noProof/>
                <w:webHidden/>
              </w:rPr>
              <w:instrText xml:space="preserve"> PAGEREF _Toc194059911 \h </w:instrText>
            </w:r>
            <w:r>
              <w:rPr>
                <w:noProof/>
                <w:webHidden/>
              </w:rPr>
            </w:r>
            <w:r>
              <w:rPr>
                <w:noProof/>
                <w:webHidden/>
              </w:rPr>
              <w:fldChar w:fldCharType="separate"/>
            </w:r>
            <w:r>
              <w:rPr>
                <w:noProof/>
                <w:webHidden/>
              </w:rPr>
              <w:t>133</w:t>
            </w:r>
            <w:r>
              <w:rPr>
                <w:noProof/>
                <w:webHidden/>
              </w:rPr>
              <w:fldChar w:fldCharType="end"/>
            </w:r>
          </w:hyperlink>
        </w:p>
        <w:p w14:paraId="0044C11F" w14:textId="001A314F" w:rsidR="00F446E0" w:rsidRDefault="00F446E0" w:rsidP="00597239">
          <w:pPr>
            <w:pStyle w:val="Spistreci3"/>
            <w:rPr>
              <w:rFonts w:eastAsiaTheme="minorEastAsia"/>
              <w:noProof/>
              <w:kern w:val="2"/>
              <w:sz w:val="24"/>
              <w:szCs w:val="24"/>
              <w:lang w:eastAsia="pl-PL"/>
              <w14:ligatures w14:val="standardContextual"/>
            </w:rPr>
          </w:pPr>
          <w:hyperlink w:anchor="_Toc194059912" w:history="1">
            <w:r w:rsidRPr="00C5500D">
              <w:rPr>
                <w:rStyle w:val="Hipercze"/>
                <w:noProof/>
              </w:rPr>
              <w:t>8.8.</w:t>
            </w:r>
            <w:r>
              <w:rPr>
                <w:rFonts w:eastAsiaTheme="minorEastAsia"/>
                <w:noProof/>
                <w:kern w:val="2"/>
                <w:sz w:val="24"/>
                <w:szCs w:val="24"/>
                <w:lang w:eastAsia="pl-PL"/>
                <w14:ligatures w14:val="standardContextual"/>
              </w:rPr>
              <w:tab/>
            </w:r>
            <w:r w:rsidRPr="00C5500D">
              <w:rPr>
                <w:rStyle w:val="Hipercze"/>
                <w:noProof/>
              </w:rPr>
              <w:t>Profilaktyka pediokulozy</w:t>
            </w:r>
            <w:r>
              <w:rPr>
                <w:noProof/>
                <w:webHidden/>
              </w:rPr>
              <w:tab/>
            </w:r>
            <w:r>
              <w:rPr>
                <w:noProof/>
                <w:webHidden/>
              </w:rPr>
              <w:fldChar w:fldCharType="begin"/>
            </w:r>
            <w:r>
              <w:rPr>
                <w:noProof/>
                <w:webHidden/>
              </w:rPr>
              <w:instrText xml:space="preserve"> PAGEREF _Toc194059912 \h </w:instrText>
            </w:r>
            <w:r>
              <w:rPr>
                <w:noProof/>
                <w:webHidden/>
              </w:rPr>
            </w:r>
            <w:r>
              <w:rPr>
                <w:noProof/>
                <w:webHidden/>
              </w:rPr>
              <w:fldChar w:fldCharType="separate"/>
            </w:r>
            <w:r>
              <w:rPr>
                <w:noProof/>
                <w:webHidden/>
              </w:rPr>
              <w:t>133</w:t>
            </w:r>
            <w:r>
              <w:rPr>
                <w:noProof/>
                <w:webHidden/>
              </w:rPr>
              <w:fldChar w:fldCharType="end"/>
            </w:r>
          </w:hyperlink>
        </w:p>
        <w:p w14:paraId="68B18060" w14:textId="363DB087" w:rsidR="00F446E0" w:rsidRDefault="00F446E0" w:rsidP="00597239">
          <w:pPr>
            <w:pStyle w:val="Spistreci3"/>
            <w:rPr>
              <w:rFonts w:eastAsiaTheme="minorEastAsia"/>
              <w:noProof/>
              <w:kern w:val="2"/>
              <w:sz w:val="24"/>
              <w:szCs w:val="24"/>
              <w:lang w:eastAsia="pl-PL"/>
              <w14:ligatures w14:val="standardContextual"/>
            </w:rPr>
          </w:pPr>
          <w:hyperlink w:anchor="_Toc194059913" w:history="1">
            <w:r w:rsidRPr="00C5500D">
              <w:rPr>
                <w:rStyle w:val="Hipercze"/>
                <w:noProof/>
              </w:rPr>
              <w:t>8.9.</w:t>
            </w:r>
            <w:r>
              <w:rPr>
                <w:rFonts w:eastAsiaTheme="minorEastAsia"/>
                <w:noProof/>
                <w:kern w:val="2"/>
                <w:sz w:val="24"/>
                <w:szCs w:val="24"/>
                <w:lang w:eastAsia="pl-PL"/>
                <w14:ligatures w14:val="standardContextual"/>
              </w:rPr>
              <w:tab/>
            </w:r>
            <w:r w:rsidRPr="00C5500D">
              <w:rPr>
                <w:rStyle w:val="Hipercze"/>
                <w:noProof/>
              </w:rPr>
              <w:t>„Uwaga - kleszcz! Uwaga - borelioza!”, Profilaktyka chorób odkleszczowych (PSSE Drawsko Pomorskie, PSSE Koszalin)</w:t>
            </w:r>
            <w:r>
              <w:rPr>
                <w:noProof/>
                <w:webHidden/>
              </w:rPr>
              <w:tab/>
            </w:r>
            <w:r>
              <w:rPr>
                <w:noProof/>
                <w:webHidden/>
              </w:rPr>
              <w:fldChar w:fldCharType="begin"/>
            </w:r>
            <w:r>
              <w:rPr>
                <w:noProof/>
                <w:webHidden/>
              </w:rPr>
              <w:instrText xml:space="preserve"> PAGEREF _Toc194059913 \h </w:instrText>
            </w:r>
            <w:r>
              <w:rPr>
                <w:noProof/>
                <w:webHidden/>
              </w:rPr>
            </w:r>
            <w:r>
              <w:rPr>
                <w:noProof/>
                <w:webHidden/>
              </w:rPr>
              <w:fldChar w:fldCharType="separate"/>
            </w:r>
            <w:r>
              <w:rPr>
                <w:noProof/>
                <w:webHidden/>
              </w:rPr>
              <w:t>133</w:t>
            </w:r>
            <w:r>
              <w:rPr>
                <w:noProof/>
                <w:webHidden/>
              </w:rPr>
              <w:fldChar w:fldCharType="end"/>
            </w:r>
          </w:hyperlink>
        </w:p>
        <w:p w14:paraId="7C96D2F7" w14:textId="56A07383" w:rsidR="00F446E0" w:rsidRDefault="00F446E0" w:rsidP="00597239">
          <w:pPr>
            <w:pStyle w:val="Spistreci3"/>
            <w:rPr>
              <w:rFonts w:eastAsiaTheme="minorEastAsia"/>
              <w:noProof/>
              <w:kern w:val="2"/>
              <w:sz w:val="24"/>
              <w:szCs w:val="24"/>
              <w:lang w:eastAsia="pl-PL"/>
              <w14:ligatures w14:val="standardContextual"/>
            </w:rPr>
          </w:pPr>
          <w:hyperlink w:anchor="_Toc194059914" w:history="1">
            <w:r w:rsidRPr="00C5500D">
              <w:rPr>
                <w:rStyle w:val="Hipercze"/>
                <w:noProof/>
              </w:rPr>
              <w:t>8.10.</w:t>
            </w:r>
            <w:r>
              <w:rPr>
                <w:rFonts w:eastAsiaTheme="minorEastAsia"/>
                <w:noProof/>
                <w:kern w:val="2"/>
                <w:sz w:val="24"/>
                <w:szCs w:val="24"/>
                <w:lang w:eastAsia="pl-PL"/>
                <w14:ligatures w14:val="standardContextual"/>
              </w:rPr>
              <w:tab/>
            </w:r>
            <w:r w:rsidRPr="00C5500D">
              <w:rPr>
                <w:rStyle w:val="Hipercze"/>
                <w:noProof/>
              </w:rPr>
              <w:t>Festiwal Piosenki o Zdrowiu- PSSE Goleniów</w:t>
            </w:r>
            <w:r>
              <w:rPr>
                <w:noProof/>
                <w:webHidden/>
              </w:rPr>
              <w:tab/>
            </w:r>
            <w:r>
              <w:rPr>
                <w:noProof/>
                <w:webHidden/>
              </w:rPr>
              <w:fldChar w:fldCharType="begin"/>
            </w:r>
            <w:r>
              <w:rPr>
                <w:noProof/>
                <w:webHidden/>
              </w:rPr>
              <w:instrText xml:space="preserve"> PAGEREF _Toc194059914 \h </w:instrText>
            </w:r>
            <w:r>
              <w:rPr>
                <w:noProof/>
                <w:webHidden/>
              </w:rPr>
            </w:r>
            <w:r>
              <w:rPr>
                <w:noProof/>
                <w:webHidden/>
              </w:rPr>
              <w:fldChar w:fldCharType="separate"/>
            </w:r>
            <w:r>
              <w:rPr>
                <w:noProof/>
                <w:webHidden/>
              </w:rPr>
              <w:t>133</w:t>
            </w:r>
            <w:r>
              <w:rPr>
                <w:noProof/>
                <w:webHidden/>
              </w:rPr>
              <w:fldChar w:fldCharType="end"/>
            </w:r>
          </w:hyperlink>
        </w:p>
        <w:p w14:paraId="41285221" w14:textId="73A07CB8" w:rsidR="00F446E0" w:rsidRDefault="00F446E0" w:rsidP="00597239">
          <w:pPr>
            <w:pStyle w:val="Spistreci3"/>
            <w:rPr>
              <w:rFonts w:eastAsiaTheme="minorEastAsia"/>
              <w:noProof/>
              <w:kern w:val="2"/>
              <w:sz w:val="24"/>
              <w:szCs w:val="24"/>
              <w:lang w:eastAsia="pl-PL"/>
              <w14:ligatures w14:val="standardContextual"/>
            </w:rPr>
          </w:pPr>
          <w:hyperlink w:anchor="_Toc194059915" w:history="1">
            <w:r w:rsidRPr="00C5500D">
              <w:rPr>
                <w:rStyle w:val="Hipercze"/>
                <w:noProof/>
              </w:rPr>
              <w:t>8.11.</w:t>
            </w:r>
            <w:r>
              <w:rPr>
                <w:rFonts w:eastAsiaTheme="minorEastAsia"/>
                <w:noProof/>
                <w:kern w:val="2"/>
                <w:sz w:val="24"/>
                <w:szCs w:val="24"/>
                <w:lang w:eastAsia="pl-PL"/>
                <w14:ligatures w14:val="standardContextual"/>
              </w:rPr>
              <w:tab/>
            </w:r>
            <w:r w:rsidRPr="00C5500D">
              <w:rPr>
                <w:rStyle w:val="Hipercze"/>
                <w:noProof/>
              </w:rPr>
              <w:t>Pierwsza pomoc- PSSE Police</w:t>
            </w:r>
            <w:r>
              <w:rPr>
                <w:noProof/>
                <w:webHidden/>
              </w:rPr>
              <w:tab/>
            </w:r>
            <w:r>
              <w:rPr>
                <w:noProof/>
                <w:webHidden/>
              </w:rPr>
              <w:fldChar w:fldCharType="begin"/>
            </w:r>
            <w:r>
              <w:rPr>
                <w:noProof/>
                <w:webHidden/>
              </w:rPr>
              <w:instrText xml:space="preserve"> PAGEREF _Toc194059915 \h </w:instrText>
            </w:r>
            <w:r>
              <w:rPr>
                <w:noProof/>
                <w:webHidden/>
              </w:rPr>
            </w:r>
            <w:r>
              <w:rPr>
                <w:noProof/>
                <w:webHidden/>
              </w:rPr>
              <w:fldChar w:fldCharType="separate"/>
            </w:r>
            <w:r>
              <w:rPr>
                <w:noProof/>
                <w:webHidden/>
              </w:rPr>
              <w:t>133</w:t>
            </w:r>
            <w:r>
              <w:rPr>
                <w:noProof/>
                <w:webHidden/>
              </w:rPr>
              <w:fldChar w:fldCharType="end"/>
            </w:r>
          </w:hyperlink>
        </w:p>
        <w:p w14:paraId="42E39454" w14:textId="0803AB9D" w:rsidR="00F446E0" w:rsidRDefault="00F446E0" w:rsidP="00597239">
          <w:pPr>
            <w:pStyle w:val="Spistreci3"/>
            <w:rPr>
              <w:rFonts w:eastAsiaTheme="minorEastAsia"/>
              <w:noProof/>
              <w:kern w:val="2"/>
              <w:sz w:val="24"/>
              <w:szCs w:val="24"/>
              <w:lang w:eastAsia="pl-PL"/>
              <w14:ligatures w14:val="standardContextual"/>
            </w:rPr>
          </w:pPr>
          <w:hyperlink w:anchor="_Toc194059916" w:history="1">
            <w:r w:rsidRPr="00C5500D">
              <w:rPr>
                <w:rStyle w:val="Hipercze"/>
                <w:noProof/>
              </w:rPr>
              <w:t>8.12.</w:t>
            </w:r>
            <w:r>
              <w:rPr>
                <w:rFonts w:eastAsiaTheme="minorEastAsia"/>
                <w:noProof/>
                <w:kern w:val="2"/>
                <w:sz w:val="24"/>
                <w:szCs w:val="24"/>
                <w:lang w:eastAsia="pl-PL"/>
                <w14:ligatures w14:val="standardContextual"/>
              </w:rPr>
              <w:tab/>
            </w:r>
            <w:r w:rsidRPr="00C5500D">
              <w:rPr>
                <w:rStyle w:val="Hipercze"/>
                <w:noProof/>
              </w:rPr>
              <w:t>Profilaktyka FAS - PSSE Szczecinek</w:t>
            </w:r>
            <w:r>
              <w:rPr>
                <w:noProof/>
                <w:webHidden/>
              </w:rPr>
              <w:tab/>
            </w:r>
            <w:r>
              <w:rPr>
                <w:noProof/>
                <w:webHidden/>
              </w:rPr>
              <w:fldChar w:fldCharType="begin"/>
            </w:r>
            <w:r>
              <w:rPr>
                <w:noProof/>
                <w:webHidden/>
              </w:rPr>
              <w:instrText xml:space="preserve"> PAGEREF _Toc194059916 \h </w:instrText>
            </w:r>
            <w:r>
              <w:rPr>
                <w:noProof/>
                <w:webHidden/>
              </w:rPr>
            </w:r>
            <w:r>
              <w:rPr>
                <w:noProof/>
                <w:webHidden/>
              </w:rPr>
              <w:fldChar w:fldCharType="separate"/>
            </w:r>
            <w:r>
              <w:rPr>
                <w:noProof/>
                <w:webHidden/>
              </w:rPr>
              <w:t>134</w:t>
            </w:r>
            <w:r>
              <w:rPr>
                <w:noProof/>
                <w:webHidden/>
              </w:rPr>
              <w:fldChar w:fldCharType="end"/>
            </w:r>
          </w:hyperlink>
        </w:p>
        <w:p w14:paraId="2FBE3A46" w14:textId="6E4E4267" w:rsidR="00F446E0" w:rsidRDefault="00F446E0" w:rsidP="00597239">
          <w:pPr>
            <w:pStyle w:val="Spistreci3"/>
            <w:rPr>
              <w:rFonts w:eastAsiaTheme="minorEastAsia"/>
              <w:noProof/>
              <w:kern w:val="2"/>
              <w:sz w:val="24"/>
              <w:szCs w:val="24"/>
              <w:lang w:eastAsia="pl-PL"/>
              <w14:ligatures w14:val="standardContextual"/>
            </w:rPr>
          </w:pPr>
          <w:hyperlink w:anchor="_Toc194059917" w:history="1">
            <w:r w:rsidRPr="00C5500D">
              <w:rPr>
                <w:rStyle w:val="Hipercze"/>
                <w:noProof/>
              </w:rPr>
              <w:t>8.13.</w:t>
            </w:r>
            <w:r>
              <w:rPr>
                <w:rFonts w:eastAsiaTheme="minorEastAsia"/>
                <w:noProof/>
                <w:kern w:val="2"/>
                <w:sz w:val="24"/>
                <w:szCs w:val="24"/>
                <w:lang w:eastAsia="pl-PL"/>
                <w14:ligatures w14:val="standardContextual"/>
              </w:rPr>
              <w:tab/>
            </w:r>
            <w:r w:rsidRPr="00C5500D">
              <w:rPr>
                <w:rStyle w:val="Hipercze"/>
                <w:noProof/>
              </w:rPr>
              <w:t>Kampania EFSA</w:t>
            </w:r>
            <w:r>
              <w:rPr>
                <w:noProof/>
                <w:webHidden/>
              </w:rPr>
              <w:tab/>
            </w:r>
            <w:r>
              <w:rPr>
                <w:noProof/>
                <w:webHidden/>
              </w:rPr>
              <w:fldChar w:fldCharType="begin"/>
            </w:r>
            <w:r>
              <w:rPr>
                <w:noProof/>
                <w:webHidden/>
              </w:rPr>
              <w:instrText xml:space="preserve"> PAGEREF _Toc194059917 \h </w:instrText>
            </w:r>
            <w:r>
              <w:rPr>
                <w:noProof/>
                <w:webHidden/>
              </w:rPr>
            </w:r>
            <w:r>
              <w:rPr>
                <w:noProof/>
                <w:webHidden/>
              </w:rPr>
              <w:fldChar w:fldCharType="separate"/>
            </w:r>
            <w:r>
              <w:rPr>
                <w:noProof/>
                <w:webHidden/>
              </w:rPr>
              <w:t>134</w:t>
            </w:r>
            <w:r>
              <w:rPr>
                <w:noProof/>
                <w:webHidden/>
              </w:rPr>
              <w:fldChar w:fldCharType="end"/>
            </w:r>
          </w:hyperlink>
        </w:p>
        <w:p w14:paraId="3E6BBE15" w14:textId="2FCE6E84" w:rsidR="008875B9" w:rsidRDefault="008875B9" w:rsidP="00597239">
          <w:r>
            <w:rPr>
              <w:b/>
              <w:bCs/>
            </w:rPr>
            <w:fldChar w:fldCharType="end"/>
          </w:r>
        </w:p>
      </w:sdtContent>
    </w:sdt>
    <w:p w14:paraId="1646C21A" w14:textId="77777777" w:rsidR="00820779" w:rsidRDefault="00820779" w:rsidP="00597239">
      <w:pPr>
        <w:rPr>
          <w:rFonts w:cstheme="majorHAnsi"/>
          <w:color w:val="000000" w:themeColor="text1"/>
        </w:rPr>
      </w:pPr>
    </w:p>
    <w:p w14:paraId="2E54EE9B" w14:textId="77777777" w:rsidR="00F67401" w:rsidRDefault="000B4D72" w:rsidP="00597239">
      <w:pPr>
        <w:rPr>
          <w:rFonts w:cstheme="majorHAnsi"/>
          <w:color w:val="000000" w:themeColor="text1"/>
        </w:rPr>
      </w:pPr>
      <w:r>
        <w:rPr>
          <w:rFonts w:cstheme="majorHAnsi"/>
          <w:color w:val="000000" w:themeColor="text1"/>
        </w:rPr>
        <w:br w:type="page"/>
      </w:r>
    </w:p>
    <w:p w14:paraId="74E18FA2" w14:textId="05B98418" w:rsidR="00F67401" w:rsidRDefault="00F67401" w:rsidP="00597239">
      <w:pPr>
        <w:rPr>
          <w:rFonts w:cstheme="majorHAnsi"/>
          <w:color w:val="000000" w:themeColor="text1"/>
        </w:rPr>
      </w:pPr>
      <w:r>
        <w:rPr>
          <w:noProof/>
        </w:rPr>
        <w:lastRenderedPageBreak/>
        <mc:AlternateContent>
          <mc:Choice Requires="wps">
            <w:drawing>
              <wp:anchor distT="0" distB="0" distL="114300" distR="114300" simplePos="0" relativeHeight="251730944" behindDoc="0" locked="0" layoutInCell="1" allowOverlap="1" wp14:anchorId="18046524" wp14:editId="4D13E7F2">
                <wp:simplePos x="0" y="0"/>
                <wp:positionH relativeFrom="column">
                  <wp:posOffset>3810</wp:posOffset>
                </wp:positionH>
                <wp:positionV relativeFrom="paragraph">
                  <wp:posOffset>7473315</wp:posOffset>
                </wp:positionV>
                <wp:extent cx="914400" cy="1008000"/>
                <wp:effectExtent l="0" t="0" r="0" b="1905"/>
                <wp:wrapNone/>
                <wp:docPr id="360013950" name="Pole tekstowe 12"/>
                <wp:cNvGraphicFramePr/>
                <a:graphic xmlns:a="http://schemas.openxmlformats.org/drawingml/2006/main">
                  <a:graphicData uri="http://schemas.microsoft.com/office/word/2010/wordprocessingShape">
                    <wps:wsp>
                      <wps:cNvSpPr txBox="1"/>
                      <wps:spPr>
                        <a:xfrm>
                          <a:off x="0" y="0"/>
                          <a:ext cx="914400" cy="1008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3CFF4E" w14:textId="77777777" w:rsidR="00F67401" w:rsidRPr="005517B2" w:rsidRDefault="00F67401" w:rsidP="00F67401">
                            <w:pPr>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Zapobieganie</w:t>
                            </w:r>
                            <w:r w:rsidRPr="005517B2">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 oraz zwalczanie zakażeń i chorób zakaźnych u ludzi</w:t>
                            </w:r>
                          </w:p>
                          <w:p w14:paraId="3E1AF8BA" w14:textId="77777777" w:rsidR="00F67401" w:rsidRDefault="00F67401" w:rsidP="00F67401">
                            <w:pPr>
                              <w:jc w:val="center"/>
                            </w:pPr>
                          </w:p>
                          <w:p w14:paraId="2BC4C38D" w14:textId="77777777" w:rsidR="00F67401" w:rsidRDefault="00F67401" w:rsidP="00F6740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046524" id="_x0000_t202" coordsize="21600,21600" o:spt="202" path="m,l,21600r21600,l21600,xe">
                <v:stroke joinstyle="miter"/>
                <v:path gradientshapeok="t" o:connecttype="rect"/>
              </v:shapetype>
              <v:shape id="Pole tekstowe 12" o:spid="_x0000_s1026" type="#_x0000_t202" style="position:absolute;margin-left:.3pt;margin-top:588.45pt;width:1in;height:79.35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" fillcolor="#a5a5a5 [3206]" stroked="f">
                <v:fill opacity="32896f"/>
                <v:textbox>
                  <w:txbxContent>
                    <w:p w14:paraId="0B3CFF4E" w14:textId="77777777" w:rsidR="00F67401" w:rsidRPr="005517B2" w:rsidRDefault="00F67401" w:rsidP="00F67401">
                      <w:pPr>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Zapobieganie</w:t>
                      </w:r>
                      <w:r w:rsidRPr="005517B2">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 oraz zwalczanie zakażeń i chorób zakaźnych u ludzi</w:t>
                      </w:r>
                    </w:p>
                    <w:p w14:paraId="3E1AF8BA" w14:textId="77777777" w:rsidR="00F67401" w:rsidRDefault="00F67401" w:rsidP="00F67401">
                      <w:pPr>
                        <w:jc w:val="center"/>
                      </w:pPr>
                    </w:p>
                    <w:p w14:paraId="2BC4C38D" w14:textId="77777777" w:rsidR="00F67401" w:rsidRDefault="00F67401" w:rsidP="00F67401"/>
                  </w:txbxContent>
                </v:textbox>
              </v:shape>
            </w:pict>
          </mc:Fallback>
        </mc:AlternateContent>
      </w:r>
      <w:r>
        <w:rPr>
          <w:noProof/>
        </w:rPr>
        <w:drawing>
          <wp:anchor distT="0" distB="0" distL="114300" distR="114300" simplePos="0" relativeHeight="251728896" behindDoc="0" locked="0" layoutInCell="1" allowOverlap="1" wp14:anchorId="5042ADF4" wp14:editId="4B6ABC2C">
            <wp:simplePos x="0" y="0"/>
            <wp:positionH relativeFrom="margin">
              <wp:posOffset>-246380</wp:posOffset>
            </wp:positionH>
            <wp:positionV relativeFrom="paragraph">
              <wp:posOffset>275590</wp:posOffset>
            </wp:positionV>
            <wp:extent cx="6264000" cy="8352000"/>
            <wp:effectExtent l="0" t="0" r="3810" b="0"/>
            <wp:wrapSquare wrapText="bothSides"/>
            <wp:docPr id="814917577" name="Obraz 15" descr="Badacz sprawdzający wzrost na szalce Petr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4917577" name="Obraz 15" descr="Badacz sprawdzający wzrost na szalce Petriego"/>
                    <pic:cNvPicPr/>
                  </pic:nvPicPr>
                  <pic:blipFill>
                    <a:blip r:embed="rId13">
                      <a:alphaModFix amt="84000"/>
                      <a:extLst>
                        <a:ext uri="{28A0092B-C50C-407E-A947-70E740481C1C}">
                          <a14:useLocalDpi xmlns:a14="http://schemas.microsoft.com/office/drawing/2010/main" val="0"/>
                        </a:ext>
                      </a:extLst>
                    </a:blip>
                    <a:stretch>
                      <a:fillRect/>
                    </a:stretch>
                  </pic:blipFill>
                  <pic:spPr>
                    <a:xfrm>
                      <a:off x="0" y="0"/>
                      <a:ext cx="6264000" cy="8352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03791FE" w14:textId="0FB61977" w:rsidR="000B4D72" w:rsidRPr="00F67401" w:rsidRDefault="000B4D72" w:rsidP="00597239">
      <w:pPr>
        <w:rPr>
          <w:rFonts w:cstheme="majorHAnsi"/>
          <w:color w:val="000000" w:themeColor="text1"/>
        </w:rPr>
      </w:pPr>
    </w:p>
    <w:p w14:paraId="00ED1D70" w14:textId="2A8E5075" w:rsidR="000B4D72" w:rsidRPr="00E75D31" w:rsidRDefault="000B4D72" w:rsidP="00597239">
      <w:pPr>
        <w:pStyle w:val="Nagwek1"/>
        <w:numPr>
          <w:ilvl w:val="0"/>
          <w:numId w:val="18"/>
        </w:numPr>
        <w:spacing w:before="0" w:after="0"/>
        <w:ind w:left="284" w:hanging="284"/>
        <w:jc w:val="left"/>
        <w:rPr>
          <w:rFonts w:cstheme="majorHAnsi"/>
        </w:rPr>
      </w:pPr>
      <w:bookmarkStart w:id="5" w:name="_Toc193694436"/>
      <w:bookmarkStart w:id="6" w:name="_Toc194059774"/>
      <w:r w:rsidRPr="00E75D31">
        <w:rPr>
          <w:rFonts w:cstheme="majorHAnsi"/>
        </w:rPr>
        <w:lastRenderedPageBreak/>
        <w:t>Zapobiegani</w:t>
      </w:r>
      <w:bookmarkStart w:id="7" w:name="_Hlk194059176"/>
      <w:r w:rsidRPr="00E75D31">
        <w:rPr>
          <w:rFonts w:cstheme="majorHAnsi"/>
        </w:rPr>
        <w:t>e oraz zwalczanie zakażeń i chorób zakaźnych u ludzi</w:t>
      </w:r>
      <w:bookmarkEnd w:id="4"/>
      <w:bookmarkEnd w:id="5"/>
      <w:bookmarkEnd w:id="6"/>
    </w:p>
    <w:bookmarkEnd w:id="7"/>
    <w:p w14:paraId="64940DDE" w14:textId="77777777" w:rsidR="0022532B" w:rsidRPr="0022532B" w:rsidRDefault="0022532B" w:rsidP="00597239"/>
    <w:p w14:paraId="238F047E" w14:textId="77777777" w:rsidR="000B4D72" w:rsidRPr="00DC2490" w:rsidRDefault="000B4D72" w:rsidP="00597239">
      <w:pPr>
        <w:pStyle w:val="Nagwek2"/>
        <w:numPr>
          <w:ilvl w:val="0"/>
          <w:numId w:val="19"/>
        </w:numPr>
        <w:spacing w:before="0" w:after="0"/>
        <w:ind w:left="284" w:hanging="284"/>
        <w:jc w:val="left"/>
        <w:rPr>
          <w:b w:val="0"/>
          <w:bCs w:val="0"/>
          <w:color w:val="000000" w:themeColor="text1"/>
        </w:rPr>
      </w:pPr>
      <w:bookmarkStart w:id="8" w:name="_Toc192678697"/>
      <w:bookmarkStart w:id="9" w:name="_Toc193694437"/>
      <w:bookmarkStart w:id="10" w:name="_Toc194059775"/>
      <w:r w:rsidRPr="00DC2490">
        <w:rPr>
          <w:color w:val="000000" w:themeColor="text1"/>
        </w:rPr>
        <w:t>Sytuacja epidemiologiczna wybranych chorób zakaźnych</w:t>
      </w:r>
      <w:bookmarkEnd w:id="8"/>
      <w:bookmarkEnd w:id="9"/>
      <w:bookmarkEnd w:id="10"/>
    </w:p>
    <w:p w14:paraId="40AC0F18" w14:textId="5DE0828D" w:rsidR="000B4D72" w:rsidRPr="00DC2490" w:rsidRDefault="000B4D72" w:rsidP="00597239">
      <w:pPr>
        <w:spacing w:after="0" w:line="276" w:lineRule="auto"/>
        <w:rPr>
          <w:rFonts w:eastAsia="Times New Roman"/>
          <w:strike/>
          <w:color w:val="000000" w:themeColor="text1"/>
          <w:sz w:val="24"/>
          <w:szCs w:val="24"/>
          <w:lang w:eastAsia="pl-PL"/>
        </w:rPr>
      </w:pPr>
      <w:r w:rsidRPr="00DC2490">
        <w:rPr>
          <w:color w:val="000000" w:themeColor="text1"/>
          <w:sz w:val="24"/>
          <w:szCs w:val="24"/>
        </w:rPr>
        <w:t>Ocena sytuacji epidemiologicznej woj. zachodniopomorskiego dokonywana jest na</w:t>
      </w:r>
      <w:r w:rsidR="007B1BEB">
        <w:rPr>
          <w:color w:val="000000" w:themeColor="text1"/>
          <w:sz w:val="24"/>
          <w:szCs w:val="24"/>
        </w:rPr>
        <w:t> </w:t>
      </w:r>
      <w:r w:rsidRPr="00DC2490">
        <w:rPr>
          <w:color w:val="000000" w:themeColor="text1"/>
          <w:sz w:val="24"/>
          <w:szCs w:val="24"/>
        </w:rPr>
        <w:t>podstawie analizy chorób zakaźnych oraz danych z nadzoru epidemiologicznego i</w:t>
      </w:r>
      <w:r w:rsidR="007B1BEB">
        <w:rPr>
          <w:color w:val="000000" w:themeColor="text1"/>
          <w:sz w:val="24"/>
          <w:szCs w:val="24"/>
        </w:rPr>
        <w:t> </w:t>
      </w:r>
      <w:r w:rsidRPr="00DC2490">
        <w:rPr>
          <w:color w:val="000000" w:themeColor="text1"/>
          <w:sz w:val="24"/>
          <w:szCs w:val="24"/>
        </w:rPr>
        <w:t>weryfikacji zgłoszonych zachorowań na choroby zakaźne, zakażenia i zatrucia. Rejestracja zgłoszonych zachorowań na choroby zakaźne odbywała się w oparciu o aktualne definicje przypadków chorób zakaźnych na potrzeby nadzoru epidemiologicznego opracowane przez NIZP-PZH PIB.</w:t>
      </w:r>
    </w:p>
    <w:p w14:paraId="36660C37" w14:textId="77777777" w:rsidR="0022532B" w:rsidRDefault="0022532B" w:rsidP="00597239">
      <w:pPr>
        <w:autoSpaceDE w:val="0"/>
        <w:autoSpaceDN w:val="0"/>
        <w:adjustRightInd w:val="0"/>
        <w:spacing w:after="0" w:line="276" w:lineRule="auto"/>
        <w:rPr>
          <w:rFonts w:ascii="Calibri" w:hAnsi="Calibri" w:cs="Calibri"/>
          <w:color w:val="000000" w:themeColor="text1"/>
          <w:sz w:val="24"/>
          <w:szCs w:val="24"/>
        </w:rPr>
      </w:pPr>
    </w:p>
    <w:p w14:paraId="23CBEF57" w14:textId="4E127D84" w:rsidR="000B4D72" w:rsidRDefault="000B4D72" w:rsidP="00597239">
      <w:pPr>
        <w:autoSpaceDE w:val="0"/>
        <w:autoSpaceDN w:val="0"/>
        <w:adjustRightInd w:val="0"/>
        <w:spacing w:after="0" w:line="276" w:lineRule="auto"/>
        <w:rPr>
          <w:rFonts w:ascii="Calibri" w:hAnsi="Calibri" w:cs="Calibri"/>
          <w:color w:val="000000" w:themeColor="text1"/>
          <w:sz w:val="24"/>
          <w:szCs w:val="24"/>
        </w:rPr>
      </w:pPr>
      <w:r w:rsidRPr="00DC2490">
        <w:rPr>
          <w:rFonts w:ascii="Calibri" w:hAnsi="Calibri" w:cs="Calibri"/>
          <w:color w:val="000000" w:themeColor="text1"/>
          <w:sz w:val="24"/>
          <w:szCs w:val="24"/>
        </w:rPr>
        <w:t xml:space="preserve">W 2024 r. kontynuowane były przez pracowników Państwowej Inspekcji Sanitarnej działania edukacyjne wśród pracowników ochrony zdrowia oraz współpraca z Oddziałem Zachodniopomorskim NFZ celem poprawy czułości nadzoru epidemiologicznego. </w:t>
      </w:r>
    </w:p>
    <w:p w14:paraId="4DFA7343" w14:textId="77777777" w:rsidR="0022532B" w:rsidRPr="00DC2490" w:rsidRDefault="0022532B" w:rsidP="00597239">
      <w:pPr>
        <w:autoSpaceDE w:val="0"/>
        <w:autoSpaceDN w:val="0"/>
        <w:adjustRightInd w:val="0"/>
        <w:spacing w:after="0" w:line="276" w:lineRule="auto"/>
        <w:rPr>
          <w:rFonts w:ascii="Calibri" w:hAnsi="Calibri" w:cs="Calibri"/>
          <w:color w:val="000000" w:themeColor="text1"/>
          <w:sz w:val="24"/>
          <w:szCs w:val="24"/>
        </w:rPr>
      </w:pPr>
    </w:p>
    <w:p w14:paraId="61A98FB4" w14:textId="5B10382F" w:rsidR="000B4D72" w:rsidRDefault="000B4D72" w:rsidP="00597239">
      <w:pPr>
        <w:pStyle w:val="Nagwek3"/>
        <w:numPr>
          <w:ilvl w:val="1"/>
          <w:numId w:val="19"/>
        </w:numPr>
        <w:spacing w:before="0" w:after="0"/>
        <w:ind w:left="568" w:hanging="284"/>
      </w:pPr>
      <w:bookmarkStart w:id="11" w:name="_Toc192678698"/>
      <w:bookmarkStart w:id="12" w:name="_Toc193694438"/>
      <w:bookmarkStart w:id="13" w:name="_Toc194059776"/>
      <w:r w:rsidRPr="00DC2490">
        <w:t>Zatrucia i zakażenia pokarmowe</w:t>
      </w:r>
      <w:bookmarkEnd w:id="11"/>
      <w:bookmarkEnd w:id="12"/>
      <w:bookmarkEnd w:id="13"/>
    </w:p>
    <w:p w14:paraId="173F7C66" w14:textId="77777777" w:rsidR="0022532B" w:rsidRPr="0022532B" w:rsidRDefault="0022532B" w:rsidP="00597239"/>
    <w:p w14:paraId="40FAE7F3" w14:textId="77777777" w:rsidR="000B4D72" w:rsidRPr="00DC2490" w:rsidRDefault="000B4D72" w:rsidP="00597239">
      <w:pPr>
        <w:autoSpaceDE w:val="0"/>
        <w:autoSpaceDN w:val="0"/>
        <w:adjustRightInd w:val="0"/>
        <w:spacing w:after="0" w:line="240" w:lineRule="auto"/>
        <w:rPr>
          <w:rFonts w:eastAsia="Times New Roman" w:cstheme="minorHAnsi"/>
          <w:b/>
          <w:bCs/>
          <w:color w:val="000000" w:themeColor="text1"/>
          <w:sz w:val="24"/>
          <w:szCs w:val="24"/>
          <w:lang w:eastAsia="pl-PL"/>
        </w:rPr>
      </w:pPr>
      <w:r w:rsidRPr="00DC2490">
        <w:rPr>
          <w:rFonts w:eastAsia="Times New Roman" w:cstheme="minorHAnsi"/>
          <w:b/>
          <w:bCs/>
          <w:color w:val="000000" w:themeColor="text1"/>
          <w:sz w:val="24"/>
          <w:szCs w:val="24"/>
          <w:lang w:eastAsia="pl-PL"/>
        </w:rPr>
        <w:t>Zatrucia i zakażenia pokarmowe</w:t>
      </w:r>
    </w:p>
    <w:p w14:paraId="74A11CE8" w14:textId="26A6A546" w:rsidR="000B4D72" w:rsidRDefault="000B4D72" w:rsidP="00597239">
      <w:pPr>
        <w:autoSpaceDE w:val="0"/>
        <w:autoSpaceDN w:val="0"/>
        <w:adjustRightInd w:val="0"/>
        <w:spacing w:after="0" w:line="276" w:lineRule="auto"/>
        <w:rPr>
          <w:rFonts w:eastAsia="Times New Roman" w:cstheme="minorHAnsi"/>
          <w:color w:val="000000" w:themeColor="text1"/>
          <w:sz w:val="24"/>
          <w:szCs w:val="24"/>
          <w:lang w:eastAsia="pl-PL"/>
        </w:rPr>
      </w:pPr>
      <w:r w:rsidRPr="00ED7EFB">
        <w:rPr>
          <w:rFonts w:eastAsia="Times New Roman" w:cstheme="minorHAnsi"/>
          <w:color w:val="000000" w:themeColor="text1"/>
          <w:sz w:val="24"/>
          <w:szCs w:val="24"/>
          <w:lang w:eastAsia="pl-PL"/>
        </w:rPr>
        <w:t xml:space="preserve">W analizowanym okresie sytuacja epidemiologiczna zatruć i zakażeń pokarmowych uległa pogorszeniu w odniesieniu do zatruć pokarmowych o etiologii Salmonella (zarejestrowano </w:t>
      </w:r>
      <w:r>
        <w:rPr>
          <w:rFonts w:eastAsia="Times New Roman" w:cstheme="minorHAnsi"/>
          <w:color w:val="000000" w:themeColor="text1"/>
          <w:sz w:val="24"/>
          <w:szCs w:val="24"/>
          <w:lang w:eastAsia="pl-PL"/>
        </w:rPr>
        <w:t>prawie 3,5 razy więcej przypadków niż w 2023 r.</w:t>
      </w:r>
      <w:r w:rsidRPr="00ED7EFB">
        <w:rPr>
          <w:rFonts w:eastAsia="Times New Roman" w:cstheme="minorHAnsi"/>
          <w:color w:val="000000" w:themeColor="text1"/>
          <w:sz w:val="24"/>
          <w:szCs w:val="24"/>
          <w:lang w:eastAsia="pl-PL"/>
        </w:rPr>
        <w:t>), wirusowych zakażeń rotawirusowych (</w:t>
      </w:r>
      <w:r>
        <w:rPr>
          <w:rFonts w:eastAsia="Times New Roman" w:cstheme="minorHAnsi"/>
          <w:color w:val="000000" w:themeColor="text1"/>
          <w:sz w:val="24"/>
          <w:szCs w:val="24"/>
          <w:lang w:eastAsia="pl-PL"/>
        </w:rPr>
        <w:t>prawie 1,5 razy więcej niż</w:t>
      </w:r>
      <w:r w:rsidRPr="00ED7EFB">
        <w:rPr>
          <w:rFonts w:eastAsia="Times New Roman" w:cstheme="minorHAnsi"/>
          <w:color w:val="000000" w:themeColor="text1"/>
          <w:sz w:val="24"/>
          <w:szCs w:val="24"/>
          <w:lang w:eastAsia="pl-PL"/>
        </w:rPr>
        <w:t xml:space="preserve"> w</w:t>
      </w:r>
      <w:r>
        <w:rPr>
          <w:rFonts w:eastAsia="Times New Roman" w:cstheme="minorHAnsi"/>
          <w:color w:val="000000" w:themeColor="text1"/>
          <w:sz w:val="24"/>
          <w:szCs w:val="24"/>
          <w:lang w:eastAsia="pl-PL"/>
        </w:rPr>
        <w:t xml:space="preserve"> </w:t>
      </w:r>
      <w:r w:rsidRPr="00ED7EFB">
        <w:rPr>
          <w:rFonts w:eastAsia="Times New Roman" w:cstheme="minorHAnsi"/>
          <w:color w:val="000000" w:themeColor="text1"/>
          <w:sz w:val="24"/>
          <w:szCs w:val="24"/>
          <w:lang w:eastAsia="pl-PL"/>
        </w:rPr>
        <w:t>2023 r.), czy biegunek o prawdopodobnie zakaźnym pochodzeniu u dzieci do lat 2 (</w:t>
      </w:r>
      <w:r>
        <w:rPr>
          <w:rFonts w:eastAsia="Times New Roman" w:cstheme="minorHAnsi"/>
          <w:color w:val="000000" w:themeColor="text1"/>
          <w:sz w:val="24"/>
          <w:szCs w:val="24"/>
          <w:lang w:eastAsia="pl-PL"/>
        </w:rPr>
        <w:t>39</w:t>
      </w:r>
      <w:r w:rsidRPr="00ED7EFB">
        <w:rPr>
          <w:rFonts w:eastAsia="Times New Roman" w:cstheme="minorHAnsi"/>
          <w:color w:val="000000" w:themeColor="text1"/>
          <w:sz w:val="24"/>
          <w:szCs w:val="24"/>
          <w:lang w:eastAsia="pl-PL"/>
        </w:rPr>
        <w:t xml:space="preserve"> przypadków </w:t>
      </w:r>
      <w:r>
        <w:rPr>
          <w:rFonts w:eastAsia="Times New Roman" w:cstheme="minorHAnsi"/>
          <w:color w:val="000000" w:themeColor="text1"/>
          <w:sz w:val="24"/>
          <w:szCs w:val="24"/>
          <w:lang w:eastAsia="pl-PL"/>
        </w:rPr>
        <w:t xml:space="preserve">więcej niż </w:t>
      </w:r>
      <w:r w:rsidRPr="00ED7EFB">
        <w:rPr>
          <w:rFonts w:eastAsia="Times New Roman" w:cstheme="minorHAnsi"/>
          <w:color w:val="000000" w:themeColor="text1"/>
          <w:sz w:val="24"/>
          <w:szCs w:val="24"/>
          <w:lang w:eastAsia="pl-PL"/>
        </w:rPr>
        <w:t>w 2023 r.). W 2024 r. stwierdzono 2,5-krotny wzrost liczby przypadków wirusowych zakażeń norowirusowych w</w:t>
      </w:r>
      <w:r w:rsidR="00D123BC">
        <w:rPr>
          <w:rFonts w:eastAsia="Times New Roman" w:cstheme="minorHAnsi"/>
          <w:color w:val="000000" w:themeColor="text1"/>
          <w:sz w:val="24"/>
          <w:szCs w:val="24"/>
          <w:lang w:eastAsia="pl-PL"/>
        </w:rPr>
        <w:t> </w:t>
      </w:r>
      <w:r w:rsidRPr="00ED7EFB">
        <w:rPr>
          <w:rFonts w:eastAsia="Times New Roman" w:cstheme="minorHAnsi"/>
          <w:color w:val="000000" w:themeColor="text1"/>
          <w:sz w:val="24"/>
          <w:szCs w:val="24"/>
          <w:lang w:eastAsia="pl-PL"/>
        </w:rPr>
        <w:t>porównaniu z rokiem poprzednim</w:t>
      </w:r>
      <w:r>
        <w:rPr>
          <w:rFonts w:eastAsia="Times New Roman" w:cstheme="minorHAnsi"/>
          <w:color w:val="000000" w:themeColor="text1"/>
          <w:sz w:val="24"/>
          <w:szCs w:val="24"/>
          <w:lang w:eastAsia="pl-PL"/>
        </w:rPr>
        <w:t xml:space="preserve">. </w:t>
      </w:r>
      <w:r w:rsidRPr="00ED7EFB">
        <w:rPr>
          <w:rFonts w:eastAsia="Times New Roman" w:cstheme="minorHAnsi"/>
          <w:color w:val="000000" w:themeColor="text1"/>
          <w:sz w:val="24"/>
          <w:szCs w:val="24"/>
          <w:lang w:eastAsia="pl-PL"/>
        </w:rPr>
        <w:t>Zachorowalność</w:t>
      </w:r>
      <w:r>
        <w:rPr>
          <w:rFonts w:eastAsia="Times New Roman" w:cstheme="minorHAnsi"/>
          <w:color w:val="000000" w:themeColor="text1"/>
          <w:sz w:val="24"/>
          <w:szCs w:val="24"/>
          <w:lang w:eastAsia="pl-PL"/>
        </w:rPr>
        <w:t xml:space="preserve"> na ww.</w:t>
      </w:r>
      <w:r w:rsidRPr="00ED7EFB">
        <w:rPr>
          <w:rFonts w:eastAsia="Times New Roman" w:cstheme="minorHAnsi"/>
          <w:color w:val="000000" w:themeColor="text1"/>
          <w:sz w:val="24"/>
          <w:szCs w:val="24"/>
          <w:lang w:eastAsia="pl-PL"/>
        </w:rPr>
        <w:t xml:space="preserve"> jednost</w:t>
      </w:r>
      <w:r>
        <w:rPr>
          <w:rFonts w:eastAsia="Times New Roman" w:cstheme="minorHAnsi"/>
          <w:color w:val="000000" w:themeColor="text1"/>
          <w:sz w:val="24"/>
          <w:szCs w:val="24"/>
          <w:lang w:eastAsia="pl-PL"/>
        </w:rPr>
        <w:t>ki</w:t>
      </w:r>
      <w:r w:rsidRPr="00ED7EFB">
        <w:rPr>
          <w:rFonts w:eastAsia="Times New Roman" w:cstheme="minorHAnsi"/>
          <w:color w:val="000000" w:themeColor="text1"/>
          <w:sz w:val="24"/>
          <w:szCs w:val="24"/>
          <w:lang w:eastAsia="pl-PL"/>
        </w:rPr>
        <w:t xml:space="preserve"> chorobow</w:t>
      </w:r>
      <w:r>
        <w:rPr>
          <w:rFonts w:eastAsia="Times New Roman" w:cstheme="minorHAnsi"/>
          <w:color w:val="000000" w:themeColor="text1"/>
          <w:sz w:val="24"/>
          <w:szCs w:val="24"/>
          <w:lang w:eastAsia="pl-PL"/>
        </w:rPr>
        <w:t>e</w:t>
      </w:r>
      <w:r w:rsidRPr="00ED7EFB">
        <w:rPr>
          <w:rFonts w:eastAsia="Times New Roman" w:cstheme="minorHAnsi"/>
          <w:color w:val="000000" w:themeColor="text1"/>
          <w:sz w:val="24"/>
          <w:szCs w:val="24"/>
          <w:lang w:eastAsia="pl-PL"/>
        </w:rPr>
        <w:t xml:space="preserve"> na terenie województwa była wyższa niż w</w:t>
      </w:r>
      <w:r w:rsidR="00D6619C">
        <w:rPr>
          <w:rFonts w:eastAsia="Times New Roman" w:cstheme="minorHAnsi"/>
          <w:color w:val="000000" w:themeColor="text1"/>
          <w:sz w:val="24"/>
          <w:szCs w:val="24"/>
          <w:lang w:eastAsia="pl-PL"/>
        </w:rPr>
        <w:t> </w:t>
      </w:r>
      <w:r w:rsidRPr="00ED7EFB">
        <w:rPr>
          <w:rFonts w:eastAsia="Times New Roman" w:cstheme="minorHAnsi"/>
          <w:color w:val="000000" w:themeColor="text1"/>
          <w:sz w:val="24"/>
          <w:szCs w:val="24"/>
          <w:lang w:eastAsia="pl-PL"/>
        </w:rPr>
        <w:t>Polsce (tabela 1).</w:t>
      </w:r>
    </w:p>
    <w:p w14:paraId="6305092E" w14:textId="77777777" w:rsidR="00D6619C" w:rsidRPr="00ED7EFB" w:rsidRDefault="00D6619C" w:rsidP="00597239">
      <w:pPr>
        <w:autoSpaceDE w:val="0"/>
        <w:autoSpaceDN w:val="0"/>
        <w:adjustRightInd w:val="0"/>
        <w:spacing w:after="0" w:line="276" w:lineRule="auto"/>
        <w:rPr>
          <w:rFonts w:eastAsia="Times New Roman" w:cstheme="minorHAnsi"/>
          <w:color w:val="000000" w:themeColor="text1"/>
          <w:sz w:val="24"/>
          <w:szCs w:val="24"/>
          <w:lang w:eastAsia="pl-PL"/>
        </w:rPr>
      </w:pPr>
    </w:p>
    <w:p w14:paraId="63DEE2FF" w14:textId="54C9F45F" w:rsidR="000B4D72" w:rsidRPr="002F37E1" w:rsidRDefault="002F37E1" w:rsidP="00597239">
      <w:pPr>
        <w:pStyle w:val="Legenda"/>
        <w:rPr>
          <w:b/>
          <w:i w:val="0"/>
          <w:iCs w:val="0"/>
          <w:color w:val="000000" w:themeColor="text1"/>
        </w:rPr>
      </w:pPr>
      <w:bookmarkStart w:id="14" w:name="_Toc193805971"/>
      <w:bookmarkStart w:id="15" w:name="_Toc193969519"/>
      <w:bookmarkStart w:id="16" w:name="_Toc194059979"/>
      <w:r w:rsidRPr="002F37E1">
        <w:rPr>
          <w:i w:val="0"/>
          <w:iCs w:val="0"/>
          <w:color w:val="000000" w:themeColor="text1"/>
        </w:rPr>
        <w:t xml:space="preserve">Tabela </w:t>
      </w:r>
      <w:r w:rsidRPr="002F37E1">
        <w:rPr>
          <w:i w:val="0"/>
          <w:iCs w:val="0"/>
          <w:color w:val="000000" w:themeColor="text1"/>
        </w:rPr>
        <w:fldChar w:fldCharType="begin"/>
      </w:r>
      <w:r w:rsidRPr="002F37E1">
        <w:rPr>
          <w:i w:val="0"/>
          <w:iCs w:val="0"/>
          <w:color w:val="000000" w:themeColor="text1"/>
        </w:rPr>
        <w:instrText xml:space="preserve"> SEQ Tabela \* ARABIC </w:instrText>
      </w:r>
      <w:r w:rsidRPr="002F37E1">
        <w:rPr>
          <w:i w:val="0"/>
          <w:iCs w:val="0"/>
          <w:color w:val="000000" w:themeColor="text1"/>
        </w:rPr>
        <w:fldChar w:fldCharType="separate"/>
      </w:r>
      <w:r w:rsidR="00FB6F6A">
        <w:rPr>
          <w:i w:val="0"/>
          <w:iCs w:val="0"/>
          <w:noProof/>
          <w:color w:val="000000" w:themeColor="text1"/>
        </w:rPr>
        <w:t>1</w:t>
      </w:r>
      <w:r w:rsidRPr="002F37E1">
        <w:rPr>
          <w:i w:val="0"/>
          <w:iCs w:val="0"/>
          <w:color w:val="000000" w:themeColor="text1"/>
        </w:rPr>
        <w:fldChar w:fldCharType="end"/>
      </w:r>
      <w:r w:rsidR="00E75D31">
        <w:rPr>
          <w:i w:val="0"/>
          <w:iCs w:val="0"/>
          <w:color w:val="000000" w:themeColor="text1"/>
        </w:rPr>
        <w:t>.</w:t>
      </w:r>
      <w:r w:rsidRPr="002F37E1">
        <w:rPr>
          <w:i w:val="0"/>
          <w:iCs w:val="0"/>
          <w:color w:val="000000" w:themeColor="text1"/>
        </w:rPr>
        <w:t xml:space="preserve"> Wybrane dane epidemiologiczne dotyczące chorób zakaźnych przenoszonych drogą pokarmową w Polsce i woj. zachodniopomorskim w 2024 r.</w:t>
      </w:r>
      <w:bookmarkEnd w:id="14"/>
      <w:bookmarkEnd w:id="15"/>
      <w:bookmarkEnd w:id="16"/>
    </w:p>
    <w:tbl>
      <w:tblPr>
        <w:tblStyle w:val="Tabelasiatki4akcent1"/>
        <w:tblW w:w="5000" w:type="pct"/>
        <w:tblLayout w:type="fixed"/>
        <w:tblLook w:val="01E0" w:firstRow="1" w:lastRow="1" w:firstColumn="1" w:lastColumn="1" w:noHBand="0" w:noVBand="0"/>
        <w:tblCaption w:val="Wybrane dane epidemiologiczne dotyczące chorób zakaźnych przenoszonych drogą pokarmową w Polsce i woj. zachodniopomorskim w 2024 r."/>
        <w:tblDescription w:val="Tabela przedstawia dane dotyczące wybranych jednostek chorobowych przenoszonych drogą pokarmową w województwie zachodniopomorskim. W roku 2024 najwięcej zachorowań, 633 przypadki stanowiły Salmonellozy (postać: zatrucia pokarmowe) oraz wirusowe zakażenia jelitowe wywołane przez norowirusy - 470 przypadków i raotawirusy - 296 przypadków."/>
      </w:tblPr>
      <w:tblGrid>
        <w:gridCol w:w="547"/>
        <w:gridCol w:w="3175"/>
        <w:gridCol w:w="1335"/>
        <w:gridCol w:w="1335"/>
        <w:gridCol w:w="1335"/>
        <w:gridCol w:w="1335"/>
      </w:tblGrid>
      <w:tr w:rsidR="000B4D72" w:rsidRPr="008B7411" w14:paraId="76EA47CA" w14:textId="77777777" w:rsidTr="002253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Merge w:val="restart"/>
            <w:vAlign w:val="center"/>
          </w:tcPr>
          <w:p w14:paraId="78B72E12" w14:textId="77777777" w:rsidR="000B4D72" w:rsidRPr="008B7411" w:rsidRDefault="000B4D72" w:rsidP="00597239">
            <w:pPr>
              <w:rPr>
                <w:rFonts w:eastAsia="Times New Roman" w:cstheme="minorHAnsi"/>
                <w:b w:val="0"/>
                <w:bCs w:val="0"/>
                <w:lang w:eastAsia="pl-PL"/>
              </w:rPr>
            </w:pPr>
            <w:r w:rsidRPr="008B7411">
              <w:rPr>
                <w:rFonts w:eastAsia="Times New Roman" w:cstheme="minorHAnsi"/>
                <w:lang w:eastAsia="pl-PL"/>
              </w:rPr>
              <w:t>Lp.</w:t>
            </w:r>
          </w:p>
        </w:tc>
        <w:tc>
          <w:tcPr>
            <w:cnfStyle w:val="000010000000" w:firstRow="0" w:lastRow="0" w:firstColumn="0" w:lastColumn="0" w:oddVBand="1" w:evenVBand="0" w:oddHBand="0" w:evenHBand="0" w:firstRowFirstColumn="0" w:firstRowLastColumn="0" w:lastRowFirstColumn="0" w:lastRowLastColumn="0"/>
            <w:tcW w:w="3373" w:type="dxa"/>
            <w:vMerge w:val="restart"/>
            <w:vAlign w:val="center"/>
          </w:tcPr>
          <w:p w14:paraId="266F55C9" w14:textId="77777777" w:rsidR="000B4D72" w:rsidRPr="008B7411" w:rsidRDefault="000B4D72" w:rsidP="00597239">
            <w:pPr>
              <w:rPr>
                <w:rFonts w:eastAsia="Times New Roman" w:cstheme="minorHAnsi"/>
                <w:b w:val="0"/>
                <w:bCs w:val="0"/>
                <w:lang w:eastAsia="pl-PL"/>
              </w:rPr>
            </w:pPr>
            <w:r w:rsidRPr="008B7411">
              <w:rPr>
                <w:rFonts w:eastAsia="Times New Roman" w:cstheme="minorHAnsi"/>
                <w:lang w:eastAsia="pl-PL"/>
              </w:rPr>
              <w:t>Jednostka chorobowa</w:t>
            </w:r>
          </w:p>
        </w:tc>
        <w:tc>
          <w:tcPr>
            <w:tcW w:w="2818" w:type="dxa"/>
            <w:gridSpan w:val="2"/>
            <w:vAlign w:val="center"/>
          </w:tcPr>
          <w:p w14:paraId="183AD391" w14:textId="77777777" w:rsidR="000B4D72" w:rsidRPr="008B7411"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pl-PL"/>
              </w:rPr>
            </w:pPr>
            <w:r w:rsidRPr="008B7411">
              <w:rPr>
                <w:rFonts w:eastAsia="Times New Roman" w:cstheme="minorHAnsi"/>
                <w:lang w:eastAsia="pl-PL"/>
              </w:rPr>
              <w:t>Polska</w:t>
            </w:r>
          </w:p>
        </w:tc>
        <w:tc>
          <w:tcPr>
            <w:cnfStyle w:val="000100000000" w:firstRow="0" w:lastRow="0" w:firstColumn="0" w:lastColumn="1" w:oddVBand="0" w:evenVBand="0" w:oddHBand="0" w:evenHBand="0" w:firstRowFirstColumn="0" w:firstRowLastColumn="0" w:lastRowFirstColumn="0" w:lastRowLastColumn="0"/>
            <w:tcW w:w="2818" w:type="dxa"/>
            <w:gridSpan w:val="2"/>
            <w:vAlign w:val="center"/>
          </w:tcPr>
          <w:p w14:paraId="23D32976" w14:textId="77777777" w:rsidR="000B4D72" w:rsidRPr="008B7411" w:rsidRDefault="000B4D72" w:rsidP="00597239">
            <w:pPr>
              <w:rPr>
                <w:rFonts w:eastAsia="Times New Roman" w:cstheme="minorHAnsi"/>
                <w:b w:val="0"/>
                <w:bCs w:val="0"/>
                <w:lang w:eastAsia="pl-PL"/>
              </w:rPr>
            </w:pPr>
            <w:r w:rsidRPr="008B7411">
              <w:rPr>
                <w:rFonts w:eastAsia="Times New Roman" w:cstheme="minorHAnsi"/>
                <w:lang w:eastAsia="pl-PL"/>
              </w:rPr>
              <w:t>woj. zachodniopomorskie</w:t>
            </w:r>
          </w:p>
        </w:tc>
      </w:tr>
      <w:tr w:rsidR="000B4D72" w:rsidRPr="008B7411" w14:paraId="6D8A3D29" w14:textId="77777777" w:rsidTr="0022532B">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68" w:type="dxa"/>
            <w:vMerge/>
            <w:vAlign w:val="center"/>
          </w:tcPr>
          <w:p w14:paraId="14D10BDE" w14:textId="77777777" w:rsidR="000B4D72" w:rsidRPr="008B7411" w:rsidRDefault="000B4D72" w:rsidP="00597239">
            <w:pPr>
              <w:rPr>
                <w:rFonts w:eastAsia="Times New Roman" w:cstheme="minorHAnsi"/>
                <w:b w:val="0"/>
                <w:bCs w:val="0"/>
                <w:lang w:eastAsia="pl-PL"/>
              </w:rPr>
            </w:pPr>
          </w:p>
        </w:tc>
        <w:tc>
          <w:tcPr>
            <w:cnfStyle w:val="000010000000" w:firstRow="0" w:lastRow="0" w:firstColumn="0" w:lastColumn="0" w:oddVBand="1" w:evenVBand="0" w:oddHBand="0" w:evenHBand="0" w:firstRowFirstColumn="0" w:firstRowLastColumn="0" w:lastRowFirstColumn="0" w:lastRowLastColumn="0"/>
            <w:tcW w:w="3373" w:type="dxa"/>
            <w:vMerge/>
            <w:vAlign w:val="center"/>
          </w:tcPr>
          <w:p w14:paraId="32C10450" w14:textId="77777777" w:rsidR="000B4D72" w:rsidRPr="008B7411" w:rsidRDefault="000B4D72" w:rsidP="00597239">
            <w:pPr>
              <w:rPr>
                <w:rFonts w:eastAsia="Times New Roman" w:cstheme="minorHAnsi"/>
                <w:b/>
                <w:bCs/>
                <w:lang w:eastAsia="pl-PL"/>
              </w:rPr>
            </w:pPr>
          </w:p>
        </w:tc>
        <w:tc>
          <w:tcPr>
            <w:tcW w:w="1409" w:type="dxa"/>
            <w:vAlign w:val="center"/>
          </w:tcPr>
          <w:p w14:paraId="31CF418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Liczba zachorowań</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771201C1" w14:textId="77777777" w:rsidR="000B4D72" w:rsidRPr="00FF50CD" w:rsidRDefault="000B4D72" w:rsidP="00597239">
            <w:pPr>
              <w:rPr>
                <w:rFonts w:eastAsia="Times New Roman" w:cstheme="minorHAnsi"/>
                <w:lang w:eastAsia="pl-PL"/>
              </w:rPr>
            </w:pPr>
            <w:r w:rsidRPr="00FF50CD">
              <w:rPr>
                <w:rFonts w:eastAsia="Times New Roman" w:cstheme="minorHAnsi"/>
                <w:lang w:eastAsia="pl-PL"/>
              </w:rPr>
              <w:t>Zapadalność</w:t>
            </w:r>
          </w:p>
        </w:tc>
        <w:tc>
          <w:tcPr>
            <w:tcW w:w="1409" w:type="dxa"/>
            <w:vAlign w:val="center"/>
          </w:tcPr>
          <w:p w14:paraId="08DA32E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Liczba zachorowań</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35E000C4" w14:textId="77777777" w:rsidR="000B4D72" w:rsidRPr="00FF50CD" w:rsidRDefault="000B4D72" w:rsidP="00597239">
            <w:pPr>
              <w:rPr>
                <w:rFonts w:eastAsia="Times New Roman" w:cstheme="minorHAnsi"/>
                <w:b w:val="0"/>
                <w:bCs w:val="0"/>
                <w:lang w:eastAsia="pl-PL"/>
              </w:rPr>
            </w:pPr>
            <w:r w:rsidRPr="00FF50CD">
              <w:rPr>
                <w:rFonts w:eastAsia="Times New Roman" w:cstheme="minorHAnsi"/>
                <w:b w:val="0"/>
                <w:bCs w:val="0"/>
                <w:lang w:eastAsia="pl-PL"/>
              </w:rPr>
              <w:t>Zapadalność</w:t>
            </w:r>
          </w:p>
        </w:tc>
      </w:tr>
      <w:tr w:rsidR="000B4D72" w:rsidRPr="003A793F" w14:paraId="35C6815B" w14:textId="77777777" w:rsidTr="0022532B">
        <w:trPr>
          <w:trHeight w:val="445"/>
        </w:trPr>
        <w:tc>
          <w:tcPr>
            <w:cnfStyle w:val="001000000000" w:firstRow="0" w:lastRow="0" w:firstColumn="1" w:lastColumn="0" w:oddVBand="0" w:evenVBand="0" w:oddHBand="0" w:evenHBand="0" w:firstRowFirstColumn="0" w:firstRowLastColumn="0" w:lastRowFirstColumn="0" w:lastRowLastColumn="0"/>
            <w:tcW w:w="568" w:type="dxa"/>
            <w:vAlign w:val="center"/>
          </w:tcPr>
          <w:p w14:paraId="6B59458D"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5ACE3592"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Salmonelloza – zatrucie pokarmowe</w:t>
            </w:r>
          </w:p>
        </w:tc>
        <w:tc>
          <w:tcPr>
            <w:tcW w:w="1409" w:type="dxa"/>
            <w:vAlign w:val="center"/>
          </w:tcPr>
          <w:p w14:paraId="33EA0BEA"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8745</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34D7DCBC"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23,28</w:t>
            </w:r>
          </w:p>
        </w:tc>
        <w:tc>
          <w:tcPr>
            <w:tcW w:w="1409" w:type="dxa"/>
            <w:vAlign w:val="center"/>
          </w:tcPr>
          <w:p w14:paraId="583BF222"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633</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0EC4FA64"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38,91</w:t>
            </w:r>
          </w:p>
        </w:tc>
      </w:tr>
      <w:tr w:rsidR="000B4D72" w:rsidRPr="003A793F" w14:paraId="27E957C4" w14:textId="77777777" w:rsidTr="0022532B">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68" w:type="dxa"/>
            <w:vAlign w:val="center"/>
          </w:tcPr>
          <w:p w14:paraId="1B5D4E49"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65911245"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Salmonelloza- posocznica</w:t>
            </w:r>
          </w:p>
        </w:tc>
        <w:tc>
          <w:tcPr>
            <w:tcW w:w="1409" w:type="dxa"/>
            <w:vAlign w:val="center"/>
          </w:tcPr>
          <w:p w14:paraId="0976D369"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335</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2E991DAA"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0,89</w:t>
            </w:r>
          </w:p>
        </w:tc>
        <w:tc>
          <w:tcPr>
            <w:tcW w:w="1409" w:type="dxa"/>
            <w:vAlign w:val="center"/>
          </w:tcPr>
          <w:p w14:paraId="4313D747"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23</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6B36946F"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1,41</w:t>
            </w:r>
          </w:p>
        </w:tc>
      </w:tr>
      <w:tr w:rsidR="000B4D72" w:rsidRPr="003A793F" w14:paraId="3C52ADF0" w14:textId="77777777" w:rsidTr="0022532B">
        <w:tc>
          <w:tcPr>
            <w:cnfStyle w:val="001000000000" w:firstRow="0" w:lastRow="0" w:firstColumn="1" w:lastColumn="0" w:oddVBand="0" w:evenVBand="0" w:oddHBand="0" w:evenHBand="0" w:firstRowFirstColumn="0" w:firstRowLastColumn="0" w:lastRowFirstColumn="0" w:lastRowLastColumn="0"/>
            <w:tcW w:w="568" w:type="dxa"/>
            <w:vAlign w:val="center"/>
          </w:tcPr>
          <w:p w14:paraId="3DD8D458"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3.</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4256FB27"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Salmonelloza – inne zakażenia pozajelitowe</w:t>
            </w:r>
          </w:p>
        </w:tc>
        <w:tc>
          <w:tcPr>
            <w:tcW w:w="1409" w:type="dxa"/>
            <w:vAlign w:val="center"/>
          </w:tcPr>
          <w:p w14:paraId="1DEDD013"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167</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475438A0"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0,44</w:t>
            </w:r>
          </w:p>
        </w:tc>
        <w:tc>
          <w:tcPr>
            <w:tcW w:w="1409" w:type="dxa"/>
            <w:vAlign w:val="center"/>
          </w:tcPr>
          <w:p w14:paraId="050D3628"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4</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66E362D0"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0,25</w:t>
            </w:r>
          </w:p>
        </w:tc>
      </w:tr>
      <w:tr w:rsidR="000B4D72" w:rsidRPr="003A793F" w14:paraId="604914EF" w14:textId="77777777" w:rsidTr="0022532B">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68" w:type="dxa"/>
            <w:vAlign w:val="center"/>
          </w:tcPr>
          <w:p w14:paraId="4AE7AB00"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3497FE89"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Czerwonka bakteryjna</w:t>
            </w:r>
          </w:p>
        </w:tc>
        <w:tc>
          <w:tcPr>
            <w:tcW w:w="1409" w:type="dxa"/>
            <w:vAlign w:val="center"/>
          </w:tcPr>
          <w:p w14:paraId="460C97F3"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35</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6C2E185F"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0,09</w:t>
            </w:r>
          </w:p>
        </w:tc>
        <w:tc>
          <w:tcPr>
            <w:tcW w:w="1409" w:type="dxa"/>
            <w:vAlign w:val="center"/>
          </w:tcPr>
          <w:p w14:paraId="3F69DF36"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5BA4E744"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w:t>
            </w:r>
          </w:p>
        </w:tc>
      </w:tr>
      <w:tr w:rsidR="000B4D72" w:rsidRPr="003A793F" w14:paraId="2A4CB5E3" w14:textId="77777777" w:rsidTr="0022532B">
        <w:trPr>
          <w:trHeight w:val="414"/>
        </w:trPr>
        <w:tc>
          <w:tcPr>
            <w:cnfStyle w:val="001000000000" w:firstRow="0" w:lastRow="0" w:firstColumn="1" w:lastColumn="0" w:oddVBand="0" w:evenVBand="0" w:oddHBand="0" w:evenHBand="0" w:firstRowFirstColumn="0" w:firstRowLastColumn="0" w:lastRowFirstColumn="0" w:lastRowLastColumn="0"/>
            <w:tcW w:w="568" w:type="dxa"/>
            <w:vAlign w:val="center"/>
          </w:tcPr>
          <w:p w14:paraId="6EB510FA"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5.</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33594633"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E. coli biegunkotwórcza</w:t>
            </w:r>
          </w:p>
        </w:tc>
        <w:tc>
          <w:tcPr>
            <w:tcW w:w="1409" w:type="dxa"/>
            <w:vAlign w:val="center"/>
          </w:tcPr>
          <w:p w14:paraId="02E6E44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200</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6ED031C9"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0,53</w:t>
            </w:r>
          </w:p>
        </w:tc>
        <w:tc>
          <w:tcPr>
            <w:tcW w:w="1409" w:type="dxa"/>
            <w:vAlign w:val="center"/>
          </w:tcPr>
          <w:p w14:paraId="4412DC7D"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22A18A8B"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0,12</w:t>
            </w:r>
          </w:p>
        </w:tc>
      </w:tr>
      <w:tr w:rsidR="000B4D72" w:rsidRPr="003A793F" w14:paraId="76EA5C9A" w14:textId="77777777" w:rsidTr="00225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5BEA9291"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51059AFE"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Yersinia enterocolitica lub pseudotuberculosis</w:t>
            </w:r>
          </w:p>
        </w:tc>
        <w:tc>
          <w:tcPr>
            <w:tcW w:w="1409" w:type="dxa"/>
            <w:vAlign w:val="center"/>
          </w:tcPr>
          <w:p w14:paraId="5F17E5B4"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344</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32D405A8"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0,92</w:t>
            </w:r>
          </w:p>
        </w:tc>
        <w:tc>
          <w:tcPr>
            <w:tcW w:w="1409" w:type="dxa"/>
            <w:vAlign w:val="center"/>
          </w:tcPr>
          <w:p w14:paraId="0AE9BAA7"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24</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43AA4A1F"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1,48</w:t>
            </w:r>
          </w:p>
        </w:tc>
      </w:tr>
      <w:tr w:rsidR="000B4D72" w:rsidRPr="00ED7EFB" w14:paraId="1F4128F8" w14:textId="77777777" w:rsidTr="0022532B">
        <w:trPr>
          <w:trHeight w:val="438"/>
        </w:trPr>
        <w:tc>
          <w:tcPr>
            <w:cnfStyle w:val="001000000000" w:firstRow="0" w:lastRow="0" w:firstColumn="1" w:lastColumn="0" w:oddVBand="0" w:evenVBand="0" w:oddHBand="0" w:evenHBand="0" w:firstRowFirstColumn="0" w:firstRowLastColumn="0" w:lastRowFirstColumn="0" w:lastRowLastColumn="0"/>
            <w:tcW w:w="568" w:type="dxa"/>
            <w:vAlign w:val="center"/>
          </w:tcPr>
          <w:p w14:paraId="17EF7BE1"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7.</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59702AFF"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Zatrucie jadem kiełbasianym /botulizm/</w:t>
            </w:r>
          </w:p>
        </w:tc>
        <w:tc>
          <w:tcPr>
            <w:tcW w:w="1409" w:type="dxa"/>
            <w:vAlign w:val="center"/>
          </w:tcPr>
          <w:p w14:paraId="3F2E64AF"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15</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71D96490" w14:textId="77777777" w:rsidR="000B4D72" w:rsidRPr="00ED7EFB" w:rsidRDefault="000B4D72" w:rsidP="00597239">
            <w:pPr>
              <w:rPr>
                <w:rFonts w:eastAsia="Times New Roman" w:cstheme="minorHAnsi"/>
                <w:color w:val="000000" w:themeColor="text1"/>
                <w:sz w:val="20"/>
                <w:szCs w:val="20"/>
                <w:lang w:eastAsia="pl-PL"/>
              </w:rPr>
            </w:pPr>
            <w:r w:rsidRPr="00ED7EFB">
              <w:rPr>
                <w:rFonts w:cstheme="minorHAnsi"/>
                <w:color w:val="000000" w:themeColor="text1"/>
                <w:sz w:val="20"/>
                <w:szCs w:val="20"/>
              </w:rPr>
              <w:t>0,04</w:t>
            </w:r>
          </w:p>
        </w:tc>
        <w:tc>
          <w:tcPr>
            <w:tcW w:w="1409" w:type="dxa"/>
            <w:vAlign w:val="center"/>
          </w:tcPr>
          <w:p w14:paraId="3BF3E418"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16824942"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w:t>
            </w:r>
          </w:p>
        </w:tc>
      </w:tr>
      <w:tr w:rsidR="000B4D72" w:rsidRPr="00ED7EFB" w14:paraId="47491D14" w14:textId="77777777" w:rsidTr="0022532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568" w:type="dxa"/>
            <w:vAlign w:val="center"/>
          </w:tcPr>
          <w:p w14:paraId="21CD6A38"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lastRenderedPageBreak/>
              <w:t>8.</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60709BB1"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Wirusowe zakażenia jelitowe wywołane przez rotawirusy</w:t>
            </w:r>
          </w:p>
        </w:tc>
        <w:tc>
          <w:tcPr>
            <w:tcW w:w="1409" w:type="dxa"/>
            <w:vAlign w:val="center"/>
          </w:tcPr>
          <w:p w14:paraId="5B11BBBA"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13865</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525BB406"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36,91</w:t>
            </w:r>
          </w:p>
        </w:tc>
        <w:tc>
          <w:tcPr>
            <w:tcW w:w="1409" w:type="dxa"/>
            <w:vAlign w:val="center"/>
          </w:tcPr>
          <w:p w14:paraId="231621C6"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296</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231A695F"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18,19</w:t>
            </w:r>
          </w:p>
        </w:tc>
      </w:tr>
      <w:tr w:rsidR="000B4D72" w:rsidRPr="00ED7EFB" w14:paraId="6E85ECDA" w14:textId="77777777" w:rsidTr="0022532B">
        <w:tc>
          <w:tcPr>
            <w:cnfStyle w:val="001000000000" w:firstRow="0" w:lastRow="0" w:firstColumn="1" w:lastColumn="0" w:oddVBand="0" w:evenVBand="0" w:oddHBand="0" w:evenHBand="0" w:firstRowFirstColumn="0" w:firstRowLastColumn="0" w:lastRowFirstColumn="0" w:lastRowLastColumn="0"/>
            <w:tcW w:w="568" w:type="dxa"/>
            <w:vAlign w:val="center"/>
          </w:tcPr>
          <w:p w14:paraId="5AED719D"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9.</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622C7CB5"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Wirusowe zakażenia jelitowe wywołane przez norowirusy</w:t>
            </w:r>
          </w:p>
        </w:tc>
        <w:tc>
          <w:tcPr>
            <w:tcW w:w="1409" w:type="dxa"/>
            <w:vAlign w:val="center"/>
          </w:tcPr>
          <w:p w14:paraId="5FB92270"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10014</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5C6B1819"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26,66</w:t>
            </w:r>
          </w:p>
        </w:tc>
        <w:tc>
          <w:tcPr>
            <w:tcW w:w="1409" w:type="dxa"/>
            <w:vAlign w:val="center"/>
          </w:tcPr>
          <w:p w14:paraId="13886920"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47</w:t>
            </w:r>
            <w:r>
              <w:rPr>
                <w:rFonts w:eastAsia="Times New Roman" w:cstheme="minorHAnsi"/>
                <w:color w:val="000000" w:themeColor="text1"/>
                <w:sz w:val="20"/>
                <w:szCs w:val="20"/>
                <w:lang w:eastAsia="pl-PL"/>
              </w:rPr>
              <w:t>0</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7335B5A2"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28,89</w:t>
            </w:r>
          </w:p>
        </w:tc>
      </w:tr>
      <w:tr w:rsidR="000B4D72" w:rsidRPr="00ED7EFB" w14:paraId="029F1B62" w14:textId="77777777" w:rsidTr="0022532B">
        <w:trPr>
          <w:cnfStyle w:val="010000000000" w:firstRow="0" w:lastRow="1"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568" w:type="dxa"/>
            <w:vAlign w:val="center"/>
          </w:tcPr>
          <w:p w14:paraId="22DC61B5" w14:textId="77777777" w:rsidR="000B4D72" w:rsidRPr="00ED7EFB" w:rsidRDefault="000B4D72" w:rsidP="00597239">
            <w:pPr>
              <w:spacing w:after="24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3373" w:type="dxa"/>
            <w:vAlign w:val="center"/>
          </w:tcPr>
          <w:p w14:paraId="7B9D0FA0"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 xml:space="preserve">Biegunka i zapalenie żołądkowo – jelitowe </w:t>
            </w:r>
            <w:bookmarkStart w:id="17" w:name="_Hlk164249787"/>
            <w:r w:rsidRPr="00ED7EFB">
              <w:rPr>
                <w:rFonts w:eastAsia="Times New Roman" w:cstheme="minorHAnsi"/>
                <w:color w:val="000000" w:themeColor="text1"/>
                <w:sz w:val="20"/>
                <w:szCs w:val="20"/>
                <w:lang w:eastAsia="pl-PL"/>
              </w:rPr>
              <w:t>o prawdopodobnie zakaźnym pochodzeniu u dzieci do lat 2</w:t>
            </w:r>
            <w:bookmarkEnd w:id="17"/>
          </w:p>
        </w:tc>
        <w:tc>
          <w:tcPr>
            <w:tcW w:w="1409" w:type="dxa"/>
            <w:vAlign w:val="center"/>
          </w:tcPr>
          <w:p w14:paraId="536D7A24" w14:textId="77777777" w:rsidR="000B4D72" w:rsidRPr="00ED7EFB" w:rsidRDefault="000B4D72" w:rsidP="00597239">
            <w:pPr>
              <w:cnfStyle w:val="010000000000" w:firstRow="0" w:lastRow="1"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11439</w:t>
            </w:r>
          </w:p>
        </w:tc>
        <w:tc>
          <w:tcPr>
            <w:cnfStyle w:val="000010000000" w:firstRow="0" w:lastRow="0" w:firstColumn="0" w:lastColumn="0" w:oddVBand="1" w:evenVBand="0" w:oddHBand="0" w:evenHBand="0" w:firstRowFirstColumn="0" w:firstRowLastColumn="0" w:lastRowFirstColumn="0" w:lastRowLastColumn="0"/>
            <w:tcW w:w="1409" w:type="dxa"/>
            <w:vAlign w:val="center"/>
          </w:tcPr>
          <w:p w14:paraId="29F38B39" w14:textId="77777777" w:rsidR="000B4D72" w:rsidRPr="00ED7EFB" w:rsidRDefault="000B4D72" w:rsidP="00597239">
            <w:pPr>
              <w:rPr>
                <w:rFonts w:eastAsia="Times New Roman" w:cstheme="minorHAnsi"/>
                <w:color w:val="000000" w:themeColor="text1"/>
                <w:sz w:val="20"/>
                <w:szCs w:val="20"/>
                <w:lang w:eastAsia="pl-PL"/>
              </w:rPr>
            </w:pPr>
            <w:r w:rsidRPr="00ED7EFB">
              <w:rPr>
                <w:color w:val="000000" w:themeColor="text1"/>
                <w:sz w:val="20"/>
                <w:szCs w:val="20"/>
              </w:rPr>
              <w:t>2093,73</w:t>
            </w:r>
          </w:p>
        </w:tc>
        <w:tc>
          <w:tcPr>
            <w:tcW w:w="1409" w:type="dxa"/>
            <w:vAlign w:val="center"/>
          </w:tcPr>
          <w:p w14:paraId="7F30E2DE" w14:textId="77777777" w:rsidR="000B4D72" w:rsidRPr="00ED7EFB" w:rsidRDefault="000B4D72" w:rsidP="00597239">
            <w:pPr>
              <w:cnfStyle w:val="010000000000" w:firstRow="0" w:lastRow="1"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364</w:t>
            </w:r>
          </w:p>
        </w:tc>
        <w:tc>
          <w:tcPr>
            <w:cnfStyle w:val="000100000000" w:firstRow="0" w:lastRow="0" w:firstColumn="0" w:lastColumn="1" w:oddVBand="0" w:evenVBand="0" w:oddHBand="0" w:evenHBand="0" w:firstRowFirstColumn="0" w:firstRowLastColumn="0" w:lastRowFirstColumn="0" w:lastRowLastColumn="0"/>
            <w:tcW w:w="1409" w:type="dxa"/>
            <w:vAlign w:val="center"/>
          </w:tcPr>
          <w:p w14:paraId="117C64B3"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1100,00</w:t>
            </w:r>
          </w:p>
          <w:p w14:paraId="6C2FD8DA" w14:textId="77777777" w:rsidR="000B4D72" w:rsidRPr="00ED7EFB" w:rsidRDefault="000B4D72" w:rsidP="00597239">
            <w:pPr>
              <w:rPr>
                <w:rFonts w:eastAsia="Times New Roman" w:cstheme="minorHAnsi"/>
                <w:color w:val="000000" w:themeColor="text1"/>
                <w:lang w:eastAsia="pl-PL"/>
              </w:rPr>
            </w:pPr>
            <w:r w:rsidRPr="00ED7EFB">
              <w:rPr>
                <w:rFonts w:eastAsia="Times New Roman" w:cstheme="minorHAnsi"/>
                <w:color w:val="000000" w:themeColor="text1"/>
                <w:sz w:val="20"/>
                <w:szCs w:val="20"/>
                <w:lang w:eastAsia="pl-PL"/>
              </w:rPr>
              <w:t>na 100 tys. dzieci do lat 2</w:t>
            </w:r>
          </w:p>
        </w:tc>
      </w:tr>
    </w:tbl>
    <w:p w14:paraId="3975B874" w14:textId="77777777" w:rsidR="00B82275" w:rsidRDefault="00B82275" w:rsidP="00597239">
      <w:pPr>
        <w:pStyle w:val="Legenda"/>
        <w:rPr>
          <w:i w:val="0"/>
          <w:iCs w:val="0"/>
          <w:color w:val="000000" w:themeColor="text1"/>
        </w:rPr>
      </w:pPr>
    </w:p>
    <w:p w14:paraId="319563AA" w14:textId="62B0D326" w:rsidR="000B4D72" w:rsidRPr="002F37E1" w:rsidRDefault="002F37E1" w:rsidP="00597239">
      <w:pPr>
        <w:pStyle w:val="Legenda"/>
        <w:rPr>
          <w:i w:val="0"/>
          <w:iCs w:val="0"/>
          <w:color w:val="000000" w:themeColor="text1"/>
        </w:rPr>
      </w:pPr>
      <w:bookmarkStart w:id="18" w:name="_Toc193805972"/>
      <w:bookmarkStart w:id="19" w:name="_Toc193969520"/>
      <w:bookmarkStart w:id="20" w:name="_Toc194059980"/>
      <w:r w:rsidRPr="002F37E1">
        <w:rPr>
          <w:i w:val="0"/>
          <w:iCs w:val="0"/>
          <w:color w:val="000000" w:themeColor="text1"/>
        </w:rPr>
        <w:t xml:space="preserve">Tabela </w:t>
      </w:r>
      <w:r w:rsidRPr="002F37E1">
        <w:rPr>
          <w:i w:val="0"/>
          <w:iCs w:val="0"/>
          <w:color w:val="000000" w:themeColor="text1"/>
        </w:rPr>
        <w:fldChar w:fldCharType="begin"/>
      </w:r>
      <w:r w:rsidRPr="002F37E1">
        <w:rPr>
          <w:i w:val="0"/>
          <w:iCs w:val="0"/>
          <w:color w:val="000000" w:themeColor="text1"/>
        </w:rPr>
        <w:instrText xml:space="preserve"> SEQ Tabela \* ARABIC </w:instrText>
      </w:r>
      <w:r w:rsidRPr="002F37E1">
        <w:rPr>
          <w:i w:val="0"/>
          <w:iCs w:val="0"/>
          <w:color w:val="000000" w:themeColor="text1"/>
        </w:rPr>
        <w:fldChar w:fldCharType="separate"/>
      </w:r>
      <w:r w:rsidR="00FB6F6A">
        <w:rPr>
          <w:i w:val="0"/>
          <w:iCs w:val="0"/>
          <w:noProof/>
          <w:color w:val="000000" w:themeColor="text1"/>
        </w:rPr>
        <w:t>2</w:t>
      </w:r>
      <w:r w:rsidRPr="002F37E1">
        <w:rPr>
          <w:i w:val="0"/>
          <w:iCs w:val="0"/>
          <w:color w:val="000000" w:themeColor="text1"/>
        </w:rPr>
        <w:fldChar w:fldCharType="end"/>
      </w:r>
      <w:r w:rsidR="00E75D31">
        <w:rPr>
          <w:i w:val="0"/>
          <w:iCs w:val="0"/>
          <w:color w:val="000000" w:themeColor="text1"/>
        </w:rPr>
        <w:t>.</w:t>
      </w:r>
      <w:r w:rsidRPr="002F37E1">
        <w:rPr>
          <w:i w:val="0"/>
          <w:iCs w:val="0"/>
          <w:color w:val="000000" w:themeColor="text1"/>
        </w:rPr>
        <w:t xml:space="preserve"> Liczba nosicieli Salmonella typhi i paratyphi B i C w rejestrach PSSE (stan na 31.12.2024 r.)</w:t>
      </w:r>
      <w:r w:rsidR="004E5976">
        <w:rPr>
          <w:i w:val="0"/>
          <w:iCs w:val="0"/>
          <w:color w:val="000000" w:themeColor="text1"/>
        </w:rPr>
        <w:t>.</w:t>
      </w:r>
      <w:bookmarkEnd w:id="18"/>
      <w:bookmarkEnd w:id="19"/>
      <w:bookmarkEnd w:id="20"/>
    </w:p>
    <w:tbl>
      <w:tblPr>
        <w:tblStyle w:val="Tabelasiatki4akcent1"/>
        <w:tblW w:w="5000" w:type="pct"/>
        <w:tblLayout w:type="fixed"/>
        <w:tblLook w:val="04A0" w:firstRow="1" w:lastRow="0" w:firstColumn="1" w:lastColumn="0" w:noHBand="0" w:noVBand="1"/>
        <w:tblCaption w:val="Liczba nosicieli Salmonella typhi i paratyphi B i C w rejestrach PSSE (stan na 31.12.2024 r.)"/>
        <w:tblDescription w:val="Tabela przedstawia liczbę nosicieli Salmonella typhi i paratyphi B i C z podziałem na wiek. Łącznie w woj. zachodniopomorskim wykazano 158 przypadków nosicielstwa, najwięcej przypadków zarejestrowano w przedziale wiekowym 5-15 lat."/>
      </w:tblPr>
      <w:tblGrid>
        <w:gridCol w:w="535"/>
        <w:gridCol w:w="537"/>
        <w:gridCol w:w="343"/>
        <w:gridCol w:w="324"/>
        <w:gridCol w:w="1044"/>
        <w:gridCol w:w="816"/>
        <w:gridCol w:w="648"/>
        <w:gridCol w:w="760"/>
        <w:gridCol w:w="760"/>
        <w:gridCol w:w="824"/>
        <w:gridCol w:w="798"/>
        <w:gridCol w:w="837"/>
        <w:gridCol w:w="836"/>
      </w:tblGrid>
      <w:tr w:rsidR="000B4D72" w:rsidRPr="003A793F" w14:paraId="19B5A7E2" w14:textId="77777777" w:rsidTr="0022532B">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759" w:type="dxa"/>
            <w:gridSpan w:val="4"/>
            <w:vMerge w:val="restart"/>
            <w:noWrap/>
            <w:vAlign w:val="center"/>
            <w:hideMark/>
          </w:tcPr>
          <w:p w14:paraId="4B1D2DE6" w14:textId="77777777" w:rsidR="000B4D72" w:rsidRPr="00C76616" w:rsidRDefault="000B4D72" w:rsidP="00597239">
            <w:pPr>
              <w:rPr>
                <w:rFonts w:eastAsia="Times New Roman" w:cstheme="minorHAnsi"/>
                <w:sz w:val="20"/>
                <w:szCs w:val="20"/>
                <w:lang w:eastAsia="pl-PL"/>
              </w:rPr>
            </w:pPr>
            <w:r w:rsidRPr="00C76616">
              <w:rPr>
                <w:rFonts w:eastAsia="Times New Roman" w:cstheme="minorHAnsi"/>
                <w:sz w:val="20"/>
                <w:szCs w:val="20"/>
                <w:lang w:eastAsia="pl-PL"/>
              </w:rPr>
              <w:t>Wyszczególnienie</w:t>
            </w:r>
          </w:p>
        </w:tc>
        <w:tc>
          <w:tcPr>
            <w:tcW w:w="7445" w:type="dxa"/>
            <w:gridSpan w:val="9"/>
            <w:noWrap/>
            <w:vAlign w:val="center"/>
            <w:hideMark/>
          </w:tcPr>
          <w:p w14:paraId="3976B2C9" w14:textId="77777777" w:rsidR="000B4D72" w:rsidRPr="00C76616"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C76616">
              <w:rPr>
                <w:rFonts w:eastAsia="Times New Roman" w:cstheme="minorHAnsi"/>
                <w:sz w:val="20"/>
                <w:szCs w:val="20"/>
                <w:lang w:eastAsia="pl-PL"/>
              </w:rPr>
              <w:t>Liczba nosicieli</w:t>
            </w:r>
          </w:p>
        </w:tc>
      </w:tr>
      <w:tr w:rsidR="000B4D72" w:rsidRPr="003A793F" w14:paraId="7D7BF53C" w14:textId="77777777" w:rsidTr="0022532B">
        <w:trPr>
          <w:cnfStyle w:val="000000100000" w:firstRow="0" w:lastRow="0" w:firstColumn="0" w:lastColumn="0" w:oddVBand="0" w:evenVBand="0" w:oddHBand="1" w:evenHBand="0" w:firstRowFirstColumn="0" w:firstRowLastColumn="0" w:lastRowFirstColumn="0" w:lastRowLastColumn="0"/>
          <w:trHeight w:val="2094"/>
        </w:trPr>
        <w:tc>
          <w:tcPr>
            <w:cnfStyle w:val="001000000000" w:firstRow="0" w:lastRow="0" w:firstColumn="1" w:lastColumn="0" w:oddVBand="0" w:evenVBand="0" w:oddHBand="0" w:evenHBand="0" w:firstRowFirstColumn="0" w:firstRowLastColumn="0" w:lastRowFirstColumn="0" w:lastRowLastColumn="0"/>
            <w:tcW w:w="1759" w:type="dxa"/>
            <w:gridSpan w:val="4"/>
            <w:vMerge/>
            <w:vAlign w:val="center"/>
            <w:hideMark/>
          </w:tcPr>
          <w:p w14:paraId="68F63AED" w14:textId="77777777" w:rsidR="000B4D72" w:rsidRPr="00ED7EFB" w:rsidRDefault="000B4D72" w:rsidP="00597239">
            <w:pPr>
              <w:rPr>
                <w:rFonts w:eastAsia="Times New Roman" w:cstheme="minorHAnsi"/>
                <w:color w:val="000000" w:themeColor="text1"/>
                <w:sz w:val="20"/>
                <w:szCs w:val="20"/>
                <w:lang w:eastAsia="pl-PL"/>
              </w:rPr>
            </w:pPr>
          </w:p>
        </w:tc>
        <w:tc>
          <w:tcPr>
            <w:tcW w:w="1063" w:type="dxa"/>
            <w:vMerge w:val="restart"/>
            <w:vAlign w:val="center"/>
            <w:hideMark/>
          </w:tcPr>
          <w:p w14:paraId="493F8E48" w14:textId="5E71FAC2"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ogółem (rubryki</w:t>
            </w:r>
          </w:p>
          <w:p w14:paraId="2642477C"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2 - 6)</w:t>
            </w:r>
          </w:p>
        </w:tc>
        <w:tc>
          <w:tcPr>
            <w:tcW w:w="3870" w:type="dxa"/>
            <w:gridSpan w:val="5"/>
            <w:noWrap/>
            <w:vAlign w:val="center"/>
            <w:hideMark/>
          </w:tcPr>
          <w:p w14:paraId="57BD2607"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wg wieku</w:t>
            </w:r>
          </w:p>
        </w:tc>
        <w:tc>
          <w:tcPr>
            <w:tcW w:w="811" w:type="dxa"/>
            <w:textDirection w:val="btLr"/>
            <w:vAlign w:val="center"/>
            <w:hideMark/>
          </w:tcPr>
          <w:p w14:paraId="0E68CD69" w14:textId="77777777" w:rsidR="000B4D72" w:rsidRPr="00ED7EFB"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usuniętych z rejestru</w:t>
            </w:r>
          </w:p>
        </w:tc>
        <w:tc>
          <w:tcPr>
            <w:tcW w:w="851" w:type="dxa"/>
            <w:textDirection w:val="btLr"/>
            <w:vAlign w:val="center"/>
            <w:hideMark/>
          </w:tcPr>
          <w:p w14:paraId="659CFA14" w14:textId="77777777" w:rsidR="000B4D72" w:rsidRPr="00ED7EFB"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nowo zarejestrowanych</w:t>
            </w:r>
          </w:p>
        </w:tc>
        <w:tc>
          <w:tcPr>
            <w:tcW w:w="850" w:type="dxa"/>
            <w:textDirection w:val="btLr"/>
            <w:vAlign w:val="center"/>
            <w:hideMark/>
          </w:tcPr>
          <w:p w14:paraId="5232AF4D" w14:textId="77777777" w:rsidR="000B4D72" w:rsidRPr="00ED7EFB"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odsuniętych od pracy zawodowej</w:t>
            </w:r>
          </w:p>
        </w:tc>
      </w:tr>
      <w:tr w:rsidR="000B4D72" w:rsidRPr="003A793F" w14:paraId="6F293F2D" w14:textId="77777777" w:rsidTr="0022532B">
        <w:trPr>
          <w:trHeight w:val="539"/>
        </w:trPr>
        <w:tc>
          <w:tcPr>
            <w:cnfStyle w:val="001000000000" w:firstRow="0" w:lastRow="0" w:firstColumn="1" w:lastColumn="0" w:oddVBand="0" w:evenVBand="0" w:oddHBand="0" w:evenHBand="0" w:firstRowFirstColumn="0" w:firstRowLastColumn="0" w:lastRowFirstColumn="0" w:lastRowLastColumn="0"/>
            <w:tcW w:w="1759" w:type="dxa"/>
            <w:gridSpan w:val="4"/>
            <w:vMerge/>
            <w:vAlign w:val="center"/>
            <w:hideMark/>
          </w:tcPr>
          <w:p w14:paraId="177BFDF4" w14:textId="77777777" w:rsidR="000B4D72" w:rsidRPr="00ED7EFB" w:rsidRDefault="000B4D72" w:rsidP="00597239">
            <w:pPr>
              <w:rPr>
                <w:rFonts w:eastAsia="Times New Roman" w:cstheme="minorHAnsi"/>
                <w:color w:val="000000" w:themeColor="text1"/>
                <w:sz w:val="20"/>
                <w:szCs w:val="20"/>
                <w:lang w:eastAsia="pl-PL"/>
              </w:rPr>
            </w:pPr>
          </w:p>
        </w:tc>
        <w:tc>
          <w:tcPr>
            <w:tcW w:w="1063" w:type="dxa"/>
            <w:vMerge/>
            <w:vAlign w:val="center"/>
            <w:hideMark/>
          </w:tcPr>
          <w:p w14:paraId="0ACA3690"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p>
        </w:tc>
        <w:tc>
          <w:tcPr>
            <w:tcW w:w="830" w:type="dxa"/>
            <w:noWrap/>
            <w:vAlign w:val="center"/>
            <w:hideMark/>
          </w:tcPr>
          <w:p w14:paraId="0A9BD94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0 - 4 lat</w:t>
            </w:r>
          </w:p>
        </w:tc>
        <w:tc>
          <w:tcPr>
            <w:tcW w:w="658" w:type="dxa"/>
            <w:noWrap/>
            <w:vAlign w:val="center"/>
            <w:hideMark/>
          </w:tcPr>
          <w:p w14:paraId="17EB3DA8"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5 - 19</w:t>
            </w:r>
          </w:p>
        </w:tc>
        <w:tc>
          <w:tcPr>
            <w:tcW w:w="772" w:type="dxa"/>
            <w:noWrap/>
            <w:vAlign w:val="center"/>
            <w:hideMark/>
          </w:tcPr>
          <w:p w14:paraId="36A906BC"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20 - 39</w:t>
            </w:r>
          </w:p>
        </w:tc>
        <w:tc>
          <w:tcPr>
            <w:tcW w:w="772" w:type="dxa"/>
            <w:noWrap/>
            <w:vAlign w:val="center"/>
            <w:hideMark/>
          </w:tcPr>
          <w:p w14:paraId="0D7436B0"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40 - 59</w:t>
            </w:r>
          </w:p>
        </w:tc>
        <w:tc>
          <w:tcPr>
            <w:tcW w:w="838" w:type="dxa"/>
            <w:vAlign w:val="center"/>
            <w:hideMark/>
          </w:tcPr>
          <w:p w14:paraId="3E62AFFD"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60 lat i więcej</w:t>
            </w:r>
          </w:p>
        </w:tc>
        <w:tc>
          <w:tcPr>
            <w:tcW w:w="2512" w:type="dxa"/>
            <w:gridSpan w:val="3"/>
            <w:noWrap/>
            <w:vAlign w:val="center"/>
            <w:hideMark/>
          </w:tcPr>
          <w:p w14:paraId="6B0663A2"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w roku sprawozdawczym</w:t>
            </w:r>
          </w:p>
        </w:tc>
      </w:tr>
      <w:tr w:rsidR="00C76616" w:rsidRPr="003A793F" w14:paraId="2924F79F" w14:textId="77777777" w:rsidTr="0022532B">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759" w:type="dxa"/>
            <w:gridSpan w:val="4"/>
            <w:vMerge/>
            <w:vAlign w:val="center"/>
            <w:hideMark/>
          </w:tcPr>
          <w:p w14:paraId="1C698EF8" w14:textId="77777777" w:rsidR="000B4D72" w:rsidRPr="00ED7EFB" w:rsidRDefault="000B4D72" w:rsidP="00597239">
            <w:pPr>
              <w:rPr>
                <w:rFonts w:eastAsia="Times New Roman" w:cstheme="minorHAnsi"/>
                <w:color w:val="000000" w:themeColor="text1"/>
                <w:sz w:val="20"/>
                <w:szCs w:val="20"/>
                <w:lang w:eastAsia="pl-PL"/>
              </w:rPr>
            </w:pPr>
          </w:p>
        </w:tc>
        <w:tc>
          <w:tcPr>
            <w:tcW w:w="1063" w:type="dxa"/>
            <w:noWrap/>
            <w:vAlign w:val="center"/>
            <w:hideMark/>
          </w:tcPr>
          <w:p w14:paraId="189E900C"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w:t>
            </w:r>
          </w:p>
        </w:tc>
        <w:tc>
          <w:tcPr>
            <w:tcW w:w="830" w:type="dxa"/>
            <w:noWrap/>
            <w:vAlign w:val="center"/>
            <w:hideMark/>
          </w:tcPr>
          <w:p w14:paraId="1608C892"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2</w:t>
            </w:r>
          </w:p>
        </w:tc>
        <w:tc>
          <w:tcPr>
            <w:tcW w:w="658" w:type="dxa"/>
            <w:noWrap/>
            <w:vAlign w:val="center"/>
            <w:hideMark/>
          </w:tcPr>
          <w:p w14:paraId="6A0342F5"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3</w:t>
            </w:r>
          </w:p>
        </w:tc>
        <w:tc>
          <w:tcPr>
            <w:tcW w:w="772" w:type="dxa"/>
            <w:noWrap/>
            <w:vAlign w:val="center"/>
            <w:hideMark/>
          </w:tcPr>
          <w:p w14:paraId="1A2C9A81"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4</w:t>
            </w:r>
          </w:p>
        </w:tc>
        <w:tc>
          <w:tcPr>
            <w:tcW w:w="772" w:type="dxa"/>
            <w:noWrap/>
            <w:vAlign w:val="center"/>
            <w:hideMark/>
          </w:tcPr>
          <w:p w14:paraId="3C30171D"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5</w:t>
            </w:r>
          </w:p>
        </w:tc>
        <w:tc>
          <w:tcPr>
            <w:tcW w:w="838" w:type="dxa"/>
            <w:noWrap/>
            <w:vAlign w:val="center"/>
            <w:hideMark/>
          </w:tcPr>
          <w:p w14:paraId="1BF37B9E"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6</w:t>
            </w:r>
          </w:p>
        </w:tc>
        <w:tc>
          <w:tcPr>
            <w:tcW w:w="811" w:type="dxa"/>
            <w:noWrap/>
            <w:vAlign w:val="center"/>
            <w:hideMark/>
          </w:tcPr>
          <w:p w14:paraId="66DA2C32"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7</w:t>
            </w:r>
          </w:p>
        </w:tc>
        <w:tc>
          <w:tcPr>
            <w:tcW w:w="851" w:type="dxa"/>
            <w:noWrap/>
            <w:vAlign w:val="center"/>
            <w:hideMark/>
          </w:tcPr>
          <w:p w14:paraId="5ADE6529"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8</w:t>
            </w:r>
          </w:p>
        </w:tc>
        <w:tc>
          <w:tcPr>
            <w:tcW w:w="850" w:type="dxa"/>
            <w:noWrap/>
            <w:vAlign w:val="center"/>
            <w:hideMark/>
          </w:tcPr>
          <w:p w14:paraId="20DBBE6C"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9</w:t>
            </w:r>
          </w:p>
        </w:tc>
      </w:tr>
      <w:tr w:rsidR="000B4D72" w:rsidRPr="003A793F" w14:paraId="12817536" w14:textId="77777777" w:rsidTr="0022532B">
        <w:trPr>
          <w:trHeight w:val="325"/>
        </w:trPr>
        <w:tc>
          <w:tcPr>
            <w:cnfStyle w:val="001000000000" w:firstRow="0" w:lastRow="0" w:firstColumn="1" w:lastColumn="0" w:oddVBand="0" w:evenVBand="0" w:oddHBand="0" w:evenHBand="0" w:firstRowFirstColumn="0" w:firstRowLastColumn="0" w:lastRowFirstColumn="0" w:lastRowLastColumn="0"/>
            <w:tcW w:w="543" w:type="dxa"/>
            <w:vMerge w:val="restart"/>
            <w:noWrap/>
            <w:textDirection w:val="btLr"/>
            <w:vAlign w:val="center"/>
            <w:hideMark/>
          </w:tcPr>
          <w:p w14:paraId="0A3C660F" w14:textId="77777777" w:rsidR="000B4D72" w:rsidRPr="00ED7EFB" w:rsidRDefault="000B4D72" w:rsidP="00597239">
            <w:pPr>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Salmonella</w:t>
            </w:r>
          </w:p>
        </w:tc>
        <w:tc>
          <w:tcPr>
            <w:tcW w:w="890" w:type="dxa"/>
            <w:gridSpan w:val="2"/>
            <w:noWrap/>
            <w:vAlign w:val="center"/>
            <w:hideMark/>
          </w:tcPr>
          <w:p w14:paraId="4A23F204"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Typhi</w:t>
            </w:r>
          </w:p>
        </w:tc>
        <w:tc>
          <w:tcPr>
            <w:tcW w:w="326" w:type="dxa"/>
            <w:noWrap/>
            <w:vAlign w:val="center"/>
            <w:hideMark/>
          </w:tcPr>
          <w:p w14:paraId="60084F81"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1</w:t>
            </w:r>
          </w:p>
        </w:tc>
        <w:tc>
          <w:tcPr>
            <w:tcW w:w="1063" w:type="dxa"/>
            <w:noWrap/>
            <w:vAlign w:val="center"/>
            <w:hideMark/>
          </w:tcPr>
          <w:p w14:paraId="39DEEFB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3</w:t>
            </w:r>
          </w:p>
        </w:tc>
        <w:tc>
          <w:tcPr>
            <w:tcW w:w="830" w:type="dxa"/>
            <w:noWrap/>
            <w:vAlign w:val="center"/>
            <w:hideMark/>
          </w:tcPr>
          <w:p w14:paraId="389F0FE1"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658" w:type="dxa"/>
            <w:noWrap/>
            <w:vAlign w:val="center"/>
            <w:hideMark/>
          </w:tcPr>
          <w:p w14:paraId="493100C1"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77F6DA08"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541750A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1</w:t>
            </w:r>
          </w:p>
        </w:tc>
        <w:tc>
          <w:tcPr>
            <w:tcW w:w="838" w:type="dxa"/>
            <w:noWrap/>
            <w:vAlign w:val="center"/>
            <w:hideMark/>
          </w:tcPr>
          <w:p w14:paraId="1D7DF84D"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2</w:t>
            </w:r>
          </w:p>
        </w:tc>
        <w:tc>
          <w:tcPr>
            <w:tcW w:w="811" w:type="dxa"/>
            <w:noWrap/>
            <w:vAlign w:val="center"/>
            <w:hideMark/>
          </w:tcPr>
          <w:p w14:paraId="04AB6F74"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1" w:type="dxa"/>
            <w:noWrap/>
            <w:vAlign w:val="center"/>
            <w:hideMark/>
          </w:tcPr>
          <w:p w14:paraId="3FDF6193"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0" w:type="dxa"/>
            <w:noWrap/>
            <w:vAlign w:val="center"/>
            <w:hideMark/>
          </w:tcPr>
          <w:p w14:paraId="77AF1339"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r>
      <w:tr w:rsidR="00C76616" w:rsidRPr="003A793F" w14:paraId="64744194" w14:textId="77777777" w:rsidTr="0022532B">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43" w:type="dxa"/>
            <w:vMerge/>
            <w:vAlign w:val="center"/>
            <w:hideMark/>
          </w:tcPr>
          <w:p w14:paraId="0B7A43B4" w14:textId="77777777" w:rsidR="000B4D72" w:rsidRPr="00ED7EFB" w:rsidRDefault="000B4D72" w:rsidP="00597239">
            <w:pPr>
              <w:rPr>
                <w:rFonts w:eastAsia="Times New Roman" w:cstheme="minorHAnsi"/>
                <w:color w:val="000000" w:themeColor="text1"/>
                <w:sz w:val="20"/>
                <w:szCs w:val="20"/>
                <w:lang w:eastAsia="pl-PL"/>
              </w:rPr>
            </w:pPr>
          </w:p>
        </w:tc>
        <w:tc>
          <w:tcPr>
            <w:tcW w:w="544" w:type="dxa"/>
            <w:vMerge w:val="restart"/>
            <w:noWrap/>
            <w:textDirection w:val="btLr"/>
            <w:vAlign w:val="center"/>
            <w:hideMark/>
          </w:tcPr>
          <w:p w14:paraId="6C8414DF"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Paratyphi</w:t>
            </w:r>
          </w:p>
        </w:tc>
        <w:tc>
          <w:tcPr>
            <w:tcW w:w="346" w:type="dxa"/>
            <w:noWrap/>
            <w:vAlign w:val="center"/>
            <w:hideMark/>
          </w:tcPr>
          <w:p w14:paraId="2221AFF7"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A</w:t>
            </w:r>
          </w:p>
        </w:tc>
        <w:tc>
          <w:tcPr>
            <w:tcW w:w="326" w:type="dxa"/>
            <w:noWrap/>
            <w:vAlign w:val="center"/>
            <w:hideMark/>
          </w:tcPr>
          <w:p w14:paraId="01686170"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0</w:t>
            </w:r>
          </w:p>
        </w:tc>
        <w:tc>
          <w:tcPr>
            <w:tcW w:w="1063" w:type="dxa"/>
            <w:noWrap/>
            <w:vAlign w:val="center"/>
            <w:hideMark/>
          </w:tcPr>
          <w:p w14:paraId="1C6EBCD6"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30" w:type="dxa"/>
            <w:noWrap/>
            <w:vAlign w:val="center"/>
            <w:hideMark/>
          </w:tcPr>
          <w:p w14:paraId="5F4F2B98"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658" w:type="dxa"/>
            <w:noWrap/>
            <w:vAlign w:val="center"/>
            <w:hideMark/>
          </w:tcPr>
          <w:p w14:paraId="7B4840FE"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1DF23F78"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7179A759"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38" w:type="dxa"/>
            <w:noWrap/>
            <w:vAlign w:val="center"/>
            <w:hideMark/>
          </w:tcPr>
          <w:p w14:paraId="6315E97B"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11" w:type="dxa"/>
            <w:noWrap/>
            <w:vAlign w:val="center"/>
            <w:hideMark/>
          </w:tcPr>
          <w:p w14:paraId="5AAB001B"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1" w:type="dxa"/>
            <w:noWrap/>
            <w:vAlign w:val="center"/>
            <w:hideMark/>
          </w:tcPr>
          <w:p w14:paraId="6D2FDF47"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0" w:type="dxa"/>
            <w:noWrap/>
            <w:vAlign w:val="center"/>
            <w:hideMark/>
          </w:tcPr>
          <w:p w14:paraId="60958DF8"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0</w:t>
            </w:r>
          </w:p>
        </w:tc>
      </w:tr>
      <w:tr w:rsidR="000B4D72" w:rsidRPr="003A793F" w14:paraId="41F6AF11" w14:textId="77777777" w:rsidTr="0022532B">
        <w:trPr>
          <w:trHeight w:val="325"/>
        </w:trPr>
        <w:tc>
          <w:tcPr>
            <w:cnfStyle w:val="001000000000" w:firstRow="0" w:lastRow="0" w:firstColumn="1" w:lastColumn="0" w:oddVBand="0" w:evenVBand="0" w:oddHBand="0" w:evenHBand="0" w:firstRowFirstColumn="0" w:firstRowLastColumn="0" w:lastRowFirstColumn="0" w:lastRowLastColumn="0"/>
            <w:tcW w:w="543" w:type="dxa"/>
            <w:vMerge/>
            <w:vAlign w:val="center"/>
            <w:hideMark/>
          </w:tcPr>
          <w:p w14:paraId="5B04A67A" w14:textId="77777777" w:rsidR="000B4D72" w:rsidRPr="00ED7EFB" w:rsidRDefault="000B4D72" w:rsidP="00597239">
            <w:pPr>
              <w:rPr>
                <w:rFonts w:eastAsia="Times New Roman" w:cstheme="minorHAnsi"/>
                <w:color w:val="000000" w:themeColor="text1"/>
                <w:sz w:val="20"/>
                <w:szCs w:val="20"/>
                <w:lang w:eastAsia="pl-PL"/>
              </w:rPr>
            </w:pPr>
          </w:p>
        </w:tc>
        <w:tc>
          <w:tcPr>
            <w:tcW w:w="544" w:type="dxa"/>
            <w:vMerge/>
            <w:vAlign w:val="center"/>
            <w:hideMark/>
          </w:tcPr>
          <w:p w14:paraId="5C737CBF"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p>
        </w:tc>
        <w:tc>
          <w:tcPr>
            <w:tcW w:w="346" w:type="dxa"/>
            <w:noWrap/>
            <w:vAlign w:val="center"/>
            <w:hideMark/>
          </w:tcPr>
          <w:p w14:paraId="558590D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B</w:t>
            </w:r>
          </w:p>
        </w:tc>
        <w:tc>
          <w:tcPr>
            <w:tcW w:w="326" w:type="dxa"/>
            <w:noWrap/>
            <w:vAlign w:val="center"/>
            <w:hideMark/>
          </w:tcPr>
          <w:p w14:paraId="00125FB3"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1</w:t>
            </w:r>
          </w:p>
        </w:tc>
        <w:tc>
          <w:tcPr>
            <w:tcW w:w="1063" w:type="dxa"/>
            <w:noWrap/>
            <w:vAlign w:val="center"/>
            <w:hideMark/>
          </w:tcPr>
          <w:p w14:paraId="5BEE167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30" w:type="dxa"/>
            <w:noWrap/>
            <w:vAlign w:val="center"/>
            <w:hideMark/>
          </w:tcPr>
          <w:p w14:paraId="57E0B529"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658" w:type="dxa"/>
            <w:noWrap/>
            <w:vAlign w:val="center"/>
            <w:hideMark/>
          </w:tcPr>
          <w:p w14:paraId="6292DCE1"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37308EA9"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5CDDCAF3"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1</w:t>
            </w:r>
          </w:p>
        </w:tc>
        <w:tc>
          <w:tcPr>
            <w:tcW w:w="838" w:type="dxa"/>
            <w:noWrap/>
            <w:vAlign w:val="center"/>
            <w:hideMark/>
          </w:tcPr>
          <w:p w14:paraId="43BFB926"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11" w:type="dxa"/>
            <w:noWrap/>
            <w:vAlign w:val="center"/>
            <w:hideMark/>
          </w:tcPr>
          <w:p w14:paraId="2D2EBDB9"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1" w:type="dxa"/>
            <w:noWrap/>
            <w:vAlign w:val="center"/>
            <w:hideMark/>
          </w:tcPr>
          <w:p w14:paraId="753130A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0" w:type="dxa"/>
            <w:noWrap/>
            <w:vAlign w:val="center"/>
            <w:hideMark/>
          </w:tcPr>
          <w:p w14:paraId="7B247DAF"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0</w:t>
            </w:r>
          </w:p>
        </w:tc>
      </w:tr>
      <w:tr w:rsidR="00C76616" w:rsidRPr="003A793F" w14:paraId="44803623" w14:textId="77777777" w:rsidTr="0022532B">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43" w:type="dxa"/>
            <w:vMerge/>
            <w:vAlign w:val="center"/>
            <w:hideMark/>
          </w:tcPr>
          <w:p w14:paraId="2FA6E8D5" w14:textId="77777777" w:rsidR="000B4D72" w:rsidRPr="00ED7EFB" w:rsidRDefault="000B4D72" w:rsidP="00597239">
            <w:pPr>
              <w:rPr>
                <w:rFonts w:eastAsia="Times New Roman" w:cstheme="minorHAnsi"/>
                <w:color w:val="000000" w:themeColor="text1"/>
                <w:sz w:val="20"/>
                <w:szCs w:val="20"/>
                <w:lang w:eastAsia="pl-PL"/>
              </w:rPr>
            </w:pPr>
          </w:p>
        </w:tc>
        <w:tc>
          <w:tcPr>
            <w:tcW w:w="544" w:type="dxa"/>
            <w:vMerge/>
            <w:vAlign w:val="center"/>
            <w:hideMark/>
          </w:tcPr>
          <w:p w14:paraId="313EFC10"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p>
        </w:tc>
        <w:tc>
          <w:tcPr>
            <w:tcW w:w="346" w:type="dxa"/>
            <w:noWrap/>
            <w:vAlign w:val="center"/>
            <w:hideMark/>
          </w:tcPr>
          <w:p w14:paraId="5858ACA1"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C</w:t>
            </w:r>
          </w:p>
        </w:tc>
        <w:tc>
          <w:tcPr>
            <w:tcW w:w="326" w:type="dxa"/>
            <w:noWrap/>
            <w:vAlign w:val="center"/>
            <w:hideMark/>
          </w:tcPr>
          <w:p w14:paraId="5CE38CE1"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1</w:t>
            </w:r>
          </w:p>
        </w:tc>
        <w:tc>
          <w:tcPr>
            <w:tcW w:w="1063" w:type="dxa"/>
            <w:noWrap/>
            <w:vAlign w:val="center"/>
            <w:hideMark/>
          </w:tcPr>
          <w:p w14:paraId="20A07F43"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30" w:type="dxa"/>
            <w:noWrap/>
            <w:vAlign w:val="center"/>
            <w:hideMark/>
          </w:tcPr>
          <w:p w14:paraId="483EF9EB"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658" w:type="dxa"/>
            <w:noWrap/>
            <w:vAlign w:val="center"/>
            <w:hideMark/>
          </w:tcPr>
          <w:p w14:paraId="33067846"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1A40EF59"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772" w:type="dxa"/>
            <w:noWrap/>
            <w:vAlign w:val="center"/>
            <w:hideMark/>
          </w:tcPr>
          <w:p w14:paraId="482ADB9C"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1</w:t>
            </w:r>
          </w:p>
        </w:tc>
        <w:tc>
          <w:tcPr>
            <w:tcW w:w="838" w:type="dxa"/>
            <w:noWrap/>
            <w:vAlign w:val="center"/>
            <w:hideMark/>
          </w:tcPr>
          <w:p w14:paraId="2F37C4F1"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11" w:type="dxa"/>
            <w:noWrap/>
            <w:vAlign w:val="center"/>
            <w:hideMark/>
          </w:tcPr>
          <w:p w14:paraId="098B2027"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1" w:type="dxa"/>
            <w:noWrap/>
            <w:vAlign w:val="center"/>
            <w:hideMark/>
          </w:tcPr>
          <w:p w14:paraId="395D4066"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cstheme="minorHAnsi"/>
                <w:color w:val="000000" w:themeColor="text1"/>
                <w:sz w:val="20"/>
                <w:szCs w:val="20"/>
              </w:rPr>
              <w:t>0</w:t>
            </w:r>
          </w:p>
        </w:tc>
        <w:tc>
          <w:tcPr>
            <w:tcW w:w="850" w:type="dxa"/>
            <w:noWrap/>
            <w:vAlign w:val="center"/>
            <w:hideMark/>
          </w:tcPr>
          <w:p w14:paraId="497C66CA" w14:textId="77777777" w:rsidR="000B4D72" w:rsidRPr="00ED7EFB"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0</w:t>
            </w:r>
          </w:p>
        </w:tc>
      </w:tr>
      <w:tr w:rsidR="000B4D72" w:rsidRPr="003A793F" w14:paraId="5119CD49" w14:textId="77777777" w:rsidTr="0022532B">
        <w:trPr>
          <w:trHeight w:val="399"/>
        </w:trPr>
        <w:tc>
          <w:tcPr>
            <w:cnfStyle w:val="001000000000" w:firstRow="0" w:lastRow="0" w:firstColumn="1" w:lastColumn="0" w:oddVBand="0" w:evenVBand="0" w:oddHBand="0" w:evenHBand="0" w:firstRowFirstColumn="0" w:firstRowLastColumn="0" w:lastRowFirstColumn="0" w:lastRowLastColumn="0"/>
            <w:tcW w:w="543" w:type="dxa"/>
            <w:vMerge/>
            <w:vAlign w:val="center"/>
            <w:hideMark/>
          </w:tcPr>
          <w:p w14:paraId="05A9C5FE" w14:textId="77777777" w:rsidR="000B4D72" w:rsidRPr="00ED7EFB" w:rsidRDefault="000B4D72" w:rsidP="00597239">
            <w:pPr>
              <w:rPr>
                <w:rFonts w:eastAsia="Times New Roman" w:cstheme="minorHAnsi"/>
                <w:color w:val="000000" w:themeColor="text1"/>
                <w:sz w:val="20"/>
                <w:szCs w:val="20"/>
                <w:lang w:eastAsia="pl-PL"/>
              </w:rPr>
            </w:pPr>
          </w:p>
        </w:tc>
        <w:tc>
          <w:tcPr>
            <w:tcW w:w="890" w:type="dxa"/>
            <w:gridSpan w:val="2"/>
            <w:noWrap/>
            <w:vAlign w:val="center"/>
            <w:hideMark/>
          </w:tcPr>
          <w:p w14:paraId="5D1D5C9D"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inne</w:t>
            </w:r>
          </w:p>
        </w:tc>
        <w:tc>
          <w:tcPr>
            <w:tcW w:w="326" w:type="dxa"/>
            <w:noWrap/>
            <w:vAlign w:val="center"/>
            <w:hideMark/>
          </w:tcPr>
          <w:p w14:paraId="4A76EDD8"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rFonts w:eastAsia="Times New Roman" w:cstheme="minorHAnsi"/>
                <w:color w:val="000000" w:themeColor="text1"/>
                <w:sz w:val="20"/>
                <w:szCs w:val="20"/>
                <w:lang w:eastAsia="pl-PL"/>
              </w:rPr>
              <w:t>5</w:t>
            </w:r>
          </w:p>
        </w:tc>
        <w:tc>
          <w:tcPr>
            <w:tcW w:w="1063" w:type="dxa"/>
            <w:noWrap/>
            <w:vAlign w:val="center"/>
            <w:hideMark/>
          </w:tcPr>
          <w:p w14:paraId="4F8F4625"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152</w:t>
            </w:r>
          </w:p>
        </w:tc>
        <w:tc>
          <w:tcPr>
            <w:tcW w:w="830" w:type="dxa"/>
            <w:noWrap/>
            <w:vAlign w:val="center"/>
            <w:hideMark/>
          </w:tcPr>
          <w:p w14:paraId="4682C8A4"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16</w:t>
            </w:r>
          </w:p>
        </w:tc>
        <w:tc>
          <w:tcPr>
            <w:tcW w:w="658" w:type="dxa"/>
            <w:noWrap/>
            <w:vAlign w:val="center"/>
            <w:hideMark/>
          </w:tcPr>
          <w:p w14:paraId="22581532"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45</w:t>
            </w:r>
          </w:p>
        </w:tc>
        <w:tc>
          <w:tcPr>
            <w:tcW w:w="772" w:type="dxa"/>
            <w:noWrap/>
            <w:vAlign w:val="center"/>
            <w:hideMark/>
          </w:tcPr>
          <w:p w14:paraId="2831DBEF"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39</w:t>
            </w:r>
          </w:p>
        </w:tc>
        <w:tc>
          <w:tcPr>
            <w:tcW w:w="772" w:type="dxa"/>
            <w:noWrap/>
            <w:vAlign w:val="center"/>
            <w:hideMark/>
          </w:tcPr>
          <w:p w14:paraId="1BCF1F37"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29</w:t>
            </w:r>
          </w:p>
        </w:tc>
        <w:tc>
          <w:tcPr>
            <w:tcW w:w="838" w:type="dxa"/>
            <w:noWrap/>
            <w:vAlign w:val="center"/>
            <w:hideMark/>
          </w:tcPr>
          <w:p w14:paraId="73ED4E14"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23</w:t>
            </w:r>
          </w:p>
        </w:tc>
        <w:tc>
          <w:tcPr>
            <w:tcW w:w="811" w:type="dxa"/>
            <w:noWrap/>
            <w:vAlign w:val="center"/>
            <w:hideMark/>
          </w:tcPr>
          <w:p w14:paraId="71D951F2"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222</w:t>
            </w:r>
          </w:p>
        </w:tc>
        <w:tc>
          <w:tcPr>
            <w:tcW w:w="851" w:type="dxa"/>
            <w:noWrap/>
            <w:vAlign w:val="center"/>
            <w:hideMark/>
          </w:tcPr>
          <w:p w14:paraId="39299458"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232</w:t>
            </w:r>
          </w:p>
        </w:tc>
        <w:tc>
          <w:tcPr>
            <w:tcW w:w="850" w:type="dxa"/>
            <w:noWrap/>
            <w:vAlign w:val="center"/>
            <w:hideMark/>
          </w:tcPr>
          <w:p w14:paraId="0B2CCF4F" w14:textId="77777777" w:rsidR="000B4D72" w:rsidRPr="00ED7EFB"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ED7EFB">
              <w:rPr>
                <w:color w:val="000000" w:themeColor="text1"/>
                <w:sz w:val="20"/>
                <w:szCs w:val="20"/>
              </w:rPr>
              <w:t>43</w:t>
            </w:r>
          </w:p>
        </w:tc>
      </w:tr>
    </w:tbl>
    <w:p w14:paraId="65E53D36" w14:textId="77777777" w:rsidR="000B4D72" w:rsidRPr="00ED7EFB" w:rsidRDefault="000B4D72" w:rsidP="00597239">
      <w:pPr>
        <w:spacing w:before="240" w:after="0" w:line="276" w:lineRule="auto"/>
        <w:rPr>
          <w:rFonts w:eastAsia="Times New Roman" w:cstheme="minorHAnsi"/>
          <w:color w:val="000000" w:themeColor="text1"/>
          <w:spacing w:val="-2"/>
          <w:sz w:val="24"/>
          <w:szCs w:val="24"/>
          <w:lang w:eastAsia="pl-PL"/>
        </w:rPr>
      </w:pPr>
      <w:r w:rsidRPr="00ED7EFB">
        <w:rPr>
          <w:rFonts w:eastAsia="Times New Roman" w:cstheme="minorHAnsi"/>
          <w:b/>
          <w:color w:val="000000" w:themeColor="text1"/>
          <w:spacing w:val="-2"/>
          <w:sz w:val="24"/>
          <w:szCs w:val="24"/>
          <w:lang w:eastAsia="pl-PL"/>
        </w:rPr>
        <w:t>Ogniska chorób przenoszonych drogą pokarmową</w:t>
      </w:r>
    </w:p>
    <w:p w14:paraId="266A3CB3" w14:textId="68EEC681" w:rsidR="000B4D72" w:rsidRPr="00ED7EFB" w:rsidRDefault="000B4D72" w:rsidP="00597239">
      <w:pPr>
        <w:spacing w:after="0" w:line="276" w:lineRule="auto"/>
        <w:rPr>
          <w:rFonts w:eastAsia="Times New Roman" w:cstheme="minorHAnsi"/>
          <w:color w:val="000000" w:themeColor="text1"/>
          <w:sz w:val="24"/>
          <w:szCs w:val="24"/>
          <w:lang w:eastAsia="pl-PL"/>
        </w:rPr>
      </w:pPr>
      <w:r w:rsidRPr="00ED7EFB">
        <w:rPr>
          <w:rFonts w:eastAsia="Times New Roman" w:cstheme="minorHAnsi"/>
          <w:bCs/>
          <w:color w:val="000000" w:themeColor="text1"/>
          <w:spacing w:val="-2"/>
          <w:sz w:val="24"/>
          <w:szCs w:val="24"/>
          <w:lang w:eastAsia="pl-PL"/>
        </w:rPr>
        <w:t>W woj. zachodniopomorskim,</w:t>
      </w:r>
      <w:r w:rsidRPr="00ED7EFB">
        <w:rPr>
          <w:rFonts w:eastAsia="Times New Roman" w:cstheme="minorHAnsi"/>
          <w:bCs/>
          <w:color w:val="000000" w:themeColor="text1"/>
          <w:sz w:val="24"/>
          <w:szCs w:val="24"/>
          <w:lang w:eastAsia="pl-PL"/>
        </w:rPr>
        <w:t xml:space="preserve"> </w:t>
      </w:r>
      <w:r w:rsidRPr="00ED7EFB">
        <w:rPr>
          <w:rFonts w:eastAsia="Times New Roman" w:cstheme="minorHAnsi"/>
          <w:bCs/>
          <w:color w:val="000000" w:themeColor="text1"/>
          <w:spacing w:val="-2"/>
          <w:sz w:val="24"/>
          <w:szCs w:val="24"/>
          <w:lang w:eastAsia="pl-PL"/>
        </w:rPr>
        <w:t>w 2024 roku</w:t>
      </w:r>
      <w:r w:rsidRPr="00ED7EFB">
        <w:rPr>
          <w:rFonts w:eastAsia="Times New Roman" w:cstheme="minorHAnsi"/>
          <w:b/>
          <w:color w:val="000000" w:themeColor="text1"/>
          <w:spacing w:val="-2"/>
          <w:sz w:val="24"/>
          <w:szCs w:val="24"/>
          <w:lang w:eastAsia="pl-PL"/>
        </w:rPr>
        <w:t xml:space="preserve"> </w:t>
      </w:r>
      <w:r w:rsidRPr="00ED7EFB">
        <w:rPr>
          <w:rFonts w:eastAsia="Times New Roman" w:cstheme="minorHAnsi"/>
          <w:color w:val="000000" w:themeColor="text1"/>
          <w:sz w:val="24"/>
          <w:szCs w:val="24"/>
          <w:lang w:eastAsia="pl-PL"/>
        </w:rPr>
        <w:t>wystąpiło ogółem 96 ognisk chorób przenoszonych drogą pokarmową</w:t>
      </w:r>
      <w:r>
        <w:rPr>
          <w:rFonts w:eastAsia="Times New Roman" w:cstheme="minorHAnsi"/>
          <w:color w:val="000000" w:themeColor="text1"/>
          <w:sz w:val="24"/>
          <w:szCs w:val="24"/>
          <w:lang w:eastAsia="pl-PL"/>
        </w:rPr>
        <w:t xml:space="preserve"> z czego blisko połowa to ogniska rodzinne (45 ognisk). W</w:t>
      </w:r>
      <w:r w:rsidR="007B1BEB">
        <w:rPr>
          <w:rFonts w:eastAsia="Times New Roman" w:cstheme="minorHAnsi"/>
          <w:color w:val="000000" w:themeColor="text1"/>
          <w:sz w:val="24"/>
          <w:szCs w:val="24"/>
          <w:lang w:eastAsia="pl-PL"/>
        </w:rPr>
        <w:t> </w:t>
      </w:r>
      <w:r>
        <w:rPr>
          <w:rFonts w:eastAsia="Times New Roman" w:cstheme="minorHAnsi"/>
          <w:color w:val="000000" w:themeColor="text1"/>
          <w:sz w:val="24"/>
          <w:szCs w:val="24"/>
          <w:lang w:eastAsia="pl-PL"/>
        </w:rPr>
        <w:t>pozostałych przypadkach ogniska wystąpiły: w ośrodkach wypoczynkowych i sanatoryjno-uzdrowiskowych (18), placówkach szkolno-wychowawczych oraz podczas różnych form wypoczynku dzieci i</w:t>
      </w:r>
      <w:r w:rsidR="00D6619C">
        <w:rPr>
          <w:rFonts w:eastAsia="Times New Roman" w:cstheme="minorHAnsi"/>
          <w:color w:val="000000" w:themeColor="text1"/>
          <w:sz w:val="24"/>
          <w:szCs w:val="24"/>
          <w:lang w:eastAsia="pl-PL"/>
        </w:rPr>
        <w:t> </w:t>
      </w:r>
      <w:r>
        <w:rPr>
          <w:rFonts w:eastAsia="Times New Roman" w:cstheme="minorHAnsi"/>
          <w:color w:val="000000" w:themeColor="text1"/>
          <w:sz w:val="24"/>
          <w:szCs w:val="24"/>
          <w:lang w:eastAsia="pl-PL"/>
        </w:rPr>
        <w:t xml:space="preserve">młodzieży (17), podczas przyjęć okolicznościowych (7), w oddziałach szpitalnych i domach pomocy społecznej (5) oraz innych miejscach, gdzie odbywało się zbiorowe żywienie (4). </w:t>
      </w:r>
    </w:p>
    <w:p w14:paraId="1599C130" w14:textId="77777777" w:rsidR="0022532B" w:rsidRDefault="0022532B" w:rsidP="00597239">
      <w:pPr>
        <w:spacing w:after="0" w:line="276" w:lineRule="auto"/>
        <w:rPr>
          <w:rFonts w:eastAsia="Times New Roman" w:cstheme="minorHAnsi"/>
          <w:color w:val="000000" w:themeColor="text1"/>
          <w:sz w:val="24"/>
          <w:szCs w:val="24"/>
          <w:lang w:eastAsia="pl-PL"/>
        </w:rPr>
      </w:pPr>
    </w:p>
    <w:p w14:paraId="54A77113" w14:textId="65AE6DE7" w:rsidR="000B4D72" w:rsidRPr="00E514AC" w:rsidRDefault="000B4D72" w:rsidP="00597239">
      <w:pPr>
        <w:spacing w:after="0" w:line="276" w:lineRule="auto"/>
        <w:rPr>
          <w:rFonts w:eastAsia="Times New Roman" w:cstheme="minorHAnsi"/>
          <w:color w:val="000000" w:themeColor="text1"/>
          <w:sz w:val="24"/>
          <w:szCs w:val="24"/>
          <w:lang w:eastAsia="pl-PL"/>
        </w:rPr>
      </w:pPr>
      <w:r w:rsidRPr="00E514AC">
        <w:rPr>
          <w:rFonts w:eastAsia="Times New Roman" w:cstheme="minorHAnsi"/>
          <w:color w:val="000000" w:themeColor="text1"/>
          <w:sz w:val="24"/>
          <w:szCs w:val="24"/>
          <w:lang w:eastAsia="pl-PL"/>
        </w:rPr>
        <w:t xml:space="preserve">W </w:t>
      </w:r>
      <w:r>
        <w:rPr>
          <w:rFonts w:eastAsia="Times New Roman" w:cstheme="minorHAnsi"/>
          <w:color w:val="000000" w:themeColor="text1"/>
          <w:sz w:val="24"/>
          <w:szCs w:val="24"/>
          <w:lang w:eastAsia="pl-PL"/>
        </w:rPr>
        <w:t xml:space="preserve">ogniskach </w:t>
      </w:r>
      <w:r w:rsidRPr="00E514AC">
        <w:rPr>
          <w:rFonts w:eastAsia="Times New Roman" w:cstheme="minorHAnsi"/>
          <w:color w:val="000000" w:themeColor="text1"/>
          <w:sz w:val="24"/>
          <w:szCs w:val="24"/>
          <w:lang w:eastAsia="pl-PL"/>
        </w:rPr>
        <w:t xml:space="preserve">narażonych na </w:t>
      </w:r>
      <w:r>
        <w:rPr>
          <w:rFonts w:eastAsia="Times New Roman" w:cstheme="minorHAnsi"/>
          <w:color w:val="000000" w:themeColor="text1"/>
          <w:sz w:val="24"/>
          <w:szCs w:val="24"/>
          <w:lang w:eastAsia="pl-PL"/>
        </w:rPr>
        <w:t>zachorowanie</w:t>
      </w:r>
      <w:r w:rsidRPr="00E514AC">
        <w:rPr>
          <w:rFonts w:eastAsia="Times New Roman" w:cstheme="minorHAnsi"/>
          <w:color w:val="000000" w:themeColor="text1"/>
          <w:sz w:val="24"/>
          <w:szCs w:val="24"/>
          <w:lang w:eastAsia="pl-PL"/>
        </w:rPr>
        <w:t xml:space="preserve"> było 9668 osób</w:t>
      </w:r>
      <w:r>
        <w:rPr>
          <w:rFonts w:eastAsia="Times New Roman" w:cstheme="minorHAnsi"/>
          <w:color w:val="000000" w:themeColor="text1"/>
          <w:sz w:val="24"/>
          <w:szCs w:val="24"/>
          <w:lang w:eastAsia="pl-PL"/>
        </w:rPr>
        <w:t xml:space="preserve">, łącznie </w:t>
      </w:r>
      <w:r w:rsidRPr="00E514AC">
        <w:rPr>
          <w:rFonts w:eastAsia="Times New Roman" w:cstheme="minorHAnsi"/>
          <w:color w:val="000000" w:themeColor="text1"/>
          <w:sz w:val="24"/>
          <w:szCs w:val="24"/>
          <w:lang w:eastAsia="pl-PL"/>
        </w:rPr>
        <w:t>zachorowało 1418 osób</w:t>
      </w:r>
      <w:r>
        <w:rPr>
          <w:rFonts w:eastAsia="Times New Roman" w:cstheme="minorHAnsi"/>
          <w:color w:val="000000" w:themeColor="text1"/>
          <w:sz w:val="24"/>
          <w:szCs w:val="24"/>
          <w:lang w:eastAsia="pl-PL"/>
        </w:rPr>
        <w:t xml:space="preserve"> (</w:t>
      </w:r>
      <w:r w:rsidRPr="00E514AC">
        <w:rPr>
          <w:rFonts w:eastAsia="Times New Roman" w:cstheme="minorHAnsi"/>
          <w:color w:val="000000" w:themeColor="text1"/>
          <w:sz w:val="24"/>
          <w:szCs w:val="24"/>
          <w:lang w:eastAsia="pl-PL"/>
        </w:rPr>
        <w:t>w</w:t>
      </w:r>
      <w:r w:rsidR="005D6DAE">
        <w:rPr>
          <w:rFonts w:eastAsia="Times New Roman" w:cstheme="minorHAnsi"/>
          <w:color w:val="000000" w:themeColor="text1"/>
          <w:sz w:val="24"/>
          <w:szCs w:val="24"/>
          <w:lang w:eastAsia="pl-PL"/>
        </w:rPr>
        <w:t> </w:t>
      </w:r>
      <w:r w:rsidRPr="00E514AC">
        <w:rPr>
          <w:rFonts w:eastAsia="Times New Roman" w:cstheme="minorHAnsi"/>
          <w:color w:val="000000" w:themeColor="text1"/>
          <w:sz w:val="24"/>
          <w:szCs w:val="24"/>
          <w:lang w:eastAsia="pl-PL"/>
        </w:rPr>
        <w:t>tym 360 dzieci do 14 roku życia</w:t>
      </w:r>
      <w:r>
        <w:rPr>
          <w:rFonts w:eastAsia="Times New Roman" w:cstheme="minorHAnsi"/>
          <w:color w:val="000000" w:themeColor="text1"/>
          <w:sz w:val="24"/>
          <w:szCs w:val="24"/>
          <w:lang w:eastAsia="pl-PL"/>
        </w:rPr>
        <w:t xml:space="preserve">), a hospitalizowano </w:t>
      </w:r>
      <w:r w:rsidRPr="00E514AC">
        <w:rPr>
          <w:rFonts w:eastAsia="Times New Roman" w:cstheme="minorHAnsi"/>
          <w:color w:val="000000" w:themeColor="text1"/>
          <w:sz w:val="24"/>
          <w:szCs w:val="24"/>
          <w:lang w:eastAsia="pl-PL"/>
        </w:rPr>
        <w:t>100 osób, w tym 49 dzieci do 14 roku życia.</w:t>
      </w:r>
    </w:p>
    <w:p w14:paraId="36A9BBC5" w14:textId="77777777" w:rsidR="000B4D72" w:rsidRPr="00E514AC" w:rsidRDefault="000B4D72" w:rsidP="00597239">
      <w:pPr>
        <w:spacing w:after="0" w:line="276" w:lineRule="auto"/>
        <w:rPr>
          <w:rFonts w:eastAsia="Times New Roman" w:cstheme="minorHAnsi"/>
          <w:color w:val="000000" w:themeColor="text1"/>
          <w:sz w:val="24"/>
          <w:szCs w:val="24"/>
          <w:lang w:eastAsia="pl-PL"/>
        </w:rPr>
      </w:pPr>
      <w:bookmarkStart w:id="21" w:name="_Hlk161824029"/>
      <w:r>
        <w:rPr>
          <w:rFonts w:eastAsia="Times New Roman" w:cstheme="minorHAnsi"/>
          <w:color w:val="000000" w:themeColor="text1"/>
          <w:sz w:val="24"/>
          <w:szCs w:val="24"/>
          <w:lang w:eastAsia="pl-PL"/>
        </w:rPr>
        <w:t xml:space="preserve">W 45 ogniskach zidentyfikowano czynnik etiologiczny, tj. w </w:t>
      </w:r>
      <w:r w:rsidRPr="00E514AC">
        <w:rPr>
          <w:rFonts w:eastAsia="Times New Roman" w:cstheme="minorHAnsi"/>
          <w:color w:val="000000" w:themeColor="text1"/>
          <w:sz w:val="24"/>
          <w:szCs w:val="24"/>
          <w:lang w:eastAsia="pl-PL"/>
        </w:rPr>
        <w:t>23 ogniskach</w:t>
      </w:r>
      <w:r>
        <w:rPr>
          <w:rFonts w:eastAsia="Times New Roman" w:cstheme="minorHAnsi"/>
          <w:color w:val="000000" w:themeColor="text1"/>
          <w:sz w:val="24"/>
          <w:szCs w:val="24"/>
          <w:lang w:eastAsia="pl-PL"/>
        </w:rPr>
        <w:t xml:space="preserve"> była to </w:t>
      </w:r>
      <w:r w:rsidRPr="00E514AC">
        <w:rPr>
          <w:rFonts w:eastAsia="Times New Roman" w:cstheme="minorHAnsi"/>
          <w:color w:val="000000" w:themeColor="text1"/>
          <w:sz w:val="24"/>
          <w:szCs w:val="24"/>
          <w:lang w:eastAsia="pl-PL"/>
        </w:rPr>
        <w:t>Salmonella</w:t>
      </w:r>
      <w:r>
        <w:rPr>
          <w:rFonts w:eastAsia="Times New Roman" w:cstheme="minorHAnsi"/>
          <w:color w:val="000000" w:themeColor="text1"/>
          <w:sz w:val="24"/>
          <w:szCs w:val="24"/>
          <w:lang w:eastAsia="pl-PL"/>
        </w:rPr>
        <w:t>,</w:t>
      </w:r>
      <w:r w:rsidRPr="00E514AC">
        <w:rPr>
          <w:rFonts w:eastAsia="Times New Roman" w:cstheme="minorHAnsi"/>
          <w:color w:val="000000" w:themeColor="text1"/>
          <w:sz w:val="24"/>
          <w:szCs w:val="24"/>
          <w:lang w:eastAsia="pl-PL"/>
        </w:rPr>
        <w:t xml:space="preserve"> w</w:t>
      </w:r>
      <w:r>
        <w:rPr>
          <w:rFonts w:eastAsia="Times New Roman" w:cstheme="minorHAnsi"/>
          <w:color w:val="000000" w:themeColor="text1"/>
          <w:sz w:val="24"/>
          <w:szCs w:val="24"/>
          <w:lang w:eastAsia="pl-PL"/>
        </w:rPr>
        <w:t xml:space="preserve"> 17 norowirusy z czego w jednym dodatkowo stwierdzono Campylobacter, w 3 ogniskach-rotawirusy, a w pojedynczych przypadkach adenowirus i </w:t>
      </w:r>
      <w:r w:rsidRPr="00E514AC">
        <w:rPr>
          <w:rFonts w:eastAsia="Times New Roman" w:cstheme="minorHAnsi"/>
          <w:color w:val="000000" w:themeColor="text1"/>
          <w:sz w:val="24"/>
          <w:szCs w:val="24"/>
          <w:lang w:eastAsia="pl-PL"/>
        </w:rPr>
        <w:t>enterotoksyna gronkowcowa</w:t>
      </w:r>
      <w:r>
        <w:rPr>
          <w:rFonts w:eastAsia="Times New Roman" w:cstheme="minorHAnsi"/>
          <w:color w:val="000000" w:themeColor="text1"/>
          <w:sz w:val="24"/>
          <w:szCs w:val="24"/>
          <w:lang w:eastAsia="pl-PL"/>
        </w:rPr>
        <w:t>.</w:t>
      </w:r>
    </w:p>
    <w:bookmarkEnd w:id="21"/>
    <w:p w14:paraId="2895548D" w14:textId="77777777" w:rsidR="000B4D72" w:rsidRPr="00E514AC" w:rsidRDefault="000B4D72" w:rsidP="00597239">
      <w:pPr>
        <w:spacing w:after="120" w:line="276" w:lineRule="auto"/>
        <w:rPr>
          <w:rFonts w:eastAsia="Times New Roman" w:cstheme="minorHAnsi"/>
          <w:color w:val="000000" w:themeColor="text1"/>
          <w:sz w:val="24"/>
          <w:szCs w:val="24"/>
          <w:lang w:eastAsia="pl-PL"/>
        </w:rPr>
      </w:pPr>
      <w:r w:rsidRPr="00E514AC">
        <w:rPr>
          <w:rFonts w:eastAsia="Times New Roman" w:cstheme="minorHAnsi"/>
          <w:color w:val="000000" w:themeColor="text1"/>
          <w:sz w:val="24"/>
          <w:szCs w:val="24"/>
          <w:lang w:eastAsia="pl-PL"/>
        </w:rPr>
        <w:t xml:space="preserve">W porównaniu do 2023 r. liczba ognisk chorób przenoszonych drogą pokarmową zgłoszonych do Państwowej Inspekcji Sanitarnej zwiększyła się o </w:t>
      </w:r>
      <w:r>
        <w:rPr>
          <w:rFonts w:eastAsia="Times New Roman" w:cstheme="minorHAnsi"/>
          <w:color w:val="000000" w:themeColor="text1"/>
          <w:sz w:val="24"/>
          <w:szCs w:val="24"/>
          <w:lang w:eastAsia="pl-PL"/>
        </w:rPr>
        <w:t>ponad 71%</w:t>
      </w:r>
      <w:r w:rsidRPr="00E514AC">
        <w:rPr>
          <w:rFonts w:eastAsia="Times New Roman" w:cstheme="minorHAnsi"/>
          <w:color w:val="000000" w:themeColor="text1"/>
          <w:sz w:val="24"/>
          <w:szCs w:val="24"/>
          <w:lang w:eastAsia="pl-PL"/>
        </w:rPr>
        <w:t xml:space="preserve">. </w:t>
      </w:r>
      <w:r>
        <w:rPr>
          <w:rFonts w:eastAsia="Times New Roman" w:cstheme="minorHAnsi"/>
          <w:color w:val="000000" w:themeColor="text1"/>
          <w:sz w:val="24"/>
          <w:szCs w:val="24"/>
          <w:lang w:eastAsia="pl-PL"/>
        </w:rPr>
        <w:t xml:space="preserve">Najwięcej </w:t>
      </w:r>
      <w:r>
        <w:rPr>
          <w:rFonts w:eastAsia="Times New Roman" w:cstheme="minorHAnsi"/>
          <w:color w:val="000000" w:themeColor="text1"/>
          <w:sz w:val="24"/>
          <w:szCs w:val="24"/>
          <w:lang w:eastAsia="pl-PL"/>
        </w:rPr>
        <w:lastRenderedPageBreak/>
        <w:t xml:space="preserve">ognisk odnotowano w pow. </w:t>
      </w:r>
      <w:r w:rsidRPr="00E514AC">
        <w:rPr>
          <w:rFonts w:eastAsia="Times New Roman" w:cstheme="minorHAnsi"/>
          <w:color w:val="000000" w:themeColor="text1"/>
          <w:sz w:val="24"/>
          <w:szCs w:val="24"/>
          <w:lang w:eastAsia="pl-PL"/>
        </w:rPr>
        <w:t>stargardzkim</w:t>
      </w:r>
      <w:r>
        <w:rPr>
          <w:rFonts w:eastAsia="Times New Roman" w:cstheme="minorHAnsi"/>
          <w:color w:val="000000" w:themeColor="text1"/>
          <w:sz w:val="24"/>
          <w:szCs w:val="24"/>
          <w:lang w:eastAsia="pl-PL"/>
        </w:rPr>
        <w:t xml:space="preserve"> (21)</w:t>
      </w:r>
      <w:r w:rsidRPr="00E514AC">
        <w:rPr>
          <w:rFonts w:eastAsia="Times New Roman" w:cstheme="minorHAnsi"/>
          <w:color w:val="000000" w:themeColor="text1"/>
          <w:sz w:val="24"/>
          <w:szCs w:val="24"/>
          <w:lang w:eastAsia="pl-PL"/>
        </w:rPr>
        <w:t>, Szczecin</w:t>
      </w:r>
      <w:r>
        <w:rPr>
          <w:rFonts w:eastAsia="Times New Roman" w:cstheme="minorHAnsi"/>
          <w:color w:val="000000" w:themeColor="text1"/>
          <w:sz w:val="24"/>
          <w:szCs w:val="24"/>
          <w:lang w:eastAsia="pl-PL"/>
        </w:rPr>
        <w:t>ie (</w:t>
      </w:r>
      <w:r w:rsidRPr="00E514AC">
        <w:rPr>
          <w:rFonts w:eastAsia="Times New Roman" w:cstheme="minorHAnsi"/>
          <w:color w:val="000000" w:themeColor="text1"/>
          <w:sz w:val="24"/>
          <w:szCs w:val="24"/>
          <w:lang w:eastAsia="pl-PL"/>
        </w:rPr>
        <w:t>17</w:t>
      </w:r>
      <w:r>
        <w:rPr>
          <w:rFonts w:eastAsia="Times New Roman" w:cstheme="minorHAnsi"/>
          <w:color w:val="000000" w:themeColor="text1"/>
          <w:sz w:val="24"/>
          <w:szCs w:val="24"/>
          <w:lang w:eastAsia="pl-PL"/>
        </w:rPr>
        <w:t>) oraz</w:t>
      </w:r>
      <w:r w:rsidRPr="00E514AC">
        <w:rPr>
          <w:rFonts w:eastAsia="Times New Roman" w:cstheme="minorHAnsi"/>
          <w:color w:val="000000" w:themeColor="text1"/>
          <w:sz w:val="24"/>
          <w:szCs w:val="24"/>
          <w:lang w:eastAsia="pl-PL"/>
        </w:rPr>
        <w:t xml:space="preserve"> </w:t>
      </w:r>
      <w:r>
        <w:rPr>
          <w:rFonts w:eastAsia="Times New Roman" w:cstheme="minorHAnsi"/>
          <w:color w:val="000000" w:themeColor="text1"/>
          <w:sz w:val="24"/>
          <w:szCs w:val="24"/>
          <w:lang w:eastAsia="pl-PL"/>
        </w:rPr>
        <w:t xml:space="preserve">w </w:t>
      </w:r>
      <w:r w:rsidRPr="00E514AC">
        <w:rPr>
          <w:rFonts w:eastAsia="Times New Roman" w:cstheme="minorHAnsi"/>
          <w:color w:val="000000" w:themeColor="text1"/>
          <w:sz w:val="24"/>
          <w:szCs w:val="24"/>
          <w:lang w:eastAsia="pl-PL"/>
        </w:rPr>
        <w:t>pow. kołobrzeskim</w:t>
      </w:r>
      <w:r>
        <w:rPr>
          <w:rFonts w:eastAsia="Times New Roman" w:cstheme="minorHAnsi"/>
          <w:color w:val="000000" w:themeColor="text1"/>
          <w:sz w:val="24"/>
          <w:szCs w:val="24"/>
          <w:lang w:eastAsia="pl-PL"/>
        </w:rPr>
        <w:t xml:space="preserve"> (13).</w:t>
      </w:r>
    </w:p>
    <w:p w14:paraId="750CBBEA" w14:textId="77777777" w:rsidR="00D123BC" w:rsidRDefault="00D123BC" w:rsidP="00597239">
      <w:pPr>
        <w:pStyle w:val="Legenda"/>
        <w:rPr>
          <w:i w:val="0"/>
          <w:iCs w:val="0"/>
          <w:color w:val="000000" w:themeColor="text1"/>
        </w:rPr>
      </w:pPr>
    </w:p>
    <w:p w14:paraId="03D972DA" w14:textId="34A15590" w:rsidR="000B4D72" w:rsidRPr="002F37E1" w:rsidRDefault="002F37E1" w:rsidP="00597239">
      <w:pPr>
        <w:pStyle w:val="Legenda"/>
        <w:rPr>
          <w:rFonts w:ascii="Calibri" w:eastAsia="Times New Roman" w:hAnsi="Calibri" w:cs="Calibri"/>
          <w:i w:val="0"/>
          <w:iCs w:val="0"/>
          <w:color w:val="000000" w:themeColor="text1"/>
          <w:lang w:eastAsia="pl-PL"/>
        </w:rPr>
      </w:pPr>
      <w:bookmarkStart w:id="22" w:name="_Toc193805973"/>
      <w:bookmarkStart w:id="23" w:name="_Toc193969521"/>
      <w:bookmarkStart w:id="24" w:name="_Toc194059981"/>
      <w:r w:rsidRPr="002F37E1">
        <w:rPr>
          <w:i w:val="0"/>
          <w:iCs w:val="0"/>
          <w:color w:val="000000" w:themeColor="text1"/>
        </w:rPr>
        <w:t xml:space="preserve">Tabela </w:t>
      </w:r>
      <w:r w:rsidRPr="002F37E1">
        <w:rPr>
          <w:i w:val="0"/>
          <w:iCs w:val="0"/>
          <w:color w:val="000000" w:themeColor="text1"/>
        </w:rPr>
        <w:fldChar w:fldCharType="begin"/>
      </w:r>
      <w:r w:rsidRPr="002F37E1">
        <w:rPr>
          <w:i w:val="0"/>
          <w:iCs w:val="0"/>
          <w:color w:val="000000" w:themeColor="text1"/>
        </w:rPr>
        <w:instrText xml:space="preserve"> SEQ Tabela \* ARABIC </w:instrText>
      </w:r>
      <w:r w:rsidRPr="002F37E1">
        <w:rPr>
          <w:i w:val="0"/>
          <w:iCs w:val="0"/>
          <w:color w:val="000000" w:themeColor="text1"/>
        </w:rPr>
        <w:fldChar w:fldCharType="separate"/>
      </w:r>
      <w:r w:rsidR="00FB6F6A">
        <w:rPr>
          <w:i w:val="0"/>
          <w:iCs w:val="0"/>
          <w:noProof/>
          <w:color w:val="000000" w:themeColor="text1"/>
        </w:rPr>
        <w:t>3</w:t>
      </w:r>
      <w:r w:rsidRPr="002F37E1">
        <w:rPr>
          <w:i w:val="0"/>
          <w:iCs w:val="0"/>
          <w:color w:val="000000" w:themeColor="text1"/>
        </w:rPr>
        <w:fldChar w:fldCharType="end"/>
      </w:r>
      <w:r w:rsidR="00E75D31">
        <w:rPr>
          <w:i w:val="0"/>
          <w:iCs w:val="0"/>
          <w:color w:val="000000" w:themeColor="text1"/>
        </w:rPr>
        <w:t>.</w:t>
      </w:r>
      <w:r w:rsidRPr="002F37E1">
        <w:rPr>
          <w:i w:val="0"/>
          <w:iCs w:val="0"/>
          <w:color w:val="000000" w:themeColor="text1"/>
        </w:rPr>
        <w:t xml:space="preserve">  Zestawienie liczby ognisk zbiorowych zachorowań na choroby przenoszone drogą pokarmową oraz liczby narażonych i chorych, w tym dzieci do 14 roku życia na terenie woj. zachodniopomorskiego w latach 2020 – 2024</w:t>
      </w:r>
      <w:r w:rsidR="004E5976">
        <w:rPr>
          <w:i w:val="0"/>
          <w:iCs w:val="0"/>
          <w:color w:val="000000" w:themeColor="text1"/>
        </w:rPr>
        <w:t>.</w:t>
      </w:r>
      <w:bookmarkEnd w:id="22"/>
      <w:bookmarkEnd w:id="23"/>
      <w:bookmarkEnd w:id="24"/>
    </w:p>
    <w:tbl>
      <w:tblPr>
        <w:tblStyle w:val="Tabelasiatki4akcent1"/>
        <w:tblW w:w="5000" w:type="pct"/>
        <w:tblLook w:val="01E0" w:firstRow="1" w:lastRow="1" w:firstColumn="1" w:lastColumn="1" w:noHBand="0" w:noVBand="0"/>
        <w:tblCaption w:val="Zestawienie liczby ognisk zbiorowych zachorowań na choroby przenoszone drogą pokarmową oraz liczby narażonych i chorych, w tym dzieci do 14 roku życia na terenie woj. zachodniopomorskiego w latach 2020 – 2024"/>
        <w:tblDescription w:val="Tabela przedstawia liczbę ognisk zbiorowych zachorowań na choroby przenoszone drogą pokarmową w latach 2020-2024. W roku 2024 odnotowano wystąpienie 96 ognisk. Liczba osób narażonych na zachorowanie wynosiła 9668 osób, liczba osób chorych wynosiła 1418 osób."/>
      </w:tblPr>
      <w:tblGrid>
        <w:gridCol w:w="1097"/>
        <w:gridCol w:w="1991"/>
        <w:gridCol w:w="2535"/>
        <w:gridCol w:w="1448"/>
        <w:gridCol w:w="1991"/>
      </w:tblGrid>
      <w:tr w:rsidR="000B4D72" w:rsidRPr="00FF50CD" w14:paraId="7AC9BD10" w14:textId="77777777" w:rsidTr="00C719C9">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60" w:type="dxa"/>
            <w:vMerge w:val="restart"/>
            <w:vAlign w:val="center"/>
          </w:tcPr>
          <w:p w14:paraId="4817CF90" w14:textId="77777777" w:rsidR="000B4D72" w:rsidRPr="00FF50CD" w:rsidRDefault="000B4D72" w:rsidP="00597239">
            <w:pPr>
              <w:rPr>
                <w:rFonts w:eastAsia="Times New Roman" w:cstheme="minorHAnsi"/>
                <w:b w:val="0"/>
                <w:bCs w:val="0"/>
                <w:sz w:val="24"/>
                <w:szCs w:val="24"/>
                <w:lang w:eastAsia="pl-PL"/>
              </w:rPr>
            </w:pPr>
            <w:r w:rsidRPr="00FF50CD">
              <w:rPr>
                <w:rFonts w:eastAsia="Times New Roman" w:cstheme="minorHAnsi"/>
                <w:b w:val="0"/>
                <w:bCs w:val="0"/>
                <w:sz w:val="24"/>
                <w:szCs w:val="24"/>
                <w:lang w:eastAsia="pl-PL"/>
              </w:rPr>
              <w:t>Rok</w:t>
            </w:r>
          </w:p>
        </w:tc>
        <w:tc>
          <w:tcPr>
            <w:cnfStyle w:val="000010000000" w:firstRow="0" w:lastRow="0" w:firstColumn="0" w:lastColumn="0" w:oddVBand="1" w:evenVBand="0" w:oddHBand="0" w:evenHBand="0" w:firstRowFirstColumn="0" w:firstRowLastColumn="0" w:lastRowFirstColumn="0" w:lastRowLastColumn="0"/>
            <w:tcW w:w="1559" w:type="dxa"/>
            <w:vMerge w:val="restart"/>
            <w:vAlign w:val="center"/>
          </w:tcPr>
          <w:p w14:paraId="5482B442" w14:textId="77777777" w:rsidR="000B4D72" w:rsidRPr="00FF50CD" w:rsidRDefault="000B4D72" w:rsidP="00597239">
            <w:pPr>
              <w:rPr>
                <w:rFonts w:eastAsia="Times New Roman" w:cstheme="minorHAnsi"/>
                <w:b w:val="0"/>
                <w:bCs w:val="0"/>
                <w:sz w:val="24"/>
                <w:szCs w:val="24"/>
                <w:lang w:eastAsia="pl-PL"/>
              </w:rPr>
            </w:pPr>
            <w:r w:rsidRPr="00FF50CD">
              <w:rPr>
                <w:rFonts w:eastAsia="Times New Roman" w:cstheme="minorHAnsi"/>
                <w:b w:val="0"/>
                <w:bCs w:val="0"/>
                <w:sz w:val="24"/>
                <w:szCs w:val="24"/>
                <w:lang w:eastAsia="pl-PL"/>
              </w:rPr>
              <w:t>liczba ognisk</w:t>
            </w:r>
          </w:p>
        </w:tc>
        <w:tc>
          <w:tcPr>
            <w:tcW w:w="1985" w:type="dxa"/>
            <w:vMerge w:val="restart"/>
            <w:vAlign w:val="center"/>
          </w:tcPr>
          <w:p w14:paraId="354A25DD"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eastAsia="pl-PL"/>
              </w:rPr>
            </w:pPr>
            <w:r w:rsidRPr="00FF50CD">
              <w:rPr>
                <w:rFonts w:eastAsia="Times New Roman" w:cstheme="minorHAnsi"/>
                <w:b w:val="0"/>
                <w:bCs w:val="0"/>
                <w:sz w:val="24"/>
                <w:szCs w:val="24"/>
                <w:lang w:eastAsia="pl-PL"/>
              </w:rPr>
              <w:t>liczba narażonych</w:t>
            </w:r>
          </w:p>
        </w:tc>
        <w:tc>
          <w:tcPr>
            <w:cnfStyle w:val="000100000000" w:firstRow="0" w:lastRow="0" w:firstColumn="0" w:lastColumn="1" w:oddVBand="0" w:evenVBand="0" w:oddHBand="0" w:evenHBand="0" w:firstRowFirstColumn="0" w:firstRowLastColumn="0" w:lastRowFirstColumn="0" w:lastRowLastColumn="0"/>
            <w:tcW w:w="2693" w:type="dxa"/>
            <w:gridSpan w:val="2"/>
            <w:vAlign w:val="center"/>
          </w:tcPr>
          <w:p w14:paraId="789B599C" w14:textId="77777777" w:rsidR="000B4D72" w:rsidRPr="00FF50CD" w:rsidRDefault="000B4D72" w:rsidP="00597239">
            <w:pPr>
              <w:rPr>
                <w:rFonts w:eastAsia="Times New Roman" w:cstheme="minorHAnsi"/>
                <w:b w:val="0"/>
                <w:bCs w:val="0"/>
                <w:sz w:val="24"/>
                <w:szCs w:val="24"/>
                <w:lang w:eastAsia="pl-PL"/>
              </w:rPr>
            </w:pPr>
            <w:r w:rsidRPr="00FF50CD">
              <w:rPr>
                <w:rFonts w:eastAsia="Times New Roman" w:cstheme="minorHAnsi"/>
                <w:b w:val="0"/>
                <w:bCs w:val="0"/>
                <w:sz w:val="24"/>
                <w:szCs w:val="24"/>
                <w:lang w:eastAsia="pl-PL"/>
              </w:rPr>
              <w:t>liczba chorych</w:t>
            </w:r>
          </w:p>
        </w:tc>
      </w:tr>
      <w:tr w:rsidR="000B4D72" w:rsidRPr="00FF50CD" w14:paraId="017AF43A" w14:textId="77777777" w:rsidTr="00C71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dxa"/>
            <w:vMerge/>
            <w:vAlign w:val="center"/>
          </w:tcPr>
          <w:p w14:paraId="286717B5" w14:textId="77777777" w:rsidR="000B4D72" w:rsidRPr="00FF50CD" w:rsidRDefault="000B4D72" w:rsidP="00597239">
            <w:pPr>
              <w:rPr>
                <w:rFonts w:eastAsia="Times New Roman" w:cstheme="minorHAnsi"/>
                <w:b w:val="0"/>
                <w:bCs w:val="0"/>
                <w:color w:val="000000" w:themeColor="text1"/>
                <w:sz w:val="24"/>
                <w:szCs w:val="24"/>
                <w:lang w:eastAsia="pl-PL"/>
              </w:rPr>
            </w:pPr>
          </w:p>
        </w:tc>
        <w:tc>
          <w:tcPr>
            <w:cnfStyle w:val="000010000000" w:firstRow="0" w:lastRow="0" w:firstColumn="0" w:lastColumn="0" w:oddVBand="1" w:evenVBand="0" w:oddHBand="0" w:evenHBand="0" w:firstRowFirstColumn="0" w:firstRowLastColumn="0" w:lastRowFirstColumn="0" w:lastRowLastColumn="0"/>
            <w:tcW w:w="1559" w:type="dxa"/>
            <w:vMerge/>
            <w:vAlign w:val="center"/>
          </w:tcPr>
          <w:p w14:paraId="16054F33" w14:textId="77777777" w:rsidR="000B4D72" w:rsidRPr="00FF50CD" w:rsidRDefault="000B4D72" w:rsidP="00597239">
            <w:pPr>
              <w:rPr>
                <w:rFonts w:eastAsia="Times New Roman" w:cstheme="minorHAnsi"/>
                <w:color w:val="000000" w:themeColor="text1"/>
                <w:sz w:val="24"/>
                <w:szCs w:val="24"/>
                <w:lang w:eastAsia="pl-PL"/>
              </w:rPr>
            </w:pPr>
          </w:p>
        </w:tc>
        <w:tc>
          <w:tcPr>
            <w:tcW w:w="1985" w:type="dxa"/>
            <w:vMerge/>
            <w:vAlign w:val="center"/>
          </w:tcPr>
          <w:p w14:paraId="64BC263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pl-PL"/>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21126818"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ogółem</w:t>
            </w:r>
          </w:p>
        </w:tc>
        <w:tc>
          <w:tcPr>
            <w:cnfStyle w:val="000100000000" w:firstRow="0" w:lastRow="0" w:firstColumn="0" w:lastColumn="1" w:oddVBand="0" w:evenVBand="0" w:oddHBand="0" w:evenHBand="0" w:firstRowFirstColumn="0" w:firstRowLastColumn="0" w:lastRowFirstColumn="0" w:lastRowLastColumn="0"/>
            <w:tcW w:w="1559" w:type="dxa"/>
            <w:vAlign w:val="center"/>
          </w:tcPr>
          <w:p w14:paraId="5A3013F8"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w tym dzieci do 14 r.ż.</w:t>
            </w:r>
          </w:p>
        </w:tc>
      </w:tr>
      <w:tr w:rsidR="000B4D72" w:rsidRPr="00FF50CD" w14:paraId="488A2BC3" w14:textId="77777777" w:rsidTr="00C719C9">
        <w:trPr>
          <w:trHeight w:val="510"/>
        </w:trPr>
        <w:tc>
          <w:tcPr>
            <w:cnfStyle w:val="001000000000" w:firstRow="0" w:lastRow="0" w:firstColumn="1" w:lastColumn="0" w:oddVBand="0" w:evenVBand="0" w:oddHBand="0" w:evenHBand="0" w:firstRowFirstColumn="0" w:firstRowLastColumn="0" w:lastRowFirstColumn="0" w:lastRowLastColumn="0"/>
            <w:tcW w:w="860" w:type="dxa"/>
            <w:vAlign w:val="center"/>
          </w:tcPr>
          <w:p w14:paraId="64F81475"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2020</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1C35BFF9"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8</w:t>
            </w:r>
          </w:p>
        </w:tc>
        <w:tc>
          <w:tcPr>
            <w:tcW w:w="1985" w:type="dxa"/>
            <w:vAlign w:val="center"/>
          </w:tcPr>
          <w:p w14:paraId="55126EE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835</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3F3462CA"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85</w:t>
            </w:r>
          </w:p>
        </w:tc>
        <w:tc>
          <w:tcPr>
            <w:cnfStyle w:val="000100000000" w:firstRow="0" w:lastRow="0" w:firstColumn="0" w:lastColumn="1" w:oddVBand="0" w:evenVBand="0" w:oddHBand="0" w:evenHBand="0" w:firstRowFirstColumn="0" w:firstRowLastColumn="0" w:lastRowFirstColumn="0" w:lastRowLastColumn="0"/>
            <w:tcW w:w="1559" w:type="dxa"/>
            <w:vAlign w:val="center"/>
          </w:tcPr>
          <w:p w14:paraId="57BEA9EF"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36</w:t>
            </w:r>
          </w:p>
        </w:tc>
      </w:tr>
      <w:tr w:rsidR="000B4D72" w:rsidRPr="00FF50CD" w14:paraId="54C029C5" w14:textId="77777777" w:rsidTr="00C719C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60" w:type="dxa"/>
            <w:vAlign w:val="center"/>
          </w:tcPr>
          <w:p w14:paraId="77BDADEE"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2021</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42C67859"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37</w:t>
            </w:r>
          </w:p>
        </w:tc>
        <w:tc>
          <w:tcPr>
            <w:tcW w:w="1985" w:type="dxa"/>
            <w:vAlign w:val="center"/>
          </w:tcPr>
          <w:p w14:paraId="5303D5F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4433</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5533F9DC"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643</w:t>
            </w:r>
          </w:p>
        </w:tc>
        <w:tc>
          <w:tcPr>
            <w:cnfStyle w:val="000100000000" w:firstRow="0" w:lastRow="0" w:firstColumn="0" w:lastColumn="1" w:oddVBand="0" w:evenVBand="0" w:oddHBand="0" w:evenHBand="0" w:firstRowFirstColumn="0" w:firstRowLastColumn="0" w:lastRowFirstColumn="0" w:lastRowLastColumn="0"/>
            <w:tcW w:w="1559" w:type="dxa"/>
            <w:vAlign w:val="center"/>
          </w:tcPr>
          <w:p w14:paraId="46054F4D"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392</w:t>
            </w:r>
          </w:p>
        </w:tc>
      </w:tr>
      <w:tr w:rsidR="000B4D72" w:rsidRPr="00FF50CD" w14:paraId="4948CA0A" w14:textId="77777777" w:rsidTr="00C719C9">
        <w:trPr>
          <w:trHeight w:val="510"/>
        </w:trPr>
        <w:tc>
          <w:tcPr>
            <w:cnfStyle w:val="001000000000" w:firstRow="0" w:lastRow="0" w:firstColumn="1" w:lastColumn="0" w:oddVBand="0" w:evenVBand="0" w:oddHBand="0" w:evenHBand="0" w:firstRowFirstColumn="0" w:firstRowLastColumn="0" w:lastRowFirstColumn="0" w:lastRowLastColumn="0"/>
            <w:tcW w:w="860" w:type="dxa"/>
            <w:vAlign w:val="center"/>
          </w:tcPr>
          <w:p w14:paraId="6B0F3A83"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2022</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4244AC86"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78</w:t>
            </w:r>
          </w:p>
        </w:tc>
        <w:tc>
          <w:tcPr>
            <w:tcW w:w="1985" w:type="dxa"/>
            <w:vAlign w:val="center"/>
          </w:tcPr>
          <w:p w14:paraId="5F9B711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6515</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694F369B" w14:textId="77777777" w:rsidR="000B4D72" w:rsidRPr="00FF50CD" w:rsidRDefault="000B4D72" w:rsidP="00597239">
            <w:pPr>
              <w:rPr>
                <w:rFonts w:eastAsia="Times New Roman" w:cstheme="minorHAnsi"/>
                <w:color w:val="000000" w:themeColor="text1"/>
                <w:sz w:val="24"/>
                <w:szCs w:val="24"/>
                <w:lang w:eastAsia="pl-PL"/>
              </w:rPr>
            </w:pPr>
            <w:r w:rsidRPr="00FF50CD">
              <w:rPr>
                <w:rFonts w:eastAsia="Times New Roman" w:cstheme="minorHAnsi"/>
                <w:color w:val="000000" w:themeColor="text1"/>
                <w:sz w:val="24"/>
                <w:szCs w:val="24"/>
                <w:lang w:eastAsia="pl-PL"/>
              </w:rPr>
              <w:t>650</w:t>
            </w:r>
          </w:p>
        </w:tc>
        <w:tc>
          <w:tcPr>
            <w:cnfStyle w:val="000100000000" w:firstRow="0" w:lastRow="0" w:firstColumn="0" w:lastColumn="1" w:oddVBand="0" w:evenVBand="0" w:oddHBand="0" w:evenHBand="0" w:firstRowFirstColumn="0" w:firstRowLastColumn="0" w:lastRowFirstColumn="0" w:lastRowLastColumn="0"/>
            <w:tcW w:w="1559" w:type="dxa"/>
            <w:vAlign w:val="center"/>
          </w:tcPr>
          <w:p w14:paraId="1EEEC6AE"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eastAsia="Times New Roman" w:cstheme="minorHAnsi"/>
                <w:b w:val="0"/>
                <w:bCs w:val="0"/>
                <w:color w:val="000000" w:themeColor="text1"/>
                <w:sz w:val="24"/>
                <w:szCs w:val="24"/>
                <w:lang w:eastAsia="pl-PL"/>
              </w:rPr>
              <w:t>301</w:t>
            </w:r>
          </w:p>
        </w:tc>
      </w:tr>
      <w:tr w:rsidR="000B4D72" w:rsidRPr="00FF50CD" w14:paraId="0C459975" w14:textId="77777777" w:rsidTr="00C719C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60" w:type="dxa"/>
            <w:vAlign w:val="center"/>
          </w:tcPr>
          <w:p w14:paraId="087BD0C1"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cstheme="minorHAnsi"/>
                <w:b w:val="0"/>
                <w:bCs w:val="0"/>
                <w:color w:val="000000" w:themeColor="text1"/>
                <w:sz w:val="24"/>
                <w:szCs w:val="24"/>
              </w:rPr>
              <w:t>2023</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11043DE7" w14:textId="77777777" w:rsidR="000B4D72" w:rsidRPr="00FF50CD" w:rsidRDefault="000B4D72" w:rsidP="00597239">
            <w:pPr>
              <w:rPr>
                <w:rFonts w:eastAsia="Times New Roman" w:cstheme="minorHAnsi"/>
                <w:color w:val="000000" w:themeColor="text1"/>
                <w:sz w:val="24"/>
                <w:szCs w:val="24"/>
                <w:lang w:eastAsia="pl-PL"/>
              </w:rPr>
            </w:pPr>
            <w:r w:rsidRPr="00FF50CD">
              <w:rPr>
                <w:rFonts w:cstheme="minorHAnsi"/>
                <w:color w:val="000000" w:themeColor="text1"/>
                <w:sz w:val="24"/>
                <w:szCs w:val="24"/>
              </w:rPr>
              <w:t>56</w:t>
            </w:r>
          </w:p>
        </w:tc>
        <w:tc>
          <w:tcPr>
            <w:tcW w:w="1985" w:type="dxa"/>
            <w:vAlign w:val="center"/>
          </w:tcPr>
          <w:p w14:paraId="6AC78CD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4"/>
                <w:szCs w:val="24"/>
                <w:lang w:eastAsia="pl-PL"/>
              </w:rPr>
            </w:pPr>
            <w:r w:rsidRPr="00FF50CD">
              <w:rPr>
                <w:rFonts w:cstheme="minorHAnsi"/>
                <w:color w:val="000000" w:themeColor="text1"/>
                <w:sz w:val="24"/>
                <w:szCs w:val="24"/>
              </w:rPr>
              <w:t>3325</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0472668E" w14:textId="77777777" w:rsidR="000B4D72" w:rsidRPr="00FF50CD" w:rsidRDefault="000B4D72" w:rsidP="00597239">
            <w:pPr>
              <w:rPr>
                <w:rFonts w:eastAsia="Times New Roman" w:cstheme="minorHAnsi"/>
                <w:color w:val="000000" w:themeColor="text1"/>
                <w:sz w:val="24"/>
                <w:szCs w:val="24"/>
                <w:lang w:eastAsia="pl-PL"/>
              </w:rPr>
            </w:pPr>
            <w:r w:rsidRPr="00FF50CD">
              <w:rPr>
                <w:rFonts w:cstheme="minorHAnsi"/>
                <w:color w:val="000000" w:themeColor="text1"/>
                <w:sz w:val="24"/>
                <w:szCs w:val="24"/>
              </w:rPr>
              <w:t>441</w:t>
            </w:r>
          </w:p>
        </w:tc>
        <w:tc>
          <w:tcPr>
            <w:cnfStyle w:val="000100000000" w:firstRow="0" w:lastRow="0" w:firstColumn="0" w:lastColumn="1" w:oddVBand="0" w:evenVBand="0" w:oddHBand="0" w:evenHBand="0" w:firstRowFirstColumn="0" w:firstRowLastColumn="0" w:lastRowFirstColumn="0" w:lastRowLastColumn="0"/>
            <w:tcW w:w="1559" w:type="dxa"/>
            <w:vAlign w:val="center"/>
          </w:tcPr>
          <w:p w14:paraId="33D4F847" w14:textId="77777777" w:rsidR="000B4D72" w:rsidRPr="00FF50CD" w:rsidRDefault="000B4D72" w:rsidP="00597239">
            <w:pPr>
              <w:rPr>
                <w:rFonts w:eastAsia="Times New Roman" w:cstheme="minorHAnsi"/>
                <w:b w:val="0"/>
                <w:bCs w:val="0"/>
                <w:color w:val="000000" w:themeColor="text1"/>
                <w:sz w:val="24"/>
                <w:szCs w:val="24"/>
                <w:lang w:eastAsia="pl-PL"/>
              </w:rPr>
            </w:pPr>
            <w:r w:rsidRPr="00FF50CD">
              <w:rPr>
                <w:rFonts w:cstheme="minorHAnsi"/>
                <w:b w:val="0"/>
                <w:bCs w:val="0"/>
                <w:color w:val="000000" w:themeColor="text1"/>
                <w:sz w:val="24"/>
                <w:szCs w:val="24"/>
              </w:rPr>
              <w:t>225</w:t>
            </w:r>
          </w:p>
        </w:tc>
      </w:tr>
      <w:tr w:rsidR="000B4D72" w:rsidRPr="00FF50CD" w14:paraId="427E8CF2" w14:textId="77777777" w:rsidTr="00C719C9">
        <w:trPr>
          <w:cnfStyle w:val="010000000000" w:firstRow="0" w:lastRow="1"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60" w:type="dxa"/>
            <w:vAlign w:val="center"/>
          </w:tcPr>
          <w:p w14:paraId="651CD2ED" w14:textId="77777777" w:rsidR="000B4D72" w:rsidRPr="00FF50CD" w:rsidRDefault="000B4D72" w:rsidP="00597239">
            <w:pPr>
              <w:spacing w:before="100" w:beforeAutospacing="1"/>
              <w:rPr>
                <w:rFonts w:cstheme="minorHAnsi"/>
                <w:b w:val="0"/>
                <w:bCs w:val="0"/>
                <w:color w:val="000000" w:themeColor="text1"/>
                <w:sz w:val="24"/>
                <w:szCs w:val="24"/>
              </w:rPr>
            </w:pPr>
            <w:r w:rsidRPr="00FF50CD">
              <w:rPr>
                <w:rFonts w:cstheme="minorHAnsi"/>
                <w:b w:val="0"/>
                <w:bCs w:val="0"/>
                <w:color w:val="000000" w:themeColor="text1"/>
                <w:sz w:val="24"/>
                <w:szCs w:val="24"/>
              </w:rPr>
              <w:t>2024</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1DD4BB7F" w14:textId="77777777" w:rsidR="000B4D72" w:rsidRPr="00FF50CD" w:rsidRDefault="000B4D72" w:rsidP="00597239">
            <w:pPr>
              <w:spacing w:before="100" w:beforeAutospacing="1"/>
              <w:rPr>
                <w:rFonts w:cstheme="minorHAnsi"/>
                <w:b w:val="0"/>
                <w:bCs w:val="0"/>
                <w:color w:val="000000" w:themeColor="text1"/>
                <w:sz w:val="24"/>
                <w:szCs w:val="24"/>
              </w:rPr>
            </w:pPr>
            <w:r w:rsidRPr="00FF50CD">
              <w:rPr>
                <w:b w:val="0"/>
                <w:bCs w:val="0"/>
                <w:color w:val="000000" w:themeColor="text1"/>
                <w:sz w:val="24"/>
                <w:szCs w:val="24"/>
              </w:rPr>
              <w:t>96</w:t>
            </w:r>
          </w:p>
        </w:tc>
        <w:tc>
          <w:tcPr>
            <w:tcW w:w="1985" w:type="dxa"/>
            <w:vAlign w:val="center"/>
          </w:tcPr>
          <w:p w14:paraId="0529B21C" w14:textId="77777777" w:rsidR="000B4D72" w:rsidRPr="00FF50CD" w:rsidRDefault="000B4D72" w:rsidP="00597239">
            <w:pPr>
              <w:spacing w:before="100" w:beforeAutospacing="1"/>
              <w:cnfStyle w:val="010000000000" w:firstRow="0" w:lastRow="1" w:firstColumn="0" w:lastColumn="0" w:oddVBand="0" w:evenVBand="0" w:oddHBand="0" w:evenHBand="0" w:firstRowFirstColumn="0" w:firstRowLastColumn="0" w:lastRowFirstColumn="0" w:lastRowLastColumn="0"/>
              <w:rPr>
                <w:rFonts w:cstheme="minorHAnsi"/>
                <w:b w:val="0"/>
                <w:bCs w:val="0"/>
                <w:color w:val="000000" w:themeColor="text1"/>
                <w:sz w:val="24"/>
                <w:szCs w:val="24"/>
              </w:rPr>
            </w:pPr>
            <w:r w:rsidRPr="00FF50CD">
              <w:rPr>
                <w:b w:val="0"/>
                <w:bCs w:val="0"/>
                <w:color w:val="000000" w:themeColor="text1"/>
                <w:sz w:val="24"/>
                <w:szCs w:val="24"/>
              </w:rPr>
              <w:t>9668</w:t>
            </w: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2BA28DC7" w14:textId="77777777" w:rsidR="000B4D72" w:rsidRPr="00FF50CD" w:rsidRDefault="000B4D72" w:rsidP="00597239">
            <w:pPr>
              <w:spacing w:before="100" w:beforeAutospacing="1"/>
              <w:rPr>
                <w:rFonts w:cstheme="minorHAnsi"/>
                <w:b w:val="0"/>
                <w:bCs w:val="0"/>
                <w:color w:val="000000" w:themeColor="text1"/>
                <w:sz w:val="24"/>
                <w:szCs w:val="24"/>
              </w:rPr>
            </w:pPr>
            <w:r w:rsidRPr="00FF50CD">
              <w:rPr>
                <w:b w:val="0"/>
                <w:bCs w:val="0"/>
                <w:color w:val="000000" w:themeColor="text1"/>
                <w:sz w:val="24"/>
                <w:szCs w:val="24"/>
              </w:rPr>
              <w:t>1418</w:t>
            </w:r>
          </w:p>
        </w:tc>
        <w:tc>
          <w:tcPr>
            <w:cnfStyle w:val="000100000000" w:firstRow="0" w:lastRow="0" w:firstColumn="0" w:lastColumn="1" w:oddVBand="0" w:evenVBand="0" w:oddHBand="0" w:evenHBand="0" w:firstRowFirstColumn="0" w:firstRowLastColumn="0" w:lastRowFirstColumn="0" w:lastRowLastColumn="0"/>
            <w:tcW w:w="1559" w:type="dxa"/>
            <w:vAlign w:val="center"/>
          </w:tcPr>
          <w:p w14:paraId="1625C836" w14:textId="77777777" w:rsidR="000B4D72" w:rsidRPr="00FF50CD" w:rsidRDefault="000B4D72" w:rsidP="00597239">
            <w:pPr>
              <w:spacing w:before="100" w:beforeAutospacing="1"/>
              <w:rPr>
                <w:rFonts w:cstheme="minorHAnsi"/>
                <w:b w:val="0"/>
                <w:bCs w:val="0"/>
                <w:color w:val="000000" w:themeColor="text1"/>
                <w:sz w:val="24"/>
                <w:szCs w:val="24"/>
              </w:rPr>
            </w:pPr>
            <w:r w:rsidRPr="00FF50CD">
              <w:rPr>
                <w:b w:val="0"/>
                <w:bCs w:val="0"/>
                <w:color w:val="000000" w:themeColor="text1"/>
                <w:sz w:val="24"/>
                <w:szCs w:val="24"/>
              </w:rPr>
              <w:t>360</w:t>
            </w:r>
          </w:p>
        </w:tc>
      </w:tr>
    </w:tbl>
    <w:p w14:paraId="5A014E2E" w14:textId="77777777" w:rsidR="0022532B" w:rsidRDefault="0022532B" w:rsidP="00597239">
      <w:pPr>
        <w:spacing w:after="0" w:line="276" w:lineRule="auto"/>
        <w:rPr>
          <w:rFonts w:eastAsia="Times New Roman" w:cstheme="minorHAnsi"/>
          <w:color w:val="000000" w:themeColor="text1"/>
          <w:sz w:val="24"/>
          <w:szCs w:val="24"/>
          <w:lang w:eastAsia="pl-PL"/>
        </w:rPr>
      </w:pPr>
    </w:p>
    <w:p w14:paraId="59E256FF" w14:textId="6C72DAC3" w:rsidR="000B4D72" w:rsidRDefault="000B4D72" w:rsidP="00597239">
      <w:pPr>
        <w:spacing w:after="0" w:line="276" w:lineRule="auto"/>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Najwięcej ognisk odnotowano w</w:t>
      </w:r>
      <w:r w:rsidRPr="00040971">
        <w:rPr>
          <w:rFonts w:eastAsia="Times New Roman" w:cstheme="minorHAnsi"/>
          <w:color w:val="000000" w:themeColor="text1"/>
          <w:sz w:val="24"/>
          <w:szCs w:val="24"/>
          <w:lang w:eastAsia="pl-PL"/>
        </w:rPr>
        <w:t xml:space="preserve"> sezon</w:t>
      </w:r>
      <w:r>
        <w:rPr>
          <w:rFonts w:eastAsia="Times New Roman" w:cstheme="minorHAnsi"/>
          <w:color w:val="000000" w:themeColor="text1"/>
          <w:sz w:val="24"/>
          <w:szCs w:val="24"/>
          <w:lang w:eastAsia="pl-PL"/>
        </w:rPr>
        <w:t>ie</w:t>
      </w:r>
      <w:r w:rsidRPr="00040971">
        <w:rPr>
          <w:rFonts w:eastAsia="Times New Roman" w:cstheme="minorHAnsi"/>
          <w:color w:val="000000" w:themeColor="text1"/>
          <w:sz w:val="24"/>
          <w:szCs w:val="24"/>
          <w:lang w:eastAsia="pl-PL"/>
        </w:rPr>
        <w:t xml:space="preserve"> letni</w:t>
      </w:r>
      <w:r>
        <w:rPr>
          <w:rFonts w:eastAsia="Times New Roman" w:cstheme="minorHAnsi"/>
          <w:color w:val="000000" w:themeColor="text1"/>
          <w:sz w:val="24"/>
          <w:szCs w:val="24"/>
          <w:lang w:eastAsia="pl-PL"/>
        </w:rPr>
        <w:t>m (41), z których połowa dotyczyła miejsc zbiorowego żywienia</w:t>
      </w:r>
      <w:r w:rsidRPr="00040971">
        <w:rPr>
          <w:rFonts w:eastAsia="Times New Roman" w:cstheme="minorHAnsi"/>
          <w:color w:val="000000" w:themeColor="text1"/>
          <w:sz w:val="24"/>
          <w:szCs w:val="24"/>
          <w:lang w:eastAsia="pl-PL"/>
        </w:rPr>
        <w:t>,</w:t>
      </w:r>
      <w:r>
        <w:rPr>
          <w:rFonts w:eastAsia="Times New Roman" w:cstheme="minorHAnsi"/>
          <w:color w:val="000000" w:themeColor="text1"/>
          <w:sz w:val="24"/>
          <w:szCs w:val="24"/>
          <w:lang w:eastAsia="pl-PL"/>
        </w:rPr>
        <w:t xml:space="preserve"> w tym prawie 67% wystąpiło</w:t>
      </w:r>
      <w:r w:rsidRPr="00040971">
        <w:rPr>
          <w:rFonts w:eastAsia="Times New Roman" w:cstheme="minorHAnsi"/>
          <w:color w:val="000000" w:themeColor="text1"/>
          <w:sz w:val="24"/>
          <w:szCs w:val="24"/>
          <w:lang w:eastAsia="pl-PL"/>
        </w:rPr>
        <w:t xml:space="preserve"> w ośrodkach wczasowych</w:t>
      </w:r>
      <w:r>
        <w:rPr>
          <w:rFonts w:eastAsia="Times New Roman" w:cstheme="minorHAnsi"/>
          <w:color w:val="000000" w:themeColor="text1"/>
          <w:sz w:val="24"/>
          <w:szCs w:val="24"/>
          <w:lang w:eastAsia="pl-PL"/>
        </w:rPr>
        <w:t xml:space="preserve"> oraz </w:t>
      </w:r>
      <w:r w:rsidRPr="00040971">
        <w:rPr>
          <w:rFonts w:eastAsia="Times New Roman" w:cstheme="minorHAnsi"/>
          <w:color w:val="000000" w:themeColor="text1"/>
          <w:sz w:val="24"/>
          <w:szCs w:val="24"/>
          <w:lang w:eastAsia="pl-PL"/>
        </w:rPr>
        <w:t>w miejscach wypoczynku dzieci i młodzieży</w:t>
      </w:r>
      <w:r>
        <w:rPr>
          <w:rFonts w:eastAsia="Times New Roman" w:cstheme="minorHAnsi"/>
          <w:color w:val="000000" w:themeColor="text1"/>
          <w:sz w:val="24"/>
          <w:szCs w:val="24"/>
          <w:lang w:eastAsia="pl-PL"/>
        </w:rPr>
        <w:t>.</w:t>
      </w:r>
      <w:r w:rsidR="00B41E55">
        <w:rPr>
          <w:rFonts w:eastAsia="Times New Roman" w:cstheme="minorHAnsi"/>
          <w:color w:val="000000" w:themeColor="text1"/>
          <w:sz w:val="24"/>
          <w:szCs w:val="24"/>
          <w:lang w:eastAsia="pl-PL"/>
        </w:rPr>
        <w:t xml:space="preserve"> </w:t>
      </w:r>
      <w:r w:rsidRPr="00040971">
        <w:rPr>
          <w:rFonts w:eastAsia="Times New Roman" w:cstheme="minorHAnsi"/>
          <w:color w:val="000000" w:themeColor="text1"/>
          <w:sz w:val="24"/>
          <w:szCs w:val="24"/>
          <w:lang w:eastAsia="pl-PL"/>
        </w:rPr>
        <w:t xml:space="preserve">Przebieg zachorowań w większości przypadków był łagodny. </w:t>
      </w:r>
    </w:p>
    <w:p w14:paraId="148215BF" w14:textId="77777777" w:rsidR="00B41E55" w:rsidRDefault="00B41E55" w:rsidP="00597239">
      <w:pPr>
        <w:spacing w:after="0" w:line="276" w:lineRule="auto"/>
        <w:rPr>
          <w:rFonts w:eastAsia="Times New Roman" w:cstheme="minorHAnsi"/>
          <w:color w:val="000000" w:themeColor="text1"/>
          <w:sz w:val="24"/>
          <w:szCs w:val="24"/>
          <w:lang w:eastAsia="pl-PL"/>
        </w:rPr>
      </w:pPr>
    </w:p>
    <w:p w14:paraId="0943628F" w14:textId="67828054" w:rsidR="00B41E55" w:rsidRPr="00355438" w:rsidRDefault="00B41E55" w:rsidP="00597239">
      <w:pPr>
        <w:spacing w:after="0" w:line="276" w:lineRule="auto"/>
        <w:rPr>
          <w:rFonts w:eastAsia="Times New Roman" w:cstheme="minorHAnsi"/>
          <w:color w:val="000000" w:themeColor="text1"/>
          <w:sz w:val="24"/>
          <w:szCs w:val="24"/>
          <w:lang w:eastAsia="pl-PL"/>
        </w:rPr>
      </w:pPr>
      <w:r w:rsidRPr="00355438">
        <w:rPr>
          <w:rFonts w:eastAsia="Times New Roman" w:cstheme="minorHAnsi"/>
          <w:color w:val="000000" w:themeColor="text1"/>
          <w:sz w:val="24"/>
          <w:szCs w:val="24"/>
          <w:lang w:eastAsia="pl-PL"/>
        </w:rPr>
        <w:t xml:space="preserve">Największy zasięg miało ognisko, które wystąpiło  w czerwcu, w jednym z ośrodków wypoczynkowych w powiecie gryfickim. Czynnikiem etiologicznym ogniska była Salmonella </w:t>
      </w:r>
      <w:proofErr w:type="spellStart"/>
      <w:r w:rsidRPr="00355438">
        <w:rPr>
          <w:rFonts w:eastAsia="Times New Roman" w:cstheme="minorHAnsi"/>
          <w:color w:val="000000" w:themeColor="text1"/>
          <w:sz w:val="24"/>
          <w:szCs w:val="24"/>
          <w:lang w:eastAsia="pl-PL"/>
        </w:rPr>
        <w:t>enteritidis</w:t>
      </w:r>
      <w:proofErr w:type="spellEnd"/>
      <w:r w:rsidRPr="00355438">
        <w:rPr>
          <w:rFonts w:eastAsia="Times New Roman" w:cstheme="minorHAnsi"/>
          <w:color w:val="000000" w:themeColor="text1"/>
          <w:sz w:val="24"/>
          <w:szCs w:val="24"/>
          <w:lang w:eastAsia="pl-PL"/>
        </w:rPr>
        <w:t>. Dochodzenie epidemiologiczne ujawniło, że źródłem zakażenia mógł być pracownik kuchni będący bezobjawowym nosicielem, natomiast nośnikiem zakażeń - wyprodukowane w kuchni ośrodka pierogi, w których badaniami również potwierdzono obecność bakterii. Narażonych na zachorowanie w ognisku było 478 osób, w tym 72 dzieci do 14- go roku życia. Zachorowało aż 170 uczestników wypoczynku</w:t>
      </w:r>
      <w:r>
        <w:rPr>
          <w:rFonts w:eastAsia="Times New Roman" w:cstheme="minorHAnsi"/>
          <w:color w:val="000000" w:themeColor="text1"/>
          <w:sz w:val="24"/>
          <w:szCs w:val="24"/>
          <w:lang w:eastAsia="pl-PL"/>
        </w:rPr>
        <w:t>,</w:t>
      </w:r>
      <w:r w:rsidRPr="00355438">
        <w:rPr>
          <w:rFonts w:eastAsia="Times New Roman" w:cstheme="minorHAnsi"/>
          <w:color w:val="000000" w:themeColor="text1"/>
          <w:sz w:val="24"/>
          <w:szCs w:val="24"/>
          <w:lang w:eastAsia="pl-PL"/>
        </w:rPr>
        <w:t xml:space="preserve"> w tym 5 dzieci i 11 osób zatrudnionych przy żywności. Hospitalizowano 13 osób, w tym 1 dziecko.</w:t>
      </w:r>
    </w:p>
    <w:p w14:paraId="3C320556" w14:textId="77777777" w:rsidR="0022532B" w:rsidRDefault="0022532B" w:rsidP="00597239">
      <w:pPr>
        <w:spacing w:after="0" w:line="276" w:lineRule="auto"/>
        <w:rPr>
          <w:rFonts w:eastAsia="Times New Roman" w:cstheme="minorHAnsi"/>
          <w:color w:val="000000" w:themeColor="text1"/>
          <w:sz w:val="24"/>
          <w:szCs w:val="24"/>
          <w:lang w:eastAsia="pl-PL"/>
        </w:rPr>
      </w:pPr>
    </w:p>
    <w:p w14:paraId="5B305106" w14:textId="6974AD87" w:rsidR="000B4D72" w:rsidRPr="00040971" w:rsidRDefault="000B4D72" w:rsidP="00597239">
      <w:pPr>
        <w:spacing w:after="0" w:line="276" w:lineRule="auto"/>
        <w:rPr>
          <w:rFonts w:eastAsia="Times New Roman" w:cstheme="minorHAnsi"/>
          <w:color w:val="000000" w:themeColor="text1"/>
          <w:sz w:val="24"/>
          <w:szCs w:val="24"/>
          <w:lang w:eastAsia="pl-PL"/>
        </w:rPr>
      </w:pPr>
      <w:r w:rsidRPr="00040971">
        <w:rPr>
          <w:rFonts w:eastAsia="Times New Roman" w:cstheme="minorHAnsi"/>
          <w:color w:val="000000" w:themeColor="text1"/>
          <w:sz w:val="24"/>
          <w:szCs w:val="24"/>
          <w:lang w:eastAsia="pl-PL"/>
        </w:rPr>
        <w:t>Każdorazowo po zgłoszeniu zachorowań prowadzono dochodzenie epidemiologiczne oraz wzmożony nadzór nad pionem kuchennym w ośrodkach. Dochodzenia epidemiologiczne ujawniły w części ognisk niezachowanie zasad higieny w pionie kuchennym, w tym nieprzestrzeganie higieny rąk przez personel zatrudniony przy przygotowywaniu i podawaniu posiłków, a także nosicielstwo pałeczek Salmonella u personelu kuchni.</w:t>
      </w:r>
      <w:r>
        <w:rPr>
          <w:rFonts w:eastAsia="Times New Roman" w:cstheme="minorHAnsi"/>
          <w:color w:val="000000" w:themeColor="text1"/>
          <w:sz w:val="24"/>
          <w:szCs w:val="24"/>
          <w:lang w:eastAsia="pl-PL"/>
        </w:rPr>
        <w:t xml:space="preserve"> Ponadto w 1 przypadku, gdzie czynnikiem etiologicznym zatrucia była enterotoksyna gronkowcowa wykryte zostało nosicielstwo S. aureus u jednego z pracowników kuchni oraz stwierdzono nieprawidłowości w zakresie przechowywania żywności. Działania nadzorowe ujawniły</w:t>
      </w:r>
      <w:r w:rsidRPr="00040971">
        <w:rPr>
          <w:rFonts w:eastAsia="Times New Roman" w:cstheme="minorHAnsi"/>
          <w:color w:val="000000" w:themeColor="text1"/>
          <w:sz w:val="24"/>
          <w:szCs w:val="24"/>
          <w:lang w:eastAsia="pl-PL"/>
        </w:rPr>
        <w:t xml:space="preserve"> nieprawidłowości sanitarno-techniczne w pionie kuchennym i bieżące zaniedbania w</w:t>
      </w:r>
      <w:r w:rsidR="00D123BC">
        <w:rPr>
          <w:rFonts w:eastAsia="Times New Roman" w:cstheme="minorHAnsi"/>
          <w:color w:val="000000" w:themeColor="text1"/>
          <w:sz w:val="24"/>
          <w:szCs w:val="24"/>
          <w:lang w:eastAsia="pl-PL"/>
        </w:rPr>
        <w:t> </w:t>
      </w:r>
      <w:r w:rsidRPr="00040971">
        <w:rPr>
          <w:rFonts w:eastAsia="Times New Roman" w:cstheme="minorHAnsi"/>
          <w:color w:val="000000" w:themeColor="text1"/>
          <w:sz w:val="24"/>
          <w:szCs w:val="24"/>
          <w:lang w:eastAsia="pl-PL"/>
        </w:rPr>
        <w:t>utrzymaniu czystości powierzchni produkcyjnych.</w:t>
      </w:r>
    </w:p>
    <w:p w14:paraId="2F5DA519" w14:textId="77777777" w:rsidR="0022532B" w:rsidRDefault="0022532B" w:rsidP="00597239">
      <w:pPr>
        <w:spacing w:after="0" w:line="276" w:lineRule="auto"/>
        <w:rPr>
          <w:rFonts w:eastAsia="Times New Roman" w:cstheme="minorHAnsi"/>
          <w:color w:val="000000" w:themeColor="text1"/>
          <w:sz w:val="24"/>
          <w:szCs w:val="24"/>
          <w:lang w:eastAsia="pl-PL"/>
        </w:rPr>
      </w:pPr>
    </w:p>
    <w:p w14:paraId="67A12B98" w14:textId="6603804B" w:rsidR="000B4D72" w:rsidRDefault="000B4D72" w:rsidP="00597239">
      <w:pPr>
        <w:spacing w:after="0" w:line="276" w:lineRule="auto"/>
        <w:rPr>
          <w:rFonts w:eastAsia="Times New Roman" w:cstheme="minorHAnsi"/>
          <w:color w:val="000000" w:themeColor="text1"/>
          <w:sz w:val="24"/>
          <w:szCs w:val="24"/>
          <w:lang w:eastAsia="pl-PL"/>
        </w:rPr>
      </w:pPr>
      <w:r w:rsidRPr="00920722">
        <w:rPr>
          <w:rFonts w:eastAsia="Times New Roman" w:cstheme="minorHAnsi"/>
          <w:color w:val="000000" w:themeColor="text1"/>
          <w:sz w:val="24"/>
          <w:szCs w:val="24"/>
          <w:lang w:eastAsia="pl-PL"/>
        </w:rPr>
        <w:t>Celem podniesienia bezpieczeństwa wypoczywających, przed sezonem letnim w</w:t>
      </w:r>
      <w:r w:rsidR="00D123BC">
        <w:rPr>
          <w:rFonts w:eastAsia="Times New Roman" w:cstheme="minorHAnsi"/>
          <w:color w:val="000000" w:themeColor="text1"/>
          <w:sz w:val="24"/>
          <w:szCs w:val="24"/>
          <w:lang w:eastAsia="pl-PL"/>
        </w:rPr>
        <w:t> </w:t>
      </w:r>
      <w:r w:rsidRPr="00920722">
        <w:rPr>
          <w:rFonts w:eastAsia="Times New Roman" w:cstheme="minorHAnsi"/>
          <w:color w:val="000000" w:themeColor="text1"/>
          <w:sz w:val="24"/>
          <w:szCs w:val="24"/>
          <w:lang w:eastAsia="pl-PL"/>
        </w:rPr>
        <w:t xml:space="preserve">czerwcu 2024 r., zorganizowano </w:t>
      </w:r>
      <w:r>
        <w:rPr>
          <w:rFonts w:eastAsia="Times New Roman" w:cstheme="minorHAnsi"/>
          <w:color w:val="000000" w:themeColor="text1"/>
          <w:sz w:val="24"/>
          <w:szCs w:val="24"/>
          <w:lang w:eastAsia="pl-PL"/>
        </w:rPr>
        <w:t>webinaria</w:t>
      </w:r>
      <w:r w:rsidRPr="00920722">
        <w:rPr>
          <w:rFonts w:eastAsia="Times New Roman" w:cstheme="minorHAnsi"/>
          <w:color w:val="000000" w:themeColor="text1"/>
          <w:sz w:val="24"/>
          <w:szCs w:val="24"/>
          <w:lang w:eastAsia="pl-PL"/>
        </w:rPr>
        <w:t xml:space="preserve"> dla organizatorów wypoczynk</w:t>
      </w:r>
      <w:r>
        <w:rPr>
          <w:rFonts w:eastAsia="Times New Roman" w:cstheme="minorHAnsi"/>
          <w:color w:val="000000" w:themeColor="text1"/>
          <w:sz w:val="24"/>
          <w:szCs w:val="24"/>
          <w:lang w:eastAsia="pl-PL"/>
        </w:rPr>
        <w:t>ów</w:t>
      </w:r>
      <w:r w:rsidRPr="00920722">
        <w:rPr>
          <w:rFonts w:eastAsia="Times New Roman" w:cstheme="minorHAnsi"/>
          <w:color w:val="000000" w:themeColor="text1"/>
          <w:sz w:val="24"/>
          <w:szCs w:val="24"/>
          <w:lang w:eastAsia="pl-PL"/>
        </w:rPr>
        <w:t xml:space="preserve"> realizujących żywienie zbiorowe. Podczas szkoleń w szczególności poruszana była tematyka zagrożeń zdrowia związanych z ogniskami zatruć pokarmowych oraz możliwości ich zapobiegania poprzez odpowiedzialne zachowania, jak również przestrzeganie zasad przeciwepidemicznych.</w:t>
      </w:r>
    </w:p>
    <w:p w14:paraId="14AAC918" w14:textId="77777777" w:rsidR="0022532B" w:rsidRPr="00920722" w:rsidRDefault="0022532B" w:rsidP="00597239">
      <w:pPr>
        <w:spacing w:after="0" w:line="276" w:lineRule="auto"/>
        <w:rPr>
          <w:rFonts w:eastAsia="Times New Roman" w:cstheme="minorHAnsi"/>
          <w:color w:val="000000" w:themeColor="text1"/>
          <w:sz w:val="24"/>
          <w:szCs w:val="24"/>
          <w:lang w:eastAsia="pl-PL"/>
        </w:rPr>
      </w:pPr>
    </w:p>
    <w:p w14:paraId="2D124CF2" w14:textId="3D104064" w:rsidR="000B4D72" w:rsidRPr="00424F97" w:rsidRDefault="000B4D72" w:rsidP="00597239">
      <w:pPr>
        <w:pStyle w:val="Nagwek3"/>
        <w:numPr>
          <w:ilvl w:val="1"/>
          <w:numId w:val="19"/>
        </w:numPr>
        <w:spacing w:before="0" w:after="0"/>
        <w:ind w:left="568" w:hanging="284"/>
      </w:pPr>
      <w:bookmarkStart w:id="25" w:name="_Toc192678699"/>
      <w:bookmarkStart w:id="26" w:name="_Toc193694439"/>
      <w:bookmarkStart w:id="27" w:name="_Toc193784707"/>
      <w:bookmarkStart w:id="28" w:name="_Toc194059777"/>
      <w:r w:rsidRPr="00424F97">
        <w:t>Wirusowe zapalenia wątroby</w:t>
      </w:r>
      <w:bookmarkEnd w:id="25"/>
      <w:bookmarkEnd w:id="26"/>
      <w:bookmarkEnd w:id="27"/>
      <w:bookmarkEnd w:id="28"/>
    </w:p>
    <w:p w14:paraId="321EBAE1" w14:textId="77777777" w:rsidR="000B4D72" w:rsidRPr="00424F97" w:rsidRDefault="000B4D72" w:rsidP="00597239">
      <w:pPr>
        <w:tabs>
          <w:tab w:val="left" w:pos="851"/>
        </w:tabs>
        <w:spacing w:after="0" w:line="276" w:lineRule="auto"/>
        <w:rPr>
          <w:rFonts w:eastAsia="Times New Roman" w:cstheme="minorHAnsi"/>
          <w:sz w:val="24"/>
          <w:szCs w:val="24"/>
          <w:lang w:eastAsia="pl-PL"/>
        </w:rPr>
      </w:pPr>
      <w:r w:rsidRPr="00424F97">
        <w:rPr>
          <w:rFonts w:eastAsia="Times New Roman" w:cstheme="minorHAnsi"/>
          <w:sz w:val="24"/>
          <w:szCs w:val="24"/>
          <w:lang w:eastAsia="pl-PL"/>
        </w:rPr>
        <w:t xml:space="preserve">W 2024 r. </w:t>
      </w:r>
      <w:r>
        <w:rPr>
          <w:rFonts w:eastAsia="Times New Roman" w:cstheme="minorHAnsi"/>
          <w:sz w:val="24"/>
          <w:szCs w:val="24"/>
          <w:lang w:eastAsia="pl-PL"/>
        </w:rPr>
        <w:t xml:space="preserve">liczba </w:t>
      </w:r>
      <w:r w:rsidRPr="00424F97">
        <w:rPr>
          <w:rFonts w:eastAsia="Times New Roman" w:cstheme="minorHAnsi"/>
          <w:sz w:val="24"/>
          <w:szCs w:val="24"/>
          <w:lang w:eastAsia="pl-PL"/>
        </w:rPr>
        <w:t>wirusow</w:t>
      </w:r>
      <w:r>
        <w:rPr>
          <w:rFonts w:eastAsia="Times New Roman" w:cstheme="minorHAnsi"/>
          <w:sz w:val="24"/>
          <w:szCs w:val="24"/>
          <w:lang w:eastAsia="pl-PL"/>
        </w:rPr>
        <w:t>ych</w:t>
      </w:r>
      <w:r w:rsidRPr="00424F97">
        <w:rPr>
          <w:rFonts w:eastAsia="Times New Roman" w:cstheme="minorHAnsi"/>
          <w:sz w:val="24"/>
          <w:szCs w:val="24"/>
          <w:lang w:eastAsia="pl-PL"/>
        </w:rPr>
        <w:t xml:space="preserve"> zapale</w:t>
      </w:r>
      <w:r>
        <w:rPr>
          <w:rFonts w:eastAsia="Times New Roman" w:cstheme="minorHAnsi"/>
          <w:sz w:val="24"/>
          <w:szCs w:val="24"/>
          <w:lang w:eastAsia="pl-PL"/>
        </w:rPr>
        <w:t>ń</w:t>
      </w:r>
      <w:r w:rsidRPr="00424F97">
        <w:rPr>
          <w:rFonts w:eastAsia="Times New Roman" w:cstheme="minorHAnsi"/>
          <w:sz w:val="24"/>
          <w:szCs w:val="24"/>
          <w:lang w:eastAsia="pl-PL"/>
        </w:rPr>
        <w:t xml:space="preserve"> wątroby w woj.</w:t>
      </w:r>
      <w:r>
        <w:rPr>
          <w:rFonts w:eastAsia="Times New Roman" w:cstheme="minorHAnsi"/>
          <w:sz w:val="24"/>
          <w:szCs w:val="24"/>
          <w:lang w:eastAsia="pl-PL"/>
        </w:rPr>
        <w:t xml:space="preserve"> </w:t>
      </w:r>
      <w:r w:rsidRPr="00424F97">
        <w:rPr>
          <w:rFonts w:eastAsia="Times New Roman" w:cstheme="minorHAnsi"/>
          <w:sz w:val="24"/>
          <w:szCs w:val="24"/>
          <w:lang w:eastAsia="pl-PL"/>
        </w:rPr>
        <w:t>zachodniopomorskim utrzymywała się na podobnym poziomie</w:t>
      </w:r>
      <w:r>
        <w:rPr>
          <w:rFonts w:eastAsia="Times New Roman" w:cstheme="minorHAnsi"/>
          <w:sz w:val="24"/>
          <w:szCs w:val="24"/>
          <w:lang w:eastAsia="pl-PL"/>
        </w:rPr>
        <w:t xml:space="preserve"> co w roku ubiegłym</w:t>
      </w:r>
      <w:r w:rsidRPr="00424F97">
        <w:rPr>
          <w:rFonts w:eastAsia="Times New Roman" w:cstheme="minorHAnsi"/>
          <w:sz w:val="24"/>
          <w:szCs w:val="24"/>
          <w:lang w:eastAsia="pl-PL"/>
        </w:rPr>
        <w:t>.</w:t>
      </w:r>
      <w:r>
        <w:rPr>
          <w:rFonts w:eastAsia="Times New Roman" w:cstheme="minorHAnsi"/>
          <w:sz w:val="24"/>
          <w:szCs w:val="24"/>
          <w:lang w:eastAsia="pl-PL"/>
        </w:rPr>
        <w:t xml:space="preserve"> Jednak od 3 lat sytuacja epidemiologiczna wirusowych zapaleń wątroby jest mniej korzystna niż w Polsce.</w:t>
      </w:r>
    </w:p>
    <w:p w14:paraId="074FCBAC" w14:textId="77777777" w:rsidR="00176657" w:rsidRDefault="00176657" w:rsidP="00597239">
      <w:pPr>
        <w:spacing w:after="0"/>
        <w:rPr>
          <w:rFonts w:eastAsia="Times New Roman" w:cstheme="minorHAnsi"/>
          <w:i/>
          <w:iCs/>
          <w:color w:val="44546A" w:themeColor="text2"/>
          <w:sz w:val="18"/>
          <w:szCs w:val="18"/>
          <w:lang w:eastAsia="pl-PL"/>
        </w:rPr>
      </w:pPr>
    </w:p>
    <w:p w14:paraId="5FF410D8" w14:textId="2C5C3959" w:rsidR="000B4D72" w:rsidRPr="00454D2B" w:rsidRDefault="00454D2B" w:rsidP="00597239">
      <w:pPr>
        <w:pStyle w:val="Legenda"/>
        <w:spacing w:after="0"/>
        <w:rPr>
          <w:rFonts w:eastAsia="Times New Roman" w:cstheme="minorHAnsi"/>
          <w:i w:val="0"/>
          <w:iCs w:val="0"/>
          <w:color w:val="000000" w:themeColor="text1"/>
          <w:lang w:eastAsia="pl-PL"/>
        </w:rPr>
      </w:pPr>
      <w:bookmarkStart w:id="29" w:name="_Toc193805974"/>
      <w:bookmarkStart w:id="30" w:name="_Toc193969522"/>
      <w:bookmarkStart w:id="31" w:name="_Toc194059982"/>
      <w:r w:rsidRPr="00454D2B">
        <w:rPr>
          <w:i w:val="0"/>
          <w:iCs w:val="0"/>
          <w:color w:val="000000" w:themeColor="text1"/>
        </w:rPr>
        <w:t xml:space="preserve">Tabela </w:t>
      </w:r>
      <w:r w:rsidRPr="00454D2B">
        <w:rPr>
          <w:i w:val="0"/>
          <w:iCs w:val="0"/>
          <w:color w:val="000000" w:themeColor="text1"/>
        </w:rPr>
        <w:fldChar w:fldCharType="begin"/>
      </w:r>
      <w:r w:rsidRPr="00454D2B">
        <w:rPr>
          <w:i w:val="0"/>
          <w:iCs w:val="0"/>
          <w:color w:val="000000" w:themeColor="text1"/>
        </w:rPr>
        <w:instrText xml:space="preserve"> SEQ Tabela \* ARABIC </w:instrText>
      </w:r>
      <w:r w:rsidRPr="00454D2B">
        <w:rPr>
          <w:i w:val="0"/>
          <w:iCs w:val="0"/>
          <w:color w:val="000000" w:themeColor="text1"/>
        </w:rPr>
        <w:fldChar w:fldCharType="separate"/>
      </w:r>
      <w:r w:rsidR="00FB6F6A">
        <w:rPr>
          <w:i w:val="0"/>
          <w:iCs w:val="0"/>
          <w:noProof/>
          <w:color w:val="000000" w:themeColor="text1"/>
        </w:rPr>
        <w:t>4</w:t>
      </w:r>
      <w:r w:rsidRPr="00454D2B">
        <w:rPr>
          <w:i w:val="0"/>
          <w:iCs w:val="0"/>
          <w:color w:val="000000" w:themeColor="text1"/>
        </w:rPr>
        <w:fldChar w:fldCharType="end"/>
      </w:r>
      <w:r w:rsidR="00E75D31">
        <w:rPr>
          <w:i w:val="0"/>
          <w:iCs w:val="0"/>
          <w:color w:val="000000" w:themeColor="text1"/>
        </w:rPr>
        <w:t>.</w:t>
      </w:r>
      <w:r w:rsidRPr="00454D2B">
        <w:rPr>
          <w:i w:val="0"/>
          <w:iCs w:val="0"/>
          <w:color w:val="000000" w:themeColor="text1"/>
        </w:rPr>
        <w:t xml:space="preserve"> Liczba zachorowań i współczynnik zapadalności na wirusowe zapalenia wątroby ogółem w Polsce i woj. zachodniopomorskim w latach 2020-2024</w:t>
      </w:r>
      <w:r w:rsidR="004E5976">
        <w:rPr>
          <w:i w:val="0"/>
          <w:iCs w:val="0"/>
          <w:color w:val="000000" w:themeColor="text1"/>
        </w:rPr>
        <w:t>.</w:t>
      </w:r>
      <w:bookmarkEnd w:id="29"/>
      <w:bookmarkEnd w:id="30"/>
      <w:bookmarkEnd w:id="31"/>
    </w:p>
    <w:tbl>
      <w:tblPr>
        <w:tblStyle w:val="Tabelasiatki4akcent1"/>
        <w:tblW w:w="5000" w:type="pct"/>
        <w:tblLook w:val="04A0" w:firstRow="1" w:lastRow="0" w:firstColumn="1" w:lastColumn="0" w:noHBand="0" w:noVBand="1"/>
        <w:tblCaption w:val="Liczba zachorowań i współczynnik zapadalności na wirusowe zapalenia wątroby ogółem w Polsce i woj. zachodniopomorskim w latach 2020-2024"/>
        <w:tblDescription w:val="Tabela przedstawia dane dotyczące zachorowań i współczynnika zapadalności na wirusaowe zapalenia wątroby (ogółem) w Polsce i województwie. W 2024 roku w województwie liczba zachorowań wynosiła 397 przypadków (współczynnik zapadalności: 24,2), natomiast w Polsce liczba zachorowań wynosiła 7529 przypadków (współczynnik zapadalności: 20,05)."/>
      </w:tblPr>
      <w:tblGrid>
        <w:gridCol w:w="1890"/>
        <w:gridCol w:w="712"/>
        <w:gridCol w:w="722"/>
        <w:gridCol w:w="712"/>
        <w:gridCol w:w="722"/>
        <w:gridCol w:w="713"/>
        <w:gridCol w:w="722"/>
        <w:gridCol w:w="712"/>
        <w:gridCol w:w="722"/>
        <w:gridCol w:w="712"/>
        <w:gridCol w:w="723"/>
      </w:tblGrid>
      <w:tr w:rsidR="000B4D72" w:rsidRPr="00FF50CD" w14:paraId="2EE94FAA" w14:textId="77777777" w:rsidTr="00FF5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Merge w:val="restart"/>
            <w:vAlign w:val="center"/>
          </w:tcPr>
          <w:p w14:paraId="313716C5" w14:textId="77777777" w:rsidR="000B4D72" w:rsidRPr="00FF50CD" w:rsidRDefault="000B4D72" w:rsidP="00597239">
            <w:pPr>
              <w:tabs>
                <w:tab w:val="left" w:pos="851"/>
              </w:tabs>
              <w:spacing w:line="276" w:lineRule="auto"/>
              <w:ind w:firstLine="567"/>
              <w:outlineLvl w:val="3"/>
              <w:rPr>
                <w:rFonts w:ascii="Calibri" w:eastAsia="Times New Roman" w:hAnsi="Calibri" w:cs="Calibri"/>
                <w:b w:val="0"/>
                <w:sz w:val="18"/>
                <w:szCs w:val="18"/>
                <w:lang w:eastAsia="pl-PL"/>
              </w:rPr>
            </w:pPr>
          </w:p>
        </w:tc>
        <w:tc>
          <w:tcPr>
            <w:tcW w:w="1454" w:type="dxa"/>
            <w:gridSpan w:val="2"/>
            <w:vAlign w:val="center"/>
          </w:tcPr>
          <w:p w14:paraId="2971576A"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pl-PL"/>
              </w:rPr>
            </w:pPr>
            <w:r w:rsidRPr="00FF50CD">
              <w:rPr>
                <w:rFonts w:ascii="Calibri" w:eastAsia="Times New Roman" w:hAnsi="Calibri" w:cs="Calibri"/>
                <w:b w:val="0"/>
                <w:sz w:val="18"/>
                <w:szCs w:val="18"/>
                <w:lang w:eastAsia="pl-PL"/>
              </w:rPr>
              <w:t>2020 r.</w:t>
            </w:r>
          </w:p>
        </w:tc>
        <w:tc>
          <w:tcPr>
            <w:tcW w:w="1454" w:type="dxa"/>
            <w:gridSpan w:val="2"/>
            <w:vAlign w:val="center"/>
          </w:tcPr>
          <w:p w14:paraId="7C333ACC"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pl-PL"/>
              </w:rPr>
            </w:pPr>
            <w:r w:rsidRPr="00FF50CD">
              <w:rPr>
                <w:rFonts w:ascii="Calibri" w:eastAsia="Times New Roman" w:hAnsi="Calibri" w:cs="Calibri"/>
                <w:b w:val="0"/>
                <w:sz w:val="18"/>
                <w:szCs w:val="18"/>
                <w:lang w:eastAsia="pl-PL"/>
              </w:rPr>
              <w:t>2021 r.</w:t>
            </w:r>
          </w:p>
        </w:tc>
        <w:tc>
          <w:tcPr>
            <w:tcW w:w="1455" w:type="dxa"/>
            <w:gridSpan w:val="2"/>
            <w:vAlign w:val="center"/>
          </w:tcPr>
          <w:p w14:paraId="54639447"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pl-PL"/>
              </w:rPr>
            </w:pPr>
            <w:r w:rsidRPr="00FF50CD">
              <w:rPr>
                <w:rFonts w:ascii="Calibri" w:eastAsia="Times New Roman" w:hAnsi="Calibri" w:cs="Calibri"/>
                <w:b w:val="0"/>
                <w:sz w:val="18"/>
                <w:szCs w:val="18"/>
                <w:lang w:eastAsia="pl-PL"/>
              </w:rPr>
              <w:t>2022 r.</w:t>
            </w:r>
          </w:p>
        </w:tc>
        <w:tc>
          <w:tcPr>
            <w:tcW w:w="1454" w:type="dxa"/>
            <w:gridSpan w:val="2"/>
            <w:vAlign w:val="center"/>
          </w:tcPr>
          <w:p w14:paraId="0B3C3E7D"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pl-PL"/>
              </w:rPr>
            </w:pPr>
            <w:r w:rsidRPr="00FF50CD">
              <w:rPr>
                <w:rFonts w:ascii="Calibri" w:eastAsia="Times New Roman" w:hAnsi="Calibri" w:cs="Calibri"/>
                <w:b w:val="0"/>
                <w:sz w:val="18"/>
                <w:szCs w:val="18"/>
                <w:lang w:eastAsia="pl-PL"/>
              </w:rPr>
              <w:t>2023 r.</w:t>
            </w:r>
          </w:p>
        </w:tc>
        <w:tc>
          <w:tcPr>
            <w:tcW w:w="1455" w:type="dxa"/>
            <w:gridSpan w:val="2"/>
            <w:vAlign w:val="center"/>
          </w:tcPr>
          <w:p w14:paraId="2135FAF5"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8"/>
                <w:szCs w:val="18"/>
                <w:lang w:eastAsia="pl-PL"/>
              </w:rPr>
            </w:pPr>
            <w:r w:rsidRPr="00FF50CD">
              <w:rPr>
                <w:rFonts w:ascii="Calibri" w:eastAsia="Times New Roman" w:hAnsi="Calibri" w:cs="Calibri"/>
                <w:b w:val="0"/>
                <w:sz w:val="18"/>
                <w:szCs w:val="18"/>
                <w:lang w:eastAsia="pl-PL"/>
              </w:rPr>
              <w:t>2024 r.</w:t>
            </w:r>
          </w:p>
        </w:tc>
      </w:tr>
      <w:tr w:rsidR="000B4D72" w:rsidRPr="00FF50CD" w14:paraId="67E5D9F5" w14:textId="77777777" w:rsidTr="00FF50CD">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1908" w:type="dxa"/>
            <w:vMerge/>
            <w:vAlign w:val="center"/>
          </w:tcPr>
          <w:p w14:paraId="47A1EB3F" w14:textId="77777777" w:rsidR="000B4D72" w:rsidRPr="00FF50CD" w:rsidRDefault="000B4D72" w:rsidP="00597239">
            <w:pPr>
              <w:tabs>
                <w:tab w:val="left" w:pos="851"/>
              </w:tabs>
              <w:spacing w:line="276" w:lineRule="auto"/>
              <w:ind w:firstLine="567"/>
              <w:outlineLvl w:val="3"/>
              <w:rPr>
                <w:rFonts w:ascii="Calibri" w:eastAsia="Times New Roman" w:hAnsi="Calibri" w:cs="Calibri"/>
                <w:b w:val="0"/>
                <w:sz w:val="18"/>
                <w:szCs w:val="18"/>
                <w:lang w:eastAsia="pl-PL"/>
              </w:rPr>
            </w:pPr>
          </w:p>
        </w:tc>
        <w:tc>
          <w:tcPr>
            <w:tcW w:w="727" w:type="dxa"/>
            <w:textDirection w:val="btLr"/>
            <w:vAlign w:val="center"/>
          </w:tcPr>
          <w:p w14:paraId="29CABC76"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Liczba zachorowań</w:t>
            </w:r>
          </w:p>
        </w:tc>
        <w:tc>
          <w:tcPr>
            <w:tcW w:w="727" w:type="dxa"/>
            <w:textDirection w:val="btLr"/>
            <w:vAlign w:val="center"/>
          </w:tcPr>
          <w:p w14:paraId="61ACB5E9"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Zapadalność</w:t>
            </w:r>
            <w:r w:rsidRPr="00FF50CD">
              <w:rPr>
                <w:rFonts w:ascii="Calibri" w:eastAsia="Times New Roman" w:hAnsi="Calibri" w:cs="Calibri"/>
                <w:bCs/>
                <w:sz w:val="18"/>
                <w:szCs w:val="18"/>
                <w:lang w:eastAsia="pl-PL"/>
              </w:rPr>
              <w:br/>
              <w:t>na 100 tys.</w:t>
            </w:r>
          </w:p>
        </w:tc>
        <w:tc>
          <w:tcPr>
            <w:tcW w:w="727" w:type="dxa"/>
            <w:textDirection w:val="btLr"/>
            <w:vAlign w:val="center"/>
          </w:tcPr>
          <w:p w14:paraId="39CB8A94"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Liczba zachorowań</w:t>
            </w:r>
          </w:p>
        </w:tc>
        <w:tc>
          <w:tcPr>
            <w:tcW w:w="727" w:type="dxa"/>
            <w:textDirection w:val="btLr"/>
            <w:vAlign w:val="center"/>
          </w:tcPr>
          <w:p w14:paraId="50902EED"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Zapadalność</w:t>
            </w:r>
            <w:r w:rsidRPr="00FF50CD">
              <w:rPr>
                <w:rFonts w:ascii="Calibri" w:eastAsia="Times New Roman" w:hAnsi="Calibri" w:cs="Calibri"/>
                <w:bCs/>
                <w:sz w:val="18"/>
                <w:szCs w:val="18"/>
                <w:lang w:eastAsia="pl-PL"/>
              </w:rPr>
              <w:br/>
              <w:t>na 100 tys.</w:t>
            </w:r>
          </w:p>
        </w:tc>
        <w:tc>
          <w:tcPr>
            <w:tcW w:w="728" w:type="dxa"/>
            <w:textDirection w:val="btLr"/>
            <w:vAlign w:val="center"/>
          </w:tcPr>
          <w:p w14:paraId="466507CC"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Liczba zachorowań</w:t>
            </w:r>
          </w:p>
        </w:tc>
        <w:tc>
          <w:tcPr>
            <w:tcW w:w="727" w:type="dxa"/>
            <w:textDirection w:val="btLr"/>
            <w:vAlign w:val="center"/>
          </w:tcPr>
          <w:p w14:paraId="2CE904D0"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Zapadalność</w:t>
            </w:r>
            <w:r w:rsidRPr="00FF50CD">
              <w:rPr>
                <w:rFonts w:ascii="Calibri" w:eastAsia="Times New Roman" w:hAnsi="Calibri" w:cs="Calibri"/>
                <w:bCs/>
                <w:sz w:val="18"/>
                <w:szCs w:val="18"/>
                <w:lang w:eastAsia="pl-PL"/>
              </w:rPr>
              <w:br/>
              <w:t>na 100 tys.</w:t>
            </w:r>
          </w:p>
        </w:tc>
        <w:tc>
          <w:tcPr>
            <w:tcW w:w="727" w:type="dxa"/>
            <w:textDirection w:val="btLr"/>
            <w:vAlign w:val="center"/>
          </w:tcPr>
          <w:p w14:paraId="026A6207"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Liczba zachorowań</w:t>
            </w:r>
          </w:p>
        </w:tc>
        <w:tc>
          <w:tcPr>
            <w:tcW w:w="727" w:type="dxa"/>
            <w:textDirection w:val="btLr"/>
            <w:vAlign w:val="center"/>
          </w:tcPr>
          <w:p w14:paraId="463F5E70"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Zapadalność</w:t>
            </w:r>
            <w:r w:rsidRPr="00FF50CD">
              <w:rPr>
                <w:rFonts w:ascii="Calibri" w:eastAsia="Times New Roman" w:hAnsi="Calibri" w:cs="Calibri"/>
                <w:bCs/>
                <w:sz w:val="18"/>
                <w:szCs w:val="18"/>
                <w:lang w:eastAsia="pl-PL"/>
              </w:rPr>
              <w:br/>
              <w:t>na 100 tys.</w:t>
            </w:r>
          </w:p>
        </w:tc>
        <w:tc>
          <w:tcPr>
            <w:tcW w:w="727" w:type="dxa"/>
            <w:textDirection w:val="btLr"/>
            <w:vAlign w:val="center"/>
          </w:tcPr>
          <w:p w14:paraId="0816DBDD"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Liczba zachorowań</w:t>
            </w:r>
          </w:p>
        </w:tc>
        <w:tc>
          <w:tcPr>
            <w:tcW w:w="728" w:type="dxa"/>
            <w:textDirection w:val="btLr"/>
            <w:vAlign w:val="center"/>
          </w:tcPr>
          <w:p w14:paraId="6FFD6A59"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Zapadalność</w:t>
            </w:r>
            <w:r w:rsidRPr="00FF50CD">
              <w:rPr>
                <w:rFonts w:ascii="Calibri" w:eastAsia="Times New Roman" w:hAnsi="Calibri" w:cs="Calibri"/>
                <w:bCs/>
                <w:sz w:val="18"/>
                <w:szCs w:val="18"/>
                <w:lang w:eastAsia="pl-PL"/>
              </w:rPr>
              <w:br/>
              <w:t>na 100 tys.</w:t>
            </w:r>
          </w:p>
        </w:tc>
      </w:tr>
      <w:tr w:rsidR="000B4D72" w:rsidRPr="00FF50CD" w14:paraId="4D64915B" w14:textId="77777777" w:rsidTr="00FF50CD">
        <w:trPr>
          <w:trHeight w:val="491"/>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77E76F22" w14:textId="77777777" w:rsidR="000B4D72" w:rsidRPr="00FF50CD" w:rsidRDefault="000B4D72" w:rsidP="00597239">
            <w:pPr>
              <w:rPr>
                <w:rFonts w:eastAsia="Times New Roman" w:cstheme="minorHAnsi"/>
                <w:b w:val="0"/>
                <w:sz w:val="18"/>
                <w:szCs w:val="18"/>
                <w:lang w:eastAsia="pl-PL"/>
              </w:rPr>
            </w:pPr>
            <w:r w:rsidRPr="00FF50CD">
              <w:rPr>
                <w:rFonts w:eastAsia="Times New Roman" w:cstheme="minorHAnsi"/>
                <w:b w:val="0"/>
                <w:sz w:val="18"/>
                <w:szCs w:val="18"/>
                <w:lang w:eastAsia="pl-PL"/>
              </w:rPr>
              <w:t>Polska</w:t>
            </w:r>
          </w:p>
        </w:tc>
        <w:tc>
          <w:tcPr>
            <w:tcW w:w="727" w:type="dxa"/>
            <w:vAlign w:val="center"/>
          </w:tcPr>
          <w:p w14:paraId="049F511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2071</w:t>
            </w:r>
          </w:p>
        </w:tc>
        <w:tc>
          <w:tcPr>
            <w:tcW w:w="727" w:type="dxa"/>
            <w:vAlign w:val="center"/>
          </w:tcPr>
          <w:p w14:paraId="6EF7460F"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5,41</w:t>
            </w:r>
          </w:p>
        </w:tc>
        <w:tc>
          <w:tcPr>
            <w:tcW w:w="727" w:type="dxa"/>
            <w:vAlign w:val="center"/>
          </w:tcPr>
          <w:p w14:paraId="1F4791B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2891</w:t>
            </w:r>
          </w:p>
        </w:tc>
        <w:tc>
          <w:tcPr>
            <w:tcW w:w="727" w:type="dxa"/>
            <w:vAlign w:val="center"/>
          </w:tcPr>
          <w:p w14:paraId="17AD81B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7,58</w:t>
            </w:r>
          </w:p>
        </w:tc>
        <w:tc>
          <w:tcPr>
            <w:tcW w:w="728" w:type="dxa"/>
            <w:vAlign w:val="center"/>
          </w:tcPr>
          <w:p w14:paraId="7656A68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5315</w:t>
            </w:r>
          </w:p>
        </w:tc>
        <w:tc>
          <w:tcPr>
            <w:tcW w:w="727" w:type="dxa"/>
            <w:vAlign w:val="center"/>
          </w:tcPr>
          <w:p w14:paraId="753F100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14,06</w:t>
            </w:r>
          </w:p>
        </w:tc>
        <w:tc>
          <w:tcPr>
            <w:tcW w:w="727" w:type="dxa"/>
            <w:vAlign w:val="center"/>
          </w:tcPr>
          <w:p w14:paraId="0F5618E3"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6670</w:t>
            </w:r>
          </w:p>
        </w:tc>
        <w:tc>
          <w:tcPr>
            <w:tcW w:w="727" w:type="dxa"/>
            <w:vAlign w:val="center"/>
          </w:tcPr>
          <w:p w14:paraId="75056F30"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trike/>
                <w:sz w:val="18"/>
                <w:szCs w:val="18"/>
                <w:lang w:eastAsia="pl-PL"/>
              </w:rPr>
            </w:pPr>
            <w:r w:rsidRPr="00FF50CD">
              <w:rPr>
                <w:rFonts w:ascii="Calibri" w:eastAsia="Times New Roman" w:hAnsi="Calibri" w:cs="Calibri"/>
                <w:bCs/>
                <w:sz w:val="18"/>
                <w:szCs w:val="18"/>
                <w:lang w:eastAsia="pl-PL"/>
              </w:rPr>
              <w:t>17,70</w:t>
            </w:r>
          </w:p>
        </w:tc>
        <w:tc>
          <w:tcPr>
            <w:tcW w:w="727" w:type="dxa"/>
            <w:vAlign w:val="center"/>
          </w:tcPr>
          <w:p w14:paraId="6C878383"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7529</w:t>
            </w:r>
          </w:p>
        </w:tc>
        <w:tc>
          <w:tcPr>
            <w:tcW w:w="728" w:type="dxa"/>
            <w:vAlign w:val="center"/>
          </w:tcPr>
          <w:p w14:paraId="25CD3B31"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20,05</w:t>
            </w:r>
          </w:p>
        </w:tc>
      </w:tr>
      <w:tr w:rsidR="000B4D72" w:rsidRPr="00FF50CD" w14:paraId="0D27D2DF" w14:textId="77777777" w:rsidTr="00FF50CD">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26291FA2" w14:textId="77777777" w:rsidR="000B4D72" w:rsidRPr="00FF50CD" w:rsidRDefault="000B4D72" w:rsidP="00597239">
            <w:pPr>
              <w:rPr>
                <w:rFonts w:eastAsia="Times New Roman" w:cstheme="minorHAnsi"/>
                <w:b w:val="0"/>
                <w:sz w:val="18"/>
                <w:szCs w:val="18"/>
                <w:lang w:eastAsia="pl-PL"/>
              </w:rPr>
            </w:pPr>
            <w:r w:rsidRPr="00FF50CD">
              <w:rPr>
                <w:rFonts w:eastAsia="Times New Roman" w:cstheme="minorHAnsi"/>
                <w:b w:val="0"/>
                <w:sz w:val="18"/>
                <w:szCs w:val="18"/>
                <w:lang w:eastAsia="pl-PL"/>
              </w:rPr>
              <w:t>województwo</w:t>
            </w:r>
          </w:p>
          <w:p w14:paraId="12AF5FF2" w14:textId="77777777" w:rsidR="000B4D72" w:rsidRPr="00FF50CD" w:rsidRDefault="000B4D72" w:rsidP="00597239">
            <w:pPr>
              <w:rPr>
                <w:rFonts w:eastAsia="Times New Roman" w:cstheme="minorHAnsi"/>
                <w:b w:val="0"/>
                <w:sz w:val="18"/>
                <w:szCs w:val="18"/>
                <w:lang w:eastAsia="pl-PL"/>
              </w:rPr>
            </w:pPr>
            <w:r w:rsidRPr="00FF50CD">
              <w:rPr>
                <w:rFonts w:eastAsia="Times New Roman" w:cstheme="minorHAnsi"/>
                <w:b w:val="0"/>
                <w:sz w:val="18"/>
                <w:szCs w:val="18"/>
                <w:lang w:eastAsia="pl-PL"/>
              </w:rPr>
              <w:t>zachodniopomorskie</w:t>
            </w:r>
          </w:p>
        </w:tc>
        <w:tc>
          <w:tcPr>
            <w:tcW w:w="727" w:type="dxa"/>
            <w:vAlign w:val="center"/>
          </w:tcPr>
          <w:p w14:paraId="6D00957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92</w:t>
            </w:r>
          </w:p>
        </w:tc>
        <w:tc>
          <w:tcPr>
            <w:tcW w:w="727" w:type="dxa"/>
            <w:vAlign w:val="center"/>
          </w:tcPr>
          <w:p w14:paraId="4A71D15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5,45</w:t>
            </w:r>
          </w:p>
        </w:tc>
        <w:tc>
          <w:tcPr>
            <w:tcW w:w="727" w:type="dxa"/>
            <w:vAlign w:val="center"/>
          </w:tcPr>
          <w:p w14:paraId="0B77CBF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125</w:t>
            </w:r>
          </w:p>
        </w:tc>
        <w:tc>
          <w:tcPr>
            <w:tcW w:w="727" w:type="dxa"/>
            <w:vAlign w:val="center"/>
          </w:tcPr>
          <w:p w14:paraId="0DD9B8A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7,43</w:t>
            </w:r>
          </w:p>
        </w:tc>
        <w:tc>
          <w:tcPr>
            <w:tcW w:w="728" w:type="dxa"/>
            <w:vAlign w:val="center"/>
          </w:tcPr>
          <w:p w14:paraId="748C946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380</w:t>
            </w:r>
          </w:p>
        </w:tc>
        <w:tc>
          <w:tcPr>
            <w:tcW w:w="727" w:type="dxa"/>
            <w:vAlign w:val="center"/>
          </w:tcPr>
          <w:p w14:paraId="50275D0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23,1</w:t>
            </w:r>
          </w:p>
        </w:tc>
        <w:tc>
          <w:tcPr>
            <w:tcW w:w="727" w:type="dxa"/>
            <w:vAlign w:val="center"/>
          </w:tcPr>
          <w:p w14:paraId="11280B24"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387</w:t>
            </w:r>
          </w:p>
        </w:tc>
        <w:tc>
          <w:tcPr>
            <w:tcW w:w="727" w:type="dxa"/>
            <w:vAlign w:val="center"/>
          </w:tcPr>
          <w:p w14:paraId="48402FC1"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23,65</w:t>
            </w:r>
          </w:p>
        </w:tc>
        <w:tc>
          <w:tcPr>
            <w:tcW w:w="727" w:type="dxa"/>
            <w:vAlign w:val="center"/>
          </w:tcPr>
          <w:p w14:paraId="6174EA7C"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397</w:t>
            </w:r>
          </w:p>
        </w:tc>
        <w:tc>
          <w:tcPr>
            <w:tcW w:w="728" w:type="dxa"/>
            <w:vAlign w:val="center"/>
          </w:tcPr>
          <w:p w14:paraId="5D547C0C"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sz w:val="18"/>
                <w:szCs w:val="18"/>
                <w:lang w:eastAsia="pl-PL"/>
              </w:rPr>
            </w:pPr>
            <w:r w:rsidRPr="00FF50CD">
              <w:rPr>
                <w:rFonts w:ascii="Calibri" w:eastAsia="Times New Roman" w:hAnsi="Calibri" w:cs="Calibri"/>
                <w:bCs/>
                <w:sz w:val="18"/>
                <w:szCs w:val="18"/>
                <w:lang w:eastAsia="pl-PL"/>
              </w:rPr>
              <w:t>24,4</w:t>
            </w:r>
          </w:p>
        </w:tc>
      </w:tr>
    </w:tbl>
    <w:p w14:paraId="21A269E6" w14:textId="77777777" w:rsidR="0022532B" w:rsidRDefault="0022532B" w:rsidP="00597239">
      <w:pPr>
        <w:widowControl w:val="0"/>
        <w:tabs>
          <w:tab w:val="left" w:pos="851"/>
        </w:tabs>
        <w:suppressAutoHyphens/>
        <w:spacing w:after="0" w:line="276" w:lineRule="auto"/>
        <w:rPr>
          <w:rFonts w:eastAsia="Times New Roman" w:cstheme="minorHAnsi"/>
          <w:b/>
          <w:sz w:val="24"/>
          <w:szCs w:val="24"/>
          <w:lang w:eastAsia="pl-PL"/>
        </w:rPr>
      </w:pPr>
    </w:p>
    <w:p w14:paraId="4BD167D0" w14:textId="76F149A0" w:rsidR="000B4D72" w:rsidRPr="00424F97" w:rsidRDefault="000B4D72" w:rsidP="00597239">
      <w:pPr>
        <w:widowControl w:val="0"/>
        <w:tabs>
          <w:tab w:val="left" w:pos="851"/>
        </w:tabs>
        <w:suppressAutoHyphens/>
        <w:spacing w:after="0" w:line="276" w:lineRule="auto"/>
        <w:rPr>
          <w:rFonts w:eastAsia="Times New Roman" w:cstheme="minorHAnsi"/>
          <w:b/>
          <w:sz w:val="24"/>
          <w:szCs w:val="24"/>
          <w:lang w:eastAsia="pl-PL"/>
        </w:rPr>
      </w:pPr>
      <w:r w:rsidRPr="00424F97">
        <w:rPr>
          <w:rFonts w:eastAsia="Times New Roman" w:cstheme="minorHAnsi"/>
          <w:b/>
          <w:sz w:val="24"/>
          <w:szCs w:val="24"/>
          <w:lang w:eastAsia="pl-PL"/>
        </w:rPr>
        <w:t>Wirusowe zapalenie wątroby typu A</w:t>
      </w:r>
    </w:p>
    <w:p w14:paraId="3B88763F" w14:textId="77777777" w:rsidR="000B4D72" w:rsidRDefault="000B4D72" w:rsidP="00597239">
      <w:pPr>
        <w:widowControl w:val="0"/>
        <w:tabs>
          <w:tab w:val="left" w:pos="851"/>
        </w:tabs>
        <w:suppressAutoHyphens/>
        <w:spacing w:after="0" w:line="276" w:lineRule="auto"/>
        <w:rPr>
          <w:rFonts w:eastAsia="Times New Roman" w:cstheme="minorHAnsi"/>
          <w:sz w:val="24"/>
          <w:szCs w:val="24"/>
          <w:lang w:eastAsia="pl-PL"/>
        </w:rPr>
      </w:pPr>
      <w:r w:rsidRPr="00424F97">
        <w:rPr>
          <w:rFonts w:eastAsia="Times New Roman" w:cstheme="minorHAnsi"/>
          <w:sz w:val="24"/>
          <w:szCs w:val="24"/>
          <w:lang w:eastAsia="pl-PL"/>
        </w:rPr>
        <w:t>W 2024 r. w Polsce zaobserwowano wzrost zachorowań na wirusowe zapalenia wątroby typu A o ponad 50% w stosunku do roku ubiegłego. Również na terenie woj. zachodniopomorskiego odnotowano wzrost zachorowań</w:t>
      </w:r>
      <w:r>
        <w:rPr>
          <w:rFonts w:eastAsia="Times New Roman" w:cstheme="minorHAnsi"/>
          <w:sz w:val="24"/>
          <w:szCs w:val="24"/>
          <w:lang w:eastAsia="pl-PL"/>
        </w:rPr>
        <w:t xml:space="preserve">, tj. ponad 1,5-krotny </w:t>
      </w:r>
      <w:r w:rsidRPr="00424F97">
        <w:rPr>
          <w:rFonts w:eastAsia="Times New Roman" w:cstheme="minorHAnsi"/>
          <w:sz w:val="24"/>
          <w:szCs w:val="24"/>
          <w:lang w:eastAsia="pl-PL"/>
        </w:rPr>
        <w:t>wzrost</w:t>
      </w:r>
      <w:r>
        <w:rPr>
          <w:rFonts w:eastAsia="Times New Roman" w:cstheme="minorHAnsi"/>
          <w:sz w:val="24"/>
          <w:szCs w:val="24"/>
          <w:lang w:eastAsia="pl-PL"/>
        </w:rPr>
        <w:t xml:space="preserve"> zachorowań w odniesieniu do 2023 r.</w:t>
      </w:r>
      <w:r w:rsidRPr="00424F97">
        <w:rPr>
          <w:rFonts w:eastAsia="Times New Roman" w:cstheme="minorHAnsi"/>
          <w:sz w:val="24"/>
          <w:szCs w:val="24"/>
          <w:lang w:eastAsia="pl-PL"/>
        </w:rPr>
        <w:t xml:space="preserve"> W toku dochodzeń epidemiologicznych nie ustalono powiązania pomiędzy przypadkami, natomiast ustalony został związek z podróżami na terenie kraju (4 osoby) i poza granice Polski (1 osoba, Hiszpania).</w:t>
      </w:r>
    </w:p>
    <w:p w14:paraId="470CACC2" w14:textId="77777777" w:rsidR="009876C5" w:rsidRPr="00424F97" w:rsidRDefault="009876C5" w:rsidP="00597239">
      <w:pPr>
        <w:widowControl w:val="0"/>
        <w:tabs>
          <w:tab w:val="left" w:pos="851"/>
        </w:tabs>
        <w:suppressAutoHyphens/>
        <w:spacing w:after="0" w:line="276" w:lineRule="auto"/>
        <w:ind w:firstLine="567"/>
        <w:rPr>
          <w:rFonts w:eastAsia="Times New Roman" w:cstheme="minorHAnsi"/>
          <w:sz w:val="24"/>
          <w:szCs w:val="24"/>
          <w:lang w:eastAsia="pl-PL"/>
        </w:rPr>
      </w:pPr>
    </w:p>
    <w:p w14:paraId="7D2D2700" w14:textId="6910E279" w:rsidR="000B4D72" w:rsidRPr="009876C5" w:rsidRDefault="009876C5" w:rsidP="00597239">
      <w:pPr>
        <w:pStyle w:val="Legenda"/>
        <w:spacing w:after="0"/>
        <w:rPr>
          <w:i w:val="0"/>
          <w:iCs w:val="0"/>
          <w:color w:val="000000" w:themeColor="text1"/>
          <w:lang w:eastAsia="pl-PL"/>
        </w:rPr>
      </w:pPr>
      <w:bookmarkStart w:id="32" w:name="_Toc193805975"/>
      <w:bookmarkStart w:id="33" w:name="_Toc193969523"/>
      <w:bookmarkStart w:id="34" w:name="_Toc194059983"/>
      <w:r w:rsidRPr="009876C5">
        <w:rPr>
          <w:i w:val="0"/>
          <w:iCs w:val="0"/>
          <w:color w:val="000000" w:themeColor="text1"/>
        </w:rPr>
        <w:t xml:space="preserve">Tabela </w:t>
      </w:r>
      <w:r w:rsidRPr="009876C5">
        <w:rPr>
          <w:i w:val="0"/>
          <w:iCs w:val="0"/>
          <w:color w:val="000000" w:themeColor="text1"/>
        </w:rPr>
        <w:fldChar w:fldCharType="begin"/>
      </w:r>
      <w:r w:rsidRPr="009876C5">
        <w:rPr>
          <w:i w:val="0"/>
          <w:iCs w:val="0"/>
          <w:color w:val="000000" w:themeColor="text1"/>
        </w:rPr>
        <w:instrText xml:space="preserve"> SEQ Tabela \* ARABIC </w:instrText>
      </w:r>
      <w:r w:rsidRPr="009876C5">
        <w:rPr>
          <w:i w:val="0"/>
          <w:iCs w:val="0"/>
          <w:color w:val="000000" w:themeColor="text1"/>
        </w:rPr>
        <w:fldChar w:fldCharType="separate"/>
      </w:r>
      <w:r w:rsidR="00FB6F6A">
        <w:rPr>
          <w:i w:val="0"/>
          <w:iCs w:val="0"/>
          <w:noProof/>
          <w:color w:val="000000" w:themeColor="text1"/>
        </w:rPr>
        <w:t>5</w:t>
      </w:r>
      <w:r w:rsidRPr="009876C5">
        <w:rPr>
          <w:i w:val="0"/>
          <w:iCs w:val="0"/>
          <w:color w:val="000000" w:themeColor="text1"/>
        </w:rPr>
        <w:fldChar w:fldCharType="end"/>
      </w:r>
      <w:r w:rsidR="00E75D31">
        <w:rPr>
          <w:i w:val="0"/>
          <w:iCs w:val="0"/>
          <w:color w:val="000000" w:themeColor="text1"/>
        </w:rPr>
        <w:t>.</w:t>
      </w:r>
      <w:r w:rsidRPr="009876C5">
        <w:rPr>
          <w:i w:val="0"/>
          <w:iCs w:val="0"/>
          <w:color w:val="000000" w:themeColor="text1"/>
        </w:rPr>
        <w:t xml:space="preserve"> Liczba zachorowań i współczynnik zapadalności na wirusowe zapalenie wątroby typu A w Polsce i na terenie woj. zachodniopomorskiego w latach 2020-2024</w:t>
      </w:r>
      <w:r w:rsidR="004E5976">
        <w:rPr>
          <w:i w:val="0"/>
          <w:iCs w:val="0"/>
          <w:color w:val="000000" w:themeColor="text1"/>
        </w:rPr>
        <w:t>.</w:t>
      </w:r>
      <w:bookmarkEnd w:id="32"/>
      <w:bookmarkEnd w:id="33"/>
      <w:bookmarkEnd w:id="34"/>
    </w:p>
    <w:tbl>
      <w:tblPr>
        <w:tblStyle w:val="Tabelasiatki4akcent1"/>
        <w:tblW w:w="5000" w:type="pct"/>
        <w:tblLayout w:type="fixed"/>
        <w:tblLook w:val="04A0" w:firstRow="1" w:lastRow="0" w:firstColumn="1" w:lastColumn="0" w:noHBand="0" w:noVBand="1"/>
        <w:tblCaption w:val="Liczba zachorowań i współczynnik zapadalności na wirusowe zapalenie wątroby typu A w Polsce i na terenie woj. zachodniopomorskiego w latach 2020-2024"/>
        <w:tblDescription w:val="Tabela przedstawia dane dotyczące zachorowań i współczynnika zapadalności na wirusaowe zapalenie wątroby  typu A w Polsce i województwie zachodniopomorskim. W 2024 roku w województwie liczba zachorowań wynosiła 25 przypadki (współczynnik zapadalności: 1,48), natomiast w Polsce liczba zachorowań wynosiła 316 przypadków (współczynnik zapadalności: 0,84)."/>
      </w:tblPr>
      <w:tblGrid>
        <w:gridCol w:w="2049"/>
        <w:gridCol w:w="700"/>
        <w:gridCol w:w="701"/>
        <w:gridCol w:w="701"/>
        <w:gridCol w:w="702"/>
        <w:gridCol w:w="701"/>
        <w:gridCol w:w="702"/>
        <w:gridCol w:w="701"/>
        <w:gridCol w:w="702"/>
        <w:gridCol w:w="701"/>
        <w:gridCol w:w="702"/>
      </w:tblGrid>
      <w:tr w:rsidR="000B4D72" w:rsidRPr="00FF50CD" w14:paraId="3F33A457" w14:textId="77777777" w:rsidTr="00FF5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vMerge w:val="restart"/>
            <w:vAlign w:val="center"/>
          </w:tcPr>
          <w:p w14:paraId="483E1C37" w14:textId="77777777" w:rsidR="000B4D72" w:rsidRPr="00FF50CD" w:rsidRDefault="000B4D72" w:rsidP="00597239">
            <w:pPr>
              <w:tabs>
                <w:tab w:val="left" w:pos="851"/>
              </w:tabs>
              <w:spacing w:line="276" w:lineRule="auto"/>
              <w:outlineLvl w:val="3"/>
              <w:rPr>
                <w:rFonts w:eastAsia="Times New Roman" w:cstheme="minorHAnsi"/>
                <w:b w:val="0"/>
                <w:sz w:val="18"/>
                <w:szCs w:val="18"/>
                <w:lang w:eastAsia="pl-PL"/>
              </w:rPr>
            </w:pPr>
          </w:p>
        </w:tc>
        <w:tc>
          <w:tcPr>
            <w:tcW w:w="1417" w:type="dxa"/>
            <w:gridSpan w:val="2"/>
            <w:vAlign w:val="center"/>
          </w:tcPr>
          <w:p w14:paraId="11CD5581"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F50CD">
              <w:rPr>
                <w:rFonts w:eastAsia="Times New Roman" w:cstheme="minorHAnsi"/>
                <w:b w:val="0"/>
                <w:sz w:val="18"/>
                <w:szCs w:val="18"/>
                <w:lang w:eastAsia="pl-PL"/>
              </w:rPr>
              <w:t>2020 r.</w:t>
            </w:r>
          </w:p>
        </w:tc>
        <w:tc>
          <w:tcPr>
            <w:tcW w:w="1417" w:type="dxa"/>
            <w:gridSpan w:val="2"/>
            <w:vAlign w:val="center"/>
          </w:tcPr>
          <w:p w14:paraId="0D560272"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F50CD">
              <w:rPr>
                <w:rFonts w:eastAsia="Times New Roman" w:cstheme="minorHAnsi"/>
                <w:b w:val="0"/>
                <w:sz w:val="18"/>
                <w:szCs w:val="18"/>
                <w:lang w:eastAsia="pl-PL"/>
              </w:rPr>
              <w:t>2021 r.</w:t>
            </w:r>
          </w:p>
        </w:tc>
        <w:tc>
          <w:tcPr>
            <w:tcW w:w="1417" w:type="dxa"/>
            <w:gridSpan w:val="2"/>
            <w:vAlign w:val="center"/>
          </w:tcPr>
          <w:p w14:paraId="37A874F4"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F50CD">
              <w:rPr>
                <w:rFonts w:eastAsia="Times New Roman" w:cstheme="minorHAnsi"/>
                <w:b w:val="0"/>
                <w:sz w:val="18"/>
                <w:szCs w:val="18"/>
                <w:lang w:eastAsia="pl-PL"/>
              </w:rPr>
              <w:t>2022 r.</w:t>
            </w:r>
          </w:p>
        </w:tc>
        <w:tc>
          <w:tcPr>
            <w:tcW w:w="1417" w:type="dxa"/>
            <w:gridSpan w:val="2"/>
            <w:vAlign w:val="center"/>
          </w:tcPr>
          <w:p w14:paraId="549B8E8E"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F50CD">
              <w:rPr>
                <w:rFonts w:eastAsia="Times New Roman" w:cstheme="minorHAnsi"/>
                <w:b w:val="0"/>
                <w:sz w:val="18"/>
                <w:szCs w:val="18"/>
                <w:lang w:eastAsia="pl-PL"/>
              </w:rPr>
              <w:t>2023 r.</w:t>
            </w:r>
          </w:p>
        </w:tc>
        <w:tc>
          <w:tcPr>
            <w:tcW w:w="1417" w:type="dxa"/>
            <w:gridSpan w:val="2"/>
            <w:vAlign w:val="center"/>
          </w:tcPr>
          <w:p w14:paraId="6EB8B639"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F50CD">
              <w:rPr>
                <w:rFonts w:eastAsia="Times New Roman" w:cstheme="minorHAnsi"/>
                <w:b w:val="0"/>
                <w:sz w:val="18"/>
                <w:szCs w:val="18"/>
                <w:lang w:eastAsia="pl-PL"/>
              </w:rPr>
              <w:t>2024 r.</w:t>
            </w:r>
          </w:p>
        </w:tc>
      </w:tr>
      <w:tr w:rsidR="0022532B" w:rsidRPr="00FF50CD" w14:paraId="7B43413D" w14:textId="77777777" w:rsidTr="00FF50CD">
        <w:trPr>
          <w:cnfStyle w:val="000000100000" w:firstRow="0" w:lastRow="0" w:firstColumn="0" w:lastColumn="0" w:oddVBand="0" w:evenVBand="0" w:oddHBand="1" w:evenHBand="0" w:firstRowFirstColumn="0" w:firstRowLastColumn="0" w:lastRowFirstColumn="0" w:lastRowLastColumn="0"/>
          <w:trHeight w:val="1946"/>
        </w:trPr>
        <w:tc>
          <w:tcPr>
            <w:cnfStyle w:val="001000000000" w:firstRow="0" w:lastRow="0" w:firstColumn="1" w:lastColumn="0" w:oddVBand="0" w:evenVBand="0" w:oddHBand="0" w:evenHBand="0" w:firstRowFirstColumn="0" w:firstRowLastColumn="0" w:lastRowFirstColumn="0" w:lastRowLastColumn="0"/>
            <w:tcW w:w="2078" w:type="dxa"/>
            <w:vMerge/>
            <w:vAlign w:val="center"/>
          </w:tcPr>
          <w:p w14:paraId="3B346C5B" w14:textId="77777777" w:rsidR="000B4D72" w:rsidRPr="00FF50CD" w:rsidRDefault="000B4D72" w:rsidP="00597239">
            <w:pPr>
              <w:tabs>
                <w:tab w:val="left" w:pos="851"/>
              </w:tabs>
              <w:spacing w:line="276" w:lineRule="auto"/>
              <w:outlineLvl w:val="3"/>
              <w:rPr>
                <w:rFonts w:eastAsia="Times New Roman" w:cstheme="minorHAnsi"/>
                <w:b w:val="0"/>
                <w:sz w:val="18"/>
                <w:szCs w:val="18"/>
                <w:lang w:eastAsia="pl-PL"/>
              </w:rPr>
            </w:pPr>
          </w:p>
        </w:tc>
        <w:tc>
          <w:tcPr>
            <w:tcW w:w="708" w:type="dxa"/>
            <w:textDirection w:val="btLr"/>
            <w:vAlign w:val="center"/>
          </w:tcPr>
          <w:p w14:paraId="652DB539"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Liczba zachorowań</w:t>
            </w:r>
          </w:p>
        </w:tc>
        <w:tc>
          <w:tcPr>
            <w:tcW w:w="709" w:type="dxa"/>
            <w:textDirection w:val="btLr"/>
            <w:vAlign w:val="center"/>
          </w:tcPr>
          <w:p w14:paraId="258E4791"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Zapadalność</w:t>
            </w:r>
            <w:r w:rsidRPr="00FF50CD">
              <w:rPr>
                <w:rFonts w:eastAsia="Times New Roman" w:cstheme="minorHAnsi"/>
                <w:bCs/>
                <w:sz w:val="18"/>
                <w:szCs w:val="18"/>
                <w:lang w:eastAsia="pl-PL"/>
              </w:rPr>
              <w:br/>
              <w:t>na 100 tys.</w:t>
            </w:r>
          </w:p>
        </w:tc>
        <w:tc>
          <w:tcPr>
            <w:tcW w:w="708" w:type="dxa"/>
            <w:textDirection w:val="btLr"/>
            <w:vAlign w:val="center"/>
          </w:tcPr>
          <w:p w14:paraId="5E5C42D1"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Liczba zachorowań</w:t>
            </w:r>
          </w:p>
        </w:tc>
        <w:tc>
          <w:tcPr>
            <w:tcW w:w="709" w:type="dxa"/>
            <w:textDirection w:val="btLr"/>
            <w:vAlign w:val="center"/>
          </w:tcPr>
          <w:p w14:paraId="147C2E29"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Zapadalność</w:t>
            </w:r>
            <w:r w:rsidRPr="00FF50CD">
              <w:rPr>
                <w:rFonts w:eastAsia="Times New Roman" w:cstheme="minorHAnsi"/>
                <w:bCs/>
                <w:sz w:val="18"/>
                <w:szCs w:val="18"/>
                <w:lang w:eastAsia="pl-PL"/>
              </w:rPr>
              <w:br/>
              <w:t>na 100 tys.</w:t>
            </w:r>
          </w:p>
        </w:tc>
        <w:tc>
          <w:tcPr>
            <w:tcW w:w="708" w:type="dxa"/>
            <w:textDirection w:val="btLr"/>
            <w:vAlign w:val="center"/>
          </w:tcPr>
          <w:p w14:paraId="7B039363"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Liczba zachorowań</w:t>
            </w:r>
          </w:p>
        </w:tc>
        <w:tc>
          <w:tcPr>
            <w:tcW w:w="709" w:type="dxa"/>
            <w:textDirection w:val="btLr"/>
            <w:vAlign w:val="center"/>
          </w:tcPr>
          <w:p w14:paraId="533A3B85"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Zapadalność</w:t>
            </w:r>
            <w:r w:rsidRPr="00FF50CD">
              <w:rPr>
                <w:rFonts w:eastAsia="Times New Roman" w:cstheme="minorHAnsi"/>
                <w:bCs/>
                <w:sz w:val="18"/>
                <w:szCs w:val="18"/>
                <w:lang w:eastAsia="pl-PL"/>
              </w:rPr>
              <w:br/>
              <w:t>na 100 tys.</w:t>
            </w:r>
          </w:p>
        </w:tc>
        <w:tc>
          <w:tcPr>
            <w:tcW w:w="708" w:type="dxa"/>
            <w:textDirection w:val="btLr"/>
            <w:vAlign w:val="center"/>
          </w:tcPr>
          <w:p w14:paraId="7C0A2F36"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Liczba zachorowań</w:t>
            </w:r>
          </w:p>
        </w:tc>
        <w:tc>
          <w:tcPr>
            <w:tcW w:w="709" w:type="dxa"/>
            <w:textDirection w:val="btLr"/>
            <w:vAlign w:val="center"/>
          </w:tcPr>
          <w:p w14:paraId="2DC218EA"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Zapadalność</w:t>
            </w:r>
            <w:r w:rsidRPr="00FF50CD">
              <w:rPr>
                <w:rFonts w:eastAsia="Times New Roman" w:cstheme="minorHAnsi"/>
                <w:bCs/>
                <w:sz w:val="18"/>
                <w:szCs w:val="18"/>
                <w:lang w:eastAsia="pl-PL"/>
              </w:rPr>
              <w:br/>
              <w:t>na 100 tys.</w:t>
            </w:r>
          </w:p>
        </w:tc>
        <w:tc>
          <w:tcPr>
            <w:tcW w:w="708" w:type="dxa"/>
            <w:textDirection w:val="btLr"/>
            <w:vAlign w:val="center"/>
          </w:tcPr>
          <w:p w14:paraId="0A428AE0"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Liczba zachorowań</w:t>
            </w:r>
          </w:p>
        </w:tc>
        <w:tc>
          <w:tcPr>
            <w:tcW w:w="709" w:type="dxa"/>
            <w:textDirection w:val="btLr"/>
            <w:vAlign w:val="center"/>
          </w:tcPr>
          <w:p w14:paraId="35D659E4" w14:textId="77777777" w:rsidR="000B4D72" w:rsidRPr="00FF50CD" w:rsidRDefault="000B4D72" w:rsidP="00597239">
            <w:pPr>
              <w:tabs>
                <w:tab w:val="left" w:pos="851"/>
              </w:tabs>
              <w:ind w:left="113" w:right="113"/>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Zapadalność</w:t>
            </w:r>
            <w:r w:rsidRPr="00FF50CD">
              <w:rPr>
                <w:rFonts w:eastAsia="Times New Roman" w:cstheme="minorHAnsi"/>
                <w:bCs/>
                <w:sz w:val="18"/>
                <w:szCs w:val="18"/>
                <w:lang w:eastAsia="pl-PL"/>
              </w:rPr>
              <w:br/>
              <w:t>na 100 tys.</w:t>
            </w:r>
          </w:p>
        </w:tc>
      </w:tr>
      <w:tr w:rsidR="000B4D72" w:rsidRPr="00FF50CD" w14:paraId="2B0B8C50" w14:textId="77777777" w:rsidTr="00FF50CD">
        <w:trPr>
          <w:trHeight w:val="491"/>
        </w:trPr>
        <w:tc>
          <w:tcPr>
            <w:cnfStyle w:val="001000000000" w:firstRow="0" w:lastRow="0" w:firstColumn="1" w:lastColumn="0" w:oddVBand="0" w:evenVBand="0" w:oddHBand="0" w:evenHBand="0" w:firstRowFirstColumn="0" w:firstRowLastColumn="0" w:lastRowFirstColumn="0" w:lastRowLastColumn="0"/>
            <w:tcW w:w="2078" w:type="dxa"/>
            <w:vAlign w:val="center"/>
          </w:tcPr>
          <w:p w14:paraId="5E2AB0F4" w14:textId="77777777" w:rsidR="000B4D72" w:rsidRPr="00FF50CD" w:rsidRDefault="000B4D72" w:rsidP="00597239">
            <w:pPr>
              <w:tabs>
                <w:tab w:val="left" w:pos="851"/>
              </w:tabs>
              <w:spacing w:line="276" w:lineRule="auto"/>
              <w:outlineLvl w:val="3"/>
              <w:rPr>
                <w:rFonts w:eastAsia="Times New Roman" w:cstheme="minorHAnsi"/>
                <w:b w:val="0"/>
                <w:sz w:val="18"/>
                <w:szCs w:val="18"/>
                <w:lang w:eastAsia="pl-PL"/>
              </w:rPr>
            </w:pPr>
            <w:r w:rsidRPr="00FF50CD">
              <w:rPr>
                <w:rFonts w:eastAsia="Times New Roman" w:cstheme="minorHAnsi"/>
                <w:b w:val="0"/>
                <w:sz w:val="18"/>
                <w:szCs w:val="18"/>
                <w:lang w:eastAsia="pl-PL"/>
              </w:rPr>
              <w:t>Polska</w:t>
            </w:r>
          </w:p>
        </w:tc>
        <w:tc>
          <w:tcPr>
            <w:tcW w:w="708" w:type="dxa"/>
            <w:vAlign w:val="center"/>
          </w:tcPr>
          <w:p w14:paraId="26D35AC8" w14:textId="77777777" w:rsidR="000B4D72" w:rsidRPr="00FF50CD"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111</w:t>
            </w:r>
          </w:p>
        </w:tc>
        <w:tc>
          <w:tcPr>
            <w:tcW w:w="709" w:type="dxa"/>
            <w:vAlign w:val="center"/>
          </w:tcPr>
          <w:p w14:paraId="154E71D7" w14:textId="77777777" w:rsidR="000B4D72" w:rsidRPr="00FF50CD"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0,29</w:t>
            </w:r>
          </w:p>
        </w:tc>
        <w:tc>
          <w:tcPr>
            <w:tcW w:w="708" w:type="dxa"/>
            <w:vAlign w:val="center"/>
          </w:tcPr>
          <w:p w14:paraId="7D720E02" w14:textId="77777777" w:rsidR="000B4D72" w:rsidRPr="00FF50CD"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92</w:t>
            </w:r>
          </w:p>
        </w:tc>
        <w:tc>
          <w:tcPr>
            <w:tcW w:w="709" w:type="dxa"/>
            <w:vAlign w:val="center"/>
          </w:tcPr>
          <w:p w14:paraId="1B9058D1" w14:textId="77777777" w:rsidR="000B4D72" w:rsidRPr="00FF50CD"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0,24</w:t>
            </w:r>
          </w:p>
        </w:tc>
        <w:tc>
          <w:tcPr>
            <w:tcW w:w="708" w:type="dxa"/>
            <w:vAlign w:val="center"/>
          </w:tcPr>
          <w:p w14:paraId="0BAC0798" w14:textId="77777777" w:rsidR="000B4D72" w:rsidRPr="00FF50CD"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233</w:t>
            </w:r>
          </w:p>
        </w:tc>
        <w:tc>
          <w:tcPr>
            <w:tcW w:w="709" w:type="dxa"/>
            <w:vAlign w:val="center"/>
          </w:tcPr>
          <w:p w14:paraId="61AC1880" w14:textId="77777777" w:rsidR="000B4D72" w:rsidRPr="00FF50CD"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0,62</w:t>
            </w:r>
          </w:p>
        </w:tc>
        <w:tc>
          <w:tcPr>
            <w:tcW w:w="708" w:type="dxa"/>
            <w:vAlign w:val="center"/>
          </w:tcPr>
          <w:p w14:paraId="2234CEE1"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206</w:t>
            </w:r>
          </w:p>
        </w:tc>
        <w:tc>
          <w:tcPr>
            <w:tcW w:w="709" w:type="dxa"/>
            <w:vAlign w:val="center"/>
          </w:tcPr>
          <w:p w14:paraId="5EF14230"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0,55</w:t>
            </w:r>
          </w:p>
        </w:tc>
        <w:tc>
          <w:tcPr>
            <w:tcW w:w="708" w:type="dxa"/>
            <w:vAlign w:val="center"/>
          </w:tcPr>
          <w:p w14:paraId="68850AF8"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316</w:t>
            </w:r>
          </w:p>
        </w:tc>
        <w:tc>
          <w:tcPr>
            <w:tcW w:w="709" w:type="dxa"/>
            <w:vAlign w:val="center"/>
          </w:tcPr>
          <w:p w14:paraId="5302BCA3"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0,84</w:t>
            </w:r>
          </w:p>
        </w:tc>
      </w:tr>
      <w:tr w:rsidR="000B4D72" w:rsidRPr="00FF50CD" w14:paraId="0E591737" w14:textId="77777777" w:rsidTr="00FF50C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078" w:type="dxa"/>
            <w:vAlign w:val="center"/>
          </w:tcPr>
          <w:p w14:paraId="75129D65" w14:textId="77777777" w:rsidR="000B4D72" w:rsidRPr="00FF50CD" w:rsidRDefault="000B4D72" w:rsidP="00597239">
            <w:pPr>
              <w:rPr>
                <w:rFonts w:cstheme="minorHAnsi"/>
                <w:b w:val="0"/>
                <w:sz w:val="18"/>
                <w:szCs w:val="18"/>
                <w:lang w:eastAsia="pl-PL"/>
              </w:rPr>
            </w:pPr>
            <w:r w:rsidRPr="00FF50CD">
              <w:rPr>
                <w:rFonts w:cstheme="minorHAnsi"/>
                <w:b w:val="0"/>
                <w:sz w:val="18"/>
                <w:szCs w:val="18"/>
                <w:lang w:eastAsia="pl-PL"/>
              </w:rPr>
              <w:t>województwo</w:t>
            </w:r>
          </w:p>
          <w:p w14:paraId="662D1EB4" w14:textId="77777777" w:rsidR="000B4D72" w:rsidRPr="00FF50CD" w:rsidRDefault="000B4D72" w:rsidP="00597239">
            <w:pPr>
              <w:rPr>
                <w:rFonts w:cstheme="minorHAnsi"/>
                <w:b w:val="0"/>
                <w:sz w:val="18"/>
                <w:szCs w:val="18"/>
                <w:lang w:eastAsia="pl-PL"/>
              </w:rPr>
            </w:pPr>
            <w:r w:rsidRPr="00FF50CD">
              <w:rPr>
                <w:rFonts w:cstheme="minorHAnsi"/>
                <w:b w:val="0"/>
                <w:sz w:val="18"/>
                <w:szCs w:val="18"/>
                <w:lang w:eastAsia="pl-PL"/>
              </w:rPr>
              <w:t>zachodniopomorskie</w:t>
            </w:r>
          </w:p>
        </w:tc>
        <w:tc>
          <w:tcPr>
            <w:tcW w:w="708" w:type="dxa"/>
            <w:vAlign w:val="center"/>
          </w:tcPr>
          <w:p w14:paraId="6BFFD8B2" w14:textId="77777777" w:rsidR="000B4D72" w:rsidRPr="00FF50CD"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12</w:t>
            </w:r>
          </w:p>
        </w:tc>
        <w:tc>
          <w:tcPr>
            <w:tcW w:w="709" w:type="dxa"/>
            <w:vAlign w:val="center"/>
          </w:tcPr>
          <w:p w14:paraId="512927CA" w14:textId="77777777" w:rsidR="000B4D72" w:rsidRPr="00FF50CD"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0,71</w:t>
            </w:r>
          </w:p>
        </w:tc>
        <w:tc>
          <w:tcPr>
            <w:tcW w:w="708" w:type="dxa"/>
            <w:vAlign w:val="center"/>
          </w:tcPr>
          <w:p w14:paraId="32E8456D" w14:textId="77777777" w:rsidR="000B4D72" w:rsidRPr="00FF50CD"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3</w:t>
            </w:r>
          </w:p>
        </w:tc>
        <w:tc>
          <w:tcPr>
            <w:tcW w:w="709" w:type="dxa"/>
            <w:vAlign w:val="center"/>
          </w:tcPr>
          <w:p w14:paraId="13BC46A9" w14:textId="77777777" w:rsidR="000B4D72" w:rsidRPr="00FF50CD"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0,18</w:t>
            </w:r>
          </w:p>
        </w:tc>
        <w:tc>
          <w:tcPr>
            <w:tcW w:w="708" w:type="dxa"/>
            <w:vAlign w:val="center"/>
          </w:tcPr>
          <w:p w14:paraId="38EF6FA0" w14:textId="77777777" w:rsidR="000B4D72" w:rsidRPr="00FF50CD"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5</w:t>
            </w:r>
          </w:p>
        </w:tc>
        <w:tc>
          <w:tcPr>
            <w:tcW w:w="709" w:type="dxa"/>
            <w:vAlign w:val="center"/>
          </w:tcPr>
          <w:p w14:paraId="549A29BC" w14:textId="77777777" w:rsidR="000B4D72" w:rsidRPr="00FF50CD"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0,30</w:t>
            </w:r>
          </w:p>
        </w:tc>
        <w:tc>
          <w:tcPr>
            <w:tcW w:w="708" w:type="dxa"/>
            <w:vAlign w:val="center"/>
          </w:tcPr>
          <w:p w14:paraId="393FFE9E"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9</w:t>
            </w:r>
          </w:p>
        </w:tc>
        <w:tc>
          <w:tcPr>
            <w:tcW w:w="709" w:type="dxa"/>
            <w:vAlign w:val="center"/>
          </w:tcPr>
          <w:p w14:paraId="6717CDC3"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0,55</w:t>
            </w:r>
          </w:p>
        </w:tc>
        <w:tc>
          <w:tcPr>
            <w:tcW w:w="708" w:type="dxa"/>
            <w:vAlign w:val="center"/>
          </w:tcPr>
          <w:p w14:paraId="173D8DEE"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24</w:t>
            </w:r>
          </w:p>
        </w:tc>
        <w:tc>
          <w:tcPr>
            <w:tcW w:w="709" w:type="dxa"/>
            <w:vAlign w:val="center"/>
          </w:tcPr>
          <w:p w14:paraId="2F7AA001"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F50CD">
              <w:rPr>
                <w:rFonts w:eastAsia="Times New Roman" w:cstheme="minorHAnsi"/>
                <w:bCs/>
                <w:sz w:val="18"/>
                <w:szCs w:val="18"/>
                <w:lang w:eastAsia="pl-PL"/>
              </w:rPr>
              <w:t>1,48</w:t>
            </w:r>
          </w:p>
        </w:tc>
      </w:tr>
    </w:tbl>
    <w:p w14:paraId="0754C2F3" w14:textId="77777777" w:rsidR="0022532B" w:rsidRDefault="0022532B" w:rsidP="00597239">
      <w:pPr>
        <w:tabs>
          <w:tab w:val="left" w:pos="851"/>
        </w:tabs>
        <w:spacing w:after="0" w:line="276" w:lineRule="auto"/>
        <w:rPr>
          <w:rFonts w:eastAsia="Times New Roman" w:cstheme="minorHAnsi"/>
          <w:sz w:val="24"/>
          <w:szCs w:val="24"/>
          <w:lang w:eastAsia="pl-PL"/>
        </w:rPr>
      </w:pPr>
    </w:p>
    <w:p w14:paraId="0ADC4C16" w14:textId="13142825" w:rsidR="000B4D72" w:rsidRDefault="000B4D72" w:rsidP="00597239">
      <w:pPr>
        <w:tabs>
          <w:tab w:val="left" w:pos="851"/>
        </w:tabs>
        <w:spacing w:after="0" w:line="276" w:lineRule="auto"/>
        <w:rPr>
          <w:rFonts w:eastAsia="Times New Roman" w:cstheme="minorHAnsi"/>
          <w:color w:val="B4C6E7" w:themeColor="accent1" w:themeTint="66"/>
          <w:sz w:val="24"/>
          <w:szCs w:val="24"/>
          <w:lang w:eastAsia="pl-PL"/>
        </w:rPr>
      </w:pPr>
      <w:r>
        <w:rPr>
          <w:rFonts w:eastAsia="Times New Roman" w:cstheme="minorHAnsi"/>
          <w:sz w:val="24"/>
          <w:szCs w:val="24"/>
          <w:lang w:eastAsia="pl-PL"/>
        </w:rPr>
        <w:t xml:space="preserve">Zachorowania w równym stopniu dotyczyły </w:t>
      </w:r>
      <w:r w:rsidRPr="00424F97">
        <w:rPr>
          <w:rFonts w:eastAsia="Times New Roman" w:cstheme="minorHAnsi"/>
          <w:sz w:val="24"/>
          <w:szCs w:val="24"/>
          <w:lang w:eastAsia="pl-PL"/>
        </w:rPr>
        <w:t>kobiet i</w:t>
      </w:r>
      <w:r>
        <w:rPr>
          <w:rFonts w:eastAsia="Times New Roman" w:cstheme="minorHAnsi"/>
          <w:sz w:val="24"/>
          <w:szCs w:val="24"/>
          <w:lang w:eastAsia="pl-PL"/>
        </w:rPr>
        <w:t xml:space="preserve"> </w:t>
      </w:r>
      <w:r w:rsidRPr="00424F97">
        <w:rPr>
          <w:rFonts w:eastAsia="Times New Roman" w:cstheme="minorHAnsi"/>
          <w:sz w:val="24"/>
          <w:szCs w:val="24"/>
          <w:lang w:eastAsia="pl-PL"/>
        </w:rPr>
        <w:t>mężczyzn.</w:t>
      </w:r>
      <w:r w:rsidRPr="000B7EF2">
        <w:rPr>
          <w:rFonts w:eastAsia="Times New Roman" w:cstheme="minorHAnsi"/>
          <w:color w:val="B4C6E7" w:themeColor="accent1" w:themeTint="66"/>
          <w:sz w:val="24"/>
          <w:szCs w:val="24"/>
          <w:lang w:eastAsia="pl-PL"/>
        </w:rPr>
        <w:t xml:space="preserve"> </w:t>
      </w:r>
    </w:p>
    <w:p w14:paraId="27701CF8" w14:textId="77777777" w:rsidR="0022532B" w:rsidRDefault="0022532B" w:rsidP="00597239">
      <w:pPr>
        <w:tabs>
          <w:tab w:val="left" w:pos="851"/>
        </w:tabs>
        <w:spacing w:after="0" w:line="276" w:lineRule="auto"/>
        <w:rPr>
          <w:rFonts w:eastAsia="Times New Roman" w:cstheme="minorHAnsi"/>
          <w:b/>
          <w:sz w:val="24"/>
          <w:szCs w:val="20"/>
          <w:lang w:eastAsia="pl-PL"/>
        </w:rPr>
      </w:pPr>
    </w:p>
    <w:p w14:paraId="209BDA27" w14:textId="77777777" w:rsidR="006921B5" w:rsidRDefault="006921B5" w:rsidP="00597239">
      <w:pPr>
        <w:tabs>
          <w:tab w:val="left" w:pos="851"/>
        </w:tabs>
        <w:spacing w:after="0" w:line="276" w:lineRule="auto"/>
        <w:rPr>
          <w:rFonts w:eastAsia="Times New Roman" w:cstheme="minorHAnsi"/>
          <w:b/>
          <w:sz w:val="24"/>
          <w:szCs w:val="20"/>
          <w:lang w:eastAsia="pl-PL"/>
        </w:rPr>
      </w:pPr>
    </w:p>
    <w:p w14:paraId="405F96D3" w14:textId="5CCC31B5" w:rsidR="000B4D72" w:rsidRPr="00F50602" w:rsidRDefault="000B4D72" w:rsidP="00597239">
      <w:pPr>
        <w:tabs>
          <w:tab w:val="left" w:pos="851"/>
        </w:tabs>
        <w:spacing w:after="0" w:line="276" w:lineRule="auto"/>
        <w:rPr>
          <w:rFonts w:eastAsia="Times New Roman" w:cstheme="minorHAnsi"/>
          <w:b/>
          <w:sz w:val="24"/>
          <w:szCs w:val="20"/>
          <w:lang w:eastAsia="pl-PL"/>
        </w:rPr>
      </w:pPr>
      <w:r w:rsidRPr="00F50602">
        <w:rPr>
          <w:rFonts w:eastAsia="Times New Roman" w:cstheme="minorHAnsi"/>
          <w:b/>
          <w:sz w:val="24"/>
          <w:szCs w:val="20"/>
          <w:lang w:eastAsia="pl-PL"/>
        </w:rPr>
        <w:t>Wirusowe zapalenie wątroby typu B</w:t>
      </w:r>
    </w:p>
    <w:p w14:paraId="06142C14" w14:textId="00299DFA" w:rsidR="00176657" w:rsidRDefault="000B4D72" w:rsidP="00597239">
      <w:pPr>
        <w:tabs>
          <w:tab w:val="left" w:pos="851"/>
        </w:tabs>
        <w:spacing w:after="0" w:line="276" w:lineRule="auto"/>
        <w:rPr>
          <w:rFonts w:eastAsia="Times New Roman" w:cstheme="minorHAnsi"/>
          <w:sz w:val="24"/>
          <w:szCs w:val="24"/>
          <w:lang w:eastAsia="pl-PL"/>
        </w:rPr>
      </w:pPr>
      <w:r w:rsidRPr="00F50602">
        <w:rPr>
          <w:rFonts w:eastAsia="Times New Roman" w:cstheme="minorHAnsi"/>
          <w:sz w:val="24"/>
          <w:szCs w:val="24"/>
          <w:lang w:eastAsia="pl-PL"/>
        </w:rPr>
        <w:t xml:space="preserve">W 2024 r. </w:t>
      </w:r>
      <w:r>
        <w:rPr>
          <w:rFonts w:eastAsia="Times New Roman" w:cstheme="minorHAnsi"/>
          <w:sz w:val="24"/>
          <w:szCs w:val="24"/>
          <w:lang w:eastAsia="pl-PL"/>
        </w:rPr>
        <w:t>w</w:t>
      </w:r>
      <w:r w:rsidRPr="00F50602">
        <w:rPr>
          <w:rFonts w:eastAsia="Times New Roman" w:cstheme="minorHAnsi"/>
          <w:sz w:val="24"/>
          <w:szCs w:val="24"/>
          <w:lang w:eastAsia="pl-PL"/>
        </w:rPr>
        <w:t xml:space="preserve"> woj. zachodniopomorskim odnotowano </w:t>
      </w:r>
      <w:r>
        <w:rPr>
          <w:rFonts w:eastAsia="Times New Roman" w:cstheme="minorHAnsi"/>
          <w:sz w:val="24"/>
          <w:szCs w:val="24"/>
          <w:lang w:eastAsia="pl-PL"/>
        </w:rPr>
        <w:t xml:space="preserve">ponad </w:t>
      </w:r>
      <w:r w:rsidRPr="00F50602">
        <w:rPr>
          <w:rFonts w:eastAsia="Times New Roman" w:cstheme="minorHAnsi"/>
          <w:sz w:val="24"/>
          <w:szCs w:val="24"/>
          <w:lang w:eastAsia="pl-PL"/>
        </w:rPr>
        <w:t>18% spadek liczby zachorowań</w:t>
      </w:r>
      <w:r>
        <w:rPr>
          <w:rFonts w:eastAsia="Times New Roman" w:cstheme="minorHAnsi"/>
          <w:sz w:val="24"/>
          <w:szCs w:val="24"/>
          <w:lang w:eastAsia="pl-PL"/>
        </w:rPr>
        <w:t xml:space="preserve"> </w:t>
      </w:r>
      <w:r w:rsidRPr="00F50602">
        <w:rPr>
          <w:rFonts w:eastAsia="Times New Roman" w:cstheme="minorHAnsi"/>
          <w:sz w:val="24"/>
          <w:szCs w:val="24"/>
          <w:lang w:eastAsia="pl-PL"/>
        </w:rPr>
        <w:t>na</w:t>
      </w:r>
      <w:r w:rsidR="00F57981">
        <w:rPr>
          <w:rFonts w:eastAsia="Times New Roman" w:cstheme="minorHAnsi"/>
          <w:sz w:val="24"/>
          <w:szCs w:val="24"/>
          <w:lang w:eastAsia="pl-PL"/>
        </w:rPr>
        <w:t> </w:t>
      </w:r>
      <w:r w:rsidRPr="00F50602">
        <w:rPr>
          <w:rFonts w:eastAsia="Times New Roman" w:cstheme="minorHAnsi"/>
          <w:sz w:val="24"/>
          <w:szCs w:val="24"/>
          <w:lang w:eastAsia="pl-PL"/>
        </w:rPr>
        <w:t>wirusowe zapalenie wątroby typu B</w:t>
      </w:r>
      <w:r>
        <w:rPr>
          <w:rFonts w:eastAsia="Times New Roman" w:cstheme="minorHAnsi"/>
          <w:sz w:val="24"/>
          <w:szCs w:val="24"/>
          <w:lang w:eastAsia="pl-PL"/>
        </w:rPr>
        <w:t>.</w:t>
      </w:r>
      <w:r w:rsidRPr="00F50602">
        <w:rPr>
          <w:rFonts w:eastAsia="Times New Roman" w:cstheme="minorHAnsi"/>
          <w:sz w:val="24"/>
          <w:szCs w:val="24"/>
          <w:lang w:eastAsia="pl-PL"/>
        </w:rPr>
        <w:t xml:space="preserve"> </w:t>
      </w:r>
    </w:p>
    <w:p w14:paraId="70382B78" w14:textId="77777777" w:rsidR="005D6DAE" w:rsidRPr="005D6DAE" w:rsidRDefault="005D6DAE" w:rsidP="00597239">
      <w:pPr>
        <w:tabs>
          <w:tab w:val="left" w:pos="851"/>
        </w:tabs>
        <w:spacing w:after="0" w:line="276" w:lineRule="auto"/>
        <w:rPr>
          <w:rFonts w:eastAsia="Times New Roman" w:cstheme="minorHAnsi"/>
          <w:sz w:val="24"/>
          <w:szCs w:val="24"/>
          <w:lang w:eastAsia="pl-PL"/>
        </w:rPr>
      </w:pPr>
    </w:p>
    <w:p w14:paraId="182790E0" w14:textId="47CD1F50" w:rsidR="000B4D72" w:rsidRPr="009876C5" w:rsidRDefault="009876C5" w:rsidP="00597239">
      <w:pPr>
        <w:pStyle w:val="Legenda"/>
        <w:spacing w:after="0"/>
        <w:rPr>
          <w:i w:val="0"/>
          <w:iCs w:val="0"/>
          <w:color w:val="000000" w:themeColor="text1"/>
          <w:lang w:eastAsia="pl-PL"/>
        </w:rPr>
      </w:pPr>
      <w:bookmarkStart w:id="35" w:name="_Toc193805976"/>
      <w:bookmarkStart w:id="36" w:name="_Toc193969524"/>
      <w:bookmarkStart w:id="37" w:name="_Toc194059984"/>
      <w:r w:rsidRPr="009876C5">
        <w:rPr>
          <w:i w:val="0"/>
          <w:iCs w:val="0"/>
          <w:color w:val="000000" w:themeColor="text1"/>
        </w:rPr>
        <w:t xml:space="preserve">Tabela </w:t>
      </w:r>
      <w:r w:rsidRPr="009876C5">
        <w:rPr>
          <w:i w:val="0"/>
          <w:iCs w:val="0"/>
          <w:color w:val="000000" w:themeColor="text1"/>
        </w:rPr>
        <w:fldChar w:fldCharType="begin"/>
      </w:r>
      <w:r w:rsidRPr="009876C5">
        <w:rPr>
          <w:i w:val="0"/>
          <w:iCs w:val="0"/>
          <w:color w:val="000000" w:themeColor="text1"/>
        </w:rPr>
        <w:instrText xml:space="preserve"> SEQ Tabela \* ARABIC </w:instrText>
      </w:r>
      <w:r w:rsidRPr="009876C5">
        <w:rPr>
          <w:i w:val="0"/>
          <w:iCs w:val="0"/>
          <w:color w:val="000000" w:themeColor="text1"/>
        </w:rPr>
        <w:fldChar w:fldCharType="separate"/>
      </w:r>
      <w:r w:rsidR="00FB6F6A">
        <w:rPr>
          <w:i w:val="0"/>
          <w:iCs w:val="0"/>
          <w:noProof/>
          <w:color w:val="000000" w:themeColor="text1"/>
        </w:rPr>
        <w:t>6</w:t>
      </w:r>
      <w:r w:rsidRPr="009876C5">
        <w:rPr>
          <w:i w:val="0"/>
          <w:iCs w:val="0"/>
          <w:color w:val="000000" w:themeColor="text1"/>
        </w:rPr>
        <w:fldChar w:fldCharType="end"/>
      </w:r>
      <w:r w:rsidR="00E75D31">
        <w:rPr>
          <w:i w:val="0"/>
          <w:iCs w:val="0"/>
          <w:color w:val="000000" w:themeColor="text1"/>
        </w:rPr>
        <w:t>.</w:t>
      </w:r>
      <w:r w:rsidRPr="009876C5">
        <w:rPr>
          <w:i w:val="0"/>
          <w:iCs w:val="0"/>
          <w:color w:val="000000" w:themeColor="text1"/>
        </w:rPr>
        <w:t xml:space="preserve"> Liczba zachorowań i współczynnik zapadalności na wirusowe zapalenie wątroby typu B w latach 2020-2024 w</w:t>
      </w:r>
      <w:r w:rsidR="00820779">
        <w:rPr>
          <w:i w:val="0"/>
          <w:iCs w:val="0"/>
          <w:color w:val="000000" w:themeColor="text1"/>
        </w:rPr>
        <w:t> </w:t>
      </w:r>
      <w:r w:rsidRPr="009876C5">
        <w:rPr>
          <w:i w:val="0"/>
          <w:iCs w:val="0"/>
          <w:color w:val="000000" w:themeColor="text1"/>
        </w:rPr>
        <w:t>Polsce i woj. zachodniopomorskim</w:t>
      </w:r>
      <w:r w:rsidR="004E5976">
        <w:rPr>
          <w:i w:val="0"/>
          <w:iCs w:val="0"/>
          <w:color w:val="000000" w:themeColor="text1"/>
        </w:rPr>
        <w:t>.</w:t>
      </w:r>
      <w:bookmarkEnd w:id="35"/>
      <w:bookmarkEnd w:id="36"/>
      <w:bookmarkEnd w:id="37"/>
    </w:p>
    <w:tbl>
      <w:tblPr>
        <w:tblStyle w:val="Tabelasiatki4akcent1"/>
        <w:tblW w:w="5000" w:type="pct"/>
        <w:tblLook w:val="04A0" w:firstRow="1" w:lastRow="0" w:firstColumn="1" w:lastColumn="0" w:noHBand="0" w:noVBand="1"/>
        <w:tblCaption w:val="Liczba zachorowań i współczynnik zapadalności na wirusowe zapalenie wątroby typu B w latach 2020-2024 w Polsce i woj. zachodniopomorskim"/>
        <w:tblDescription w:val="Tabela przedstawia dane dotyczące zachorowań i współczynnika zapadalności na wirusaowe zapalenie wątroby  typu B w Polsce i województwie zachodniopomorskim. W 2024 roku w województwie liczba zachorowań wynosiła 112 przypadków (współczynnik zapadalności: 6,88), natomiast w Polsce liczba zachorowań wynosiła 3552 przypadki (współczynnik zapadalności: 9,46)"/>
      </w:tblPr>
      <w:tblGrid>
        <w:gridCol w:w="2449"/>
        <w:gridCol w:w="661"/>
        <w:gridCol w:w="661"/>
        <w:gridCol w:w="661"/>
        <w:gridCol w:w="662"/>
        <w:gridCol w:w="661"/>
        <w:gridCol w:w="661"/>
        <w:gridCol w:w="662"/>
        <w:gridCol w:w="661"/>
        <w:gridCol w:w="661"/>
        <w:gridCol w:w="662"/>
      </w:tblGrid>
      <w:tr w:rsidR="000B4D72" w:rsidRPr="00F50602" w14:paraId="3208F8CC" w14:textId="77777777" w:rsidTr="0022532B">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2449" w:type="dxa"/>
            <w:vMerge w:val="restart"/>
            <w:vAlign w:val="center"/>
          </w:tcPr>
          <w:p w14:paraId="40ED985F" w14:textId="77777777" w:rsidR="000B4D72" w:rsidRPr="00F50602" w:rsidRDefault="000B4D72" w:rsidP="00597239">
            <w:pPr>
              <w:tabs>
                <w:tab w:val="left" w:pos="1890"/>
              </w:tabs>
              <w:spacing w:line="276" w:lineRule="auto"/>
              <w:contextualSpacing/>
              <w:rPr>
                <w:rFonts w:eastAsia="Times New Roman" w:cstheme="minorHAnsi"/>
                <w:sz w:val="18"/>
                <w:szCs w:val="18"/>
                <w:lang w:eastAsia="pl-PL"/>
              </w:rPr>
            </w:pPr>
            <w:bookmarkStart w:id="38" w:name="_Hlk193880070"/>
          </w:p>
        </w:tc>
        <w:tc>
          <w:tcPr>
            <w:tcW w:w="1322" w:type="dxa"/>
            <w:gridSpan w:val="2"/>
            <w:vAlign w:val="center"/>
          </w:tcPr>
          <w:p w14:paraId="75FB5AC9" w14:textId="77777777" w:rsidR="000B4D72" w:rsidRPr="00F50602" w:rsidRDefault="000B4D72" w:rsidP="00597239">
            <w:pPr>
              <w:tabs>
                <w:tab w:val="left" w:pos="1890"/>
              </w:tabs>
              <w:spacing w:line="276" w:lineRule="auto"/>
              <w:contextualSpacing/>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sz w:val="18"/>
                <w:szCs w:val="18"/>
                <w:lang w:eastAsia="pl-PL"/>
              </w:rPr>
              <w:t>2020 r.</w:t>
            </w:r>
          </w:p>
        </w:tc>
        <w:tc>
          <w:tcPr>
            <w:tcW w:w="1323" w:type="dxa"/>
            <w:gridSpan w:val="2"/>
            <w:vAlign w:val="center"/>
          </w:tcPr>
          <w:p w14:paraId="46D6CEE6" w14:textId="77777777" w:rsidR="000B4D72" w:rsidRPr="00F50602" w:rsidRDefault="000B4D72" w:rsidP="00597239">
            <w:pPr>
              <w:tabs>
                <w:tab w:val="left" w:pos="1890"/>
              </w:tabs>
              <w:spacing w:line="276" w:lineRule="auto"/>
              <w:contextualSpacing/>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sz w:val="18"/>
                <w:szCs w:val="18"/>
                <w:lang w:eastAsia="pl-PL"/>
              </w:rPr>
              <w:t>2021 r.</w:t>
            </w:r>
          </w:p>
        </w:tc>
        <w:tc>
          <w:tcPr>
            <w:tcW w:w="1322" w:type="dxa"/>
            <w:gridSpan w:val="2"/>
            <w:vAlign w:val="center"/>
          </w:tcPr>
          <w:p w14:paraId="39CC2D64" w14:textId="77777777" w:rsidR="000B4D72" w:rsidRPr="00F50602" w:rsidRDefault="000B4D72" w:rsidP="00597239">
            <w:pPr>
              <w:tabs>
                <w:tab w:val="left" w:pos="1890"/>
              </w:tabs>
              <w:spacing w:line="276" w:lineRule="auto"/>
              <w:contextualSpacing/>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sz w:val="18"/>
                <w:szCs w:val="18"/>
                <w:lang w:eastAsia="pl-PL"/>
              </w:rPr>
              <w:t>2022 r.</w:t>
            </w:r>
          </w:p>
        </w:tc>
        <w:tc>
          <w:tcPr>
            <w:tcW w:w="1323" w:type="dxa"/>
            <w:gridSpan w:val="2"/>
            <w:vAlign w:val="center"/>
          </w:tcPr>
          <w:p w14:paraId="68F61504" w14:textId="77777777" w:rsidR="000B4D72" w:rsidRPr="00F50602" w:rsidRDefault="000B4D72" w:rsidP="00597239">
            <w:pPr>
              <w:tabs>
                <w:tab w:val="left" w:pos="1890"/>
              </w:tabs>
              <w:spacing w:line="276" w:lineRule="auto"/>
              <w:contextualSpacing/>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18"/>
                <w:szCs w:val="18"/>
                <w:lang w:eastAsia="pl-PL"/>
              </w:rPr>
            </w:pPr>
            <w:r w:rsidRPr="00F50602">
              <w:rPr>
                <w:rFonts w:eastAsia="Times New Roman" w:cstheme="minorHAnsi"/>
                <w:sz w:val="18"/>
                <w:szCs w:val="18"/>
                <w:lang w:eastAsia="pl-PL"/>
              </w:rPr>
              <w:t>2023 r.</w:t>
            </w:r>
          </w:p>
        </w:tc>
        <w:tc>
          <w:tcPr>
            <w:tcW w:w="1323" w:type="dxa"/>
            <w:gridSpan w:val="2"/>
            <w:vAlign w:val="center"/>
          </w:tcPr>
          <w:p w14:paraId="4391236E" w14:textId="77777777" w:rsidR="000B4D72" w:rsidRPr="00F50602" w:rsidRDefault="000B4D72" w:rsidP="00597239">
            <w:pPr>
              <w:tabs>
                <w:tab w:val="left" w:pos="1890"/>
              </w:tabs>
              <w:spacing w:line="276" w:lineRule="auto"/>
              <w:contextualSpacing/>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50602">
              <w:rPr>
                <w:rFonts w:eastAsia="Times New Roman" w:cstheme="minorHAnsi"/>
                <w:sz w:val="18"/>
                <w:szCs w:val="18"/>
                <w:lang w:eastAsia="pl-PL"/>
              </w:rPr>
              <w:t>2024 r.</w:t>
            </w:r>
          </w:p>
        </w:tc>
      </w:tr>
      <w:tr w:rsidR="000B4D72" w:rsidRPr="00F50602" w14:paraId="72EADF23" w14:textId="77777777" w:rsidTr="0022532B">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2449" w:type="dxa"/>
            <w:vMerge/>
            <w:vAlign w:val="center"/>
          </w:tcPr>
          <w:p w14:paraId="1D3D68AD" w14:textId="77777777" w:rsidR="000B4D72" w:rsidRPr="00F50602" w:rsidRDefault="000B4D72" w:rsidP="00597239">
            <w:pPr>
              <w:tabs>
                <w:tab w:val="left" w:pos="1890"/>
              </w:tabs>
              <w:spacing w:line="276" w:lineRule="auto"/>
              <w:ind w:left="113" w:right="113"/>
              <w:contextualSpacing/>
              <w:rPr>
                <w:rFonts w:eastAsia="Times New Roman" w:cstheme="minorHAnsi"/>
                <w:sz w:val="18"/>
                <w:szCs w:val="18"/>
                <w:lang w:eastAsia="pl-PL"/>
              </w:rPr>
            </w:pPr>
          </w:p>
        </w:tc>
        <w:tc>
          <w:tcPr>
            <w:tcW w:w="661" w:type="dxa"/>
            <w:textDirection w:val="btLr"/>
            <w:vAlign w:val="center"/>
          </w:tcPr>
          <w:p w14:paraId="57E58206"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F50602">
              <w:rPr>
                <w:rFonts w:eastAsia="Times New Roman" w:cstheme="minorHAnsi"/>
                <w:spacing w:val="-10"/>
                <w:sz w:val="18"/>
                <w:szCs w:val="18"/>
                <w:lang w:eastAsia="pl-PL"/>
              </w:rPr>
              <w:t>zachorowania</w:t>
            </w:r>
          </w:p>
        </w:tc>
        <w:tc>
          <w:tcPr>
            <w:tcW w:w="661" w:type="dxa"/>
            <w:textDirection w:val="btLr"/>
            <w:vAlign w:val="center"/>
          </w:tcPr>
          <w:p w14:paraId="1AB9FD78"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sz w:val="18"/>
                <w:szCs w:val="18"/>
                <w:lang w:eastAsia="pl-PL"/>
              </w:rPr>
              <w:t>zapadalność na 100 tys.</w:t>
            </w:r>
          </w:p>
        </w:tc>
        <w:tc>
          <w:tcPr>
            <w:tcW w:w="661" w:type="dxa"/>
            <w:textDirection w:val="btLr"/>
            <w:vAlign w:val="center"/>
          </w:tcPr>
          <w:p w14:paraId="6C3D9D89"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F50602">
              <w:rPr>
                <w:rFonts w:eastAsia="Times New Roman" w:cstheme="minorHAnsi"/>
                <w:spacing w:val="-10"/>
                <w:sz w:val="18"/>
                <w:szCs w:val="18"/>
                <w:lang w:eastAsia="pl-PL"/>
              </w:rPr>
              <w:t>zachorowania</w:t>
            </w:r>
          </w:p>
        </w:tc>
        <w:tc>
          <w:tcPr>
            <w:tcW w:w="662" w:type="dxa"/>
            <w:textDirection w:val="btLr"/>
            <w:vAlign w:val="center"/>
          </w:tcPr>
          <w:p w14:paraId="12D192C6"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sz w:val="18"/>
                <w:szCs w:val="18"/>
                <w:lang w:eastAsia="pl-PL"/>
              </w:rPr>
              <w:t>zapadalność na 100 tys.</w:t>
            </w:r>
          </w:p>
        </w:tc>
        <w:tc>
          <w:tcPr>
            <w:tcW w:w="661" w:type="dxa"/>
            <w:textDirection w:val="btLr"/>
            <w:vAlign w:val="center"/>
          </w:tcPr>
          <w:p w14:paraId="0CF86F1A"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F50602">
              <w:rPr>
                <w:rFonts w:eastAsia="Times New Roman" w:cstheme="minorHAnsi"/>
                <w:spacing w:val="-10"/>
                <w:sz w:val="18"/>
                <w:szCs w:val="18"/>
                <w:lang w:eastAsia="pl-PL"/>
              </w:rPr>
              <w:t>zachorowania</w:t>
            </w:r>
          </w:p>
        </w:tc>
        <w:tc>
          <w:tcPr>
            <w:tcW w:w="661" w:type="dxa"/>
            <w:textDirection w:val="btLr"/>
            <w:vAlign w:val="center"/>
          </w:tcPr>
          <w:p w14:paraId="31CB02A0"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sz w:val="18"/>
                <w:szCs w:val="18"/>
                <w:lang w:eastAsia="pl-PL"/>
              </w:rPr>
              <w:t>zapadalność na 100 tys.</w:t>
            </w:r>
          </w:p>
        </w:tc>
        <w:tc>
          <w:tcPr>
            <w:tcW w:w="662" w:type="dxa"/>
            <w:textDirection w:val="btLr"/>
            <w:vAlign w:val="center"/>
          </w:tcPr>
          <w:p w14:paraId="54308738"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Cs/>
                <w:spacing w:val="-10"/>
                <w:sz w:val="18"/>
                <w:szCs w:val="18"/>
                <w:lang w:eastAsia="pl-PL"/>
              </w:rPr>
            </w:pPr>
            <w:r w:rsidRPr="00F50602">
              <w:rPr>
                <w:rFonts w:eastAsia="Times New Roman" w:cstheme="minorHAnsi"/>
                <w:bCs/>
                <w:spacing w:val="-10"/>
                <w:sz w:val="18"/>
                <w:szCs w:val="18"/>
                <w:lang w:eastAsia="pl-PL"/>
              </w:rPr>
              <w:t>zachorowania</w:t>
            </w:r>
          </w:p>
        </w:tc>
        <w:tc>
          <w:tcPr>
            <w:tcW w:w="661" w:type="dxa"/>
            <w:textDirection w:val="btLr"/>
            <w:vAlign w:val="center"/>
          </w:tcPr>
          <w:p w14:paraId="64C05A0A"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50602">
              <w:rPr>
                <w:rFonts w:eastAsia="Times New Roman" w:cstheme="minorHAnsi"/>
                <w:bCs/>
                <w:sz w:val="18"/>
                <w:szCs w:val="18"/>
                <w:lang w:eastAsia="pl-PL"/>
              </w:rPr>
              <w:t>zapadalność na 100 tys.</w:t>
            </w:r>
          </w:p>
        </w:tc>
        <w:tc>
          <w:tcPr>
            <w:tcW w:w="661" w:type="dxa"/>
            <w:textDirection w:val="btLr"/>
            <w:vAlign w:val="center"/>
          </w:tcPr>
          <w:p w14:paraId="424B24A6"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
                <w:spacing w:val="-10"/>
                <w:sz w:val="18"/>
                <w:szCs w:val="18"/>
                <w:lang w:eastAsia="pl-PL"/>
              </w:rPr>
            </w:pPr>
            <w:r w:rsidRPr="00F50602">
              <w:rPr>
                <w:rFonts w:eastAsia="Times New Roman" w:cstheme="minorHAnsi"/>
                <w:b/>
                <w:spacing w:val="-10"/>
                <w:sz w:val="18"/>
                <w:szCs w:val="18"/>
                <w:lang w:eastAsia="pl-PL"/>
              </w:rPr>
              <w:t>zachorowania</w:t>
            </w:r>
          </w:p>
        </w:tc>
        <w:tc>
          <w:tcPr>
            <w:tcW w:w="662" w:type="dxa"/>
            <w:textDirection w:val="btLr"/>
            <w:vAlign w:val="center"/>
          </w:tcPr>
          <w:p w14:paraId="57C9C72D" w14:textId="77777777" w:rsidR="000B4D72" w:rsidRPr="00F50602" w:rsidRDefault="000B4D72" w:rsidP="00597239">
            <w:pPr>
              <w:tabs>
                <w:tab w:val="left" w:pos="1890"/>
              </w:tabs>
              <w:ind w:left="113" w:right="113"/>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50602">
              <w:rPr>
                <w:rFonts w:eastAsia="Times New Roman" w:cstheme="minorHAnsi"/>
                <w:b/>
                <w:sz w:val="18"/>
                <w:szCs w:val="18"/>
                <w:lang w:eastAsia="pl-PL"/>
              </w:rPr>
              <w:t>zapadalność na 100 tys.</w:t>
            </w:r>
          </w:p>
        </w:tc>
      </w:tr>
      <w:tr w:rsidR="000B4D72" w:rsidRPr="00F50602" w14:paraId="7C85DCD2" w14:textId="77777777" w:rsidTr="0022532B">
        <w:trPr>
          <w:trHeight w:val="319"/>
        </w:trPr>
        <w:tc>
          <w:tcPr>
            <w:cnfStyle w:val="001000000000" w:firstRow="0" w:lastRow="0" w:firstColumn="1" w:lastColumn="0" w:oddVBand="0" w:evenVBand="0" w:oddHBand="0" w:evenHBand="0" w:firstRowFirstColumn="0" w:firstRowLastColumn="0" w:lastRowFirstColumn="0" w:lastRowLastColumn="0"/>
            <w:tcW w:w="2449" w:type="dxa"/>
            <w:vAlign w:val="center"/>
          </w:tcPr>
          <w:p w14:paraId="377F4118" w14:textId="77777777" w:rsidR="000B4D72" w:rsidRPr="00F50602" w:rsidRDefault="000B4D72" w:rsidP="00597239">
            <w:pPr>
              <w:rPr>
                <w:rFonts w:cstheme="minorHAnsi"/>
                <w:lang w:eastAsia="pl-PL"/>
              </w:rPr>
            </w:pPr>
            <w:r w:rsidRPr="00F50602">
              <w:rPr>
                <w:rFonts w:cstheme="minorHAnsi"/>
                <w:sz w:val="18"/>
                <w:szCs w:val="18"/>
                <w:lang w:eastAsia="pl-PL"/>
              </w:rPr>
              <w:t>Polska</w:t>
            </w:r>
          </w:p>
        </w:tc>
        <w:tc>
          <w:tcPr>
            <w:tcW w:w="661" w:type="dxa"/>
            <w:vAlign w:val="center"/>
          </w:tcPr>
          <w:p w14:paraId="27F10778"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993</w:t>
            </w:r>
          </w:p>
        </w:tc>
        <w:tc>
          <w:tcPr>
            <w:tcW w:w="661" w:type="dxa"/>
            <w:vAlign w:val="center"/>
          </w:tcPr>
          <w:p w14:paraId="64B84096"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2,59</w:t>
            </w:r>
          </w:p>
        </w:tc>
        <w:tc>
          <w:tcPr>
            <w:tcW w:w="661" w:type="dxa"/>
            <w:vAlign w:val="center"/>
          </w:tcPr>
          <w:p w14:paraId="0B92AAF7"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1547</w:t>
            </w:r>
          </w:p>
        </w:tc>
        <w:tc>
          <w:tcPr>
            <w:tcW w:w="662" w:type="dxa"/>
            <w:vAlign w:val="center"/>
          </w:tcPr>
          <w:p w14:paraId="14B56B7F"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4,06</w:t>
            </w:r>
          </w:p>
        </w:tc>
        <w:tc>
          <w:tcPr>
            <w:tcW w:w="661" w:type="dxa"/>
            <w:vAlign w:val="center"/>
          </w:tcPr>
          <w:p w14:paraId="0EE9AF98"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2500</w:t>
            </w:r>
          </w:p>
        </w:tc>
        <w:tc>
          <w:tcPr>
            <w:tcW w:w="661" w:type="dxa"/>
            <w:vAlign w:val="center"/>
          </w:tcPr>
          <w:p w14:paraId="3602267F"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6,61</w:t>
            </w:r>
          </w:p>
        </w:tc>
        <w:tc>
          <w:tcPr>
            <w:tcW w:w="662" w:type="dxa"/>
            <w:vAlign w:val="center"/>
          </w:tcPr>
          <w:p w14:paraId="0B8BAC88"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50602">
              <w:rPr>
                <w:rFonts w:eastAsia="Times New Roman" w:cstheme="minorHAnsi"/>
                <w:bCs/>
                <w:sz w:val="18"/>
                <w:szCs w:val="18"/>
                <w:lang w:eastAsia="pl-PL"/>
              </w:rPr>
              <w:t>3142</w:t>
            </w:r>
          </w:p>
        </w:tc>
        <w:tc>
          <w:tcPr>
            <w:tcW w:w="661" w:type="dxa"/>
            <w:vAlign w:val="center"/>
          </w:tcPr>
          <w:p w14:paraId="0866A172"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bCs/>
                <w:sz w:val="18"/>
                <w:szCs w:val="18"/>
                <w:lang w:eastAsia="pl-PL"/>
              </w:rPr>
            </w:pPr>
            <w:r w:rsidRPr="00F50602">
              <w:rPr>
                <w:rFonts w:eastAsia="Times New Roman" w:cstheme="minorHAnsi"/>
                <w:bCs/>
                <w:sz w:val="18"/>
                <w:szCs w:val="18"/>
                <w:lang w:eastAsia="pl-PL"/>
              </w:rPr>
              <w:t>8,34</w:t>
            </w:r>
          </w:p>
        </w:tc>
        <w:tc>
          <w:tcPr>
            <w:tcW w:w="661" w:type="dxa"/>
            <w:vAlign w:val="center"/>
          </w:tcPr>
          <w:p w14:paraId="644C4331"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50602">
              <w:rPr>
                <w:rFonts w:eastAsia="Times New Roman" w:cstheme="minorHAnsi"/>
                <w:b/>
                <w:sz w:val="18"/>
                <w:szCs w:val="18"/>
                <w:lang w:eastAsia="pl-PL"/>
              </w:rPr>
              <w:t>3552</w:t>
            </w:r>
          </w:p>
        </w:tc>
        <w:tc>
          <w:tcPr>
            <w:tcW w:w="662" w:type="dxa"/>
            <w:vAlign w:val="center"/>
          </w:tcPr>
          <w:p w14:paraId="5CBA9227" w14:textId="77777777" w:rsidR="000B4D72" w:rsidRPr="00F50602" w:rsidRDefault="000B4D72" w:rsidP="00597239">
            <w:pPr>
              <w:tabs>
                <w:tab w:val="left" w:pos="189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50602">
              <w:rPr>
                <w:rFonts w:eastAsia="Times New Roman" w:cstheme="minorHAnsi"/>
                <w:b/>
                <w:sz w:val="18"/>
                <w:szCs w:val="18"/>
                <w:lang w:eastAsia="pl-PL"/>
              </w:rPr>
              <w:t>9,46</w:t>
            </w:r>
          </w:p>
        </w:tc>
      </w:tr>
      <w:tr w:rsidR="000B4D72" w:rsidRPr="00F50602" w14:paraId="527CF9A4" w14:textId="77777777" w:rsidTr="0022532B">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449" w:type="dxa"/>
            <w:vAlign w:val="center"/>
          </w:tcPr>
          <w:p w14:paraId="367571C1" w14:textId="77777777" w:rsidR="000B4D72" w:rsidRPr="00F50602" w:rsidRDefault="000B4D72" w:rsidP="00597239">
            <w:pPr>
              <w:tabs>
                <w:tab w:val="left" w:pos="1890"/>
              </w:tabs>
              <w:spacing w:line="276" w:lineRule="auto"/>
              <w:contextualSpacing/>
              <w:rPr>
                <w:rFonts w:eastAsia="Times New Roman" w:cstheme="minorHAnsi"/>
                <w:bCs w:val="0"/>
                <w:sz w:val="18"/>
                <w:szCs w:val="18"/>
                <w:lang w:eastAsia="pl-PL"/>
              </w:rPr>
            </w:pPr>
            <w:r w:rsidRPr="00F50602">
              <w:rPr>
                <w:rFonts w:eastAsia="Times New Roman" w:cstheme="minorHAnsi"/>
                <w:sz w:val="18"/>
                <w:szCs w:val="18"/>
                <w:lang w:eastAsia="pl-PL"/>
              </w:rPr>
              <w:t xml:space="preserve">województwo </w:t>
            </w:r>
            <w:r w:rsidRPr="00F50602">
              <w:rPr>
                <w:rFonts w:eastAsia="Times New Roman" w:cstheme="minorHAnsi"/>
                <w:spacing w:val="-6"/>
                <w:sz w:val="18"/>
                <w:szCs w:val="18"/>
                <w:lang w:eastAsia="pl-PL"/>
              </w:rPr>
              <w:t>zachodniopomorskie</w:t>
            </w:r>
          </w:p>
        </w:tc>
        <w:tc>
          <w:tcPr>
            <w:tcW w:w="661" w:type="dxa"/>
            <w:vAlign w:val="center"/>
          </w:tcPr>
          <w:p w14:paraId="5299D08E"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29</w:t>
            </w:r>
          </w:p>
        </w:tc>
        <w:tc>
          <w:tcPr>
            <w:tcW w:w="661" w:type="dxa"/>
            <w:vAlign w:val="center"/>
          </w:tcPr>
          <w:p w14:paraId="71E2B073"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1,72</w:t>
            </w:r>
          </w:p>
        </w:tc>
        <w:tc>
          <w:tcPr>
            <w:tcW w:w="661" w:type="dxa"/>
            <w:vAlign w:val="center"/>
          </w:tcPr>
          <w:p w14:paraId="209815F4"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75</w:t>
            </w:r>
          </w:p>
        </w:tc>
        <w:tc>
          <w:tcPr>
            <w:tcW w:w="662" w:type="dxa"/>
            <w:vAlign w:val="center"/>
          </w:tcPr>
          <w:p w14:paraId="058EF3F5"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4,46</w:t>
            </w:r>
          </w:p>
        </w:tc>
        <w:tc>
          <w:tcPr>
            <w:tcW w:w="661" w:type="dxa"/>
            <w:vAlign w:val="center"/>
          </w:tcPr>
          <w:p w14:paraId="5831A7F6"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113</w:t>
            </w:r>
          </w:p>
        </w:tc>
        <w:tc>
          <w:tcPr>
            <w:tcW w:w="661" w:type="dxa"/>
            <w:vAlign w:val="center"/>
          </w:tcPr>
          <w:p w14:paraId="04057DC9"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50602">
              <w:rPr>
                <w:rFonts w:eastAsia="Times New Roman" w:cstheme="minorHAnsi"/>
                <w:bCs/>
                <w:sz w:val="18"/>
                <w:szCs w:val="18"/>
                <w:lang w:eastAsia="pl-PL"/>
              </w:rPr>
              <w:t>6,87</w:t>
            </w:r>
          </w:p>
        </w:tc>
        <w:tc>
          <w:tcPr>
            <w:tcW w:w="662" w:type="dxa"/>
            <w:vAlign w:val="center"/>
          </w:tcPr>
          <w:p w14:paraId="61B72D55"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50602">
              <w:rPr>
                <w:rFonts w:eastAsia="Times New Roman" w:cstheme="minorHAnsi"/>
                <w:bCs/>
                <w:sz w:val="18"/>
                <w:szCs w:val="18"/>
                <w:lang w:eastAsia="pl-PL"/>
              </w:rPr>
              <w:t>137</w:t>
            </w:r>
          </w:p>
        </w:tc>
        <w:tc>
          <w:tcPr>
            <w:tcW w:w="661" w:type="dxa"/>
            <w:vAlign w:val="center"/>
          </w:tcPr>
          <w:p w14:paraId="4B530140"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Cs/>
                <w:sz w:val="18"/>
                <w:szCs w:val="18"/>
                <w:lang w:eastAsia="pl-PL"/>
              </w:rPr>
            </w:pPr>
            <w:r w:rsidRPr="00F50602">
              <w:rPr>
                <w:rFonts w:eastAsia="Times New Roman" w:cstheme="minorHAnsi"/>
                <w:bCs/>
                <w:sz w:val="18"/>
                <w:szCs w:val="18"/>
                <w:lang w:eastAsia="pl-PL"/>
              </w:rPr>
              <w:t>8,37</w:t>
            </w:r>
          </w:p>
        </w:tc>
        <w:tc>
          <w:tcPr>
            <w:tcW w:w="661" w:type="dxa"/>
            <w:vAlign w:val="center"/>
          </w:tcPr>
          <w:p w14:paraId="4A63D941"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50602">
              <w:rPr>
                <w:rFonts w:eastAsia="Times New Roman" w:cstheme="minorHAnsi"/>
                <w:b/>
                <w:sz w:val="18"/>
                <w:szCs w:val="18"/>
                <w:lang w:eastAsia="pl-PL"/>
              </w:rPr>
              <w:t>112</w:t>
            </w:r>
          </w:p>
        </w:tc>
        <w:tc>
          <w:tcPr>
            <w:tcW w:w="662" w:type="dxa"/>
            <w:vAlign w:val="center"/>
          </w:tcPr>
          <w:p w14:paraId="739266C1" w14:textId="77777777" w:rsidR="000B4D72" w:rsidRPr="00F50602" w:rsidRDefault="000B4D72" w:rsidP="00597239">
            <w:pPr>
              <w:tabs>
                <w:tab w:val="left" w:pos="1890"/>
              </w:tabs>
              <w:spacing w:line="276" w:lineRule="auto"/>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50602">
              <w:rPr>
                <w:rFonts w:eastAsia="Times New Roman" w:cstheme="minorHAnsi"/>
                <w:b/>
                <w:sz w:val="18"/>
                <w:szCs w:val="18"/>
                <w:lang w:eastAsia="pl-PL"/>
              </w:rPr>
              <w:t>6,88</w:t>
            </w:r>
          </w:p>
        </w:tc>
      </w:tr>
      <w:bookmarkEnd w:id="38"/>
    </w:tbl>
    <w:p w14:paraId="3FF33B61" w14:textId="77777777" w:rsidR="0022532B" w:rsidRDefault="0022532B" w:rsidP="00597239">
      <w:pPr>
        <w:tabs>
          <w:tab w:val="left" w:pos="851"/>
        </w:tabs>
        <w:spacing w:after="0" w:line="276" w:lineRule="auto"/>
        <w:rPr>
          <w:rFonts w:eastAsia="Times New Roman" w:cstheme="minorHAnsi"/>
          <w:sz w:val="24"/>
          <w:szCs w:val="24"/>
          <w:lang w:eastAsia="pl-PL"/>
        </w:rPr>
      </w:pPr>
    </w:p>
    <w:p w14:paraId="1F81E86A" w14:textId="2403C6ED" w:rsidR="000B4D72" w:rsidRDefault="000B4D72" w:rsidP="00597239">
      <w:pPr>
        <w:tabs>
          <w:tab w:val="left" w:pos="851"/>
        </w:tabs>
        <w:spacing w:after="0" w:line="276" w:lineRule="auto"/>
        <w:rPr>
          <w:rFonts w:eastAsia="Times New Roman" w:cstheme="minorHAnsi"/>
          <w:sz w:val="24"/>
          <w:szCs w:val="24"/>
          <w:lang w:eastAsia="pl-PL"/>
        </w:rPr>
      </w:pPr>
      <w:r>
        <w:rPr>
          <w:rFonts w:eastAsia="Times New Roman" w:cstheme="minorHAnsi"/>
          <w:sz w:val="24"/>
          <w:szCs w:val="24"/>
          <w:lang w:eastAsia="pl-PL"/>
        </w:rPr>
        <w:t>Blisko</w:t>
      </w:r>
      <w:r w:rsidRPr="00F50602">
        <w:rPr>
          <w:rFonts w:eastAsia="Times New Roman" w:cstheme="minorHAnsi"/>
          <w:sz w:val="24"/>
          <w:szCs w:val="24"/>
          <w:lang w:eastAsia="pl-PL"/>
        </w:rPr>
        <w:t xml:space="preserve"> </w:t>
      </w:r>
      <w:r>
        <w:rPr>
          <w:rFonts w:eastAsia="Times New Roman" w:cstheme="minorHAnsi"/>
          <w:sz w:val="24"/>
          <w:szCs w:val="24"/>
          <w:lang w:eastAsia="pl-PL"/>
        </w:rPr>
        <w:t>60</w:t>
      </w:r>
      <w:r w:rsidRPr="005213A0">
        <w:rPr>
          <w:rFonts w:eastAsia="Times New Roman" w:cstheme="minorHAnsi"/>
          <w:sz w:val="24"/>
          <w:szCs w:val="24"/>
          <w:lang w:eastAsia="pl-PL"/>
        </w:rPr>
        <w:t>%</w:t>
      </w:r>
      <w:r w:rsidRPr="00F50602">
        <w:rPr>
          <w:rFonts w:eastAsia="Times New Roman" w:cstheme="minorHAnsi"/>
          <w:sz w:val="24"/>
          <w:szCs w:val="24"/>
          <w:lang w:eastAsia="pl-PL"/>
        </w:rPr>
        <w:t xml:space="preserve"> wszystkich zachorowań na wirusowe zapaleni</w:t>
      </w:r>
      <w:r>
        <w:rPr>
          <w:rFonts w:eastAsia="Times New Roman" w:cstheme="minorHAnsi"/>
          <w:sz w:val="24"/>
          <w:szCs w:val="24"/>
          <w:lang w:eastAsia="pl-PL"/>
        </w:rPr>
        <w:t>e</w:t>
      </w:r>
      <w:r w:rsidRPr="00F50602">
        <w:rPr>
          <w:rFonts w:eastAsia="Times New Roman" w:cstheme="minorHAnsi"/>
          <w:sz w:val="24"/>
          <w:szCs w:val="24"/>
          <w:lang w:eastAsia="pl-PL"/>
        </w:rPr>
        <w:t xml:space="preserve"> wątroby typu B dotyczyło mężczyzn. Wśród chorych dominowały osoby w wieku 31-40 lat (31 osób) oraz 41-50 lat (30 osób).</w:t>
      </w:r>
    </w:p>
    <w:p w14:paraId="5031F279" w14:textId="77777777" w:rsidR="0022532B" w:rsidRPr="00F50602" w:rsidRDefault="0022532B" w:rsidP="00597239">
      <w:pPr>
        <w:tabs>
          <w:tab w:val="left" w:pos="851"/>
        </w:tabs>
        <w:spacing w:after="0" w:line="276" w:lineRule="auto"/>
        <w:rPr>
          <w:rFonts w:eastAsia="Times New Roman" w:cstheme="minorHAnsi"/>
          <w:sz w:val="24"/>
          <w:szCs w:val="24"/>
          <w:lang w:eastAsia="pl-PL"/>
        </w:rPr>
      </w:pPr>
    </w:p>
    <w:p w14:paraId="55BDEA32" w14:textId="77777777" w:rsidR="000B4D72" w:rsidRPr="00F50602" w:rsidRDefault="000B4D72" w:rsidP="00597239">
      <w:pPr>
        <w:tabs>
          <w:tab w:val="left" w:pos="851"/>
        </w:tabs>
        <w:spacing w:after="0" w:line="276" w:lineRule="auto"/>
        <w:rPr>
          <w:rFonts w:eastAsia="Times New Roman" w:cstheme="minorHAnsi"/>
          <w:spacing w:val="-2"/>
          <w:sz w:val="24"/>
          <w:szCs w:val="24"/>
          <w:lang w:eastAsia="pl-PL"/>
        </w:rPr>
      </w:pPr>
      <w:r w:rsidRPr="00F50602">
        <w:rPr>
          <w:rFonts w:eastAsia="Times New Roman" w:cstheme="minorHAnsi"/>
          <w:b/>
          <w:sz w:val="24"/>
          <w:szCs w:val="20"/>
          <w:lang w:eastAsia="pl-PL"/>
        </w:rPr>
        <w:t>Wirusowe zapalenie wątroby typu C</w:t>
      </w:r>
    </w:p>
    <w:p w14:paraId="71CE6923" w14:textId="3FB623D8" w:rsidR="000B4D72" w:rsidRDefault="000B4D72" w:rsidP="00597239">
      <w:pPr>
        <w:tabs>
          <w:tab w:val="left" w:pos="851"/>
        </w:tabs>
        <w:spacing w:after="0" w:line="276" w:lineRule="auto"/>
        <w:rPr>
          <w:rFonts w:eastAsia="Times New Roman" w:cstheme="minorHAnsi"/>
          <w:sz w:val="24"/>
          <w:szCs w:val="24"/>
          <w:lang w:eastAsia="pl-PL"/>
        </w:rPr>
      </w:pPr>
      <w:r w:rsidRPr="00F50602">
        <w:rPr>
          <w:rFonts w:eastAsia="Times New Roman" w:cstheme="minorHAnsi"/>
          <w:sz w:val="24"/>
          <w:szCs w:val="24"/>
          <w:lang w:eastAsia="pl-PL"/>
        </w:rPr>
        <w:t xml:space="preserve">W 2024 r. w woj. zachodniopomorskim liczba zachorowań była </w:t>
      </w:r>
      <w:r>
        <w:rPr>
          <w:rFonts w:eastAsia="Times New Roman" w:cstheme="minorHAnsi"/>
          <w:sz w:val="24"/>
          <w:szCs w:val="24"/>
          <w:lang w:eastAsia="pl-PL"/>
        </w:rPr>
        <w:t xml:space="preserve">nieco </w:t>
      </w:r>
      <w:r w:rsidRPr="00F50602">
        <w:rPr>
          <w:rFonts w:eastAsia="Times New Roman" w:cstheme="minorHAnsi"/>
          <w:sz w:val="24"/>
          <w:szCs w:val="24"/>
          <w:lang w:eastAsia="pl-PL"/>
        </w:rPr>
        <w:t xml:space="preserve">wyższa </w:t>
      </w:r>
      <w:r>
        <w:rPr>
          <w:rFonts w:eastAsia="Times New Roman" w:cstheme="minorHAnsi"/>
          <w:sz w:val="24"/>
          <w:szCs w:val="24"/>
          <w:lang w:eastAsia="pl-PL"/>
        </w:rPr>
        <w:t>(</w:t>
      </w:r>
      <w:r w:rsidRPr="00F50602">
        <w:rPr>
          <w:rFonts w:eastAsia="Times New Roman" w:cstheme="minorHAnsi"/>
          <w:sz w:val="24"/>
          <w:szCs w:val="24"/>
          <w:lang w:eastAsia="pl-PL"/>
        </w:rPr>
        <w:t>o 7,5%</w:t>
      </w:r>
      <w:r>
        <w:rPr>
          <w:rFonts w:eastAsia="Times New Roman" w:cstheme="minorHAnsi"/>
          <w:sz w:val="24"/>
          <w:szCs w:val="24"/>
          <w:lang w:eastAsia="pl-PL"/>
        </w:rPr>
        <w:t>)</w:t>
      </w:r>
      <w:r w:rsidRPr="00F50602">
        <w:rPr>
          <w:rFonts w:eastAsia="Times New Roman" w:cstheme="minorHAnsi"/>
          <w:sz w:val="24"/>
          <w:szCs w:val="24"/>
          <w:lang w:eastAsia="pl-PL"/>
        </w:rPr>
        <w:t xml:space="preserve"> w</w:t>
      </w:r>
      <w:r w:rsidR="00D123BC">
        <w:rPr>
          <w:rFonts w:eastAsia="Times New Roman" w:cstheme="minorHAnsi"/>
          <w:sz w:val="24"/>
          <w:szCs w:val="24"/>
          <w:lang w:eastAsia="pl-PL"/>
        </w:rPr>
        <w:t> </w:t>
      </w:r>
      <w:r>
        <w:rPr>
          <w:rFonts w:eastAsia="Times New Roman" w:cstheme="minorHAnsi"/>
          <w:sz w:val="24"/>
          <w:szCs w:val="24"/>
          <w:lang w:eastAsia="pl-PL"/>
        </w:rPr>
        <w:t>odniesieniu do roku poprzedzającego</w:t>
      </w:r>
      <w:r w:rsidRPr="00F50602">
        <w:rPr>
          <w:rFonts w:eastAsia="Times New Roman" w:cstheme="minorHAnsi"/>
          <w:sz w:val="24"/>
          <w:szCs w:val="24"/>
          <w:lang w:eastAsia="pl-PL"/>
        </w:rPr>
        <w:t>.</w:t>
      </w:r>
    </w:p>
    <w:p w14:paraId="76A8F116" w14:textId="77777777" w:rsidR="0022532B" w:rsidRPr="00F50602" w:rsidRDefault="0022532B" w:rsidP="00597239">
      <w:pPr>
        <w:tabs>
          <w:tab w:val="left" w:pos="851"/>
        </w:tabs>
        <w:spacing w:after="0" w:line="276" w:lineRule="auto"/>
        <w:rPr>
          <w:rFonts w:eastAsia="Times New Roman" w:cstheme="minorHAnsi"/>
          <w:sz w:val="24"/>
          <w:szCs w:val="24"/>
          <w:lang w:eastAsia="pl-PL"/>
        </w:rPr>
      </w:pPr>
    </w:p>
    <w:p w14:paraId="16A44FEA" w14:textId="2337145C" w:rsidR="000B4D72" w:rsidRPr="001B5C32" w:rsidRDefault="001B5C32" w:rsidP="00597239">
      <w:pPr>
        <w:pStyle w:val="Legenda"/>
        <w:spacing w:after="0"/>
        <w:rPr>
          <w:i w:val="0"/>
          <w:iCs w:val="0"/>
          <w:color w:val="000000" w:themeColor="text1"/>
          <w:lang w:eastAsia="pl-PL"/>
        </w:rPr>
      </w:pPr>
      <w:bookmarkStart w:id="39" w:name="_Toc193805977"/>
      <w:bookmarkStart w:id="40" w:name="_Toc193969525"/>
      <w:bookmarkStart w:id="41" w:name="_Toc194059985"/>
      <w:r w:rsidRPr="001B5C32">
        <w:rPr>
          <w:i w:val="0"/>
          <w:iCs w:val="0"/>
          <w:color w:val="000000" w:themeColor="text1"/>
        </w:rPr>
        <w:t xml:space="preserve">Tabela </w:t>
      </w:r>
      <w:r w:rsidRPr="001B5C32">
        <w:rPr>
          <w:i w:val="0"/>
          <w:iCs w:val="0"/>
          <w:color w:val="000000" w:themeColor="text1"/>
        </w:rPr>
        <w:fldChar w:fldCharType="begin"/>
      </w:r>
      <w:r w:rsidRPr="001B5C32">
        <w:rPr>
          <w:i w:val="0"/>
          <w:iCs w:val="0"/>
          <w:color w:val="000000" w:themeColor="text1"/>
        </w:rPr>
        <w:instrText xml:space="preserve"> SEQ Tabela \* ARABIC </w:instrText>
      </w:r>
      <w:r w:rsidRPr="001B5C32">
        <w:rPr>
          <w:i w:val="0"/>
          <w:iCs w:val="0"/>
          <w:color w:val="000000" w:themeColor="text1"/>
        </w:rPr>
        <w:fldChar w:fldCharType="separate"/>
      </w:r>
      <w:r w:rsidR="00FB6F6A">
        <w:rPr>
          <w:i w:val="0"/>
          <w:iCs w:val="0"/>
          <w:noProof/>
          <w:color w:val="000000" w:themeColor="text1"/>
        </w:rPr>
        <w:t>7</w:t>
      </w:r>
      <w:r w:rsidRPr="001B5C32">
        <w:rPr>
          <w:i w:val="0"/>
          <w:iCs w:val="0"/>
          <w:color w:val="000000" w:themeColor="text1"/>
        </w:rPr>
        <w:fldChar w:fldCharType="end"/>
      </w:r>
      <w:r w:rsidR="00E75D31">
        <w:rPr>
          <w:i w:val="0"/>
          <w:iCs w:val="0"/>
          <w:color w:val="000000" w:themeColor="text1"/>
        </w:rPr>
        <w:t>.</w:t>
      </w:r>
      <w:r w:rsidRPr="001B5C32">
        <w:rPr>
          <w:i w:val="0"/>
          <w:iCs w:val="0"/>
          <w:color w:val="000000" w:themeColor="text1"/>
        </w:rPr>
        <w:t xml:space="preserve"> Liczba zachorowań i współczynnik zapadalności na wirusowe zapalenie wątroby typu C w latach 2020-2024 w</w:t>
      </w:r>
      <w:r w:rsidR="00D123BC">
        <w:rPr>
          <w:i w:val="0"/>
          <w:iCs w:val="0"/>
          <w:color w:val="000000" w:themeColor="text1"/>
        </w:rPr>
        <w:t> </w:t>
      </w:r>
      <w:r w:rsidRPr="001B5C32">
        <w:rPr>
          <w:i w:val="0"/>
          <w:iCs w:val="0"/>
          <w:color w:val="000000" w:themeColor="text1"/>
        </w:rPr>
        <w:t>Polsce i woj. zachodniopomorskim</w:t>
      </w:r>
      <w:r w:rsidR="004E5976">
        <w:rPr>
          <w:i w:val="0"/>
          <w:iCs w:val="0"/>
          <w:color w:val="000000" w:themeColor="text1"/>
        </w:rPr>
        <w:t>.</w:t>
      </w:r>
      <w:bookmarkEnd w:id="39"/>
      <w:bookmarkEnd w:id="40"/>
      <w:bookmarkEnd w:id="41"/>
    </w:p>
    <w:tbl>
      <w:tblPr>
        <w:tblStyle w:val="Tabelasiatki4akcent1"/>
        <w:tblW w:w="8960" w:type="dxa"/>
        <w:tblLayout w:type="fixed"/>
        <w:tblLook w:val="04A0" w:firstRow="1" w:lastRow="0" w:firstColumn="1" w:lastColumn="0" w:noHBand="0" w:noVBand="1"/>
        <w:tblCaption w:val="Liczba zachorowań i współczynnik zapadalności na wirusowe zapalenie wątroby typu C w latach 2020-2024 w Polsce i woj. zachodniopomorski"/>
        <w:tblDescription w:val="Tabela przedstawia dane dotyczące zachorowań i współczynnika zapadalności na wirusaowe zapalenie wątroby  typu C w Polsce i województwie zachodniopomorskim. W 2024 roku w województwie liczba zachorowań wynosiła 256 przypadków (współczynnik zapadalności: 15,74), natomiast w Polsce liczba zachorowań wynosiła 3570 przypadków (współczynnik zapadalności: 9,51)"/>
      </w:tblPr>
      <w:tblGrid>
        <w:gridCol w:w="2213"/>
        <w:gridCol w:w="674"/>
        <w:gridCol w:w="675"/>
        <w:gridCol w:w="675"/>
        <w:gridCol w:w="674"/>
        <w:gridCol w:w="675"/>
        <w:gridCol w:w="675"/>
        <w:gridCol w:w="674"/>
        <w:gridCol w:w="675"/>
        <w:gridCol w:w="675"/>
        <w:gridCol w:w="675"/>
      </w:tblGrid>
      <w:tr w:rsidR="000B4D72" w:rsidRPr="00552AD2" w14:paraId="3F688A37" w14:textId="77777777" w:rsidTr="00FF50CD">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213" w:type="dxa"/>
            <w:vMerge w:val="restart"/>
            <w:vAlign w:val="center"/>
          </w:tcPr>
          <w:p w14:paraId="389A8293" w14:textId="77777777" w:rsidR="000B4D72" w:rsidRPr="00552AD2" w:rsidRDefault="000B4D72" w:rsidP="00597239">
            <w:pPr>
              <w:tabs>
                <w:tab w:val="left" w:pos="1890"/>
              </w:tabs>
              <w:spacing w:line="276" w:lineRule="auto"/>
              <w:rPr>
                <w:rFonts w:eastAsia="Times New Roman" w:cstheme="minorHAnsi"/>
                <w:sz w:val="18"/>
                <w:szCs w:val="18"/>
                <w:lang w:eastAsia="pl-PL"/>
              </w:rPr>
            </w:pPr>
          </w:p>
        </w:tc>
        <w:tc>
          <w:tcPr>
            <w:tcW w:w="1349" w:type="dxa"/>
            <w:gridSpan w:val="2"/>
            <w:vAlign w:val="center"/>
          </w:tcPr>
          <w:p w14:paraId="1A900E95" w14:textId="77777777" w:rsidR="000B4D72" w:rsidRPr="00552AD2" w:rsidRDefault="000B4D72" w:rsidP="00597239">
            <w:pPr>
              <w:tabs>
                <w:tab w:val="left" w:pos="1890"/>
              </w:tabs>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2020 r.</w:t>
            </w:r>
          </w:p>
        </w:tc>
        <w:tc>
          <w:tcPr>
            <w:tcW w:w="1349" w:type="dxa"/>
            <w:gridSpan w:val="2"/>
            <w:vAlign w:val="center"/>
          </w:tcPr>
          <w:p w14:paraId="238C210E" w14:textId="77777777" w:rsidR="000B4D72" w:rsidRPr="00552AD2" w:rsidRDefault="000B4D72" w:rsidP="00597239">
            <w:pPr>
              <w:tabs>
                <w:tab w:val="left" w:pos="1890"/>
              </w:tabs>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2021 r.</w:t>
            </w:r>
          </w:p>
        </w:tc>
        <w:tc>
          <w:tcPr>
            <w:tcW w:w="1350" w:type="dxa"/>
            <w:gridSpan w:val="2"/>
            <w:vAlign w:val="center"/>
          </w:tcPr>
          <w:p w14:paraId="51DCCF08" w14:textId="77777777" w:rsidR="000B4D72" w:rsidRPr="00552AD2" w:rsidRDefault="000B4D72" w:rsidP="00597239">
            <w:pPr>
              <w:tabs>
                <w:tab w:val="left" w:pos="1890"/>
              </w:tabs>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2022 r.</w:t>
            </w:r>
          </w:p>
        </w:tc>
        <w:tc>
          <w:tcPr>
            <w:tcW w:w="1349" w:type="dxa"/>
            <w:gridSpan w:val="2"/>
            <w:vAlign w:val="center"/>
          </w:tcPr>
          <w:p w14:paraId="1EFF418C" w14:textId="77777777" w:rsidR="000B4D72" w:rsidRPr="00552AD2" w:rsidRDefault="000B4D72" w:rsidP="00597239">
            <w:pPr>
              <w:tabs>
                <w:tab w:val="left" w:pos="1890"/>
              </w:tabs>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2023 r.</w:t>
            </w:r>
          </w:p>
        </w:tc>
        <w:tc>
          <w:tcPr>
            <w:tcW w:w="1350" w:type="dxa"/>
            <w:gridSpan w:val="2"/>
            <w:vAlign w:val="center"/>
          </w:tcPr>
          <w:p w14:paraId="418250F4" w14:textId="77777777" w:rsidR="000B4D72" w:rsidRPr="00552AD2" w:rsidRDefault="000B4D72" w:rsidP="00597239">
            <w:pPr>
              <w:tabs>
                <w:tab w:val="left" w:pos="1890"/>
              </w:tabs>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552AD2">
              <w:rPr>
                <w:rFonts w:eastAsia="Times New Roman" w:cstheme="minorHAnsi"/>
                <w:sz w:val="18"/>
                <w:szCs w:val="18"/>
                <w:lang w:eastAsia="pl-PL"/>
              </w:rPr>
              <w:t>2024 r.</w:t>
            </w:r>
          </w:p>
        </w:tc>
      </w:tr>
      <w:tr w:rsidR="000B4D72" w:rsidRPr="00552AD2" w14:paraId="51E41280" w14:textId="77777777" w:rsidTr="00FF50CD">
        <w:trPr>
          <w:cnfStyle w:val="000000100000" w:firstRow="0" w:lastRow="0" w:firstColumn="0" w:lastColumn="0" w:oddVBand="0" w:evenVBand="0" w:oddHBand="1" w:evenHBand="0" w:firstRowFirstColumn="0" w:firstRowLastColumn="0" w:lastRowFirstColumn="0" w:lastRowLastColumn="0"/>
          <w:trHeight w:hRule="exact" w:val="1361"/>
        </w:trPr>
        <w:tc>
          <w:tcPr>
            <w:cnfStyle w:val="001000000000" w:firstRow="0" w:lastRow="0" w:firstColumn="1" w:lastColumn="0" w:oddVBand="0" w:evenVBand="0" w:oddHBand="0" w:evenHBand="0" w:firstRowFirstColumn="0" w:firstRowLastColumn="0" w:lastRowFirstColumn="0" w:lastRowLastColumn="0"/>
            <w:tcW w:w="2213" w:type="dxa"/>
            <w:vMerge/>
            <w:vAlign w:val="center"/>
          </w:tcPr>
          <w:p w14:paraId="288B3733" w14:textId="77777777" w:rsidR="000B4D72" w:rsidRPr="00552AD2" w:rsidRDefault="000B4D72" w:rsidP="00597239">
            <w:pPr>
              <w:tabs>
                <w:tab w:val="left" w:pos="1890"/>
              </w:tabs>
              <w:spacing w:line="276" w:lineRule="auto"/>
              <w:ind w:left="113" w:right="113"/>
              <w:rPr>
                <w:rFonts w:eastAsia="Times New Roman" w:cstheme="minorHAnsi"/>
                <w:sz w:val="18"/>
                <w:szCs w:val="18"/>
                <w:lang w:eastAsia="pl-PL"/>
              </w:rPr>
            </w:pPr>
          </w:p>
        </w:tc>
        <w:tc>
          <w:tcPr>
            <w:tcW w:w="674" w:type="dxa"/>
            <w:textDirection w:val="btLr"/>
            <w:vAlign w:val="center"/>
          </w:tcPr>
          <w:p w14:paraId="7FD1637C"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552AD2">
              <w:rPr>
                <w:rFonts w:eastAsia="Times New Roman" w:cstheme="minorHAnsi"/>
                <w:spacing w:val="-10"/>
                <w:sz w:val="18"/>
                <w:szCs w:val="18"/>
                <w:lang w:eastAsia="pl-PL"/>
              </w:rPr>
              <w:t>zachorowania</w:t>
            </w:r>
          </w:p>
        </w:tc>
        <w:tc>
          <w:tcPr>
            <w:tcW w:w="675" w:type="dxa"/>
            <w:textDirection w:val="btLr"/>
            <w:vAlign w:val="center"/>
          </w:tcPr>
          <w:p w14:paraId="1EE28296"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552AD2">
              <w:rPr>
                <w:rFonts w:eastAsia="Times New Roman" w:cstheme="minorHAnsi"/>
                <w:sz w:val="18"/>
                <w:szCs w:val="18"/>
                <w:lang w:eastAsia="pl-PL"/>
              </w:rPr>
              <w:t>zapadalność na 100 tys.</w:t>
            </w:r>
          </w:p>
        </w:tc>
        <w:tc>
          <w:tcPr>
            <w:tcW w:w="675" w:type="dxa"/>
            <w:textDirection w:val="btLr"/>
            <w:vAlign w:val="center"/>
          </w:tcPr>
          <w:p w14:paraId="72B875C1"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552AD2">
              <w:rPr>
                <w:rFonts w:eastAsia="Times New Roman" w:cstheme="minorHAnsi"/>
                <w:spacing w:val="-10"/>
                <w:sz w:val="18"/>
                <w:szCs w:val="18"/>
                <w:lang w:eastAsia="pl-PL"/>
              </w:rPr>
              <w:t>zachorowania</w:t>
            </w:r>
          </w:p>
        </w:tc>
        <w:tc>
          <w:tcPr>
            <w:tcW w:w="674" w:type="dxa"/>
            <w:textDirection w:val="btLr"/>
            <w:vAlign w:val="center"/>
          </w:tcPr>
          <w:p w14:paraId="298A4EF9"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552AD2">
              <w:rPr>
                <w:rFonts w:eastAsia="Times New Roman" w:cstheme="minorHAnsi"/>
                <w:sz w:val="18"/>
                <w:szCs w:val="18"/>
                <w:lang w:eastAsia="pl-PL"/>
              </w:rPr>
              <w:t>zapadalność na 100 tys.</w:t>
            </w:r>
          </w:p>
        </w:tc>
        <w:tc>
          <w:tcPr>
            <w:tcW w:w="675" w:type="dxa"/>
            <w:textDirection w:val="btLr"/>
            <w:vAlign w:val="center"/>
          </w:tcPr>
          <w:p w14:paraId="3A0462A0"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552AD2">
              <w:rPr>
                <w:rFonts w:eastAsia="Times New Roman" w:cstheme="minorHAnsi"/>
                <w:spacing w:val="-10"/>
                <w:sz w:val="18"/>
                <w:szCs w:val="18"/>
                <w:lang w:eastAsia="pl-PL"/>
              </w:rPr>
              <w:t>zachorowania</w:t>
            </w:r>
          </w:p>
        </w:tc>
        <w:tc>
          <w:tcPr>
            <w:tcW w:w="675" w:type="dxa"/>
            <w:textDirection w:val="btLr"/>
            <w:vAlign w:val="center"/>
          </w:tcPr>
          <w:p w14:paraId="5548687E"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spacing w:val="-10"/>
                <w:sz w:val="18"/>
                <w:szCs w:val="18"/>
                <w:lang w:eastAsia="pl-PL"/>
              </w:rPr>
            </w:pPr>
            <w:r w:rsidRPr="00552AD2">
              <w:rPr>
                <w:rFonts w:eastAsia="Times New Roman" w:cstheme="minorHAnsi"/>
                <w:sz w:val="18"/>
                <w:szCs w:val="18"/>
                <w:lang w:eastAsia="pl-PL"/>
              </w:rPr>
              <w:t>zapadalność na 100 tys.</w:t>
            </w:r>
          </w:p>
        </w:tc>
        <w:tc>
          <w:tcPr>
            <w:tcW w:w="674" w:type="dxa"/>
            <w:textDirection w:val="btLr"/>
            <w:vAlign w:val="center"/>
          </w:tcPr>
          <w:p w14:paraId="55DD97D8"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Cs/>
                <w:spacing w:val="-10"/>
                <w:sz w:val="18"/>
                <w:szCs w:val="18"/>
                <w:lang w:eastAsia="pl-PL"/>
              </w:rPr>
            </w:pPr>
            <w:r w:rsidRPr="00552AD2">
              <w:rPr>
                <w:rFonts w:eastAsia="Times New Roman" w:cstheme="minorHAnsi"/>
                <w:bCs/>
                <w:spacing w:val="-10"/>
                <w:sz w:val="18"/>
                <w:szCs w:val="18"/>
                <w:lang w:eastAsia="pl-PL"/>
              </w:rPr>
              <w:t>zachorowania</w:t>
            </w:r>
          </w:p>
        </w:tc>
        <w:tc>
          <w:tcPr>
            <w:tcW w:w="675" w:type="dxa"/>
            <w:textDirection w:val="btLr"/>
            <w:vAlign w:val="center"/>
          </w:tcPr>
          <w:p w14:paraId="31170CCA"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Cs/>
                <w:spacing w:val="-10"/>
                <w:sz w:val="18"/>
                <w:szCs w:val="18"/>
                <w:lang w:eastAsia="pl-PL"/>
              </w:rPr>
            </w:pPr>
            <w:r w:rsidRPr="00552AD2">
              <w:rPr>
                <w:rFonts w:eastAsia="Times New Roman" w:cstheme="minorHAnsi"/>
                <w:bCs/>
                <w:sz w:val="18"/>
                <w:szCs w:val="18"/>
                <w:lang w:eastAsia="pl-PL"/>
              </w:rPr>
              <w:t>zapadalność na 100 tys.</w:t>
            </w:r>
          </w:p>
        </w:tc>
        <w:tc>
          <w:tcPr>
            <w:tcW w:w="675" w:type="dxa"/>
            <w:textDirection w:val="btLr"/>
            <w:vAlign w:val="center"/>
          </w:tcPr>
          <w:p w14:paraId="5C527A9F"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
                <w:bCs/>
                <w:spacing w:val="-10"/>
                <w:sz w:val="18"/>
                <w:szCs w:val="18"/>
                <w:lang w:eastAsia="pl-PL"/>
              </w:rPr>
            </w:pPr>
            <w:r w:rsidRPr="00552AD2">
              <w:rPr>
                <w:rFonts w:eastAsia="Times New Roman" w:cstheme="minorHAnsi"/>
                <w:b/>
                <w:bCs/>
                <w:spacing w:val="-10"/>
                <w:sz w:val="18"/>
                <w:szCs w:val="18"/>
                <w:lang w:eastAsia="pl-PL"/>
              </w:rPr>
              <w:t>zachorowania</w:t>
            </w:r>
          </w:p>
        </w:tc>
        <w:tc>
          <w:tcPr>
            <w:tcW w:w="675" w:type="dxa"/>
            <w:textDirection w:val="btLr"/>
            <w:vAlign w:val="center"/>
          </w:tcPr>
          <w:p w14:paraId="63370C69" w14:textId="77777777" w:rsidR="000B4D72" w:rsidRPr="00552AD2" w:rsidRDefault="000B4D72" w:rsidP="00597239">
            <w:pPr>
              <w:tabs>
                <w:tab w:val="left" w:pos="1890"/>
              </w:tabs>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8"/>
                <w:szCs w:val="18"/>
                <w:lang w:eastAsia="pl-PL"/>
              </w:rPr>
            </w:pPr>
            <w:r w:rsidRPr="00552AD2">
              <w:rPr>
                <w:rFonts w:eastAsia="Times New Roman" w:cstheme="minorHAnsi"/>
                <w:b/>
                <w:bCs/>
                <w:sz w:val="18"/>
                <w:szCs w:val="18"/>
                <w:lang w:eastAsia="pl-PL"/>
              </w:rPr>
              <w:t>zapadalność na 100 tys.</w:t>
            </w:r>
          </w:p>
        </w:tc>
      </w:tr>
      <w:tr w:rsidR="000B4D72" w:rsidRPr="00552AD2" w14:paraId="1D1FF080" w14:textId="77777777" w:rsidTr="00FF50CD">
        <w:trPr>
          <w:trHeight w:hRule="exact" w:val="284"/>
        </w:trPr>
        <w:tc>
          <w:tcPr>
            <w:cnfStyle w:val="001000000000" w:firstRow="0" w:lastRow="0" w:firstColumn="1" w:lastColumn="0" w:oddVBand="0" w:evenVBand="0" w:oddHBand="0" w:evenHBand="0" w:firstRowFirstColumn="0" w:firstRowLastColumn="0" w:lastRowFirstColumn="0" w:lastRowLastColumn="0"/>
            <w:tcW w:w="2213" w:type="dxa"/>
            <w:vAlign w:val="center"/>
          </w:tcPr>
          <w:p w14:paraId="35A6AA18" w14:textId="77777777" w:rsidR="000B4D72" w:rsidRPr="00552AD2" w:rsidRDefault="000B4D72" w:rsidP="00597239">
            <w:pPr>
              <w:tabs>
                <w:tab w:val="left" w:pos="1890"/>
              </w:tabs>
              <w:spacing w:line="276" w:lineRule="auto"/>
              <w:rPr>
                <w:rFonts w:eastAsia="Times New Roman" w:cstheme="minorHAnsi"/>
                <w:sz w:val="18"/>
                <w:szCs w:val="18"/>
                <w:lang w:eastAsia="pl-PL"/>
              </w:rPr>
            </w:pPr>
            <w:r w:rsidRPr="00552AD2">
              <w:rPr>
                <w:rFonts w:eastAsia="Times New Roman" w:cstheme="minorHAnsi"/>
                <w:sz w:val="18"/>
                <w:szCs w:val="18"/>
                <w:lang w:eastAsia="pl-PL"/>
              </w:rPr>
              <w:t>Polska</w:t>
            </w:r>
          </w:p>
        </w:tc>
        <w:tc>
          <w:tcPr>
            <w:tcW w:w="674" w:type="dxa"/>
            <w:vAlign w:val="center"/>
          </w:tcPr>
          <w:p w14:paraId="55D81C48"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940</w:t>
            </w:r>
          </w:p>
        </w:tc>
        <w:tc>
          <w:tcPr>
            <w:tcW w:w="675" w:type="dxa"/>
            <w:vAlign w:val="center"/>
          </w:tcPr>
          <w:p w14:paraId="5EC1CD85"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2,45</w:t>
            </w:r>
          </w:p>
        </w:tc>
        <w:tc>
          <w:tcPr>
            <w:tcW w:w="675" w:type="dxa"/>
            <w:vAlign w:val="center"/>
          </w:tcPr>
          <w:p w14:paraId="4BF65F93"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1244</w:t>
            </w:r>
          </w:p>
        </w:tc>
        <w:tc>
          <w:tcPr>
            <w:tcW w:w="674" w:type="dxa"/>
            <w:vAlign w:val="center"/>
          </w:tcPr>
          <w:p w14:paraId="45BD78B2"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3,26</w:t>
            </w:r>
          </w:p>
        </w:tc>
        <w:tc>
          <w:tcPr>
            <w:tcW w:w="675" w:type="dxa"/>
            <w:vAlign w:val="center"/>
          </w:tcPr>
          <w:p w14:paraId="10CC2CE4"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2525</w:t>
            </w:r>
          </w:p>
        </w:tc>
        <w:tc>
          <w:tcPr>
            <w:tcW w:w="675" w:type="dxa"/>
            <w:vAlign w:val="center"/>
          </w:tcPr>
          <w:p w14:paraId="03E2F3B5"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6,69</w:t>
            </w:r>
          </w:p>
        </w:tc>
        <w:tc>
          <w:tcPr>
            <w:tcW w:w="674" w:type="dxa"/>
            <w:vAlign w:val="center"/>
          </w:tcPr>
          <w:p w14:paraId="34AC282B"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3267</w:t>
            </w:r>
          </w:p>
        </w:tc>
        <w:tc>
          <w:tcPr>
            <w:tcW w:w="675" w:type="dxa"/>
            <w:vAlign w:val="center"/>
          </w:tcPr>
          <w:p w14:paraId="4B8DC30D"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8,66</w:t>
            </w:r>
          </w:p>
        </w:tc>
        <w:tc>
          <w:tcPr>
            <w:tcW w:w="675" w:type="dxa"/>
            <w:vAlign w:val="center"/>
          </w:tcPr>
          <w:p w14:paraId="1880A3DD"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eastAsia="pl-PL"/>
              </w:rPr>
            </w:pPr>
            <w:r w:rsidRPr="00552AD2">
              <w:rPr>
                <w:rFonts w:eastAsia="Times New Roman" w:cstheme="minorHAnsi"/>
                <w:b/>
                <w:bCs/>
                <w:sz w:val="18"/>
                <w:szCs w:val="18"/>
                <w:lang w:eastAsia="pl-PL"/>
              </w:rPr>
              <w:t>3570</w:t>
            </w:r>
          </w:p>
        </w:tc>
        <w:tc>
          <w:tcPr>
            <w:tcW w:w="675" w:type="dxa"/>
            <w:vAlign w:val="center"/>
          </w:tcPr>
          <w:p w14:paraId="1A1B1C78" w14:textId="77777777" w:rsidR="000B4D72" w:rsidRPr="00552AD2" w:rsidRDefault="000B4D72" w:rsidP="00597239">
            <w:pPr>
              <w:tabs>
                <w:tab w:val="left" w:pos="1890"/>
              </w:tabs>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eastAsia="pl-PL"/>
              </w:rPr>
            </w:pPr>
            <w:r w:rsidRPr="00552AD2">
              <w:rPr>
                <w:rFonts w:eastAsia="Times New Roman" w:cstheme="minorHAnsi"/>
                <w:b/>
                <w:bCs/>
                <w:sz w:val="18"/>
                <w:szCs w:val="18"/>
                <w:lang w:eastAsia="pl-PL"/>
              </w:rPr>
              <w:t>9,51</w:t>
            </w:r>
          </w:p>
        </w:tc>
      </w:tr>
      <w:tr w:rsidR="000B4D72" w:rsidRPr="00552AD2" w14:paraId="157B229D" w14:textId="77777777" w:rsidTr="00FF50CD">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2213" w:type="dxa"/>
            <w:vAlign w:val="center"/>
          </w:tcPr>
          <w:p w14:paraId="6D5A2E39" w14:textId="77777777" w:rsidR="000B4D72" w:rsidRPr="00552AD2" w:rsidRDefault="000B4D72" w:rsidP="00597239">
            <w:pPr>
              <w:tabs>
                <w:tab w:val="left" w:pos="1890"/>
              </w:tabs>
              <w:spacing w:line="276" w:lineRule="auto"/>
              <w:rPr>
                <w:rFonts w:eastAsia="Times New Roman" w:cstheme="minorHAnsi"/>
                <w:bCs w:val="0"/>
                <w:sz w:val="18"/>
                <w:szCs w:val="18"/>
                <w:lang w:eastAsia="pl-PL"/>
              </w:rPr>
            </w:pPr>
            <w:r w:rsidRPr="00552AD2">
              <w:rPr>
                <w:rFonts w:eastAsia="Times New Roman" w:cstheme="minorHAnsi"/>
                <w:sz w:val="18"/>
                <w:szCs w:val="18"/>
                <w:lang w:eastAsia="pl-PL"/>
              </w:rPr>
              <w:t xml:space="preserve">województwo </w:t>
            </w:r>
            <w:r w:rsidRPr="00552AD2">
              <w:rPr>
                <w:rFonts w:eastAsia="Times New Roman" w:cstheme="minorHAnsi"/>
                <w:spacing w:val="-6"/>
                <w:sz w:val="18"/>
                <w:szCs w:val="18"/>
                <w:lang w:eastAsia="pl-PL"/>
              </w:rPr>
              <w:t>zachodniopomorskie</w:t>
            </w:r>
          </w:p>
        </w:tc>
        <w:tc>
          <w:tcPr>
            <w:tcW w:w="674" w:type="dxa"/>
            <w:vAlign w:val="center"/>
          </w:tcPr>
          <w:p w14:paraId="37AC24BD"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48</w:t>
            </w:r>
          </w:p>
        </w:tc>
        <w:tc>
          <w:tcPr>
            <w:tcW w:w="675" w:type="dxa"/>
            <w:vAlign w:val="center"/>
          </w:tcPr>
          <w:p w14:paraId="620A2D04"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2,84</w:t>
            </w:r>
          </w:p>
        </w:tc>
        <w:tc>
          <w:tcPr>
            <w:tcW w:w="675" w:type="dxa"/>
            <w:vAlign w:val="center"/>
          </w:tcPr>
          <w:p w14:paraId="3B6DE1CC"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46</w:t>
            </w:r>
          </w:p>
        </w:tc>
        <w:tc>
          <w:tcPr>
            <w:tcW w:w="674" w:type="dxa"/>
            <w:vAlign w:val="center"/>
          </w:tcPr>
          <w:p w14:paraId="017C25CE"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2,73</w:t>
            </w:r>
          </w:p>
        </w:tc>
        <w:tc>
          <w:tcPr>
            <w:tcW w:w="675" w:type="dxa"/>
            <w:vAlign w:val="center"/>
          </w:tcPr>
          <w:p w14:paraId="12C30962"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261</w:t>
            </w:r>
          </w:p>
        </w:tc>
        <w:tc>
          <w:tcPr>
            <w:tcW w:w="675" w:type="dxa"/>
            <w:vAlign w:val="center"/>
          </w:tcPr>
          <w:p w14:paraId="5F4BBB42"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15,87</w:t>
            </w:r>
          </w:p>
        </w:tc>
        <w:tc>
          <w:tcPr>
            <w:tcW w:w="674" w:type="dxa"/>
            <w:vAlign w:val="center"/>
          </w:tcPr>
          <w:p w14:paraId="775BC354"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238</w:t>
            </w:r>
          </w:p>
        </w:tc>
        <w:tc>
          <w:tcPr>
            <w:tcW w:w="675" w:type="dxa"/>
            <w:vAlign w:val="center"/>
          </w:tcPr>
          <w:p w14:paraId="166168B3"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52AD2">
              <w:rPr>
                <w:rFonts w:eastAsia="Times New Roman" w:cstheme="minorHAnsi"/>
                <w:sz w:val="18"/>
                <w:szCs w:val="18"/>
                <w:lang w:eastAsia="pl-PL"/>
              </w:rPr>
              <w:t>14,55</w:t>
            </w:r>
          </w:p>
        </w:tc>
        <w:tc>
          <w:tcPr>
            <w:tcW w:w="675" w:type="dxa"/>
            <w:vAlign w:val="center"/>
          </w:tcPr>
          <w:p w14:paraId="31FA662E"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8"/>
                <w:szCs w:val="18"/>
                <w:lang w:eastAsia="pl-PL"/>
              </w:rPr>
            </w:pPr>
            <w:r w:rsidRPr="00552AD2">
              <w:rPr>
                <w:rFonts w:eastAsia="Times New Roman" w:cstheme="minorHAnsi"/>
                <w:b/>
                <w:bCs/>
                <w:sz w:val="18"/>
                <w:szCs w:val="18"/>
                <w:lang w:eastAsia="pl-PL"/>
              </w:rPr>
              <w:t>256</w:t>
            </w:r>
          </w:p>
        </w:tc>
        <w:tc>
          <w:tcPr>
            <w:tcW w:w="675" w:type="dxa"/>
            <w:vAlign w:val="center"/>
          </w:tcPr>
          <w:p w14:paraId="6E2ED3AA" w14:textId="77777777" w:rsidR="000B4D72" w:rsidRPr="00552AD2" w:rsidRDefault="000B4D72" w:rsidP="00597239">
            <w:pPr>
              <w:tabs>
                <w:tab w:val="left" w:pos="1890"/>
              </w:tabs>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18"/>
                <w:szCs w:val="18"/>
                <w:lang w:eastAsia="pl-PL"/>
              </w:rPr>
            </w:pPr>
            <w:r w:rsidRPr="00552AD2">
              <w:rPr>
                <w:rFonts w:eastAsia="Times New Roman" w:cstheme="minorHAnsi"/>
                <w:b/>
                <w:bCs/>
                <w:sz w:val="18"/>
                <w:szCs w:val="18"/>
                <w:lang w:eastAsia="pl-PL"/>
              </w:rPr>
              <w:t>15,74</w:t>
            </w:r>
          </w:p>
        </w:tc>
      </w:tr>
    </w:tbl>
    <w:p w14:paraId="12DDB401" w14:textId="77777777" w:rsidR="0022532B" w:rsidRDefault="0022532B" w:rsidP="00597239">
      <w:pPr>
        <w:tabs>
          <w:tab w:val="left" w:pos="851"/>
        </w:tabs>
        <w:spacing w:after="0" w:line="276" w:lineRule="auto"/>
        <w:rPr>
          <w:rFonts w:eastAsia="Times New Roman" w:cstheme="minorHAnsi"/>
          <w:sz w:val="24"/>
          <w:szCs w:val="24"/>
          <w:lang w:eastAsia="pl-PL"/>
        </w:rPr>
      </w:pPr>
    </w:p>
    <w:p w14:paraId="2FEB8C45" w14:textId="4AA40EEF" w:rsidR="000B4D72" w:rsidRDefault="000B4D72" w:rsidP="00597239">
      <w:pPr>
        <w:tabs>
          <w:tab w:val="left" w:pos="851"/>
        </w:tabs>
        <w:spacing w:after="0" w:line="276" w:lineRule="auto"/>
        <w:rPr>
          <w:rFonts w:eastAsia="Times New Roman" w:cstheme="minorHAnsi"/>
          <w:sz w:val="24"/>
          <w:szCs w:val="24"/>
          <w:lang w:eastAsia="pl-PL"/>
        </w:rPr>
      </w:pPr>
      <w:r>
        <w:rPr>
          <w:rFonts w:eastAsia="Times New Roman" w:cstheme="minorHAnsi"/>
          <w:sz w:val="24"/>
          <w:szCs w:val="24"/>
          <w:lang w:eastAsia="pl-PL"/>
        </w:rPr>
        <w:t>W</w:t>
      </w:r>
      <w:r w:rsidRPr="00552AD2">
        <w:rPr>
          <w:rFonts w:eastAsia="Times New Roman" w:cstheme="minorHAnsi"/>
          <w:sz w:val="24"/>
          <w:szCs w:val="24"/>
          <w:lang w:eastAsia="pl-PL"/>
        </w:rPr>
        <w:t>śród wszystkich zachorowań na wirusowe zapaleni</w:t>
      </w:r>
      <w:r>
        <w:rPr>
          <w:rFonts w:eastAsia="Times New Roman" w:cstheme="minorHAnsi"/>
          <w:sz w:val="24"/>
          <w:szCs w:val="24"/>
          <w:lang w:eastAsia="pl-PL"/>
        </w:rPr>
        <w:t>e</w:t>
      </w:r>
      <w:r w:rsidRPr="00552AD2">
        <w:rPr>
          <w:rFonts w:eastAsia="Times New Roman" w:cstheme="minorHAnsi"/>
          <w:sz w:val="24"/>
          <w:szCs w:val="24"/>
          <w:lang w:eastAsia="pl-PL"/>
        </w:rPr>
        <w:t xml:space="preserve"> wątroby typu C mężczyźni stanowili </w:t>
      </w:r>
      <w:r w:rsidRPr="005213A0">
        <w:rPr>
          <w:rFonts w:eastAsia="Times New Roman" w:cstheme="minorHAnsi"/>
          <w:sz w:val="24"/>
          <w:szCs w:val="24"/>
          <w:lang w:eastAsia="pl-PL"/>
        </w:rPr>
        <w:t xml:space="preserve">blisko 59%. </w:t>
      </w:r>
      <w:r w:rsidRPr="00552AD2">
        <w:rPr>
          <w:rFonts w:eastAsia="Times New Roman" w:cstheme="minorHAnsi"/>
          <w:sz w:val="24"/>
          <w:szCs w:val="24"/>
          <w:lang w:eastAsia="pl-PL"/>
        </w:rPr>
        <w:t>W grupach wiekowych dominowały osoby w wieku 41-50 lat (64 osoby) oraz 31-40 lat (60 osób) i 61-70 lat (58 osób).</w:t>
      </w:r>
    </w:p>
    <w:p w14:paraId="21886CD5" w14:textId="77777777" w:rsidR="0022532B" w:rsidRPr="00552AD2" w:rsidRDefault="0022532B" w:rsidP="00597239">
      <w:pPr>
        <w:tabs>
          <w:tab w:val="left" w:pos="851"/>
        </w:tabs>
        <w:spacing w:after="0" w:line="276" w:lineRule="auto"/>
        <w:rPr>
          <w:rFonts w:eastAsia="Times New Roman" w:cstheme="minorHAnsi"/>
          <w:sz w:val="24"/>
          <w:szCs w:val="24"/>
          <w:lang w:eastAsia="pl-PL"/>
        </w:rPr>
      </w:pPr>
    </w:p>
    <w:p w14:paraId="7A71057C" w14:textId="77777777" w:rsidR="000B4D72" w:rsidRPr="00552AD2" w:rsidRDefault="000B4D72" w:rsidP="00597239">
      <w:pPr>
        <w:tabs>
          <w:tab w:val="left" w:pos="851"/>
        </w:tabs>
        <w:spacing w:after="0" w:line="276" w:lineRule="auto"/>
        <w:rPr>
          <w:rFonts w:eastAsia="Times New Roman" w:cstheme="minorHAnsi"/>
          <w:b/>
          <w:sz w:val="24"/>
          <w:szCs w:val="24"/>
          <w:lang w:eastAsia="pl-PL"/>
        </w:rPr>
      </w:pPr>
      <w:r w:rsidRPr="00552AD2">
        <w:rPr>
          <w:rFonts w:eastAsia="Times New Roman" w:cstheme="minorHAnsi"/>
          <w:b/>
          <w:sz w:val="24"/>
          <w:szCs w:val="24"/>
          <w:lang w:eastAsia="pl-PL"/>
        </w:rPr>
        <w:t>Wirusowe zapalenie wątroby inne i nieokreślone</w:t>
      </w:r>
    </w:p>
    <w:p w14:paraId="5CEC5EC1" w14:textId="6BE3539E" w:rsidR="000B4D72" w:rsidRDefault="000B4D72" w:rsidP="00597239">
      <w:pPr>
        <w:spacing w:after="0" w:line="276" w:lineRule="auto"/>
        <w:rPr>
          <w:rFonts w:eastAsia="Times New Roman" w:cstheme="minorHAnsi"/>
          <w:sz w:val="24"/>
          <w:szCs w:val="24"/>
          <w:lang w:eastAsia="pl-PL"/>
        </w:rPr>
      </w:pPr>
      <w:r w:rsidRPr="00552AD2">
        <w:rPr>
          <w:rFonts w:eastAsia="Times New Roman" w:cstheme="minorHAnsi"/>
          <w:sz w:val="24"/>
          <w:szCs w:val="24"/>
          <w:lang w:eastAsia="pl-PL"/>
        </w:rPr>
        <w:lastRenderedPageBreak/>
        <w:t>W woj. zachodniopomorskim w 2024 roku zarejestrowano 5 przypadków zachorowań na</w:t>
      </w:r>
      <w:r w:rsidR="00F57981">
        <w:rPr>
          <w:rFonts w:eastAsia="Times New Roman" w:cstheme="minorHAnsi"/>
          <w:sz w:val="24"/>
          <w:szCs w:val="24"/>
          <w:lang w:eastAsia="pl-PL"/>
        </w:rPr>
        <w:t> </w:t>
      </w:r>
      <w:r w:rsidRPr="00552AD2">
        <w:rPr>
          <w:rFonts w:eastAsia="Times New Roman" w:cstheme="minorHAnsi"/>
          <w:sz w:val="24"/>
          <w:szCs w:val="24"/>
          <w:lang w:eastAsia="pl-PL"/>
        </w:rPr>
        <w:t>wirusowe zapalenie wątroby o etiologii innej i nieokreślonej (współczynnik zapadalności 0,31 na 100 tys. mieszkańców), tj. o 2 więcej niż w roku ubiegłym.</w:t>
      </w:r>
    </w:p>
    <w:p w14:paraId="39F4D221" w14:textId="77777777" w:rsidR="0022532B" w:rsidRPr="00552AD2" w:rsidRDefault="0022532B" w:rsidP="00597239">
      <w:pPr>
        <w:spacing w:after="0" w:line="276" w:lineRule="auto"/>
        <w:rPr>
          <w:rFonts w:eastAsia="Times New Roman" w:cstheme="minorHAnsi"/>
          <w:sz w:val="24"/>
          <w:szCs w:val="24"/>
          <w:lang w:eastAsia="pl-PL"/>
        </w:rPr>
      </w:pPr>
    </w:p>
    <w:p w14:paraId="72FC03ED" w14:textId="5BE7D46B" w:rsidR="000B4D72" w:rsidRPr="006D11CF" w:rsidRDefault="000B4D72" w:rsidP="00597239">
      <w:pPr>
        <w:pStyle w:val="Nagwek3"/>
        <w:numPr>
          <w:ilvl w:val="1"/>
          <w:numId w:val="19"/>
        </w:numPr>
        <w:spacing w:before="0" w:after="0"/>
        <w:ind w:left="568" w:hanging="284"/>
      </w:pPr>
      <w:bookmarkStart w:id="42" w:name="_Toc192678700"/>
      <w:bookmarkStart w:id="43" w:name="_Toc193694440"/>
      <w:bookmarkStart w:id="44" w:name="_Toc194059778"/>
      <w:r w:rsidRPr="006D11CF">
        <w:t>Wybrane choroby infekcyjne układu oddechowego: Covid-19, grypa i RSV</w:t>
      </w:r>
      <w:bookmarkEnd w:id="42"/>
      <w:bookmarkEnd w:id="43"/>
      <w:bookmarkEnd w:id="44"/>
    </w:p>
    <w:p w14:paraId="492F97EE" w14:textId="2FA8E4A2" w:rsidR="000B4D72" w:rsidRPr="00790492" w:rsidRDefault="000B4D72" w:rsidP="00597239">
      <w:pPr>
        <w:autoSpaceDE w:val="0"/>
        <w:autoSpaceDN w:val="0"/>
        <w:adjustRightInd w:val="0"/>
        <w:spacing w:after="0" w:line="276" w:lineRule="auto"/>
        <w:rPr>
          <w:rFonts w:cstheme="minorHAnsi"/>
          <w:color w:val="000000" w:themeColor="text1"/>
          <w:sz w:val="24"/>
          <w:szCs w:val="24"/>
        </w:rPr>
      </w:pPr>
      <w:r w:rsidRPr="00790492">
        <w:rPr>
          <w:rFonts w:cstheme="minorHAnsi"/>
          <w:color w:val="000000" w:themeColor="text1"/>
          <w:sz w:val="24"/>
          <w:szCs w:val="24"/>
        </w:rPr>
        <w:t>W 2024 r. głównymi chorobami infekcyjnymi podlegającymi raportowaniu zgodnie z</w:t>
      </w:r>
      <w:r w:rsidR="00D123BC">
        <w:rPr>
          <w:rFonts w:cstheme="minorHAnsi"/>
          <w:color w:val="000000" w:themeColor="text1"/>
          <w:sz w:val="24"/>
          <w:szCs w:val="24"/>
        </w:rPr>
        <w:t> </w:t>
      </w:r>
      <w:r w:rsidRPr="00790492">
        <w:rPr>
          <w:rFonts w:cstheme="minorHAnsi"/>
          <w:color w:val="000000" w:themeColor="text1"/>
          <w:sz w:val="24"/>
          <w:szCs w:val="24"/>
        </w:rPr>
        <w:t xml:space="preserve">przepisami ustawy z dnia 5 grudnia 2008 r. </w:t>
      </w:r>
      <w:r w:rsidRPr="00E1236C">
        <w:rPr>
          <w:rFonts w:cstheme="minorHAnsi"/>
          <w:color w:val="000000" w:themeColor="text1"/>
          <w:sz w:val="24"/>
          <w:szCs w:val="24"/>
        </w:rPr>
        <w:t>o zapobieganiu i zwalczaniu zakażeń i chorób zakaźnych u ludzi były zakażenia</w:t>
      </w:r>
      <w:r w:rsidRPr="00790492">
        <w:rPr>
          <w:rFonts w:cstheme="minorHAnsi"/>
          <w:color w:val="000000" w:themeColor="text1"/>
          <w:sz w:val="24"/>
          <w:szCs w:val="24"/>
        </w:rPr>
        <w:t xml:space="preserve"> SARS-CoV-2 (COVID-19), grypa</w:t>
      </w:r>
      <w:r>
        <w:rPr>
          <w:rFonts w:cstheme="minorHAnsi"/>
          <w:color w:val="000000" w:themeColor="text1"/>
          <w:sz w:val="24"/>
          <w:szCs w:val="24"/>
        </w:rPr>
        <w:t xml:space="preserve"> oraz</w:t>
      </w:r>
      <w:r w:rsidRPr="00790492">
        <w:rPr>
          <w:rFonts w:cstheme="minorHAnsi"/>
          <w:color w:val="000000" w:themeColor="text1"/>
          <w:sz w:val="24"/>
          <w:szCs w:val="24"/>
        </w:rPr>
        <w:t xml:space="preserve"> zakażenia RSV.</w:t>
      </w:r>
    </w:p>
    <w:p w14:paraId="41E4509D" w14:textId="61D6B9F7" w:rsidR="000B4D72" w:rsidRDefault="000B4D72" w:rsidP="00597239">
      <w:pPr>
        <w:pStyle w:val="NormalnyWeb"/>
        <w:spacing w:before="0" w:beforeAutospacing="0" w:after="0" w:afterAutospacing="0" w:line="276" w:lineRule="auto"/>
        <w:rPr>
          <w:rFonts w:asciiTheme="minorHAnsi" w:hAnsiTheme="minorHAnsi" w:cstheme="minorHAnsi"/>
          <w:color w:val="000000" w:themeColor="text1"/>
        </w:rPr>
      </w:pPr>
      <w:r w:rsidRPr="00250383">
        <w:rPr>
          <w:rFonts w:asciiTheme="minorHAnsi" w:hAnsiTheme="minorHAnsi" w:cstheme="minorHAnsi"/>
          <w:color w:val="000000" w:themeColor="text1"/>
        </w:rPr>
        <w:t xml:space="preserve">Według danych NIZP PZH-PIB zapadalność potwierdzonych, jak również zaklasyfikowanych jako możliwe (zgłoszonych przez lekarzy tylko na podstawie objawów klinicznych), przypadków SARS-CoV-2 w Polsce w 2024 r. była niższa niż w roku poprzedzającym i trend ten utrzymuje się od 2022 r. (tabela </w:t>
      </w:r>
      <w:r>
        <w:rPr>
          <w:rFonts w:asciiTheme="minorHAnsi" w:hAnsiTheme="minorHAnsi" w:cstheme="minorHAnsi"/>
          <w:color w:val="000000" w:themeColor="text1"/>
        </w:rPr>
        <w:t>8</w:t>
      </w:r>
      <w:r w:rsidRPr="00250383">
        <w:rPr>
          <w:rFonts w:asciiTheme="minorHAnsi" w:hAnsiTheme="minorHAnsi" w:cstheme="minorHAnsi"/>
          <w:color w:val="000000" w:themeColor="text1"/>
        </w:rPr>
        <w:t>).</w:t>
      </w:r>
      <w:r>
        <w:rPr>
          <w:rFonts w:asciiTheme="minorHAnsi" w:hAnsiTheme="minorHAnsi" w:cstheme="minorHAnsi"/>
          <w:color w:val="000000" w:themeColor="text1"/>
        </w:rPr>
        <w:t xml:space="preserve"> Podobną sytuację obserwowano w woj. zachodniopomorskim.</w:t>
      </w:r>
      <w:r w:rsidRPr="00250383">
        <w:rPr>
          <w:rFonts w:asciiTheme="minorHAnsi" w:hAnsiTheme="minorHAnsi" w:cstheme="minorHAnsi"/>
          <w:color w:val="000000" w:themeColor="text1"/>
        </w:rPr>
        <w:t xml:space="preserve"> </w:t>
      </w:r>
    </w:p>
    <w:p w14:paraId="6738C33C" w14:textId="77777777" w:rsidR="0022532B" w:rsidRDefault="0022532B" w:rsidP="00597239">
      <w:pPr>
        <w:pStyle w:val="NormalnyWeb"/>
        <w:spacing w:before="0" w:beforeAutospacing="0" w:after="0" w:afterAutospacing="0" w:line="276" w:lineRule="auto"/>
        <w:rPr>
          <w:rFonts w:asciiTheme="minorHAnsi" w:hAnsiTheme="minorHAnsi" w:cstheme="minorHAnsi"/>
          <w:color w:val="000000" w:themeColor="text1"/>
        </w:rPr>
      </w:pPr>
    </w:p>
    <w:p w14:paraId="6EF577FD" w14:textId="33413270" w:rsidR="000B4D72" w:rsidRPr="00380BF7" w:rsidRDefault="000B4D72" w:rsidP="00597239">
      <w:pPr>
        <w:pStyle w:val="NormalnyWeb"/>
        <w:spacing w:before="0" w:beforeAutospacing="0" w:after="0" w:afterAutospacing="0" w:line="276" w:lineRule="auto"/>
        <w:rPr>
          <w:rFonts w:asciiTheme="minorHAnsi" w:hAnsiTheme="minorHAnsi" w:cstheme="minorHAnsi"/>
          <w:color w:val="000000" w:themeColor="text1"/>
        </w:rPr>
      </w:pPr>
      <w:r>
        <w:rPr>
          <w:rFonts w:asciiTheme="minorHAnsi" w:hAnsiTheme="minorHAnsi" w:cstheme="minorHAnsi"/>
          <w:color w:val="000000" w:themeColor="text1"/>
        </w:rPr>
        <w:t>Epidemiologia</w:t>
      </w:r>
      <w:r w:rsidRPr="00380BF7">
        <w:rPr>
          <w:rFonts w:asciiTheme="minorHAnsi" w:hAnsiTheme="minorHAnsi" w:cstheme="minorHAnsi"/>
          <w:color w:val="000000" w:themeColor="text1"/>
        </w:rPr>
        <w:t xml:space="preserve"> zakażeń SARS-CoV-2 w woj. zachodniopomorskim, w</w:t>
      </w:r>
      <w:r>
        <w:rPr>
          <w:rFonts w:asciiTheme="minorHAnsi" w:hAnsiTheme="minorHAnsi" w:cstheme="minorHAnsi"/>
          <w:color w:val="000000" w:themeColor="text1"/>
        </w:rPr>
        <w:t xml:space="preserve"> </w:t>
      </w:r>
      <w:r w:rsidRPr="00380BF7">
        <w:rPr>
          <w:rFonts w:asciiTheme="minorHAnsi" w:hAnsiTheme="minorHAnsi" w:cstheme="minorHAnsi"/>
          <w:color w:val="000000" w:themeColor="text1"/>
        </w:rPr>
        <w:t>odniesieniu do roku poprzedniego, znacząco się poprawiła</w:t>
      </w:r>
      <w:r w:rsidRPr="003C0F0B">
        <w:rPr>
          <w:rFonts w:asciiTheme="minorHAnsi" w:hAnsiTheme="minorHAnsi" w:cstheme="minorHAnsi"/>
          <w:color w:val="000000" w:themeColor="text1"/>
        </w:rPr>
        <w:t xml:space="preserve"> </w:t>
      </w:r>
      <w:r w:rsidRPr="00380BF7">
        <w:rPr>
          <w:rFonts w:asciiTheme="minorHAnsi" w:hAnsiTheme="minorHAnsi" w:cstheme="minorHAnsi"/>
          <w:color w:val="000000" w:themeColor="text1"/>
        </w:rPr>
        <w:t>i była korzystniejsza niż ogólnopolska</w:t>
      </w:r>
      <w:r>
        <w:rPr>
          <w:rFonts w:asciiTheme="minorHAnsi" w:hAnsiTheme="minorHAnsi" w:cstheme="minorHAnsi"/>
          <w:color w:val="000000" w:themeColor="text1"/>
        </w:rPr>
        <w:t xml:space="preserve">, tj. stwierdzono o ponad 36% mniej </w:t>
      </w:r>
      <w:r w:rsidRPr="00380BF7">
        <w:rPr>
          <w:rFonts w:asciiTheme="minorHAnsi" w:hAnsiTheme="minorHAnsi" w:cstheme="minorHAnsi"/>
          <w:color w:val="000000" w:themeColor="text1"/>
        </w:rPr>
        <w:t xml:space="preserve">potwierdzonych </w:t>
      </w:r>
      <w:r>
        <w:rPr>
          <w:rFonts w:asciiTheme="minorHAnsi" w:hAnsiTheme="minorHAnsi" w:cstheme="minorHAnsi"/>
          <w:color w:val="000000" w:themeColor="text1"/>
        </w:rPr>
        <w:t>zakażeń i ponad 8% mniej zakażeń możliwych</w:t>
      </w:r>
      <w:r w:rsidRPr="00380BF7">
        <w:rPr>
          <w:rFonts w:asciiTheme="minorHAnsi" w:hAnsiTheme="minorHAnsi" w:cstheme="minorHAnsi"/>
          <w:color w:val="000000" w:themeColor="text1"/>
        </w:rPr>
        <w:t>.</w:t>
      </w:r>
      <w:r>
        <w:rPr>
          <w:rFonts w:asciiTheme="minorHAnsi" w:hAnsiTheme="minorHAnsi" w:cstheme="minorHAnsi"/>
          <w:color w:val="000000" w:themeColor="text1"/>
        </w:rPr>
        <w:t xml:space="preserve"> Analiza zachorowań na COVID-19 w latach 2023-2024 wykazała ich sezonowość </w:t>
      </w:r>
      <w:r w:rsidRPr="00F37F64">
        <w:rPr>
          <w:rFonts w:asciiTheme="minorHAnsi" w:hAnsiTheme="minorHAnsi" w:cstheme="minorHAnsi"/>
          <w:color w:val="000000" w:themeColor="text1"/>
        </w:rPr>
        <w:t>(</w:t>
      </w:r>
      <w:r w:rsidR="00D123BC">
        <w:rPr>
          <w:rFonts w:asciiTheme="minorHAnsi" w:hAnsiTheme="minorHAnsi" w:cstheme="minorHAnsi"/>
          <w:color w:val="000000" w:themeColor="text1"/>
        </w:rPr>
        <w:t>wykres</w:t>
      </w:r>
      <w:r w:rsidRPr="00F37F64">
        <w:rPr>
          <w:rFonts w:asciiTheme="minorHAnsi" w:hAnsiTheme="minorHAnsi" w:cstheme="minorHAnsi"/>
          <w:color w:val="000000" w:themeColor="text1"/>
        </w:rPr>
        <w:t xml:space="preserve"> 1)</w:t>
      </w:r>
      <w:r>
        <w:rPr>
          <w:rFonts w:asciiTheme="minorHAnsi" w:hAnsiTheme="minorHAnsi" w:cstheme="minorHAnsi"/>
          <w:color w:val="000000" w:themeColor="text1"/>
        </w:rPr>
        <w:t xml:space="preserve"> ze wzrostem zakażeń w okresie jesienno-zimowym, podobnie jak w przypadku grypy czy RSV.</w:t>
      </w:r>
    </w:p>
    <w:p w14:paraId="220A836E" w14:textId="77777777" w:rsidR="0022532B" w:rsidRDefault="0022532B" w:rsidP="00597239">
      <w:pPr>
        <w:pStyle w:val="NormalnyWeb"/>
        <w:spacing w:before="0" w:beforeAutospacing="0" w:after="0" w:afterAutospacing="0" w:line="276" w:lineRule="auto"/>
        <w:rPr>
          <w:rFonts w:asciiTheme="minorHAnsi" w:hAnsiTheme="minorHAnsi" w:cstheme="minorHAnsi"/>
          <w:color w:val="000000" w:themeColor="text1"/>
        </w:rPr>
      </w:pPr>
    </w:p>
    <w:p w14:paraId="5A0926C2" w14:textId="07A6B8C1" w:rsidR="000B4D72" w:rsidRPr="00380BF7" w:rsidRDefault="000B4D72" w:rsidP="00597239">
      <w:pPr>
        <w:pStyle w:val="NormalnyWeb"/>
        <w:spacing w:before="0" w:beforeAutospacing="0" w:after="0" w:afterAutospacing="0" w:line="276" w:lineRule="auto"/>
        <w:rPr>
          <w:rFonts w:asciiTheme="minorHAnsi" w:hAnsiTheme="minorHAnsi" w:cstheme="minorHAnsi"/>
          <w:color w:val="000000" w:themeColor="text1"/>
        </w:rPr>
      </w:pPr>
      <w:r w:rsidRPr="00380BF7">
        <w:rPr>
          <w:rFonts w:asciiTheme="minorHAnsi" w:hAnsiTheme="minorHAnsi" w:cstheme="minorHAnsi"/>
          <w:color w:val="000000" w:themeColor="text1"/>
        </w:rPr>
        <w:t>Śmiertelność z powodu zakażeń SARS-CoV-2 i choroby COVID-19 - w 2024 roku kształtowała się na poziomie 0,38% (zaraportowano 33 zgony tj. o 16 przypadków mniej niż w 2023 r. (0,35%; zaraportowano 49 zgonów)</w:t>
      </w:r>
      <w:r>
        <w:rPr>
          <w:rFonts w:asciiTheme="minorHAnsi" w:hAnsiTheme="minorHAnsi" w:cstheme="minorHAnsi"/>
          <w:color w:val="000000" w:themeColor="text1"/>
        </w:rPr>
        <w:t>)</w:t>
      </w:r>
      <w:r w:rsidRPr="00380BF7">
        <w:rPr>
          <w:rFonts w:asciiTheme="minorHAnsi" w:hAnsiTheme="minorHAnsi" w:cstheme="minorHAnsi"/>
          <w:color w:val="000000" w:themeColor="text1"/>
        </w:rPr>
        <w:t>.</w:t>
      </w:r>
    </w:p>
    <w:p w14:paraId="06754829" w14:textId="77777777" w:rsidR="0022532B" w:rsidRDefault="0022532B" w:rsidP="00597239">
      <w:pPr>
        <w:pStyle w:val="NormalnyWeb"/>
        <w:spacing w:before="0" w:beforeAutospacing="0" w:after="0" w:afterAutospacing="0" w:line="276" w:lineRule="auto"/>
        <w:rPr>
          <w:rFonts w:asciiTheme="minorHAnsi" w:hAnsiTheme="minorHAnsi" w:cstheme="minorHAnsi"/>
          <w:color w:val="000000" w:themeColor="text1"/>
        </w:rPr>
      </w:pPr>
    </w:p>
    <w:p w14:paraId="2C20D870" w14:textId="0860D919" w:rsidR="000B4D72" w:rsidRDefault="000B4D72" w:rsidP="00597239">
      <w:pPr>
        <w:pStyle w:val="NormalnyWeb"/>
        <w:spacing w:before="0" w:beforeAutospacing="0" w:after="0" w:afterAutospacing="0" w:line="276" w:lineRule="auto"/>
        <w:rPr>
          <w:rFonts w:asciiTheme="minorHAnsi" w:hAnsiTheme="minorHAnsi" w:cstheme="minorHAnsi"/>
          <w:color w:val="000000" w:themeColor="text1"/>
        </w:rPr>
      </w:pPr>
      <w:r w:rsidRPr="00380BF7">
        <w:rPr>
          <w:rFonts w:asciiTheme="minorHAnsi" w:hAnsiTheme="minorHAnsi" w:cstheme="minorHAnsi"/>
          <w:color w:val="000000" w:themeColor="text1"/>
        </w:rPr>
        <w:t xml:space="preserve">Należy podkreślić, iż dane raportowane do NIZP-PZH PIB w Warszawie na podstawie obowiązującej </w:t>
      </w:r>
      <w:r w:rsidRPr="00E1236C">
        <w:rPr>
          <w:rFonts w:asciiTheme="minorHAnsi" w:hAnsiTheme="minorHAnsi" w:cstheme="minorHAnsi"/>
          <w:color w:val="000000" w:themeColor="text1"/>
        </w:rPr>
        <w:t>Definicji przypadku COVID-19 na potrzeby</w:t>
      </w:r>
      <w:r w:rsidRPr="00380BF7">
        <w:rPr>
          <w:rFonts w:asciiTheme="minorHAnsi" w:hAnsiTheme="minorHAnsi" w:cstheme="minorHAnsi"/>
          <w:i/>
          <w:iCs/>
          <w:color w:val="000000" w:themeColor="text1"/>
        </w:rPr>
        <w:t xml:space="preserve"> </w:t>
      </w:r>
      <w:r w:rsidRPr="00E1236C">
        <w:rPr>
          <w:rFonts w:asciiTheme="minorHAnsi" w:hAnsiTheme="minorHAnsi" w:cstheme="minorHAnsi"/>
          <w:color w:val="000000" w:themeColor="text1"/>
        </w:rPr>
        <w:t xml:space="preserve">nadzoru epidemiologicznego nad zakażeniami wirusem </w:t>
      </w:r>
      <w:r w:rsidRPr="00F57981">
        <w:rPr>
          <w:rFonts w:asciiTheme="minorHAnsi" w:hAnsiTheme="minorHAnsi" w:cstheme="minorHAnsi"/>
          <w:color w:val="000000" w:themeColor="text1"/>
        </w:rPr>
        <w:t>SARS-CoV-2</w:t>
      </w:r>
      <w:r w:rsidRPr="00380BF7">
        <w:rPr>
          <w:rFonts w:asciiTheme="minorHAnsi" w:hAnsiTheme="minorHAnsi" w:cstheme="minorHAnsi"/>
          <w:i/>
          <w:iCs/>
          <w:color w:val="000000" w:themeColor="text1"/>
        </w:rPr>
        <w:t xml:space="preserve"> </w:t>
      </w:r>
      <w:r w:rsidRPr="00380BF7">
        <w:rPr>
          <w:rFonts w:asciiTheme="minorHAnsi" w:hAnsiTheme="minorHAnsi" w:cstheme="minorHAnsi"/>
          <w:color w:val="000000" w:themeColor="text1"/>
        </w:rPr>
        <w:t>są analizowane wg odmiennego kryterium niż dane raportowane przez Ministerstwo Zdrowia uwzględniające wyłącznie dodatni wynik laboratoryjny wpisany do systemu EWP. Ponadto dane epidemiologiczne podlegają ciągłej analizie w czasie prowadzonych dochodzeń epidemiologicznych.</w:t>
      </w:r>
    </w:p>
    <w:p w14:paraId="1EA29E47" w14:textId="77777777" w:rsidR="0022532B" w:rsidRPr="00380BF7" w:rsidRDefault="0022532B" w:rsidP="00597239">
      <w:pPr>
        <w:pStyle w:val="NormalnyWeb"/>
        <w:spacing w:before="0" w:beforeAutospacing="0" w:after="0" w:afterAutospacing="0" w:line="276" w:lineRule="auto"/>
        <w:rPr>
          <w:rFonts w:asciiTheme="minorHAnsi" w:hAnsiTheme="minorHAnsi" w:cstheme="minorHAnsi"/>
          <w:color w:val="000000" w:themeColor="text1"/>
        </w:rPr>
      </w:pPr>
    </w:p>
    <w:p w14:paraId="031C131D" w14:textId="1314CE2A" w:rsidR="000B4D72" w:rsidRPr="004E5976" w:rsidRDefault="00036790" w:rsidP="00597239">
      <w:pPr>
        <w:pStyle w:val="Legenda"/>
        <w:spacing w:after="0"/>
        <w:rPr>
          <w:i w:val="0"/>
          <w:iCs w:val="0"/>
          <w:strike/>
          <w:color w:val="000000" w:themeColor="text1"/>
        </w:rPr>
      </w:pPr>
      <w:bookmarkStart w:id="45" w:name="_Toc193805978"/>
      <w:bookmarkStart w:id="46" w:name="_Toc193969526"/>
      <w:bookmarkStart w:id="47" w:name="_Toc194059986"/>
      <w:r w:rsidRPr="00036790">
        <w:rPr>
          <w:i w:val="0"/>
          <w:iCs w:val="0"/>
          <w:color w:val="000000" w:themeColor="text1"/>
        </w:rPr>
        <w:t xml:space="preserve">Tabela </w:t>
      </w:r>
      <w:r w:rsidRPr="00036790">
        <w:rPr>
          <w:i w:val="0"/>
          <w:iCs w:val="0"/>
          <w:color w:val="000000" w:themeColor="text1"/>
        </w:rPr>
        <w:fldChar w:fldCharType="begin"/>
      </w:r>
      <w:r w:rsidRPr="00036790">
        <w:rPr>
          <w:i w:val="0"/>
          <w:iCs w:val="0"/>
          <w:color w:val="000000" w:themeColor="text1"/>
        </w:rPr>
        <w:instrText xml:space="preserve"> SEQ Tabela \* ARABIC </w:instrText>
      </w:r>
      <w:r w:rsidRPr="00036790">
        <w:rPr>
          <w:i w:val="0"/>
          <w:iCs w:val="0"/>
          <w:color w:val="000000" w:themeColor="text1"/>
        </w:rPr>
        <w:fldChar w:fldCharType="separate"/>
      </w:r>
      <w:r w:rsidR="00FB6F6A">
        <w:rPr>
          <w:i w:val="0"/>
          <w:iCs w:val="0"/>
          <w:noProof/>
          <w:color w:val="000000" w:themeColor="text1"/>
        </w:rPr>
        <w:t>8</w:t>
      </w:r>
      <w:r w:rsidRPr="00036790">
        <w:rPr>
          <w:i w:val="0"/>
          <w:iCs w:val="0"/>
          <w:color w:val="000000" w:themeColor="text1"/>
        </w:rPr>
        <w:fldChar w:fldCharType="end"/>
      </w:r>
      <w:r w:rsidR="00E75D31">
        <w:rPr>
          <w:i w:val="0"/>
          <w:iCs w:val="0"/>
          <w:color w:val="000000" w:themeColor="text1"/>
        </w:rPr>
        <w:t>.</w:t>
      </w:r>
      <w:r w:rsidRPr="00036790">
        <w:rPr>
          <w:i w:val="0"/>
          <w:iCs w:val="0"/>
          <w:color w:val="000000" w:themeColor="text1"/>
        </w:rPr>
        <w:t xml:space="preserve"> Liczba zachorowań (współczynnik zapadalności na 100 tys.) na zakażeń SARS-CoV-2 w Polsce i woj. zachodniopomorskim w latach 2022-2024</w:t>
      </w:r>
      <w:r w:rsidR="004E5976">
        <w:rPr>
          <w:i w:val="0"/>
          <w:iCs w:val="0"/>
          <w:color w:val="000000" w:themeColor="text1"/>
        </w:rPr>
        <w:t>.</w:t>
      </w:r>
      <w:bookmarkEnd w:id="45"/>
      <w:bookmarkEnd w:id="46"/>
      <w:bookmarkEnd w:id="47"/>
    </w:p>
    <w:tbl>
      <w:tblPr>
        <w:tblStyle w:val="Tabelasiatki4akcent1"/>
        <w:tblW w:w="0" w:type="auto"/>
        <w:tblLook w:val="04A0" w:firstRow="1" w:lastRow="0" w:firstColumn="1" w:lastColumn="0" w:noHBand="0" w:noVBand="1"/>
        <w:tblCaption w:val="Liczba zachorowań (współczynnik zapadalności na 100 tys.) na zakażeń SARS-CoV-2 w Polsce i woj. zachodniopomorskim w latach 2022-2024"/>
        <w:tblDescription w:val="Tabela przedstawia liczbę zachorowań na zakażenia SARS-CoV-2 w latach 2022-2024. W 2024 roku w województwie zachodniopomorskim odnotowano 276114 potwierdzonych przypadków zachorowań oraz 27675 przypadków zachorowań możliwych."/>
      </w:tblPr>
      <w:tblGrid>
        <w:gridCol w:w="753"/>
        <w:gridCol w:w="1405"/>
        <w:gridCol w:w="1373"/>
        <w:gridCol w:w="1405"/>
        <w:gridCol w:w="1373"/>
        <w:gridCol w:w="1380"/>
        <w:gridCol w:w="1373"/>
      </w:tblGrid>
      <w:tr w:rsidR="000B4D72" w:rsidRPr="00FF50CD" w14:paraId="6F82C4AE" w14:textId="77777777" w:rsidTr="002253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715EB84" w14:textId="77777777" w:rsidR="000B4D72" w:rsidRPr="00FF50CD" w:rsidRDefault="000B4D72" w:rsidP="00597239">
            <w:pPr>
              <w:tabs>
                <w:tab w:val="left" w:pos="851"/>
              </w:tabs>
              <w:spacing w:line="276" w:lineRule="auto"/>
              <w:outlineLvl w:val="3"/>
              <w:rPr>
                <w:rFonts w:eastAsia="Times New Roman" w:cstheme="minorHAnsi"/>
                <w:b w:val="0"/>
                <w:color w:val="000000" w:themeColor="text1"/>
                <w:sz w:val="20"/>
                <w:szCs w:val="20"/>
                <w:lang w:eastAsia="pl-PL"/>
              </w:rPr>
            </w:pPr>
          </w:p>
        </w:tc>
        <w:tc>
          <w:tcPr>
            <w:tcW w:w="0" w:type="auto"/>
            <w:gridSpan w:val="2"/>
            <w:vAlign w:val="center"/>
          </w:tcPr>
          <w:p w14:paraId="4EF918B2"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pl-PL"/>
              </w:rPr>
            </w:pPr>
            <w:r w:rsidRPr="00FF50CD">
              <w:rPr>
                <w:rFonts w:eastAsia="Times New Roman" w:cstheme="minorHAnsi"/>
                <w:b w:val="0"/>
                <w:sz w:val="20"/>
                <w:szCs w:val="20"/>
                <w:lang w:eastAsia="pl-PL"/>
              </w:rPr>
              <w:t>2022 r.</w:t>
            </w:r>
          </w:p>
        </w:tc>
        <w:tc>
          <w:tcPr>
            <w:tcW w:w="0" w:type="auto"/>
            <w:gridSpan w:val="2"/>
            <w:vAlign w:val="center"/>
          </w:tcPr>
          <w:p w14:paraId="45354B2A"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pl-PL"/>
              </w:rPr>
            </w:pPr>
            <w:r w:rsidRPr="00FF50CD">
              <w:rPr>
                <w:rFonts w:eastAsia="Times New Roman" w:cstheme="minorHAnsi"/>
                <w:b w:val="0"/>
                <w:sz w:val="20"/>
                <w:szCs w:val="20"/>
                <w:lang w:eastAsia="pl-PL"/>
              </w:rPr>
              <w:t>2023 r.</w:t>
            </w:r>
          </w:p>
        </w:tc>
        <w:tc>
          <w:tcPr>
            <w:tcW w:w="0" w:type="auto"/>
            <w:gridSpan w:val="2"/>
            <w:vAlign w:val="center"/>
          </w:tcPr>
          <w:p w14:paraId="289176AE" w14:textId="77777777" w:rsidR="000B4D72" w:rsidRPr="00FF50CD" w:rsidRDefault="000B4D72" w:rsidP="00597239">
            <w:pPr>
              <w:tabs>
                <w:tab w:val="left" w:pos="851"/>
              </w:tabs>
              <w:spacing w:line="276" w:lineRule="auto"/>
              <w:outlineLvl w:val="3"/>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eastAsia="pl-PL"/>
              </w:rPr>
            </w:pPr>
            <w:r w:rsidRPr="00FF50CD">
              <w:rPr>
                <w:rFonts w:eastAsia="Times New Roman" w:cstheme="minorHAnsi"/>
                <w:b w:val="0"/>
                <w:sz w:val="20"/>
                <w:szCs w:val="20"/>
                <w:lang w:eastAsia="pl-PL"/>
              </w:rPr>
              <w:t>2024 r.</w:t>
            </w:r>
          </w:p>
        </w:tc>
      </w:tr>
      <w:tr w:rsidR="000B4D72" w:rsidRPr="00FF50CD" w14:paraId="53B848D8" w14:textId="77777777" w:rsidTr="0022532B">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6C02E64" w14:textId="77777777" w:rsidR="000B4D72" w:rsidRPr="00FF50CD" w:rsidRDefault="000B4D72" w:rsidP="00597239">
            <w:pPr>
              <w:tabs>
                <w:tab w:val="left" w:pos="851"/>
              </w:tabs>
              <w:spacing w:line="276" w:lineRule="auto"/>
              <w:outlineLvl w:val="3"/>
              <w:rPr>
                <w:rFonts w:eastAsia="Times New Roman" w:cstheme="minorHAnsi"/>
                <w:b w:val="0"/>
                <w:color w:val="000000" w:themeColor="text1"/>
                <w:sz w:val="20"/>
                <w:szCs w:val="20"/>
                <w:lang w:eastAsia="pl-PL"/>
              </w:rPr>
            </w:pPr>
          </w:p>
        </w:tc>
        <w:tc>
          <w:tcPr>
            <w:tcW w:w="0" w:type="auto"/>
            <w:vAlign w:val="center"/>
          </w:tcPr>
          <w:p w14:paraId="15C06A74"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pacing w:val="-12"/>
                <w:sz w:val="20"/>
                <w:szCs w:val="20"/>
                <w:lang w:eastAsia="pl-PL"/>
              </w:rPr>
            </w:pPr>
            <w:r w:rsidRPr="00FF50CD">
              <w:rPr>
                <w:rFonts w:eastAsia="Times New Roman" w:cstheme="minorHAnsi"/>
                <w:bCs/>
                <w:color w:val="000000" w:themeColor="text1"/>
                <w:sz w:val="20"/>
                <w:szCs w:val="20"/>
                <w:lang w:eastAsia="pl-PL"/>
              </w:rPr>
              <w:t xml:space="preserve">Liczba zachorowań </w:t>
            </w:r>
            <w:r w:rsidRPr="00FF50CD">
              <w:rPr>
                <w:rFonts w:eastAsia="Times New Roman" w:cstheme="minorHAnsi"/>
                <w:bCs/>
                <w:color w:val="000000" w:themeColor="text1"/>
                <w:spacing w:val="-12"/>
                <w:sz w:val="20"/>
                <w:szCs w:val="20"/>
                <w:lang w:eastAsia="pl-PL"/>
              </w:rPr>
              <w:t>potwierdzonych</w:t>
            </w:r>
          </w:p>
          <w:p w14:paraId="11C0997E"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(zapadalność)</w:t>
            </w:r>
          </w:p>
        </w:tc>
        <w:tc>
          <w:tcPr>
            <w:tcW w:w="0" w:type="auto"/>
            <w:vAlign w:val="center"/>
          </w:tcPr>
          <w:p w14:paraId="24CD36D7"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Liczba zachorowań możliwych</w:t>
            </w:r>
          </w:p>
          <w:p w14:paraId="6FBD9531"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(zapadalność)</w:t>
            </w:r>
          </w:p>
        </w:tc>
        <w:tc>
          <w:tcPr>
            <w:tcW w:w="0" w:type="auto"/>
            <w:vAlign w:val="center"/>
          </w:tcPr>
          <w:p w14:paraId="571176C1"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pacing w:val="-12"/>
                <w:sz w:val="20"/>
                <w:szCs w:val="20"/>
                <w:lang w:eastAsia="pl-PL"/>
              </w:rPr>
            </w:pPr>
            <w:r w:rsidRPr="00FF50CD">
              <w:rPr>
                <w:rFonts w:eastAsia="Times New Roman" w:cstheme="minorHAnsi"/>
                <w:bCs/>
                <w:color w:val="000000" w:themeColor="text1"/>
                <w:sz w:val="20"/>
                <w:szCs w:val="20"/>
                <w:lang w:eastAsia="pl-PL"/>
              </w:rPr>
              <w:t xml:space="preserve">Liczba zachorowań </w:t>
            </w:r>
            <w:r w:rsidRPr="00FF50CD">
              <w:rPr>
                <w:rFonts w:eastAsia="Times New Roman" w:cstheme="minorHAnsi"/>
                <w:bCs/>
                <w:color w:val="000000" w:themeColor="text1"/>
                <w:spacing w:val="-12"/>
                <w:sz w:val="20"/>
                <w:szCs w:val="20"/>
                <w:lang w:eastAsia="pl-PL"/>
              </w:rPr>
              <w:t>potwierdzonych</w:t>
            </w:r>
          </w:p>
          <w:p w14:paraId="5405B0FD"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(zapadalność)</w:t>
            </w:r>
          </w:p>
        </w:tc>
        <w:tc>
          <w:tcPr>
            <w:tcW w:w="0" w:type="auto"/>
            <w:vAlign w:val="center"/>
          </w:tcPr>
          <w:p w14:paraId="7963C2CE"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Liczba zachorowań możliwych</w:t>
            </w:r>
          </w:p>
          <w:p w14:paraId="0335646E"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(zapadalność)</w:t>
            </w:r>
          </w:p>
        </w:tc>
        <w:tc>
          <w:tcPr>
            <w:tcW w:w="0" w:type="auto"/>
            <w:vAlign w:val="center"/>
          </w:tcPr>
          <w:p w14:paraId="325A92B9"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pacing w:val="-14"/>
                <w:sz w:val="20"/>
                <w:szCs w:val="20"/>
                <w:lang w:eastAsia="pl-PL"/>
              </w:rPr>
            </w:pPr>
            <w:r w:rsidRPr="00FF50CD">
              <w:rPr>
                <w:rFonts w:eastAsia="Times New Roman" w:cstheme="minorHAnsi"/>
                <w:bCs/>
                <w:color w:val="000000" w:themeColor="text1"/>
                <w:sz w:val="20"/>
                <w:szCs w:val="20"/>
                <w:lang w:eastAsia="pl-PL"/>
              </w:rPr>
              <w:t xml:space="preserve">Liczba zachorowań </w:t>
            </w:r>
            <w:r w:rsidRPr="00FF50CD">
              <w:rPr>
                <w:rFonts w:eastAsia="Times New Roman" w:cstheme="minorHAnsi"/>
                <w:bCs/>
                <w:color w:val="000000" w:themeColor="text1"/>
                <w:spacing w:val="-14"/>
                <w:sz w:val="20"/>
                <w:szCs w:val="20"/>
                <w:lang w:eastAsia="pl-PL"/>
              </w:rPr>
              <w:t>potwierdzonych</w:t>
            </w:r>
          </w:p>
          <w:p w14:paraId="57BB96FA"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(zapadalność)</w:t>
            </w:r>
          </w:p>
        </w:tc>
        <w:tc>
          <w:tcPr>
            <w:tcW w:w="0" w:type="auto"/>
            <w:vAlign w:val="center"/>
          </w:tcPr>
          <w:p w14:paraId="529BE882"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Liczba zachorowań możliwych</w:t>
            </w:r>
          </w:p>
          <w:p w14:paraId="4233AE73"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(zapadalność)</w:t>
            </w:r>
          </w:p>
        </w:tc>
      </w:tr>
      <w:tr w:rsidR="000B4D72" w:rsidRPr="00FF50CD" w14:paraId="70208393" w14:textId="77777777" w:rsidTr="0022532B">
        <w:trPr>
          <w:trHeight w:val="729"/>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CF62DB" w14:textId="77777777" w:rsidR="000B4D72" w:rsidRPr="00FF50CD" w:rsidRDefault="000B4D72" w:rsidP="00597239">
            <w:pPr>
              <w:tabs>
                <w:tab w:val="left" w:pos="851"/>
              </w:tabs>
              <w:outlineLvl w:val="3"/>
              <w:rPr>
                <w:rFonts w:eastAsia="Times New Roman" w:cstheme="minorHAnsi"/>
                <w:b w:val="0"/>
                <w:color w:val="000000" w:themeColor="text1"/>
                <w:sz w:val="20"/>
                <w:szCs w:val="20"/>
                <w:lang w:eastAsia="pl-PL"/>
              </w:rPr>
            </w:pPr>
            <w:r w:rsidRPr="00FF50CD">
              <w:rPr>
                <w:rFonts w:eastAsia="Times New Roman" w:cstheme="minorHAnsi"/>
                <w:b w:val="0"/>
                <w:smallCaps/>
                <w:color w:val="000000" w:themeColor="text1"/>
                <w:sz w:val="20"/>
                <w:szCs w:val="20"/>
                <w:lang w:eastAsia="pl-PL"/>
              </w:rPr>
              <w:t>Polska</w:t>
            </w:r>
          </w:p>
        </w:tc>
        <w:tc>
          <w:tcPr>
            <w:tcW w:w="0" w:type="auto"/>
            <w:vAlign w:val="center"/>
          </w:tcPr>
          <w:p w14:paraId="321043FA"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2 345 903</w:t>
            </w:r>
          </w:p>
          <w:p w14:paraId="350C8E2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(6 201,60)</w:t>
            </w:r>
          </w:p>
        </w:tc>
        <w:tc>
          <w:tcPr>
            <w:tcW w:w="0" w:type="auto"/>
            <w:vAlign w:val="center"/>
          </w:tcPr>
          <w:p w14:paraId="3DB77C0A"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24 448</w:t>
            </w:r>
          </w:p>
          <w:p w14:paraId="431E52B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(64,63)</w:t>
            </w:r>
          </w:p>
        </w:tc>
        <w:tc>
          <w:tcPr>
            <w:tcW w:w="0" w:type="auto"/>
            <w:vAlign w:val="center"/>
          </w:tcPr>
          <w:p w14:paraId="7D5904F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341 694 (906,39)</w:t>
            </w:r>
          </w:p>
        </w:tc>
        <w:tc>
          <w:tcPr>
            <w:tcW w:w="0" w:type="auto"/>
            <w:vAlign w:val="center"/>
          </w:tcPr>
          <w:p w14:paraId="5B202536"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39 550 (104,91)</w:t>
            </w:r>
          </w:p>
        </w:tc>
        <w:tc>
          <w:tcPr>
            <w:tcW w:w="0" w:type="auto"/>
            <w:vAlign w:val="center"/>
          </w:tcPr>
          <w:p w14:paraId="7B406C58"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276 114</w:t>
            </w:r>
          </w:p>
          <w:p w14:paraId="7189631A"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(735,07)</w:t>
            </w:r>
          </w:p>
        </w:tc>
        <w:tc>
          <w:tcPr>
            <w:tcW w:w="0" w:type="auto"/>
            <w:vAlign w:val="center"/>
          </w:tcPr>
          <w:p w14:paraId="3EABD574"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27 675</w:t>
            </w:r>
          </w:p>
          <w:p w14:paraId="6128AA77" w14:textId="77777777" w:rsidR="000B4D72" w:rsidRPr="00FF50CD" w:rsidRDefault="000B4D72" w:rsidP="00597239">
            <w:pPr>
              <w:tabs>
                <w:tab w:val="left" w:pos="851"/>
              </w:tabs>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(73,68)</w:t>
            </w:r>
          </w:p>
        </w:tc>
      </w:tr>
      <w:tr w:rsidR="000B4D72" w:rsidRPr="00FF50CD" w14:paraId="4BC9303C" w14:textId="77777777" w:rsidTr="0022532B">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0" w:type="auto"/>
            <w:vAlign w:val="center"/>
          </w:tcPr>
          <w:p w14:paraId="2A649145" w14:textId="77777777" w:rsidR="000B4D72" w:rsidRPr="00FF50CD" w:rsidRDefault="000B4D72" w:rsidP="00597239">
            <w:pPr>
              <w:rPr>
                <w:rFonts w:cstheme="minorHAnsi"/>
                <w:b w:val="0"/>
                <w:color w:val="000000" w:themeColor="text1"/>
                <w:sz w:val="20"/>
                <w:szCs w:val="20"/>
                <w:lang w:eastAsia="pl-PL"/>
              </w:rPr>
            </w:pPr>
            <w:r w:rsidRPr="00FF50CD">
              <w:rPr>
                <w:rFonts w:cstheme="minorHAnsi"/>
                <w:b w:val="0"/>
                <w:color w:val="000000" w:themeColor="text1"/>
                <w:sz w:val="20"/>
                <w:szCs w:val="20"/>
                <w:lang w:eastAsia="pl-PL"/>
              </w:rPr>
              <w:t>woj.</w:t>
            </w:r>
          </w:p>
          <w:p w14:paraId="6F25C913" w14:textId="77777777" w:rsidR="000B4D72" w:rsidRPr="00FF50CD" w:rsidRDefault="000B4D72" w:rsidP="00597239">
            <w:pPr>
              <w:rPr>
                <w:rFonts w:cstheme="minorHAnsi"/>
                <w:b w:val="0"/>
                <w:color w:val="000000" w:themeColor="text1"/>
                <w:lang w:eastAsia="pl-PL"/>
              </w:rPr>
            </w:pPr>
            <w:r w:rsidRPr="00FF50CD">
              <w:rPr>
                <w:rFonts w:cstheme="minorHAnsi"/>
                <w:b w:val="0"/>
                <w:color w:val="000000" w:themeColor="text1"/>
                <w:sz w:val="20"/>
                <w:szCs w:val="20"/>
                <w:lang w:eastAsia="pl-PL"/>
              </w:rPr>
              <w:t>zach.-pom.</w:t>
            </w:r>
          </w:p>
        </w:tc>
        <w:tc>
          <w:tcPr>
            <w:tcW w:w="0" w:type="auto"/>
            <w:vAlign w:val="center"/>
          </w:tcPr>
          <w:p w14:paraId="179FC2E9"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116 001</w:t>
            </w:r>
          </w:p>
          <w:p w14:paraId="6705126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(7 051,48)</w:t>
            </w:r>
          </w:p>
        </w:tc>
        <w:tc>
          <w:tcPr>
            <w:tcW w:w="0" w:type="auto"/>
            <w:vAlign w:val="center"/>
          </w:tcPr>
          <w:p w14:paraId="48A0B8C3"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1222</w:t>
            </w:r>
          </w:p>
          <w:p w14:paraId="58DCF08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(74,28)</w:t>
            </w:r>
          </w:p>
        </w:tc>
        <w:tc>
          <w:tcPr>
            <w:tcW w:w="0" w:type="auto"/>
            <w:vAlign w:val="center"/>
          </w:tcPr>
          <w:p w14:paraId="2F041CC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13 828 (845,08)</w:t>
            </w:r>
          </w:p>
        </w:tc>
        <w:tc>
          <w:tcPr>
            <w:tcW w:w="0" w:type="auto"/>
            <w:vAlign w:val="center"/>
          </w:tcPr>
          <w:p w14:paraId="4BD188F6" w14:textId="39B7750E"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2 728</w:t>
            </w:r>
          </w:p>
          <w:p w14:paraId="408030D1"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(166,72)</w:t>
            </w:r>
          </w:p>
        </w:tc>
        <w:tc>
          <w:tcPr>
            <w:tcW w:w="0" w:type="auto"/>
            <w:vAlign w:val="center"/>
          </w:tcPr>
          <w:p w14:paraId="10DD878A"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8775</w:t>
            </w:r>
          </w:p>
          <w:p w14:paraId="1DA562CC"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(539,38)</w:t>
            </w:r>
          </w:p>
        </w:tc>
        <w:tc>
          <w:tcPr>
            <w:tcW w:w="0" w:type="auto"/>
            <w:vAlign w:val="center"/>
          </w:tcPr>
          <w:p w14:paraId="6CCBDF48"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2505</w:t>
            </w:r>
          </w:p>
          <w:p w14:paraId="6441CFAE" w14:textId="77777777" w:rsidR="000B4D72" w:rsidRPr="00FF50CD" w:rsidRDefault="000B4D72" w:rsidP="00597239">
            <w:pPr>
              <w:tabs>
                <w:tab w:val="left" w:pos="851"/>
              </w:tabs>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pl-PL"/>
              </w:rPr>
            </w:pPr>
            <w:r w:rsidRPr="00FF50CD">
              <w:rPr>
                <w:rFonts w:eastAsia="Times New Roman" w:cstheme="minorHAnsi"/>
                <w:bCs/>
                <w:color w:val="000000" w:themeColor="text1"/>
                <w:sz w:val="20"/>
                <w:szCs w:val="20"/>
                <w:lang w:eastAsia="pl-PL"/>
              </w:rPr>
              <w:t>(153,98)</w:t>
            </w:r>
          </w:p>
        </w:tc>
      </w:tr>
    </w:tbl>
    <w:p w14:paraId="19A75444" w14:textId="77777777" w:rsidR="0022532B" w:rsidRDefault="0022532B" w:rsidP="00597239">
      <w:pPr>
        <w:pStyle w:val="Legenda"/>
        <w:tabs>
          <w:tab w:val="left" w:pos="567"/>
        </w:tabs>
        <w:spacing w:after="0" w:line="276" w:lineRule="auto"/>
        <w:rPr>
          <w:bCs/>
          <w:i w:val="0"/>
          <w:iCs w:val="0"/>
          <w:color w:val="000000" w:themeColor="text1"/>
          <w:sz w:val="24"/>
          <w:szCs w:val="24"/>
        </w:rPr>
      </w:pPr>
    </w:p>
    <w:p w14:paraId="0984A878" w14:textId="05962BA8" w:rsidR="000B4D72" w:rsidRPr="005D6DAE" w:rsidRDefault="000B4D72" w:rsidP="00597239">
      <w:pPr>
        <w:pStyle w:val="Legenda"/>
        <w:tabs>
          <w:tab w:val="left" w:pos="567"/>
        </w:tabs>
        <w:spacing w:after="0" w:line="276" w:lineRule="auto"/>
        <w:rPr>
          <w:bCs/>
          <w:i w:val="0"/>
          <w:iCs w:val="0"/>
          <w:color w:val="000000" w:themeColor="text1"/>
          <w:sz w:val="24"/>
          <w:szCs w:val="24"/>
        </w:rPr>
      </w:pPr>
      <w:r w:rsidRPr="00380BF7">
        <w:rPr>
          <w:bCs/>
          <w:i w:val="0"/>
          <w:iCs w:val="0"/>
          <w:color w:val="000000" w:themeColor="text1"/>
          <w:sz w:val="24"/>
          <w:szCs w:val="24"/>
        </w:rPr>
        <w:lastRenderedPageBreak/>
        <w:t xml:space="preserve">W 2024 r. kontynuowano na terenie woj. zachodniopomorskiego monitoring szczepów wirusa SARS-CoV-2 poprzez ich molekularną charakterystykę. Próbki badane były </w:t>
      </w:r>
      <w:r w:rsidRPr="00380BF7">
        <w:rPr>
          <w:bCs/>
          <w:i w:val="0"/>
          <w:iCs w:val="0"/>
          <w:color w:val="000000" w:themeColor="text1"/>
          <w:spacing w:val="-2"/>
          <w:sz w:val="24"/>
          <w:szCs w:val="24"/>
        </w:rPr>
        <w:t>w</w:t>
      </w:r>
      <w:r w:rsidR="00D123BC">
        <w:rPr>
          <w:bCs/>
          <w:i w:val="0"/>
          <w:iCs w:val="0"/>
          <w:color w:val="000000" w:themeColor="text1"/>
          <w:spacing w:val="-2"/>
          <w:sz w:val="24"/>
          <w:szCs w:val="24"/>
        </w:rPr>
        <w:t> </w:t>
      </w:r>
      <w:r w:rsidRPr="00380BF7">
        <w:rPr>
          <w:bCs/>
          <w:i w:val="0"/>
          <w:iCs w:val="0"/>
          <w:color w:val="000000" w:themeColor="text1"/>
          <w:spacing w:val="-2"/>
          <w:sz w:val="24"/>
          <w:szCs w:val="24"/>
        </w:rPr>
        <w:t xml:space="preserve">laboratoriach wykonujących sekwencjonowanie materiału genetycznego, tj. w </w:t>
      </w:r>
      <w:bookmarkStart w:id="48" w:name="_Hlk127451689"/>
      <w:r w:rsidRPr="00380BF7">
        <w:rPr>
          <w:bCs/>
          <w:i w:val="0"/>
          <w:iCs w:val="0"/>
          <w:color w:val="000000" w:themeColor="text1"/>
          <w:spacing w:val="-2"/>
          <w:sz w:val="24"/>
          <w:szCs w:val="24"/>
        </w:rPr>
        <w:t>Laboratorium</w:t>
      </w:r>
      <w:r w:rsidRPr="00380BF7">
        <w:rPr>
          <w:bCs/>
          <w:i w:val="0"/>
          <w:iCs w:val="0"/>
          <w:color w:val="000000" w:themeColor="text1"/>
          <w:sz w:val="24"/>
          <w:szCs w:val="24"/>
        </w:rPr>
        <w:t xml:space="preserve"> WSSE </w:t>
      </w:r>
      <w:bookmarkEnd w:id="48"/>
      <w:r w:rsidRPr="00380BF7">
        <w:rPr>
          <w:bCs/>
          <w:i w:val="0"/>
          <w:iCs w:val="0"/>
          <w:color w:val="000000" w:themeColor="text1"/>
          <w:sz w:val="24"/>
          <w:szCs w:val="24"/>
        </w:rPr>
        <w:t>w</w:t>
      </w:r>
      <w:r w:rsidR="00D6619C">
        <w:rPr>
          <w:bCs/>
          <w:i w:val="0"/>
          <w:iCs w:val="0"/>
          <w:color w:val="000000" w:themeColor="text1"/>
          <w:sz w:val="24"/>
          <w:szCs w:val="24"/>
        </w:rPr>
        <w:t> </w:t>
      </w:r>
      <w:r w:rsidRPr="00380BF7">
        <w:rPr>
          <w:bCs/>
          <w:i w:val="0"/>
          <w:iCs w:val="0"/>
          <w:color w:val="000000" w:themeColor="text1"/>
          <w:sz w:val="24"/>
          <w:szCs w:val="24"/>
        </w:rPr>
        <w:t>Gorzowie</w:t>
      </w:r>
      <w:r>
        <w:rPr>
          <w:bCs/>
          <w:i w:val="0"/>
          <w:iCs w:val="0"/>
          <w:color w:val="000000" w:themeColor="text1"/>
          <w:sz w:val="24"/>
          <w:szCs w:val="24"/>
        </w:rPr>
        <w:t xml:space="preserve"> Wielkopolskim</w:t>
      </w:r>
      <w:r w:rsidRPr="00380BF7">
        <w:rPr>
          <w:bCs/>
          <w:i w:val="0"/>
          <w:iCs w:val="0"/>
          <w:color w:val="000000" w:themeColor="text1"/>
          <w:sz w:val="24"/>
          <w:szCs w:val="24"/>
        </w:rPr>
        <w:t xml:space="preserve">. </w:t>
      </w:r>
    </w:p>
    <w:p w14:paraId="413FAFA7" w14:textId="77777777" w:rsidR="000B4D72" w:rsidRDefault="000B4D72" w:rsidP="00597239">
      <w:pPr>
        <w:spacing w:after="0" w:line="276" w:lineRule="auto"/>
        <w:ind w:firstLine="567"/>
        <w:rPr>
          <w:rFonts w:cstheme="minorHAnsi"/>
          <w:color w:val="7030A0"/>
          <w:sz w:val="24"/>
          <w:szCs w:val="24"/>
        </w:rPr>
        <w:sectPr w:rsidR="000B4D72" w:rsidSect="000B4D72">
          <w:footerReference w:type="default" r:id="rId14"/>
          <w:pgSz w:w="11906" w:h="16838"/>
          <w:pgMar w:top="1417" w:right="1417" w:bottom="1417" w:left="1417" w:header="708" w:footer="708" w:gutter="0"/>
          <w:cols w:space="708"/>
          <w:docGrid w:linePitch="360"/>
        </w:sectPr>
      </w:pPr>
    </w:p>
    <w:p w14:paraId="26118BF1" w14:textId="2035D257" w:rsidR="001A0C2F" w:rsidRPr="001A0C2F" w:rsidRDefault="001A0C2F" w:rsidP="00597239">
      <w:pPr>
        <w:pStyle w:val="Legenda"/>
        <w:rPr>
          <w:i w:val="0"/>
          <w:iCs w:val="0"/>
          <w:color w:val="000000" w:themeColor="text1"/>
        </w:rPr>
      </w:pPr>
      <w:bookmarkStart w:id="49" w:name="_Toc193969458"/>
      <w:bookmarkStart w:id="50" w:name="_Toc194059918"/>
      <w:r w:rsidRPr="001A0C2F">
        <w:rPr>
          <w:i w:val="0"/>
          <w:iCs w:val="0"/>
          <w:color w:val="000000" w:themeColor="text1"/>
        </w:rPr>
        <w:lastRenderedPageBreak/>
        <w:t xml:space="preserve">Wykres </w:t>
      </w:r>
      <w:r w:rsidRPr="001A0C2F">
        <w:rPr>
          <w:i w:val="0"/>
          <w:iCs w:val="0"/>
          <w:color w:val="000000" w:themeColor="text1"/>
        </w:rPr>
        <w:fldChar w:fldCharType="begin"/>
      </w:r>
      <w:r w:rsidRPr="001A0C2F">
        <w:rPr>
          <w:i w:val="0"/>
          <w:iCs w:val="0"/>
          <w:color w:val="000000" w:themeColor="text1"/>
        </w:rPr>
        <w:instrText xml:space="preserve"> SEQ Wykres \* ARABIC </w:instrText>
      </w:r>
      <w:r w:rsidRPr="001A0C2F">
        <w:rPr>
          <w:i w:val="0"/>
          <w:iCs w:val="0"/>
          <w:color w:val="000000" w:themeColor="text1"/>
        </w:rPr>
        <w:fldChar w:fldCharType="separate"/>
      </w:r>
      <w:r w:rsidR="00FB6F6A">
        <w:rPr>
          <w:i w:val="0"/>
          <w:iCs w:val="0"/>
          <w:noProof/>
          <w:color w:val="000000" w:themeColor="text1"/>
        </w:rPr>
        <w:t>1</w:t>
      </w:r>
      <w:r w:rsidRPr="001A0C2F">
        <w:rPr>
          <w:i w:val="0"/>
          <w:iCs w:val="0"/>
          <w:color w:val="000000" w:themeColor="text1"/>
        </w:rPr>
        <w:fldChar w:fldCharType="end"/>
      </w:r>
      <w:r w:rsidR="00E75D31">
        <w:rPr>
          <w:i w:val="0"/>
          <w:iCs w:val="0"/>
          <w:color w:val="000000" w:themeColor="text1"/>
        </w:rPr>
        <w:t>.</w:t>
      </w:r>
      <w:r w:rsidRPr="001A0C2F">
        <w:rPr>
          <w:i w:val="0"/>
          <w:iCs w:val="0"/>
          <w:color w:val="000000" w:themeColor="text1"/>
        </w:rPr>
        <w:t xml:space="preserve"> Liczba potwierdzonych zachorowań na SARS-CoV-2 z podziałem na meldunki MZ-56 w woj. zachodniopomorskim w latach 2023-2024 (dane zbierane w systemie dwutygodniowym, przy czym pierwsze dwa tygodnie określonego miesiąca oznaczono literą A, a drugi B</w:t>
      </w:r>
      <w:r w:rsidR="005219DA">
        <w:rPr>
          <w:i w:val="0"/>
          <w:iCs w:val="0"/>
          <w:color w:val="000000" w:themeColor="text1"/>
        </w:rPr>
        <w:t>.</w:t>
      </w:r>
      <w:bookmarkEnd w:id="49"/>
      <w:bookmarkEnd w:id="50"/>
    </w:p>
    <w:p w14:paraId="7FCA64B2" w14:textId="2653F520" w:rsidR="000B4D72" w:rsidRDefault="000B4D72" w:rsidP="00597239">
      <w:pPr>
        <w:spacing w:after="0" w:line="276" w:lineRule="auto"/>
        <w:ind w:firstLine="567"/>
        <w:rPr>
          <w:rFonts w:cstheme="minorHAnsi"/>
          <w:color w:val="7030A0"/>
          <w:sz w:val="24"/>
          <w:szCs w:val="24"/>
        </w:rPr>
        <w:sectPr w:rsidR="000B4D72" w:rsidSect="000B4D72">
          <w:pgSz w:w="16838" w:h="11906" w:orient="landscape"/>
          <w:pgMar w:top="1417" w:right="1417" w:bottom="1417" w:left="1417" w:header="708" w:footer="708" w:gutter="0"/>
          <w:cols w:space="708"/>
          <w:docGrid w:linePitch="360"/>
        </w:sectPr>
      </w:pPr>
      <w:r>
        <w:rPr>
          <w:rFonts w:cstheme="minorHAnsi"/>
          <w:noProof/>
          <w:color w:val="7030A0"/>
          <w:sz w:val="24"/>
          <w:szCs w:val="24"/>
        </w:rPr>
        <w:drawing>
          <wp:anchor distT="0" distB="0" distL="114300" distR="114300" simplePos="0" relativeHeight="251735040" behindDoc="0" locked="0" layoutInCell="1" allowOverlap="1" wp14:anchorId="60F5C14C" wp14:editId="2F854279">
            <wp:simplePos x="1257300" y="1304925"/>
            <wp:positionH relativeFrom="column">
              <wp:align>left</wp:align>
            </wp:positionH>
            <wp:positionV relativeFrom="paragraph">
              <wp:align>top</wp:align>
            </wp:positionV>
            <wp:extent cx="7673975" cy="5176299"/>
            <wp:effectExtent l="0" t="0" r="3175" b="5715"/>
            <wp:wrapSquare wrapText="bothSides"/>
            <wp:docPr id="1882600318" name="Wykres 3" descr="Wykres przedstawia liczbę potwierdzonych zachorowań na SARS-CoV-2 z podziałem na meldunki MZ-56 w woj. zachodniopomorskim w latach 2023-2024. Dane zbierane są w systemie dwutygodniowym. Największą liczbę potwierdzonych zachorowań na SARS-CoV-2 odnotowano w meldunku 12A (tj. pierwsze dwa tygodnie grudnia) - 2359 przypadków."/>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AE5696">
        <w:rPr>
          <w:rFonts w:cstheme="minorHAnsi"/>
          <w:color w:val="7030A0"/>
          <w:sz w:val="24"/>
          <w:szCs w:val="24"/>
        </w:rPr>
        <w:br w:type="textWrapping" w:clear="all"/>
      </w:r>
    </w:p>
    <w:p w14:paraId="1285EE10" w14:textId="18BF73EC" w:rsidR="000B4D72" w:rsidRPr="00AA4F73" w:rsidRDefault="000B4D72" w:rsidP="00597239">
      <w:pPr>
        <w:spacing w:after="0" w:line="276" w:lineRule="auto"/>
        <w:rPr>
          <w:rFonts w:cstheme="minorHAnsi"/>
          <w:color w:val="000000" w:themeColor="text1"/>
          <w:sz w:val="24"/>
          <w:szCs w:val="24"/>
        </w:rPr>
      </w:pPr>
      <w:r w:rsidRPr="00AA4F73">
        <w:rPr>
          <w:rFonts w:cstheme="minorHAnsi"/>
          <w:color w:val="000000" w:themeColor="text1"/>
          <w:sz w:val="24"/>
          <w:szCs w:val="24"/>
        </w:rPr>
        <w:lastRenderedPageBreak/>
        <w:t>W 2024 roku w woj. zachodniopomorskim zgłoszono 12</w:t>
      </w:r>
      <w:r>
        <w:rPr>
          <w:rFonts w:cstheme="minorHAnsi"/>
          <w:color w:val="000000" w:themeColor="text1"/>
          <w:sz w:val="24"/>
          <w:szCs w:val="24"/>
        </w:rPr>
        <w:t>7</w:t>
      </w:r>
      <w:r w:rsidRPr="00AA4F73">
        <w:rPr>
          <w:rFonts w:cstheme="minorHAnsi"/>
          <w:color w:val="000000" w:themeColor="text1"/>
          <w:sz w:val="24"/>
          <w:szCs w:val="24"/>
        </w:rPr>
        <w:t xml:space="preserve"> przypadków grypy potwierdzonych</w:t>
      </w:r>
      <w:r>
        <w:rPr>
          <w:rFonts w:cstheme="minorHAnsi"/>
          <w:color w:val="000000" w:themeColor="text1"/>
          <w:sz w:val="24"/>
          <w:szCs w:val="24"/>
        </w:rPr>
        <w:t xml:space="preserve"> testem PCR</w:t>
      </w:r>
      <w:r w:rsidRPr="00AA4F73">
        <w:rPr>
          <w:rFonts w:cstheme="minorHAnsi"/>
          <w:color w:val="000000" w:themeColor="text1"/>
          <w:sz w:val="24"/>
          <w:szCs w:val="24"/>
        </w:rPr>
        <w:t xml:space="preserve"> i 1 przypadek prawdopodobny, w tym 24 zachorowania u dzieci do 14 r.ż. (dane na podstawie MZ -56). Natomiast uwzględniając przypadki grypy potwierdzone wynikiem szybkiego testu antygenowego, których raportowanie rozpoczęto w</w:t>
      </w:r>
      <w:r>
        <w:rPr>
          <w:rFonts w:cstheme="minorHAnsi"/>
          <w:color w:val="000000" w:themeColor="text1"/>
          <w:sz w:val="24"/>
          <w:szCs w:val="24"/>
        </w:rPr>
        <w:t xml:space="preserve"> </w:t>
      </w:r>
      <w:r w:rsidRPr="00AA4F73">
        <w:rPr>
          <w:rFonts w:cstheme="minorHAnsi"/>
          <w:color w:val="000000" w:themeColor="text1"/>
          <w:sz w:val="24"/>
          <w:szCs w:val="24"/>
        </w:rPr>
        <w:t>2023 r., odnotowano łącznie 5 07</w:t>
      </w:r>
      <w:r>
        <w:rPr>
          <w:rFonts w:cstheme="minorHAnsi"/>
          <w:color w:val="000000" w:themeColor="text1"/>
          <w:sz w:val="24"/>
          <w:szCs w:val="24"/>
        </w:rPr>
        <w:t>8</w:t>
      </w:r>
      <w:r w:rsidRPr="00AA4F73">
        <w:rPr>
          <w:rFonts w:cstheme="minorHAnsi"/>
          <w:color w:val="000000" w:themeColor="text1"/>
          <w:sz w:val="24"/>
          <w:szCs w:val="24"/>
        </w:rPr>
        <w:t xml:space="preserve"> </w:t>
      </w:r>
      <w:r>
        <w:rPr>
          <w:rFonts w:cstheme="minorHAnsi"/>
          <w:color w:val="000000" w:themeColor="text1"/>
          <w:sz w:val="24"/>
          <w:szCs w:val="24"/>
        </w:rPr>
        <w:t>zachorowań</w:t>
      </w:r>
      <w:r w:rsidRPr="00AA4F73">
        <w:rPr>
          <w:rFonts w:ascii="Calibri" w:hAnsi="Calibri" w:cs="Calibri"/>
          <w:color w:val="000000" w:themeColor="text1"/>
          <w:sz w:val="24"/>
          <w:szCs w:val="24"/>
        </w:rPr>
        <w:t xml:space="preserve"> </w:t>
      </w:r>
      <w:r w:rsidRPr="00AA4F73">
        <w:rPr>
          <w:rFonts w:cstheme="minorHAnsi"/>
          <w:color w:val="000000" w:themeColor="text1"/>
          <w:sz w:val="24"/>
          <w:szCs w:val="24"/>
        </w:rPr>
        <w:t>(zapadalność 31</w:t>
      </w:r>
      <w:r>
        <w:rPr>
          <w:rFonts w:cstheme="minorHAnsi"/>
          <w:color w:val="000000" w:themeColor="text1"/>
          <w:sz w:val="24"/>
          <w:szCs w:val="24"/>
        </w:rPr>
        <w:t>2</w:t>
      </w:r>
      <w:r w:rsidRPr="00AA4F73">
        <w:rPr>
          <w:rFonts w:cstheme="minorHAnsi"/>
          <w:color w:val="000000" w:themeColor="text1"/>
          <w:sz w:val="24"/>
          <w:szCs w:val="24"/>
        </w:rPr>
        <w:t>,</w:t>
      </w:r>
      <w:r>
        <w:rPr>
          <w:rFonts w:cstheme="minorHAnsi"/>
          <w:color w:val="000000" w:themeColor="text1"/>
          <w:sz w:val="24"/>
          <w:szCs w:val="24"/>
        </w:rPr>
        <w:t xml:space="preserve">13 na </w:t>
      </w:r>
      <w:r w:rsidRPr="00AA4F73">
        <w:rPr>
          <w:rFonts w:cstheme="minorHAnsi"/>
          <w:color w:val="000000" w:themeColor="text1"/>
          <w:sz w:val="24"/>
          <w:szCs w:val="24"/>
        </w:rPr>
        <w:t>100 tys.),</w:t>
      </w:r>
      <w:r>
        <w:rPr>
          <w:rFonts w:cstheme="minorHAnsi"/>
          <w:color w:val="000000" w:themeColor="text1"/>
          <w:sz w:val="24"/>
          <w:szCs w:val="24"/>
        </w:rPr>
        <w:t xml:space="preserve"> tj. ponad dwukrotnie więcej niż w 2023 r.– </w:t>
      </w:r>
      <w:r w:rsidR="00D123BC">
        <w:rPr>
          <w:rFonts w:cstheme="minorHAnsi"/>
          <w:color w:val="000000" w:themeColor="text1"/>
          <w:sz w:val="24"/>
          <w:szCs w:val="24"/>
        </w:rPr>
        <w:t>wykres</w:t>
      </w:r>
      <w:r>
        <w:rPr>
          <w:rFonts w:cstheme="minorHAnsi"/>
          <w:color w:val="000000" w:themeColor="text1"/>
          <w:sz w:val="24"/>
          <w:szCs w:val="24"/>
        </w:rPr>
        <w:t xml:space="preserve"> 2.</w:t>
      </w:r>
      <w:r w:rsidRPr="00AA4F73">
        <w:rPr>
          <w:rFonts w:cstheme="minorHAnsi"/>
          <w:color w:val="000000" w:themeColor="text1"/>
          <w:sz w:val="24"/>
          <w:szCs w:val="24"/>
        </w:rPr>
        <w:t xml:space="preserve"> Spośród wszystkich zachorowań na grypę w 2024 r., 49</w:t>
      </w:r>
      <w:r>
        <w:rPr>
          <w:rFonts w:cstheme="minorHAnsi"/>
          <w:color w:val="000000" w:themeColor="text1"/>
          <w:sz w:val="24"/>
          <w:szCs w:val="24"/>
        </w:rPr>
        <w:t>3</w:t>
      </w:r>
      <w:r w:rsidRPr="00AA4F73">
        <w:rPr>
          <w:rFonts w:cstheme="minorHAnsi"/>
          <w:color w:val="000000" w:themeColor="text1"/>
          <w:sz w:val="24"/>
          <w:szCs w:val="24"/>
        </w:rPr>
        <w:t xml:space="preserve"> osoby były hospitalizowane. Z powodu powikłań pogrypowych zmarło 6 osób (dane z</w:t>
      </w:r>
      <w:r w:rsidR="004533CB">
        <w:rPr>
          <w:rFonts w:cstheme="minorHAnsi"/>
          <w:color w:val="000000" w:themeColor="text1"/>
          <w:sz w:val="24"/>
          <w:szCs w:val="24"/>
        </w:rPr>
        <w:t> </w:t>
      </w:r>
      <w:r w:rsidRPr="00AA4F73">
        <w:rPr>
          <w:rFonts w:cstheme="minorHAnsi"/>
          <w:color w:val="000000" w:themeColor="text1"/>
          <w:sz w:val="24"/>
          <w:szCs w:val="24"/>
        </w:rPr>
        <w:t>raportu o zgonach oraz podejrzeniach zgonów z powodu zakażeń i chorób zakaźnych).</w:t>
      </w:r>
    </w:p>
    <w:p w14:paraId="526ED846" w14:textId="77777777" w:rsidR="0022532B" w:rsidRDefault="0022532B" w:rsidP="00597239">
      <w:pPr>
        <w:pStyle w:val="Bezodstpw"/>
        <w:spacing w:line="276" w:lineRule="auto"/>
        <w:rPr>
          <w:rFonts w:cstheme="minorHAnsi"/>
          <w:color w:val="000000" w:themeColor="text1"/>
          <w:sz w:val="24"/>
          <w:szCs w:val="24"/>
        </w:rPr>
      </w:pPr>
    </w:p>
    <w:p w14:paraId="370A96C8" w14:textId="32BB31B6" w:rsidR="000B4D72" w:rsidRDefault="000B4D72" w:rsidP="00597239">
      <w:pPr>
        <w:pStyle w:val="Bezodstpw"/>
        <w:spacing w:line="276" w:lineRule="auto"/>
        <w:rPr>
          <w:rFonts w:cstheme="minorHAnsi"/>
          <w:color w:val="000000" w:themeColor="text1"/>
          <w:sz w:val="24"/>
          <w:szCs w:val="24"/>
        </w:rPr>
      </w:pPr>
      <w:r w:rsidRPr="002A1AC4">
        <w:rPr>
          <w:rFonts w:cstheme="minorHAnsi"/>
          <w:color w:val="000000" w:themeColor="text1"/>
          <w:sz w:val="24"/>
          <w:szCs w:val="24"/>
        </w:rPr>
        <w:t xml:space="preserve">Grypa sezonowa </w:t>
      </w:r>
      <w:r>
        <w:rPr>
          <w:rFonts w:cstheme="minorHAnsi"/>
          <w:color w:val="000000" w:themeColor="text1"/>
          <w:sz w:val="24"/>
          <w:szCs w:val="24"/>
        </w:rPr>
        <w:t>nadzorowana</w:t>
      </w:r>
      <w:r w:rsidRPr="002A1AC4">
        <w:rPr>
          <w:rFonts w:cstheme="minorHAnsi"/>
          <w:color w:val="000000" w:themeColor="text1"/>
          <w:sz w:val="24"/>
          <w:szCs w:val="24"/>
        </w:rPr>
        <w:t xml:space="preserve"> jest również w systemie SENTINEL, którego głównym założeniem jest monitorowanie grypy zarówno pod kątem epidemiologicznym jak i</w:t>
      </w:r>
      <w:r w:rsidR="004533CB">
        <w:rPr>
          <w:rFonts w:cstheme="minorHAnsi"/>
          <w:color w:val="000000" w:themeColor="text1"/>
          <w:sz w:val="24"/>
          <w:szCs w:val="24"/>
        </w:rPr>
        <w:t> </w:t>
      </w:r>
      <w:r w:rsidRPr="002A1AC4">
        <w:rPr>
          <w:rFonts w:cstheme="minorHAnsi"/>
          <w:color w:val="000000" w:themeColor="text1"/>
          <w:sz w:val="24"/>
          <w:szCs w:val="24"/>
        </w:rPr>
        <w:t>wirusologicznym. Oznacza to, że lekarze, którzy uczestniczą w nadzorze nad grypą SENTINEL, oprócz konieczności zbierania danych epidemiologicznych pobierają także materiał do badań wirusologicznych od pacjentów</w:t>
      </w:r>
      <w:r>
        <w:rPr>
          <w:rFonts w:cstheme="minorHAnsi"/>
          <w:color w:val="000000" w:themeColor="text1"/>
          <w:sz w:val="24"/>
          <w:szCs w:val="24"/>
        </w:rPr>
        <w:t xml:space="preserve"> z objawami chorobowymi. Zdecydowaną większość przypadków grypy rozpoznanych w nadzorze SENTINEL tj. blisko 90% stanowiła grypa typu A. </w:t>
      </w:r>
      <w:r w:rsidRPr="002A1AC4">
        <w:rPr>
          <w:rFonts w:cstheme="minorHAnsi"/>
          <w:color w:val="000000" w:themeColor="text1"/>
          <w:sz w:val="24"/>
          <w:szCs w:val="24"/>
        </w:rPr>
        <w:t xml:space="preserve"> </w:t>
      </w:r>
    </w:p>
    <w:p w14:paraId="360896C7" w14:textId="77777777" w:rsidR="00D123BC" w:rsidRDefault="00D123BC" w:rsidP="00597239">
      <w:pPr>
        <w:pStyle w:val="Legenda"/>
        <w:spacing w:after="0"/>
        <w:rPr>
          <w:i w:val="0"/>
          <w:iCs w:val="0"/>
          <w:color w:val="000000" w:themeColor="text1"/>
        </w:rPr>
      </w:pPr>
    </w:p>
    <w:p w14:paraId="20DFA2DC" w14:textId="4BD3061B" w:rsidR="001F6B6F" w:rsidRPr="001F6B6F" w:rsidRDefault="001F6B6F" w:rsidP="00597239">
      <w:pPr>
        <w:pStyle w:val="Legenda"/>
        <w:spacing w:after="0"/>
        <w:rPr>
          <w:rFonts w:cstheme="minorHAnsi"/>
          <w:i w:val="0"/>
          <w:iCs w:val="0"/>
          <w:color w:val="000000" w:themeColor="text1"/>
          <w:sz w:val="24"/>
          <w:szCs w:val="24"/>
        </w:rPr>
      </w:pPr>
      <w:bookmarkStart w:id="51" w:name="_Toc193969459"/>
      <w:bookmarkStart w:id="52" w:name="_Toc194059919"/>
      <w:r w:rsidRPr="001F6B6F">
        <w:rPr>
          <w:i w:val="0"/>
          <w:iCs w:val="0"/>
          <w:color w:val="000000" w:themeColor="text1"/>
        </w:rPr>
        <w:t xml:space="preserve">Wykres </w:t>
      </w:r>
      <w:r w:rsidRPr="001F6B6F">
        <w:rPr>
          <w:i w:val="0"/>
          <w:iCs w:val="0"/>
          <w:color w:val="000000" w:themeColor="text1"/>
        </w:rPr>
        <w:fldChar w:fldCharType="begin"/>
      </w:r>
      <w:r w:rsidRPr="001F6B6F">
        <w:rPr>
          <w:i w:val="0"/>
          <w:iCs w:val="0"/>
          <w:color w:val="000000" w:themeColor="text1"/>
        </w:rPr>
        <w:instrText xml:space="preserve"> SEQ Wykres \* ARABIC </w:instrText>
      </w:r>
      <w:r w:rsidRPr="001F6B6F">
        <w:rPr>
          <w:i w:val="0"/>
          <w:iCs w:val="0"/>
          <w:color w:val="000000" w:themeColor="text1"/>
        </w:rPr>
        <w:fldChar w:fldCharType="separate"/>
      </w:r>
      <w:r w:rsidR="00FB6F6A">
        <w:rPr>
          <w:i w:val="0"/>
          <w:iCs w:val="0"/>
          <w:noProof/>
          <w:color w:val="000000" w:themeColor="text1"/>
        </w:rPr>
        <w:t>2</w:t>
      </w:r>
      <w:r w:rsidRPr="001F6B6F">
        <w:rPr>
          <w:i w:val="0"/>
          <w:iCs w:val="0"/>
          <w:color w:val="000000" w:themeColor="text1"/>
        </w:rPr>
        <w:fldChar w:fldCharType="end"/>
      </w:r>
      <w:r w:rsidR="00E75D31">
        <w:rPr>
          <w:i w:val="0"/>
          <w:iCs w:val="0"/>
          <w:color w:val="000000" w:themeColor="text1"/>
        </w:rPr>
        <w:t>.</w:t>
      </w:r>
      <w:r w:rsidRPr="001F6B6F">
        <w:rPr>
          <w:i w:val="0"/>
          <w:iCs w:val="0"/>
          <w:color w:val="000000" w:themeColor="text1"/>
        </w:rPr>
        <w:t xml:space="preserve">  Zachorowania na grypę w latach 2023- 2024 w woj. zachodniopomorskim z uwzględnieniem liczby i przypadków diagnozowanych testem molekularnym (PCR) oraz antygenowym.</w:t>
      </w:r>
      <w:bookmarkEnd w:id="51"/>
      <w:bookmarkEnd w:id="52"/>
    </w:p>
    <w:p w14:paraId="46A00D0B" w14:textId="77777777" w:rsidR="000B4D72" w:rsidRDefault="000B4D72" w:rsidP="00597239">
      <w:pPr>
        <w:spacing w:after="0" w:line="276" w:lineRule="auto"/>
        <w:ind w:firstLine="567"/>
        <w:rPr>
          <w:rFonts w:cstheme="minorHAnsi"/>
          <w:color w:val="7030A0"/>
          <w:sz w:val="24"/>
          <w:szCs w:val="24"/>
        </w:rPr>
      </w:pPr>
      <w:r>
        <w:rPr>
          <w:rFonts w:cstheme="minorHAnsi"/>
          <w:noProof/>
          <w:color w:val="7030A0"/>
          <w:sz w:val="24"/>
          <w:szCs w:val="24"/>
        </w:rPr>
        <w:drawing>
          <wp:inline distT="0" distB="0" distL="0" distR="0" wp14:anchorId="1FDE0C3D" wp14:editId="4EFDB403">
            <wp:extent cx="5331125" cy="3200400"/>
            <wp:effectExtent l="0" t="0" r="3175" b="0"/>
            <wp:docPr id="902054494" name="Wykres 2" descr="Wykres nr 2 przedstawia liczbę zachorowań na grypę w latach 2023- 2024 w woj. zachodniopomorskim z uwzględnieniem liczby i przypadków diagnozowanych testem molekularnym (PCR) oraz antygenowym. W 2024 roku odnotowano łącznie 5078 przypadków zachorowań, w tym 4950 przypadków zostało zdiagnozowanych przy użyciu testu antygenowego, a 128 przypadków z wykorzystaniem testu molekularnego. "/>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BE506B" w14:textId="77777777" w:rsidR="0022532B" w:rsidRDefault="0022532B" w:rsidP="00597239">
      <w:pPr>
        <w:spacing w:after="0" w:line="276" w:lineRule="auto"/>
        <w:rPr>
          <w:rFonts w:cstheme="minorHAnsi"/>
          <w:color w:val="7030A0"/>
          <w:sz w:val="24"/>
          <w:szCs w:val="24"/>
        </w:rPr>
      </w:pPr>
    </w:p>
    <w:p w14:paraId="64AE3102" w14:textId="016BE860" w:rsidR="000B4D72" w:rsidRPr="00F41A28" w:rsidRDefault="000B4D72" w:rsidP="00597239">
      <w:pPr>
        <w:spacing w:after="0" w:line="276" w:lineRule="auto"/>
        <w:rPr>
          <w:rFonts w:cstheme="minorHAnsi"/>
          <w:color w:val="000000" w:themeColor="text1"/>
          <w:sz w:val="24"/>
          <w:szCs w:val="24"/>
        </w:rPr>
      </w:pPr>
      <w:r w:rsidRPr="002A1AC4">
        <w:rPr>
          <w:color w:val="000000" w:themeColor="text1"/>
          <w:sz w:val="24"/>
          <w:szCs w:val="24"/>
        </w:rPr>
        <w:t>Od 2023 r. w Polsce rozpoczęto raportowanie zakażeń wirusem RSV w populacji. W</w:t>
      </w:r>
      <w:r w:rsidR="004533CB">
        <w:rPr>
          <w:color w:val="000000" w:themeColor="text1"/>
          <w:sz w:val="24"/>
          <w:szCs w:val="24"/>
        </w:rPr>
        <w:t> </w:t>
      </w:r>
      <w:r w:rsidRPr="002A1AC4">
        <w:rPr>
          <w:color w:val="000000" w:themeColor="text1"/>
          <w:sz w:val="24"/>
          <w:szCs w:val="24"/>
        </w:rPr>
        <w:t>analizowanym okresie w woj. zachodniopomorskim zgłoszono 11</w:t>
      </w:r>
      <w:r>
        <w:rPr>
          <w:color w:val="000000" w:themeColor="text1"/>
          <w:sz w:val="24"/>
          <w:szCs w:val="24"/>
        </w:rPr>
        <w:t>06</w:t>
      </w:r>
      <w:r w:rsidRPr="002A1AC4">
        <w:rPr>
          <w:color w:val="000000" w:themeColor="text1"/>
          <w:sz w:val="24"/>
          <w:szCs w:val="24"/>
        </w:rPr>
        <w:t xml:space="preserve"> zakażeń RSV</w:t>
      </w:r>
      <w:r>
        <w:rPr>
          <w:color w:val="000000" w:themeColor="text1"/>
          <w:sz w:val="24"/>
          <w:szCs w:val="24"/>
        </w:rPr>
        <w:t>,</w:t>
      </w:r>
      <w:r w:rsidRPr="002A1AC4">
        <w:rPr>
          <w:color w:val="000000" w:themeColor="text1"/>
          <w:sz w:val="24"/>
          <w:szCs w:val="24"/>
        </w:rPr>
        <w:t xml:space="preserve"> w tym około połowa zachorowań</w:t>
      </w:r>
      <w:r>
        <w:rPr>
          <w:color w:val="000000" w:themeColor="text1"/>
          <w:sz w:val="24"/>
          <w:szCs w:val="24"/>
        </w:rPr>
        <w:t xml:space="preserve"> (</w:t>
      </w:r>
      <w:r w:rsidRPr="002A1AC4">
        <w:rPr>
          <w:color w:val="000000" w:themeColor="text1"/>
          <w:sz w:val="24"/>
          <w:szCs w:val="24"/>
        </w:rPr>
        <w:t>519</w:t>
      </w:r>
      <w:r>
        <w:rPr>
          <w:color w:val="000000" w:themeColor="text1"/>
          <w:sz w:val="24"/>
          <w:szCs w:val="24"/>
        </w:rPr>
        <w:t>)</w:t>
      </w:r>
      <w:r w:rsidRPr="002A1AC4">
        <w:rPr>
          <w:color w:val="000000" w:themeColor="text1"/>
          <w:sz w:val="24"/>
          <w:szCs w:val="24"/>
        </w:rPr>
        <w:t xml:space="preserve"> dot. dzieci do 2 r.ż. Zapadalność w populacji ogólnej wynosiła </w:t>
      </w:r>
      <w:r>
        <w:rPr>
          <w:color w:val="000000" w:themeColor="text1"/>
          <w:sz w:val="24"/>
          <w:szCs w:val="24"/>
        </w:rPr>
        <w:t>67,98</w:t>
      </w:r>
      <w:r w:rsidRPr="002A1AC4">
        <w:rPr>
          <w:color w:val="000000" w:themeColor="text1"/>
          <w:sz w:val="24"/>
          <w:szCs w:val="24"/>
        </w:rPr>
        <w:t xml:space="preserve"> na 100 tys., natomiast wśród dzieci do 2 r.ż. kształtowała się na poziomie aż 1 568,40 na 100 tys. </w:t>
      </w:r>
      <w:r>
        <w:rPr>
          <w:color w:val="000000" w:themeColor="text1"/>
          <w:sz w:val="24"/>
          <w:szCs w:val="24"/>
        </w:rPr>
        <w:t xml:space="preserve">Liczba zachorowań w 2024 r. była ponad dwukrotnie większa w porównaniu do 2023 r., kiedy odnotowano </w:t>
      </w:r>
      <w:r w:rsidRPr="002A1AC4">
        <w:rPr>
          <w:color w:val="000000" w:themeColor="text1"/>
          <w:sz w:val="24"/>
          <w:szCs w:val="24"/>
        </w:rPr>
        <w:t xml:space="preserve">517 zakażeń RSV </w:t>
      </w:r>
      <w:r>
        <w:rPr>
          <w:color w:val="000000" w:themeColor="text1"/>
          <w:sz w:val="24"/>
          <w:szCs w:val="24"/>
        </w:rPr>
        <w:t xml:space="preserve">w populacji ogólnej (zapadalność </w:t>
      </w:r>
      <w:r w:rsidRPr="00F41A28">
        <w:rPr>
          <w:color w:val="000000" w:themeColor="text1"/>
          <w:sz w:val="24"/>
          <w:szCs w:val="24"/>
        </w:rPr>
        <w:t>31,60 na 100 tys.)</w:t>
      </w:r>
      <w:r>
        <w:rPr>
          <w:color w:val="000000" w:themeColor="text1"/>
          <w:sz w:val="24"/>
          <w:szCs w:val="24"/>
        </w:rPr>
        <w:t>,</w:t>
      </w:r>
      <w:r w:rsidRPr="00F41A28">
        <w:rPr>
          <w:color w:val="000000" w:themeColor="text1"/>
          <w:sz w:val="24"/>
          <w:szCs w:val="24"/>
        </w:rPr>
        <w:t xml:space="preserve"> </w:t>
      </w:r>
      <w:r w:rsidRPr="002A1AC4">
        <w:rPr>
          <w:color w:val="000000" w:themeColor="text1"/>
          <w:sz w:val="24"/>
          <w:szCs w:val="24"/>
        </w:rPr>
        <w:t>w</w:t>
      </w:r>
      <w:r w:rsidR="004533CB">
        <w:rPr>
          <w:color w:val="000000" w:themeColor="text1"/>
          <w:sz w:val="24"/>
          <w:szCs w:val="24"/>
        </w:rPr>
        <w:t> </w:t>
      </w:r>
      <w:r w:rsidRPr="002A1AC4">
        <w:rPr>
          <w:color w:val="000000" w:themeColor="text1"/>
          <w:sz w:val="24"/>
          <w:szCs w:val="24"/>
        </w:rPr>
        <w:t xml:space="preserve">tym również około połowa, tj. 252 zachorowań dot. dzieci </w:t>
      </w:r>
      <w:r w:rsidRPr="002A1AC4">
        <w:rPr>
          <w:color w:val="000000" w:themeColor="text1"/>
          <w:sz w:val="24"/>
          <w:szCs w:val="24"/>
        </w:rPr>
        <w:lastRenderedPageBreak/>
        <w:t xml:space="preserve">do 2 r.ż. </w:t>
      </w:r>
      <w:r>
        <w:rPr>
          <w:color w:val="000000" w:themeColor="text1"/>
          <w:sz w:val="24"/>
          <w:szCs w:val="24"/>
        </w:rPr>
        <w:t>(</w:t>
      </w:r>
      <w:r w:rsidRPr="00F41A28">
        <w:rPr>
          <w:color w:val="000000" w:themeColor="text1"/>
          <w:sz w:val="24"/>
          <w:szCs w:val="24"/>
        </w:rPr>
        <w:t xml:space="preserve">zapadalność aż 692,90 na 100 tys.). Sytuacja epidemiologiczna </w:t>
      </w:r>
      <w:r>
        <w:rPr>
          <w:color w:val="000000" w:themeColor="text1"/>
          <w:sz w:val="24"/>
          <w:szCs w:val="24"/>
        </w:rPr>
        <w:t xml:space="preserve">w 2024 r. w zakresie </w:t>
      </w:r>
      <w:r w:rsidRPr="00F41A28">
        <w:rPr>
          <w:color w:val="000000" w:themeColor="text1"/>
          <w:sz w:val="24"/>
          <w:szCs w:val="24"/>
        </w:rPr>
        <w:t>zakażeń RSV na terenie województwa w odniesieniu do populacji dzieci do 2 r.ż. była korzystniejsza niż w Polsce, bowiem zapadalność w kraju w tej grupie wiekowej wynosiła 3</w:t>
      </w:r>
      <w:r>
        <w:rPr>
          <w:color w:val="000000" w:themeColor="text1"/>
          <w:sz w:val="24"/>
          <w:szCs w:val="24"/>
        </w:rPr>
        <w:t xml:space="preserve"> </w:t>
      </w:r>
      <w:r w:rsidRPr="00F41A28">
        <w:rPr>
          <w:color w:val="000000" w:themeColor="text1"/>
          <w:sz w:val="24"/>
          <w:szCs w:val="24"/>
        </w:rPr>
        <w:t>492,29 na 100 tys.</w:t>
      </w:r>
      <w:r w:rsidRPr="00F41A28">
        <w:rPr>
          <w:rFonts w:cstheme="minorHAnsi"/>
          <w:color w:val="000000" w:themeColor="text1"/>
          <w:sz w:val="24"/>
          <w:szCs w:val="24"/>
        </w:rPr>
        <w:t xml:space="preserve"> </w:t>
      </w:r>
    </w:p>
    <w:p w14:paraId="79F22F5F" w14:textId="77777777" w:rsidR="0022532B" w:rsidRDefault="0022532B" w:rsidP="00597239">
      <w:pPr>
        <w:spacing w:after="0" w:line="276" w:lineRule="auto"/>
        <w:rPr>
          <w:rFonts w:cstheme="minorHAnsi"/>
          <w:color w:val="000000" w:themeColor="text1"/>
          <w:sz w:val="24"/>
          <w:szCs w:val="24"/>
        </w:rPr>
      </w:pPr>
    </w:p>
    <w:p w14:paraId="099B1729" w14:textId="571FCC6C" w:rsidR="000B4D72" w:rsidRPr="00C3734C" w:rsidRDefault="000B4D72" w:rsidP="00597239">
      <w:pPr>
        <w:spacing w:after="0" w:line="276" w:lineRule="auto"/>
        <w:rPr>
          <w:rFonts w:cstheme="minorHAnsi"/>
          <w:color w:val="000000" w:themeColor="text1"/>
          <w:sz w:val="24"/>
          <w:szCs w:val="24"/>
        </w:rPr>
      </w:pPr>
      <w:r w:rsidRPr="00F41A28">
        <w:rPr>
          <w:rFonts w:cstheme="minorHAnsi"/>
          <w:color w:val="000000" w:themeColor="text1"/>
          <w:sz w:val="24"/>
          <w:szCs w:val="24"/>
        </w:rPr>
        <w:t xml:space="preserve">Należy podkreślić, iż opisanym chorobom infekcyjnym można zapobiegać poprzez szczepienia ochronne, które należy propagować jako jedyną skuteczną metodę zapobiegania tym chorobom w całej populacji, a w szczególności </w:t>
      </w:r>
      <w:r>
        <w:rPr>
          <w:rFonts w:cstheme="minorHAnsi"/>
          <w:color w:val="000000" w:themeColor="text1"/>
          <w:sz w:val="24"/>
          <w:szCs w:val="24"/>
        </w:rPr>
        <w:t xml:space="preserve">w </w:t>
      </w:r>
      <w:r w:rsidRPr="00F41A28">
        <w:rPr>
          <w:rFonts w:cstheme="minorHAnsi"/>
          <w:color w:val="000000" w:themeColor="text1"/>
          <w:sz w:val="24"/>
          <w:szCs w:val="24"/>
        </w:rPr>
        <w:t xml:space="preserve">grupach </w:t>
      </w:r>
      <w:r>
        <w:rPr>
          <w:rFonts w:cstheme="minorHAnsi"/>
          <w:color w:val="000000" w:themeColor="text1"/>
          <w:sz w:val="24"/>
          <w:szCs w:val="24"/>
        </w:rPr>
        <w:t>najbardziej</w:t>
      </w:r>
      <w:r w:rsidRPr="00F41A28">
        <w:rPr>
          <w:rFonts w:cstheme="minorHAnsi"/>
          <w:color w:val="000000" w:themeColor="text1"/>
          <w:sz w:val="24"/>
          <w:szCs w:val="24"/>
        </w:rPr>
        <w:t xml:space="preserve"> narażonych na</w:t>
      </w:r>
      <w:r w:rsidR="004533CB">
        <w:rPr>
          <w:rFonts w:cstheme="minorHAnsi"/>
          <w:color w:val="000000" w:themeColor="text1"/>
          <w:sz w:val="24"/>
          <w:szCs w:val="24"/>
        </w:rPr>
        <w:t> </w:t>
      </w:r>
      <w:r w:rsidRPr="00F41A28">
        <w:rPr>
          <w:rFonts w:cstheme="minorHAnsi"/>
          <w:color w:val="000000" w:themeColor="text1"/>
          <w:sz w:val="24"/>
          <w:szCs w:val="24"/>
        </w:rPr>
        <w:t>za</w:t>
      </w:r>
      <w:r>
        <w:rPr>
          <w:rFonts w:cstheme="minorHAnsi"/>
          <w:color w:val="000000" w:themeColor="text1"/>
          <w:sz w:val="24"/>
          <w:szCs w:val="24"/>
        </w:rPr>
        <w:t>chorowanie</w:t>
      </w:r>
      <w:r w:rsidRPr="00F41A28">
        <w:rPr>
          <w:rFonts w:cstheme="minorHAnsi"/>
          <w:color w:val="000000" w:themeColor="text1"/>
          <w:sz w:val="24"/>
          <w:szCs w:val="24"/>
        </w:rPr>
        <w:t>.</w:t>
      </w:r>
    </w:p>
    <w:p w14:paraId="1DD435EC" w14:textId="4C55DF8F" w:rsidR="000B4D72" w:rsidRPr="00057FD3" w:rsidRDefault="000B4D72" w:rsidP="00597239">
      <w:pPr>
        <w:pStyle w:val="Nagwek3"/>
        <w:numPr>
          <w:ilvl w:val="1"/>
          <w:numId w:val="19"/>
        </w:numPr>
        <w:ind w:left="568" w:hanging="284"/>
      </w:pPr>
      <w:bookmarkStart w:id="53" w:name="_Toc192678701"/>
      <w:bookmarkStart w:id="54" w:name="_Toc193694441"/>
      <w:bookmarkStart w:id="55" w:name="_Toc194059779"/>
      <w:r w:rsidRPr="00057FD3">
        <w:t>Choroby wieku dziecięcego</w:t>
      </w:r>
      <w:bookmarkEnd w:id="53"/>
      <w:bookmarkEnd w:id="54"/>
      <w:bookmarkEnd w:id="55"/>
    </w:p>
    <w:p w14:paraId="712550C9" w14:textId="77777777" w:rsidR="000B4D72" w:rsidRPr="00057FD3" w:rsidRDefault="000B4D72" w:rsidP="00597239">
      <w:pPr>
        <w:spacing w:after="0" w:line="276" w:lineRule="auto"/>
        <w:rPr>
          <w:b/>
          <w:bCs/>
          <w:color w:val="000000" w:themeColor="text1"/>
          <w:sz w:val="24"/>
          <w:szCs w:val="24"/>
        </w:rPr>
      </w:pPr>
      <w:r w:rsidRPr="00057FD3">
        <w:rPr>
          <w:b/>
          <w:bCs/>
          <w:color w:val="000000" w:themeColor="text1"/>
          <w:sz w:val="24"/>
          <w:szCs w:val="24"/>
        </w:rPr>
        <w:t>Odra, świnka i różyczka</w:t>
      </w:r>
    </w:p>
    <w:p w14:paraId="3F9915BF" w14:textId="77777777" w:rsidR="000B4D72" w:rsidRPr="003E5DA1" w:rsidRDefault="000B4D72" w:rsidP="00597239">
      <w:pPr>
        <w:spacing w:after="0" w:line="276" w:lineRule="auto"/>
        <w:rPr>
          <w:color w:val="000000" w:themeColor="text1"/>
          <w:sz w:val="24"/>
          <w:szCs w:val="24"/>
        </w:rPr>
      </w:pPr>
      <w:r w:rsidRPr="003E5DA1">
        <w:rPr>
          <w:color w:val="000000" w:themeColor="text1"/>
          <w:sz w:val="24"/>
          <w:szCs w:val="24"/>
        </w:rPr>
        <w:t>Sytuacja epidemiologiczna świnki, różyczki i ospy wietrznej w Polsce w 2004 r. uległa poprawie w stosunku do 2023 roku. Podobny trend zaobserwowano</w:t>
      </w:r>
      <w:r>
        <w:rPr>
          <w:color w:val="000000" w:themeColor="text1"/>
          <w:sz w:val="24"/>
          <w:szCs w:val="24"/>
        </w:rPr>
        <w:t xml:space="preserve"> </w:t>
      </w:r>
      <w:r w:rsidRPr="003E5DA1">
        <w:rPr>
          <w:color w:val="000000" w:themeColor="text1"/>
          <w:sz w:val="24"/>
          <w:szCs w:val="24"/>
        </w:rPr>
        <w:t xml:space="preserve">w woj. zachodniopomorskim. Natomiast </w:t>
      </w:r>
      <w:r>
        <w:rPr>
          <w:color w:val="000000" w:themeColor="text1"/>
          <w:sz w:val="24"/>
          <w:szCs w:val="24"/>
        </w:rPr>
        <w:t xml:space="preserve">odwrotna tendencję obserwowano w odniesieniu do </w:t>
      </w:r>
      <w:r w:rsidRPr="003E5DA1">
        <w:rPr>
          <w:color w:val="000000" w:themeColor="text1"/>
          <w:sz w:val="24"/>
          <w:szCs w:val="24"/>
        </w:rPr>
        <w:t>odry.</w:t>
      </w:r>
    </w:p>
    <w:p w14:paraId="7F8E2235" w14:textId="77777777" w:rsidR="0022532B" w:rsidRDefault="0022532B" w:rsidP="00597239">
      <w:pPr>
        <w:spacing w:after="0" w:line="276" w:lineRule="auto"/>
        <w:contextualSpacing/>
        <w:rPr>
          <w:sz w:val="24"/>
          <w:szCs w:val="24"/>
        </w:rPr>
      </w:pPr>
    </w:p>
    <w:p w14:paraId="6EE41B6C" w14:textId="353CFBA1" w:rsidR="000B4D72" w:rsidRPr="003E5DA1" w:rsidRDefault="000B4D72" w:rsidP="00597239">
      <w:pPr>
        <w:spacing w:after="0" w:line="276" w:lineRule="auto"/>
        <w:contextualSpacing/>
        <w:rPr>
          <w:color w:val="000000" w:themeColor="text1"/>
          <w:sz w:val="24"/>
          <w:szCs w:val="24"/>
        </w:rPr>
      </w:pPr>
      <w:r w:rsidRPr="00121AD5">
        <w:rPr>
          <w:sz w:val="24"/>
          <w:szCs w:val="24"/>
        </w:rPr>
        <w:t xml:space="preserve">W analizowanym okresie na terenie woj. zachodniopomorskiego odnotowano 5 przypadków potwierdzonych oraz 1 przypadek możliwy </w:t>
      </w:r>
      <w:r>
        <w:rPr>
          <w:sz w:val="24"/>
          <w:szCs w:val="24"/>
        </w:rPr>
        <w:t xml:space="preserve">odry </w:t>
      </w:r>
      <w:r w:rsidRPr="00121AD5">
        <w:rPr>
          <w:sz w:val="24"/>
          <w:szCs w:val="24"/>
        </w:rPr>
        <w:t>(na podstawie objawów klinicznych)</w:t>
      </w:r>
      <w:r>
        <w:rPr>
          <w:sz w:val="24"/>
          <w:szCs w:val="24"/>
        </w:rPr>
        <w:t>. W roku poprzedzającym odnotowano tylko</w:t>
      </w:r>
      <w:r w:rsidRPr="00121AD5">
        <w:rPr>
          <w:sz w:val="24"/>
          <w:szCs w:val="24"/>
        </w:rPr>
        <w:t xml:space="preserve"> 1 przypad</w:t>
      </w:r>
      <w:r>
        <w:rPr>
          <w:sz w:val="24"/>
          <w:szCs w:val="24"/>
        </w:rPr>
        <w:t>ek</w:t>
      </w:r>
      <w:r w:rsidRPr="00121AD5">
        <w:rPr>
          <w:sz w:val="24"/>
          <w:szCs w:val="24"/>
        </w:rPr>
        <w:t xml:space="preserve"> możliw</w:t>
      </w:r>
      <w:r>
        <w:rPr>
          <w:sz w:val="24"/>
          <w:szCs w:val="24"/>
        </w:rPr>
        <w:t xml:space="preserve">y. </w:t>
      </w:r>
      <w:r w:rsidRPr="003E5DA1">
        <w:rPr>
          <w:color w:val="000000" w:themeColor="text1"/>
          <w:sz w:val="24"/>
          <w:szCs w:val="24"/>
        </w:rPr>
        <w:t xml:space="preserve">Zachorowania </w:t>
      </w:r>
      <w:r>
        <w:rPr>
          <w:color w:val="000000" w:themeColor="text1"/>
          <w:sz w:val="24"/>
          <w:szCs w:val="24"/>
        </w:rPr>
        <w:t xml:space="preserve">w 2024 r. </w:t>
      </w:r>
      <w:r w:rsidRPr="003E5DA1">
        <w:rPr>
          <w:color w:val="000000" w:themeColor="text1"/>
          <w:sz w:val="24"/>
          <w:szCs w:val="24"/>
        </w:rPr>
        <w:t>dotyczyły: 2 nieszczepionych chłopców w wieku 0-10 m-cy, nieszczepionych bliźniąt w wieku 6 lat, 9- letniego nieszczepionego chłopca oraz 1 kobiety w wieku 42 lat, która przyjęła niepełny schemat szczepień przeciwko odrze (I dawkę szczepionki).</w:t>
      </w:r>
    </w:p>
    <w:p w14:paraId="7E80B849" w14:textId="77777777" w:rsidR="0022532B" w:rsidRDefault="0022532B" w:rsidP="00597239">
      <w:pPr>
        <w:spacing w:after="0" w:line="276" w:lineRule="auto"/>
        <w:rPr>
          <w:color w:val="000000" w:themeColor="text1"/>
          <w:sz w:val="24"/>
          <w:szCs w:val="24"/>
        </w:rPr>
      </w:pPr>
    </w:p>
    <w:p w14:paraId="3FFCF2AC" w14:textId="0AC3397A" w:rsidR="000B4D72" w:rsidRPr="003A793F" w:rsidRDefault="000B4D72" w:rsidP="00597239">
      <w:pPr>
        <w:spacing w:after="0" w:line="276" w:lineRule="auto"/>
        <w:rPr>
          <w:color w:val="FF0000"/>
          <w:sz w:val="24"/>
          <w:szCs w:val="24"/>
        </w:rPr>
      </w:pPr>
      <w:r w:rsidRPr="009A5A7B">
        <w:rPr>
          <w:color w:val="000000" w:themeColor="text1"/>
          <w:sz w:val="24"/>
          <w:szCs w:val="24"/>
        </w:rPr>
        <w:t>W 2024 r. w woj. zachodniopomorskim zarejestrowano 28 zachorowań na świnkę</w:t>
      </w:r>
      <w:r>
        <w:rPr>
          <w:color w:val="000000" w:themeColor="text1"/>
          <w:sz w:val="24"/>
          <w:szCs w:val="24"/>
        </w:rPr>
        <w:t>,</w:t>
      </w:r>
      <w:r w:rsidRPr="009A5A7B">
        <w:rPr>
          <w:color w:val="000000" w:themeColor="text1"/>
          <w:sz w:val="24"/>
          <w:szCs w:val="24"/>
        </w:rPr>
        <w:t xml:space="preserve"> tj.</w:t>
      </w:r>
      <w:r w:rsidR="004533CB">
        <w:rPr>
          <w:color w:val="000000" w:themeColor="text1"/>
          <w:sz w:val="24"/>
          <w:szCs w:val="24"/>
        </w:rPr>
        <w:t> </w:t>
      </w:r>
      <w:r w:rsidRPr="009A5A7B">
        <w:rPr>
          <w:color w:val="000000" w:themeColor="text1"/>
          <w:sz w:val="24"/>
          <w:szCs w:val="24"/>
        </w:rPr>
        <w:t>prawie o połowę mniej niż w 2023 r.</w:t>
      </w:r>
      <w:r>
        <w:rPr>
          <w:color w:val="000000" w:themeColor="text1"/>
          <w:sz w:val="24"/>
          <w:szCs w:val="24"/>
        </w:rPr>
        <w:t xml:space="preserve"> (</w:t>
      </w:r>
      <w:r w:rsidRPr="009A5A7B">
        <w:rPr>
          <w:color w:val="000000" w:themeColor="text1"/>
          <w:sz w:val="24"/>
          <w:szCs w:val="24"/>
        </w:rPr>
        <w:t>50 zachorowań</w:t>
      </w:r>
      <w:r>
        <w:rPr>
          <w:color w:val="000000" w:themeColor="text1"/>
          <w:sz w:val="24"/>
          <w:szCs w:val="24"/>
        </w:rPr>
        <w:t>)</w:t>
      </w:r>
      <w:r w:rsidRPr="009A5A7B">
        <w:rPr>
          <w:color w:val="000000" w:themeColor="text1"/>
          <w:sz w:val="24"/>
          <w:szCs w:val="24"/>
        </w:rPr>
        <w:t>.</w:t>
      </w:r>
      <w:r w:rsidRPr="00CA482D">
        <w:rPr>
          <w:color w:val="000000" w:themeColor="text1"/>
          <w:sz w:val="24"/>
          <w:szCs w:val="24"/>
        </w:rPr>
        <w:t xml:space="preserve"> </w:t>
      </w:r>
      <w:r>
        <w:rPr>
          <w:sz w:val="24"/>
          <w:szCs w:val="24"/>
        </w:rPr>
        <w:t>Częstotliwość występowania zachorowań obserwowano wśród osób nieszczepionych lub o nieznanym i niepełnym statusie szczepień</w:t>
      </w:r>
      <w:r w:rsidRPr="00415E13">
        <w:rPr>
          <w:sz w:val="24"/>
          <w:szCs w:val="24"/>
        </w:rPr>
        <w:t>.</w:t>
      </w:r>
      <w:r w:rsidRPr="00415E13">
        <w:rPr>
          <w:color w:val="FF0000"/>
          <w:sz w:val="24"/>
          <w:szCs w:val="24"/>
        </w:rPr>
        <w:t xml:space="preserve"> </w:t>
      </w:r>
      <w:r w:rsidRPr="00415E13">
        <w:rPr>
          <w:sz w:val="24"/>
          <w:szCs w:val="24"/>
        </w:rPr>
        <w:t>Zgodnie ze specyfiką jednostki chorobowej zachorowania występują głównie w</w:t>
      </w:r>
      <w:r w:rsidR="000B1187">
        <w:rPr>
          <w:sz w:val="24"/>
          <w:szCs w:val="24"/>
        </w:rPr>
        <w:t> </w:t>
      </w:r>
      <w:r w:rsidRPr="00415E13">
        <w:rPr>
          <w:sz w:val="24"/>
          <w:szCs w:val="24"/>
        </w:rPr>
        <w:t xml:space="preserve">wieku przedszkolnym i szkolnym, najczęściej chorowały dzieci do 14 roku życia (łącznie 21 osób, tj. 75%). </w:t>
      </w:r>
    </w:p>
    <w:p w14:paraId="231B5644" w14:textId="77777777" w:rsidR="0022532B" w:rsidRDefault="0022532B" w:rsidP="00597239">
      <w:pPr>
        <w:spacing w:after="0" w:line="276" w:lineRule="auto"/>
        <w:rPr>
          <w:color w:val="000000" w:themeColor="text1"/>
          <w:sz w:val="24"/>
          <w:szCs w:val="24"/>
        </w:rPr>
      </w:pPr>
    </w:p>
    <w:p w14:paraId="65F694D0" w14:textId="0FCE6AE6" w:rsidR="000B4D72" w:rsidRDefault="000B4D72" w:rsidP="00597239">
      <w:pPr>
        <w:spacing w:after="0" w:line="276" w:lineRule="auto"/>
        <w:rPr>
          <w:color w:val="000000" w:themeColor="text1"/>
          <w:sz w:val="24"/>
          <w:szCs w:val="24"/>
        </w:rPr>
      </w:pPr>
      <w:r w:rsidRPr="009A5A7B">
        <w:rPr>
          <w:color w:val="000000" w:themeColor="text1"/>
          <w:sz w:val="24"/>
          <w:szCs w:val="24"/>
        </w:rPr>
        <w:t xml:space="preserve">W 2024 r. w woj. zachodniopomorskim na różyczkę zachorowało 8 osób, tj. o </w:t>
      </w:r>
      <w:r>
        <w:rPr>
          <w:color w:val="000000" w:themeColor="text1"/>
          <w:sz w:val="24"/>
          <w:szCs w:val="24"/>
        </w:rPr>
        <w:t>5</w:t>
      </w:r>
      <w:r w:rsidRPr="009A5A7B">
        <w:rPr>
          <w:color w:val="000000" w:themeColor="text1"/>
          <w:sz w:val="24"/>
          <w:szCs w:val="24"/>
        </w:rPr>
        <w:t xml:space="preserve"> przypadk</w:t>
      </w:r>
      <w:r>
        <w:rPr>
          <w:color w:val="000000" w:themeColor="text1"/>
          <w:sz w:val="24"/>
          <w:szCs w:val="24"/>
        </w:rPr>
        <w:t>ów</w:t>
      </w:r>
      <w:r w:rsidRPr="009A5A7B">
        <w:rPr>
          <w:color w:val="000000" w:themeColor="text1"/>
          <w:sz w:val="24"/>
          <w:szCs w:val="24"/>
        </w:rPr>
        <w:t xml:space="preserve"> mniej niż w 2023 r. Zachorowania </w:t>
      </w:r>
      <w:r>
        <w:rPr>
          <w:sz w:val="24"/>
          <w:szCs w:val="24"/>
        </w:rPr>
        <w:t>obserwowano częściej wśród osób nieszczepionych lub o</w:t>
      </w:r>
      <w:r w:rsidR="0022532B">
        <w:rPr>
          <w:sz w:val="24"/>
          <w:szCs w:val="24"/>
        </w:rPr>
        <w:t> </w:t>
      </w:r>
      <w:r>
        <w:rPr>
          <w:sz w:val="24"/>
          <w:szCs w:val="24"/>
        </w:rPr>
        <w:t>nieznanym i niepełnym statusie szczepień</w:t>
      </w:r>
      <w:r w:rsidRPr="00415E13">
        <w:rPr>
          <w:sz w:val="24"/>
          <w:szCs w:val="24"/>
        </w:rPr>
        <w:t>.</w:t>
      </w:r>
      <w:r>
        <w:rPr>
          <w:sz w:val="24"/>
          <w:szCs w:val="24"/>
        </w:rPr>
        <w:t xml:space="preserve"> </w:t>
      </w:r>
      <w:r w:rsidRPr="009A5A7B">
        <w:rPr>
          <w:color w:val="000000" w:themeColor="text1"/>
          <w:sz w:val="24"/>
          <w:szCs w:val="24"/>
        </w:rPr>
        <w:t>Należy podkreślić, iż odrze, śwince i różyczce można zapobiegać poprzez obowiązkowe szczepienia ochronne i podaż szczepionki skojarzonej w</w:t>
      </w:r>
      <w:r w:rsidR="0022532B">
        <w:rPr>
          <w:color w:val="000000" w:themeColor="text1"/>
          <w:sz w:val="24"/>
          <w:szCs w:val="24"/>
        </w:rPr>
        <w:t> </w:t>
      </w:r>
      <w:r w:rsidRPr="009A5A7B">
        <w:rPr>
          <w:color w:val="000000" w:themeColor="text1"/>
          <w:sz w:val="24"/>
          <w:szCs w:val="24"/>
        </w:rPr>
        <w:t>cyklu II dawkowym. Szczepienie zapobiega groźnym dla zdrowia i</w:t>
      </w:r>
      <w:r w:rsidR="007B1BEB">
        <w:rPr>
          <w:color w:val="000000" w:themeColor="text1"/>
          <w:sz w:val="24"/>
          <w:szCs w:val="24"/>
        </w:rPr>
        <w:t> </w:t>
      </w:r>
      <w:r w:rsidRPr="009A5A7B">
        <w:rPr>
          <w:color w:val="000000" w:themeColor="text1"/>
          <w:sz w:val="24"/>
          <w:szCs w:val="24"/>
        </w:rPr>
        <w:t>życia powikłaniom, a</w:t>
      </w:r>
      <w:r w:rsidR="0022532B">
        <w:rPr>
          <w:color w:val="000000" w:themeColor="text1"/>
          <w:sz w:val="24"/>
          <w:szCs w:val="24"/>
        </w:rPr>
        <w:t> </w:t>
      </w:r>
      <w:r w:rsidRPr="009A5A7B">
        <w:rPr>
          <w:color w:val="000000" w:themeColor="text1"/>
          <w:sz w:val="24"/>
          <w:szCs w:val="24"/>
        </w:rPr>
        <w:t>w</w:t>
      </w:r>
      <w:r w:rsidR="0022532B">
        <w:rPr>
          <w:color w:val="000000" w:themeColor="text1"/>
          <w:sz w:val="24"/>
          <w:szCs w:val="24"/>
        </w:rPr>
        <w:t> </w:t>
      </w:r>
      <w:r w:rsidRPr="009A5A7B">
        <w:rPr>
          <w:color w:val="000000" w:themeColor="text1"/>
          <w:sz w:val="24"/>
          <w:szCs w:val="24"/>
        </w:rPr>
        <w:t>przypadku zachorowania przebieg choroby jest łagodniejszy</w:t>
      </w:r>
      <w:r w:rsidR="0022532B">
        <w:rPr>
          <w:color w:val="000000" w:themeColor="text1"/>
          <w:sz w:val="24"/>
          <w:szCs w:val="24"/>
        </w:rPr>
        <w:t>.</w:t>
      </w:r>
    </w:p>
    <w:p w14:paraId="2165AA39" w14:textId="77777777" w:rsidR="0022532B" w:rsidRPr="009A5A7B" w:rsidRDefault="0022532B" w:rsidP="00597239">
      <w:pPr>
        <w:spacing w:after="0" w:line="276" w:lineRule="auto"/>
        <w:rPr>
          <w:color w:val="000000" w:themeColor="text1"/>
          <w:sz w:val="24"/>
          <w:szCs w:val="24"/>
        </w:rPr>
      </w:pPr>
    </w:p>
    <w:p w14:paraId="3FB7D1B8" w14:textId="77777777" w:rsidR="000B4D72" w:rsidRPr="005C5F29" w:rsidRDefault="000B4D72" w:rsidP="00597239">
      <w:pPr>
        <w:spacing w:after="0" w:line="276" w:lineRule="auto"/>
        <w:rPr>
          <w:b/>
          <w:bCs/>
          <w:sz w:val="24"/>
          <w:szCs w:val="24"/>
        </w:rPr>
      </w:pPr>
      <w:r w:rsidRPr="005C5F29">
        <w:rPr>
          <w:b/>
          <w:bCs/>
          <w:sz w:val="24"/>
          <w:szCs w:val="24"/>
        </w:rPr>
        <w:t>Ospa wietrzna</w:t>
      </w:r>
    </w:p>
    <w:p w14:paraId="09F557BD" w14:textId="79A3EF34" w:rsidR="000B4D72" w:rsidRPr="009C48FD" w:rsidRDefault="000B4D72" w:rsidP="00597239">
      <w:pPr>
        <w:spacing w:after="0" w:line="276" w:lineRule="auto"/>
        <w:rPr>
          <w:sz w:val="24"/>
          <w:szCs w:val="24"/>
        </w:rPr>
      </w:pPr>
      <w:r w:rsidRPr="00FB15C0">
        <w:rPr>
          <w:sz w:val="24"/>
          <w:szCs w:val="24"/>
        </w:rPr>
        <w:t>Liczba zarejestrowanych zachorowań na ospę wietrzną na terenie województwa wyniosła 5314 i była niższa o p</w:t>
      </w:r>
      <w:r>
        <w:rPr>
          <w:sz w:val="24"/>
          <w:szCs w:val="24"/>
        </w:rPr>
        <w:t xml:space="preserve">rawie 24 </w:t>
      </w:r>
      <w:r w:rsidRPr="00FB15C0">
        <w:rPr>
          <w:sz w:val="24"/>
          <w:szCs w:val="24"/>
        </w:rPr>
        <w:t xml:space="preserve">% niż w roku ubiegłym. </w:t>
      </w:r>
      <w:r w:rsidRPr="0071641E">
        <w:rPr>
          <w:sz w:val="24"/>
          <w:szCs w:val="24"/>
        </w:rPr>
        <w:t xml:space="preserve">Na ospę wietrzną najczęściej chorowały osoby nieszczepione (4468 osób, tj. 84,08%) oraz z brakiem udokumentowanych </w:t>
      </w:r>
      <w:r w:rsidRPr="0071641E">
        <w:rPr>
          <w:sz w:val="24"/>
          <w:szCs w:val="24"/>
        </w:rPr>
        <w:lastRenderedPageBreak/>
        <w:t>szczepień (776 osób, tj. 14,6</w:t>
      </w:r>
      <w:r w:rsidRPr="009C48FD">
        <w:rPr>
          <w:sz w:val="24"/>
          <w:szCs w:val="24"/>
        </w:rPr>
        <w:t>%).</w:t>
      </w:r>
      <w:r w:rsidRPr="009C48FD">
        <w:rPr>
          <w:color w:val="FF0000"/>
          <w:sz w:val="24"/>
          <w:szCs w:val="24"/>
        </w:rPr>
        <w:t xml:space="preserve"> </w:t>
      </w:r>
      <w:r w:rsidRPr="009C48FD">
        <w:rPr>
          <w:sz w:val="24"/>
          <w:szCs w:val="24"/>
        </w:rPr>
        <w:t>Najwięcej zachorowań wystąpiło w grupie wiekowej od 5-9 lat (2221 osób, tj. 41,79%), następnie w przedziale wiekowym 0-4 lat (2201 osób, tj. 41,42%), co</w:t>
      </w:r>
      <w:r w:rsidR="004533CB">
        <w:rPr>
          <w:sz w:val="24"/>
          <w:szCs w:val="24"/>
        </w:rPr>
        <w:t> </w:t>
      </w:r>
      <w:r w:rsidRPr="009C48FD">
        <w:rPr>
          <w:sz w:val="24"/>
          <w:szCs w:val="24"/>
        </w:rPr>
        <w:t>jest charakterystyczne dla tej jednostki chorobowej.</w:t>
      </w:r>
    </w:p>
    <w:p w14:paraId="75D6B57C" w14:textId="77777777" w:rsidR="0022532B" w:rsidRDefault="0022532B" w:rsidP="00597239">
      <w:pPr>
        <w:spacing w:after="0" w:line="276" w:lineRule="auto"/>
        <w:rPr>
          <w:sz w:val="24"/>
          <w:szCs w:val="24"/>
        </w:rPr>
      </w:pPr>
    </w:p>
    <w:p w14:paraId="2433A39C" w14:textId="186856CD" w:rsidR="000B4D72" w:rsidRDefault="000B4D72" w:rsidP="00597239">
      <w:pPr>
        <w:spacing w:after="0" w:line="276" w:lineRule="auto"/>
        <w:rPr>
          <w:sz w:val="24"/>
          <w:szCs w:val="24"/>
        </w:rPr>
      </w:pPr>
      <w:r w:rsidRPr="00FB15C0">
        <w:rPr>
          <w:sz w:val="24"/>
          <w:szCs w:val="24"/>
        </w:rPr>
        <w:t>Szczepienie przeciw ospie wietrznej jest bezpłatne w ramach realizacji Programu Szczepień Ochronnych dla wybranych grup ryzyka u dzieci i młodzieży do 19 r.ż. oraz będących osobami z otoczenia takich dzieci, jak również określonych grup dzieci do 19 r.ż., które nie chorowały na ospę wietrzną i</w:t>
      </w:r>
      <w:r>
        <w:rPr>
          <w:sz w:val="24"/>
          <w:szCs w:val="24"/>
        </w:rPr>
        <w:t xml:space="preserve"> </w:t>
      </w:r>
      <w:r w:rsidRPr="00FB15C0">
        <w:rPr>
          <w:sz w:val="24"/>
          <w:szCs w:val="24"/>
        </w:rPr>
        <w:t>przebywających w wybranych placówkach opiekuńczych, w tym klubach dziecięcych i</w:t>
      </w:r>
      <w:r>
        <w:rPr>
          <w:sz w:val="24"/>
          <w:szCs w:val="24"/>
        </w:rPr>
        <w:t xml:space="preserve"> </w:t>
      </w:r>
      <w:r w:rsidRPr="00FB15C0">
        <w:rPr>
          <w:sz w:val="24"/>
          <w:szCs w:val="24"/>
        </w:rPr>
        <w:t>żłobkach. Schemat szczepień jest dwudawkowy w odstępie 6</w:t>
      </w:r>
      <w:r>
        <w:rPr>
          <w:sz w:val="24"/>
          <w:szCs w:val="24"/>
        </w:rPr>
        <w:t xml:space="preserve"> </w:t>
      </w:r>
      <w:r w:rsidRPr="00FB15C0">
        <w:rPr>
          <w:sz w:val="24"/>
          <w:szCs w:val="24"/>
        </w:rPr>
        <w:t>tygodniowym między dawkami.</w:t>
      </w:r>
    </w:p>
    <w:p w14:paraId="10816AC9" w14:textId="77777777" w:rsidR="0022532B" w:rsidRPr="00FB15C0" w:rsidRDefault="0022532B" w:rsidP="00597239">
      <w:pPr>
        <w:spacing w:after="0" w:line="276" w:lineRule="auto"/>
        <w:rPr>
          <w:sz w:val="24"/>
          <w:szCs w:val="24"/>
        </w:rPr>
      </w:pPr>
    </w:p>
    <w:p w14:paraId="6C18691E" w14:textId="77777777" w:rsidR="000B4D72" w:rsidRPr="00FB15C0" w:rsidRDefault="000B4D72" w:rsidP="00597239">
      <w:pPr>
        <w:spacing w:after="0" w:line="276" w:lineRule="auto"/>
        <w:rPr>
          <w:b/>
          <w:bCs/>
          <w:sz w:val="24"/>
          <w:szCs w:val="24"/>
        </w:rPr>
      </w:pPr>
      <w:r w:rsidRPr="00FB15C0">
        <w:rPr>
          <w:b/>
          <w:bCs/>
          <w:sz w:val="24"/>
          <w:szCs w:val="24"/>
        </w:rPr>
        <w:t>Krztusiec</w:t>
      </w:r>
    </w:p>
    <w:p w14:paraId="7F858EBE" w14:textId="48FD4D08" w:rsidR="000B4D72" w:rsidRPr="00C81A91" w:rsidRDefault="000B4D72" w:rsidP="00597239">
      <w:pPr>
        <w:pStyle w:val="Bezodstpw"/>
        <w:spacing w:line="276" w:lineRule="auto"/>
        <w:rPr>
          <w:rFonts w:cstheme="minorHAnsi"/>
          <w:sz w:val="24"/>
          <w:szCs w:val="24"/>
          <w:lang w:eastAsia="pl-PL"/>
        </w:rPr>
      </w:pPr>
      <w:r w:rsidRPr="00C81A91">
        <w:rPr>
          <w:rFonts w:cstheme="minorHAnsi"/>
          <w:sz w:val="24"/>
          <w:szCs w:val="24"/>
          <w:lang w:eastAsia="pl-PL"/>
        </w:rPr>
        <w:t xml:space="preserve">W 2024 r. w województwie </w:t>
      </w:r>
      <w:r>
        <w:rPr>
          <w:rFonts w:cstheme="minorHAnsi"/>
          <w:sz w:val="24"/>
          <w:szCs w:val="24"/>
          <w:lang w:eastAsia="pl-PL"/>
        </w:rPr>
        <w:t xml:space="preserve">wystąpił ponad pięćdziesięciokrotny wzrost </w:t>
      </w:r>
      <w:r w:rsidRPr="00C81A91">
        <w:rPr>
          <w:rFonts w:cstheme="minorHAnsi"/>
          <w:sz w:val="24"/>
          <w:szCs w:val="24"/>
          <w:lang w:eastAsia="pl-PL"/>
        </w:rPr>
        <w:t>zachorowań na krztusiec</w:t>
      </w:r>
      <w:r>
        <w:rPr>
          <w:rFonts w:cstheme="minorHAnsi"/>
          <w:sz w:val="24"/>
          <w:szCs w:val="24"/>
          <w:lang w:eastAsia="pl-PL"/>
        </w:rPr>
        <w:t xml:space="preserve">. Odnotowano </w:t>
      </w:r>
      <w:r w:rsidRPr="00C81A91">
        <w:rPr>
          <w:rFonts w:cstheme="minorHAnsi"/>
          <w:sz w:val="24"/>
          <w:szCs w:val="24"/>
          <w:lang w:eastAsia="pl-PL"/>
        </w:rPr>
        <w:t>642</w:t>
      </w:r>
      <w:r>
        <w:rPr>
          <w:rFonts w:cstheme="minorHAnsi"/>
          <w:sz w:val="24"/>
          <w:szCs w:val="24"/>
          <w:lang w:eastAsia="pl-PL"/>
        </w:rPr>
        <w:t xml:space="preserve"> </w:t>
      </w:r>
      <w:r w:rsidRPr="00C81A91">
        <w:rPr>
          <w:rFonts w:cstheme="minorHAnsi"/>
          <w:sz w:val="24"/>
          <w:szCs w:val="24"/>
          <w:lang w:eastAsia="pl-PL"/>
        </w:rPr>
        <w:t>przypadki</w:t>
      </w:r>
      <w:r>
        <w:rPr>
          <w:rFonts w:cstheme="minorHAnsi"/>
          <w:sz w:val="24"/>
          <w:szCs w:val="24"/>
          <w:lang w:eastAsia="pl-PL"/>
        </w:rPr>
        <w:t xml:space="preserve"> w porównaniu </w:t>
      </w:r>
      <w:r w:rsidRPr="00C81A91">
        <w:rPr>
          <w:rFonts w:cstheme="minorHAnsi"/>
          <w:sz w:val="24"/>
          <w:szCs w:val="24"/>
          <w:lang w:eastAsia="pl-PL"/>
        </w:rPr>
        <w:t>do</w:t>
      </w:r>
      <w:r>
        <w:rPr>
          <w:rFonts w:cstheme="minorHAnsi"/>
          <w:sz w:val="24"/>
          <w:szCs w:val="24"/>
          <w:lang w:eastAsia="pl-PL"/>
        </w:rPr>
        <w:t xml:space="preserve"> </w:t>
      </w:r>
      <w:r w:rsidRPr="00C81A91">
        <w:rPr>
          <w:rFonts w:cstheme="minorHAnsi"/>
          <w:sz w:val="24"/>
          <w:szCs w:val="24"/>
          <w:lang w:eastAsia="pl-PL"/>
        </w:rPr>
        <w:t>zaledwie 12 zgłoszeń w 2023</w:t>
      </w:r>
      <w:r>
        <w:rPr>
          <w:rFonts w:cstheme="minorHAnsi"/>
          <w:sz w:val="24"/>
          <w:szCs w:val="24"/>
          <w:lang w:eastAsia="pl-PL"/>
        </w:rPr>
        <w:t xml:space="preserve"> </w:t>
      </w:r>
      <w:r w:rsidRPr="00C81A91">
        <w:rPr>
          <w:rFonts w:cstheme="minorHAnsi"/>
          <w:sz w:val="24"/>
          <w:szCs w:val="24"/>
          <w:lang w:eastAsia="pl-PL"/>
        </w:rPr>
        <w:t>r</w:t>
      </w:r>
      <w:r>
        <w:rPr>
          <w:rFonts w:cstheme="minorHAnsi"/>
          <w:sz w:val="24"/>
          <w:szCs w:val="24"/>
          <w:lang w:eastAsia="pl-PL"/>
        </w:rPr>
        <w:t xml:space="preserve">. </w:t>
      </w:r>
      <w:r w:rsidRPr="00C81A91">
        <w:rPr>
          <w:rFonts w:cstheme="minorHAnsi"/>
          <w:sz w:val="24"/>
          <w:szCs w:val="24"/>
          <w:lang w:eastAsia="pl-PL"/>
        </w:rPr>
        <w:t xml:space="preserve">Hospitalizowano 91 osób. </w:t>
      </w:r>
      <w:r>
        <w:rPr>
          <w:rFonts w:cstheme="minorHAnsi"/>
          <w:sz w:val="24"/>
          <w:szCs w:val="24"/>
          <w:lang w:eastAsia="pl-PL"/>
        </w:rPr>
        <w:t xml:space="preserve">Podobnie, wzrost zachorowań obserwowano </w:t>
      </w:r>
      <w:r w:rsidRPr="00C81A91">
        <w:rPr>
          <w:rFonts w:cstheme="minorHAnsi"/>
          <w:sz w:val="24"/>
          <w:szCs w:val="24"/>
          <w:lang w:eastAsia="pl-PL"/>
        </w:rPr>
        <w:t xml:space="preserve">w </w:t>
      </w:r>
      <w:r>
        <w:rPr>
          <w:rFonts w:cstheme="minorHAnsi"/>
          <w:sz w:val="24"/>
          <w:szCs w:val="24"/>
          <w:lang w:eastAsia="pl-PL"/>
        </w:rPr>
        <w:t>Polsce -</w:t>
      </w:r>
      <w:r w:rsidRPr="00C81A91">
        <w:rPr>
          <w:rFonts w:cstheme="minorHAnsi"/>
          <w:sz w:val="24"/>
          <w:szCs w:val="24"/>
          <w:lang w:eastAsia="pl-PL"/>
        </w:rPr>
        <w:t xml:space="preserve"> 32 430 z</w:t>
      </w:r>
      <w:r>
        <w:rPr>
          <w:rFonts w:cstheme="minorHAnsi"/>
          <w:sz w:val="24"/>
          <w:szCs w:val="24"/>
          <w:lang w:eastAsia="pl-PL"/>
        </w:rPr>
        <w:t>głoszeń.</w:t>
      </w:r>
      <w:r w:rsidRPr="00C81A91">
        <w:rPr>
          <w:rFonts w:cstheme="minorHAnsi"/>
          <w:sz w:val="24"/>
          <w:szCs w:val="24"/>
          <w:lang w:eastAsia="pl-PL"/>
        </w:rPr>
        <w:t xml:space="preserve"> </w:t>
      </w:r>
    </w:p>
    <w:p w14:paraId="6AB88951" w14:textId="77777777" w:rsidR="0022532B" w:rsidRDefault="0022532B" w:rsidP="00597239">
      <w:pPr>
        <w:pStyle w:val="Bezodstpw"/>
        <w:spacing w:line="276" w:lineRule="auto"/>
        <w:rPr>
          <w:rFonts w:cstheme="minorHAnsi"/>
          <w:sz w:val="24"/>
          <w:szCs w:val="24"/>
          <w:lang w:eastAsia="pl-PL"/>
        </w:rPr>
      </w:pPr>
    </w:p>
    <w:p w14:paraId="41C21020" w14:textId="4FEA4DD3" w:rsidR="000B4D72" w:rsidRDefault="000B4D72" w:rsidP="00597239">
      <w:pPr>
        <w:pStyle w:val="Bezodstpw"/>
        <w:spacing w:line="276" w:lineRule="auto"/>
        <w:rPr>
          <w:rFonts w:cstheme="minorHAnsi"/>
          <w:sz w:val="24"/>
          <w:szCs w:val="24"/>
          <w:lang w:eastAsia="pl-PL"/>
        </w:rPr>
      </w:pPr>
      <w:r w:rsidRPr="00C81A91">
        <w:rPr>
          <w:rFonts w:cstheme="minorHAnsi"/>
          <w:sz w:val="24"/>
          <w:szCs w:val="24"/>
          <w:lang w:eastAsia="pl-PL"/>
        </w:rPr>
        <w:t>Zachorowania na krztusiec zgłoszono we wszystkich powiatach</w:t>
      </w:r>
      <w:r>
        <w:rPr>
          <w:rFonts w:cstheme="minorHAnsi"/>
          <w:sz w:val="24"/>
          <w:szCs w:val="24"/>
          <w:lang w:eastAsia="pl-PL"/>
        </w:rPr>
        <w:t xml:space="preserve"> województwa </w:t>
      </w:r>
      <w:r w:rsidRPr="006707A8">
        <w:rPr>
          <w:rFonts w:cstheme="minorHAnsi"/>
          <w:sz w:val="24"/>
          <w:szCs w:val="24"/>
          <w:lang w:eastAsia="pl-PL"/>
        </w:rPr>
        <w:t xml:space="preserve">(tabela </w:t>
      </w:r>
      <w:r>
        <w:rPr>
          <w:rFonts w:cstheme="minorHAnsi"/>
          <w:sz w:val="24"/>
          <w:szCs w:val="24"/>
          <w:lang w:eastAsia="pl-PL"/>
        </w:rPr>
        <w:t>9</w:t>
      </w:r>
      <w:r w:rsidRPr="006707A8">
        <w:rPr>
          <w:rFonts w:cstheme="minorHAnsi"/>
          <w:sz w:val="24"/>
          <w:szCs w:val="24"/>
          <w:lang w:eastAsia="pl-PL"/>
        </w:rPr>
        <w:t>).</w:t>
      </w:r>
    </w:p>
    <w:p w14:paraId="55F6A607" w14:textId="77777777" w:rsidR="001814E9" w:rsidRDefault="001814E9" w:rsidP="00597239">
      <w:pPr>
        <w:pStyle w:val="Bezodstpw"/>
        <w:spacing w:line="276" w:lineRule="auto"/>
        <w:rPr>
          <w:rFonts w:cstheme="minorHAnsi"/>
          <w:sz w:val="24"/>
          <w:szCs w:val="24"/>
          <w:lang w:eastAsia="pl-PL"/>
        </w:rPr>
      </w:pPr>
    </w:p>
    <w:p w14:paraId="744DF98F" w14:textId="799E23FB" w:rsidR="001814E9" w:rsidRPr="001814E9" w:rsidRDefault="001814E9" w:rsidP="00597239">
      <w:pPr>
        <w:pStyle w:val="Legenda"/>
        <w:rPr>
          <w:i w:val="0"/>
          <w:iCs w:val="0"/>
          <w:color w:val="000000" w:themeColor="text1"/>
        </w:rPr>
      </w:pPr>
      <w:bookmarkStart w:id="56" w:name="_Toc193969527"/>
      <w:bookmarkStart w:id="57" w:name="_Toc194059987"/>
      <w:r w:rsidRPr="00346938">
        <w:rPr>
          <w:i w:val="0"/>
          <w:iCs w:val="0"/>
          <w:color w:val="000000" w:themeColor="text1"/>
        </w:rPr>
        <w:t xml:space="preserve">Tabela </w:t>
      </w:r>
      <w:r w:rsidRPr="00346938">
        <w:rPr>
          <w:i w:val="0"/>
          <w:iCs w:val="0"/>
          <w:color w:val="000000" w:themeColor="text1"/>
        </w:rPr>
        <w:fldChar w:fldCharType="begin"/>
      </w:r>
      <w:r w:rsidRPr="00346938">
        <w:rPr>
          <w:i w:val="0"/>
          <w:iCs w:val="0"/>
          <w:color w:val="000000" w:themeColor="text1"/>
        </w:rPr>
        <w:instrText xml:space="preserve"> SEQ Tabela \* ARABIC </w:instrText>
      </w:r>
      <w:r w:rsidRPr="00346938">
        <w:rPr>
          <w:i w:val="0"/>
          <w:iCs w:val="0"/>
          <w:color w:val="000000" w:themeColor="text1"/>
        </w:rPr>
        <w:fldChar w:fldCharType="separate"/>
      </w:r>
      <w:r>
        <w:rPr>
          <w:i w:val="0"/>
          <w:iCs w:val="0"/>
          <w:noProof/>
          <w:color w:val="000000" w:themeColor="text1"/>
        </w:rPr>
        <w:t>9</w:t>
      </w:r>
      <w:r w:rsidRPr="00346938">
        <w:rPr>
          <w:i w:val="0"/>
          <w:iCs w:val="0"/>
          <w:color w:val="000000" w:themeColor="text1"/>
        </w:rPr>
        <w:fldChar w:fldCharType="end"/>
      </w:r>
      <w:r w:rsidR="00E75D31">
        <w:rPr>
          <w:i w:val="0"/>
          <w:iCs w:val="0"/>
          <w:color w:val="000000" w:themeColor="text1"/>
        </w:rPr>
        <w:t>.</w:t>
      </w:r>
      <w:r w:rsidRPr="00346938">
        <w:rPr>
          <w:i w:val="0"/>
          <w:iCs w:val="0"/>
          <w:color w:val="000000" w:themeColor="text1"/>
        </w:rPr>
        <w:t xml:space="preserve"> Liczba zachorowań na krztusiec w latach 2023-2024 ze względu na miejsce zgłoszenia przypadku</w:t>
      </w:r>
      <w:r>
        <w:rPr>
          <w:i w:val="0"/>
          <w:iCs w:val="0"/>
          <w:color w:val="000000" w:themeColor="text1"/>
        </w:rPr>
        <w:t>.</w:t>
      </w:r>
      <w:bookmarkEnd w:id="56"/>
      <w:bookmarkEnd w:id="57"/>
    </w:p>
    <w:tbl>
      <w:tblPr>
        <w:tblStyle w:val="Tabelasiatki4akcent1"/>
        <w:tblW w:w="4994" w:type="pct"/>
        <w:tblLook w:val="04A0" w:firstRow="1" w:lastRow="0" w:firstColumn="1" w:lastColumn="0" w:noHBand="0" w:noVBand="1"/>
        <w:tblCaption w:val="Liczba zachorowań na krztusiec w latach 2023-2024 ze względu na miejsce zgłoszenia przypadku"/>
        <w:tblDescription w:val="Tabela przedstawia liczbę zachorowań na krztusiec z podziałem na powiaty. Najwięcej przypadków odnotowano w mieście Szczecin."/>
      </w:tblPr>
      <w:tblGrid>
        <w:gridCol w:w="3015"/>
        <w:gridCol w:w="3018"/>
        <w:gridCol w:w="3018"/>
      </w:tblGrid>
      <w:tr w:rsidR="001814E9" w14:paraId="14EC65F6" w14:textId="77777777" w:rsidTr="00BB03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77731850" w14:textId="77777777" w:rsidR="001814E9" w:rsidRDefault="001814E9" w:rsidP="00597239">
            <w:r>
              <w:t>PSSE</w:t>
            </w:r>
          </w:p>
        </w:tc>
        <w:tc>
          <w:tcPr>
            <w:tcW w:w="1667" w:type="pct"/>
            <w:vAlign w:val="center"/>
          </w:tcPr>
          <w:p w14:paraId="15789EDD" w14:textId="77777777" w:rsidR="001814E9" w:rsidRDefault="001814E9" w:rsidP="00597239">
            <w:pPr>
              <w:cnfStyle w:val="100000000000" w:firstRow="1" w:lastRow="0" w:firstColumn="0" w:lastColumn="0" w:oddVBand="0" w:evenVBand="0" w:oddHBand="0" w:evenHBand="0" w:firstRowFirstColumn="0" w:firstRowLastColumn="0" w:lastRowFirstColumn="0" w:lastRowLastColumn="0"/>
            </w:pPr>
            <w:r w:rsidRPr="00A35181">
              <w:rPr>
                <w:rFonts w:cstheme="minorHAnsi"/>
                <w:sz w:val="24"/>
                <w:szCs w:val="24"/>
              </w:rPr>
              <w:t>2024</w:t>
            </w:r>
          </w:p>
        </w:tc>
        <w:tc>
          <w:tcPr>
            <w:tcW w:w="1667" w:type="pct"/>
            <w:vAlign w:val="center"/>
          </w:tcPr>
          <w:p w14:paraId="4F734A0B" w14:textId="77777777" w:rsidR="001814E9" w:rsidRDefault="001814E9" w:rsidP="00597239">
            <w:pPr>
              <w:cnfStyle w:val="100000000000" w:firstRow="1" w:lastRow="0" w:firstColumn="0" w:lastColumn="0" w:oddVBand="0" w:evenVBand="0" w:oddHBand="0" w:evenHBand="0" w:firstRowFirstColumn="0" w:firstRowLastColumn="0" w:lastRowFirstColumn="0" w:lastRowLastColumn="0"/>
            </w:pPr>
            <w:r>
              <w:t>2023</w:t>
            </w:r>
          </w:p>
        </w:tc>
      </w:tr>
      <w:tr w:rsidR="001814E9" w14:paraId="72FB8DB3"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4C10394D" w14:textId="77777777" w:rsidR="001814E9" w:rsidRPr="001814E9" w:rsidRDefault="001814E9" w:rsidP="00597239">
            <w:pPr>
              <w:rPr>
                <w:b w:val="0"/>
                <w:bCs w:val="0"/>
              </w:rPr>
            </w:pPr>
            <w:r w:rsidRPr="001814E9">
              <w:rPr>
                <w:rFonts w:cstheme="minorHAnsi"/>
                <w:b w:val="0"/>
                <w:bCs w:val="0"/>
                <w:sz w:val="24"/>
                <w:szCs w:val="24"/>
              </w:rPr>
              <w:t>Białogard</w:t>
            </w:r>
          </w:p>
        </w:tc>
        <w:tc>
          <w:tcPr>
            <w:tcW w:w="1667" w:type="pct"/>
            <w:vAlign w:val="center"/>
          </w:tcPr>
          <w:p w14:paraId="25731BE3"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rsidRPr="00A35181">
              <w:rPr>
                <w:rFonts w:cstheme="minorHAnsi"/>
                <w:sz w:val="24"/>
                <w:szCs w:val="24"/>
              </w:rPr>
              <w:t>8</w:t>
            </w:r>
          </w:p>
        </w:tc>
        <w:tc>
          <w:tcPr>
            <w:tcW w:w="1667" w:type="pct"/>
            <w:vAlign w:val="center"/>
          </w:tcPr>
          <w:p w14:paraId="4C018FEE"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0</w:t>
            </w:r>
          </w:p>
        </w:tc>
      </w:tr>
      <w:tr w:rsidR="001814E9" w14:paraId="20E2A4C9"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37780FFA" w14:textId="77777777" w:rsidR="001814E9" w:rsidRPr="001814E9" w:rsidRDefault="001814E9" w:rsidP="00597239">
            <w:pPr>
              <w:rPr>
                <w:b w:val="0"/>
                <w:bCs w:val="0"/>
              </w:rPr>
            </w:pPr>
            <w:r w:rsidRPr="001814E9">
              <w:rPr>
                <w:rFonts w:cstheme="minorHAnsi"/>
                <w:b w:val="0"/>
                <w:bCs w:val="0"/>
                <w:sz w:val="24"/>
                <w:szCs w:val="24"/>
              </w:rPr>
              <w:t>Choszczno</w:t>
            </w:r>
          </w:p>
        </w:tc>
        <w:tc>
          <w:tcPr>
            <w:tcW w:w="1667" w:type="pct"/>
            <w:vAlign w:val="center"/>
          </w:tcPr>
          <w:p w14:paraId="1409BEB8"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6</w:t>
            </w:r>
          </w:p>
        </w:tc>
        <w:tc>
          <w:tcPr>
            <w:tcW w:w="1667" w:type="pct"/>
            <w:vAlign w:val="center"/>
          </w:tcPr>
          <w:p w14:paraId="54E6449A"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r w:rsidR="001814E9" w14:paraId="2733E98F"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31D86885" w14:textId="77777777" w:rsidR="001814E9" w:rsidRPr="001814E9" w:rsidRDefault="001814E9" w:rsidP="00597239">
            <w:pPr>
              <w:rPr>
                <w:b w:val="0"/>
                <w:bCs w:val="0"/>
              </w:rPr>
            </w:pPr>
            <w:r w:rsidRPr="001814E9">
              <w:rPr>
                <w:rFonts w:cstheme="minorHAnsi"/>
                <w:b w:val="0"/>
                <w:bCs w:val="0"/>
                <w:sz w:val="24"/>
                <w:szCs w:val="24"/>
              </w:rPr>
              <w:t>Drawsko Pomorskie</w:t>
            </w:r>
          </w:p>
        </w:tc>
        <w:tc>
          <w:tcPr>
            <w:tcW w:w="1667" w:type="pct"/>
            <w:vAlign w:val="center"/>
          </w:tcPr>
          <w:p w14:paraId="562E8451"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13</w:t>
            </w:r>
          </w:p>
        </w:tc>
        <w:tc>
          <w:tcPr>
            <w:tcW w:w="1667" w:type="pct"/>
            <w:vAlign w:val="center"/>
          </w:tcPr>
          <w:p w14:paraId="5196F4A3"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0</w:t>
            </w:r>
          </w:p>
        </w:tc>
      </w:tr>
      <w:tr w:rsidR="001814E9" w14:paraId="397903C0"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0D93CC59" w14:textId="77777777" w:rsidR="001814E9" w:rsidRPr="001814E9" w:rsidRDefault="001814E9" w:rsidP="00597239">
            <w:pPr>
              <w:rPr>
                <w:b w:val="0"/>
                <w:bCs w:val="0"/>
              </w:rPr>
            </w:pPr>
            <w:r w:rsidRPr="001814E9">
              <w:rPr>
                <w:rFonts w:cstheme="minorHAnsi"/>
                <w:b w:val="0"/>
                <w:bCs w:val="0"/>
                <w:sz w:val="24"/>
                <w:szCs w:val="24"/>
              </w:rPr>
              <w:t>Goleniów</w:t>
            </w:r>
          </w:p>
        </w:tc>
        <w:tc>
          <w:tcPr>
            <w:tcW w:w="1667" w:type="pct"/>
            <w:vAlign w:val="center"/>
          </w:tcPr>
          <w:p w14:paraId="7A132B0D"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19</w:t>
            </w:r>
          </w:p>
        </w:tc>
        <w:tc>
          <w:tcPr>
            <w:tcW w:w="1667" w:type="pct"/>
            <w:vAlign w:val="center"/>
          </w:tcPr>
          <w:p w14:paraId="4C677ED1"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w:t>
            </w:r>
          </w:p>
        </w:tc>
      </w:tr>
      <w:tr w:rsidR="001814E9" w14:paraId="66A45424"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72919ED6" w14:textId="77777777" w:rsidR="001814E9" w:rsidRPr="001814E9" w:rsidRDefault="001814E9" w:rsidP="00597239">
            <w:pPr>
              <w:rPr>
                <w:b w:val="0"/>
                <w:bCs w:val="0"/>
              </w:rPr>
            </w:pPr>
            <w:r w:rsidRPr="001814E9">
              <w:rPr>
                <w:rFonts w:cstheme="minorHAnsi"/>
                <w:b w:val="0"/>
                <w:bCs w:val="0"/>
                <w:sz w:val="24"/>
                <w:szCs w:val="24"/>
              </w:rPr>
              <w:t>Gryfice</w:t>
            </w:r>
          </w:p>
        </w:tc>
        <w:tc>
          <w:tcPr>
            <w:tcW w:w="1667" w:type="pct"/>
            <w:vAlign w:val="center"/>
          </w:tcPr>
          <w:p w14:paraId="57875986"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13</w:t>
            </w:r>
          </w:p>
        </w:tc>
        <w:tc>
          <w:tcPr>
            <w:tcW w:w="1667" w:type="pct"/>
            <w:vAlign w:val="center"/>
          </w:tcPr>
          <w:p w14:paraId="7E82452A"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1</w:t>
            </w:r>
          </w:p>
        </w:tc>
      </w:tr>
      <w:tr w:rsidR="001814E9" w14:paraId="07B9E314"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493CDAE5" w14:textId="77777777" w:rsidR="001814E9" w:rsidRPr="001814E9" w:rsidRDefault="001814E9" w:rsidP="00597239">
            <w:pPr>
              <w:rPr>
                <w:b w:val="0"/>
                <w:bCs w:val="0"/>
              </w:rPr>
            </w:pPr>
            <w:r w:rsidRPr="001814E9">
              <w:rPr>
                <w:rFonts w:cstheme="minorHAnsi"/>
                <w:b w:val="0"/>
                <w:bCs w:val="0"/>
                <w:sz w:val="24"/>
                <w:szCs w:val="24"/>
              </w:rPr>
              <w:t>Gryfino</w:t>
            </w:r>
          </w:p>
        </w:tc>
        <w:tc>
          <w:tcPr>
            <w:tcW w:w="1667" w:type="pct"/>
            <w:vAlign w:val="center"/>
          </w:tcPr>
          <w:p w14:paraId="3EA659A9"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22</w:t>
            </w:r>
          </w:p>
        </w:tc>
        <w:tc>
          <w:tcPr>
            <w:tcW w:w="1667" w:type="pct"/>
            <w:vAlign w:val="center"/>
          </w:tcPr>
          <w:p w14:paraId="0ECA7367"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r w:rsidR="001814E9" w14:paraId="082AE2B2"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14933A3" w14:textId="77777777" w:rsidR="001814E9" w:rsidRPr="001814E9" w:rsidRDefault="001814E9" w:rsidP="00597239">
            <w:pPr>
              <w:rPr>
                <w:b w:val="0"/>
                <w:bCs w:val="0"/>
              </w:rPr>
            </w:pPr>
            <w:r w:rsidRPr="001814E9">
              <w:rPr>
                <w:rFonts w:cstheme="minorHAnsi"/>
                <w:b w:val="0"/>
                <w:bCs w:val="0"/>
                <w:sz w:val="24"/>
                <w:szCs w:val="24"/>
              </w:rPr>
              <w:t>Kamień Pomorski</w:t>
            </w:r>
          </w:p>
        </w:tc>
        <w:tc>
          <w:tcPr>
            <w:tcW w:w="1667" w:type="pct"/>
            <w:vAlign w:val="center"/>
          </w:tcPr>
          <w:p w14:paraId="704E9E9F"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2</w:t>
            </w:r>
          </w:p>
        </w:tc>
        <w:tc>
          <w:tcPr>
            <w:tcW w:w="1667" w:type="pct"/>
            <w:vAlign w:val="center"/>
          </w:tcPr>
          <w:p w14:paraId="132832A0"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0</w:t>
            </w:r>
          </w:p>
        </w:tc>
      </w:tr>
      <w:tr w:rsidR="001814E9" w14:paraId="0D4CABFC"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70476D79" w14:textId="77777777" w:rsidR="001814E9" w:rsidRPr="001814E9" w:rsidRDefault="001814E9" w:rsidP="00597239">
            <w:pPr>
              <w:rPr>
                <w:b w:val="0"/>
                <w:bCs w:val="0"/>
              </w:rPr>
            </w:pPr>
            <w:r w:rsidRPr="001814E9">
              <w:rPr>
                <w:rFonts w:cstheme="minorHAnsi"/>
                <w:b w:val="0"/>
                <w:bCs w:val="0"/>
                <w:sz w:val="24"/>
                <w:szCs w:val="24"/>
              </w:rPr>
              <w:t>Kołobrzeg</w:t>
            </w:r>
          </w:p>
        </w:tc>
        <w:tc>
          <w:tcPr>
            <w:tcW w:w="1667" w:type="pct"/>
            <w:vAlign w:val="center"/>
          </w:tcPr>
          <w:p w14:paraId="7F3FBE9A"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13</w:t>
            </w:r>
          </w:p>
        </w:tc>
        <w:tc>
          <w:tcPr>
            <w:tcW w:w="1667" w:type="pct"/>
            <w:vAlign w:val="center"/>
          </w:tcPr>
          <w:p w14:paraId="4B801FB1"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r w:rsidR="001814E9" w14:paraId="362C40A1"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516E9E7D" w14:textId="77777777" w:rsidR="001814E9" w:rsidRPr="001814E9" w:rsidRDefault="001814E9" w:rsidP="00597239">
            <w:pPr>
              <w:rPr>
                <w:b w:val="0"/>
                <w:bCs w:val="0"/>
              </w:rPr>
            </w:pPr>
            <w:r w:rsidRPr="001814E9">
              <w:rPr>
                <w:rFonts w:cstheme="minorHAnsi"/>
                <w:b w:val="0"/>
                <w:bCs w:val="0"/>
                <w:sz w:val="24"/>
                <w:szCs w:val="24"/>
              </w:rPr>
              <w:t>Koszalin</w:t>
            </w:r>
          </w:p>
        </w:tc>
        <w:tc>
          <w:tcPr>
            <w:tcW w:w="1667" w:type="pct"/>
            <w:vAlign w:val="center"/>
          </w:tcPr>
          <w:p w14:paraId="1BC3073E"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60</w:t>
            </w:r>
          </w:p>
        </w:tc>
        <w:tc>
          <w:tcPr>
            <w:tcW w:w="1667" w:type="pct"/>
            <w:vAlign w:val="center"/>
          </w:tcPr>
          <w:p w14:paraId="23F9833B"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1</w:t>
            </w:r>
          </w:p>
        </w:tc>
      </w:tr>
      <w:tr w:rsidR="001814E9" w14:paraId="4339AA35"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5AB8444B" w14:textId="77777777" w:rsidR="001814E9" w:rsidRPr="001814E9" w:rsidRDefault="001814E9" w:rsidP="00597239">
            <w:pPr>
              <w:rPr>
                <w:b w:val="0"/>
                <w:bCs w:val="0"/>
              </w:rPr>
            </w:pPr>
            <w:r w:rsidRPr="001814E9">
              <w:rPr>
                <w:rFonts w:cstheme="minorHAnsi"/>
                <w:b w:val="0"/>
                <w:bCs w:val="0"/>
                <w:sz w:val="24"/>
                <w:szCs w:val="24"/>
              </w:rPr>
              <w:t>Łobez</w:t>
            </w:r>
          </w:p>
        </w:tc>
        <w:tc>
          <w:tcPr>
            <w:tcW w:w="1667" w:type="pct"/>
            <w:vAlign w:val="center"/>
          </w:tcPr>
          <w:p w14:paraId="6A20C8FC"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12</w:t>
            </w:r>
          </w:p>
        </w:tc>
        <w:tc>
          <w:tcPr>
            <w:tcW w:w="1667" w:type="pct"/>
            <w:vAlign w:val="center"/>
          </w:tcPr>
          <w:p w14:paraId="06CB604A"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r w:rsidR="001814E9" w14:paraId="4231B912"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16439D5B" w14:textId="77777777" w:rsidR="001814E9" w:rsidRPr="001814E9" w:rsidRDefault="001814E9" w:rsidP="00597239">
            <w:pPr>
              <w:rPr>
                <w:b w:val="0"/>
                <w:bCs w:val="0"/>
              </w:rPr>
            </w:pPr>
            <w:r w:rsidRPr="001814E9">
              <w:rPr>
                <w:rFonts w:cstheme="minorHAnsi"/>
                <w:b w:val="0"/>
                <w:bCs w:val="0"/>
                <w:sz w:val="24"/>
                <w:szCs w:val="24"/>
              </w:rPr>
              <w:t>Myślibórz</w:t>
            </w:r>
          </w:p>
        </w:tc>
        <w:tc>
          <w:tcPr>
            <w:tcW w:w="1667" w:type="pct"/>
            <w:vAlign w:val="center"/>
          </w:tcPr>
          <w:p w14:paraId="3AF86754"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28</w:t>
            </w:r>
          </w:p>
        </w:tc>
        <w:tc>
          <w:tcPr>
            <w:tcW w:w="1667" w:type="pct"/>
            <w:vAlign w:val="center"/>
          </w:tcPr>
          <w:p w14:paraId="66A0CEFD"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2</w:t>
            </w:r>
          </w:p>
        </w:tc>
      </w:tr>
      <w:tr w:rsidR="001814E9" w14:paraId="0A4EBCD7"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0895B65E" w14:textId="77777777" w:rsidR="001814E9" w:rsidRPr="001814E9" w:rsidRDefault="001814E9" w:rsidP="00597239">
            <w:pPr>
              <w:rPr>
                <w:b w:val="0"/>
                <w:bCs w:val="0"/>
              </w:rPr>
            </w:pPr>
            <w:r w:rsidRPr="001814E9">
              <w:rPr>
                <w:rFonts w:cstheme="minorHAnsi"/>
                <w:b w:val="0"/>
                <w:bCs w:val="0"/>
                <w:sz w:val="24"/>
                <w:szCs w:val="24"/>
              </w:rPr>
              <w:t>Police</w:t>
            </w:r>
          </w:p>
        </w:tc>
        <w:tc>
          <w:tcPr>
            <w:tcW w:w="1667" w:type="pct"/>
            <w:vAlign w:val="center"/>
          </w:tcPr>
          <w:p w14:paraId="7281EAEB"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98</w:t>
            </w:r>
          </w:p>
        </w:tc>
        <w:tc>
          <w:tcPr>
            <w:tcW w:w="1667" w:type="pct"/>
            <w:vAlign w:val="center"/>
          </w:tcPr>
          <w:p w14:paraId="7D1E311A"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r w:rsidR="001814E9" w14:paraId="74F3AC9B"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9AF4A77" w14:textId="77777777" w:rsidR="001814E9" w:rsidRPr="001814E9" w:rsidRDefault="001814E9" w:rsidP="00597239">
            <w:pPr>
              <w:rPr>
                <w:b w:val="0"/>
                <w:bCs w:val="0"/>
              </w:rPr>
            </w:pPr>
            <w:r w:rsidRPr="001814E9">
              <w:rPr>
                <w:rFonts w:cstheme="minorHAnsi"/>
                <w:b w:val="0"/>
                <w:bCs w:val="0"/>
                <w:sz w:val="24"/>
                <w:szCs w:val="24"/>
              </w:rPr>
              <w:t>Pyrzyce</w:t>
            </w:r>
          </w:p>
        </w:tc>
        <w:tc>
          <w:tcPr>
            <w:tcW w:w="1667" w:type="pct"/>
            <w:vAlign w:val="center"/>
          </w:tcPr>
          <w:p w14:paraId="24C88036"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4</w:t>
            </w:r>
          </w:p>
        </w:tc>
        <w:tc>
          <w:tcPr>
            <w:tcW w:w="1667" w:type="pct"/>
            <w:vAlign w:val="center"/>
          </w:tcPr>
          <w:p w14:paraId="3AEB6E4F"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0</w:t>
            </w:r>
          </w:p>
        </w:tc>
      </w:tr>
      <w:tr w:rsidR="001814E9" w14:paraId="30AB5A24"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4331A354" w14:textId="77777777" w:rsidR="001814E9" w:rsidRPr="001814E9" w:rsidRDefault="001814E9" w:rsidP="00597239">
            <w:pPr>
              <w:rPr>
                <w:b w:val="0"/>
                <w:bCs w:val="0"/>
              </w:rPr>
            </w:pPr>
            <w:r w:rsidRPr="001814E9">
              <w:rPr>
                <w:rFonts w:cstheme="minorHAnsi"/>
                <w:b w:val="0"/>
                <w:bCs w:val="0"/>
                <w:sz w:val="24"/>
                <w:szCs w:val="24"/>
              </w:rPr>
              <w:t>Sławno</w:t>
            </w:r>
          </w:p>
        </w:tc>
        <w:tc>
          <w:tcPr>
            <w:tcW w:w="1667" w:type="pct"/>
            <w:vAlign w:val="center"/>
          </w:tcPr>
          <w:p w14:paraId="6253B271"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26</w:t>
            </w:r>
          </w:p>
        </w:tc>
        <w:tc>
          <w:tcPr>
            <w:tcW w:w="1667" w:type="pct"/>
            <w:vAlign w:val="center"/>
          </w:tcPr>
          <w:p w14:paraId="3FF18C97"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w:t>
            </w:r>
          </w:p>
        </w:tc>
      </w:tr>
      <w:tr w:rsidR="001814E9" w14:paraId="5C3E66FE"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38ADF663" w14:textId="77777777" w:rsidR="001814E9" w:rsidRPr="001814E9" w:rsidRDefault="001814E9" w:rsidP="00597239">
            <w:pPr>
              <w:rPr>
                <w:b w:val="0"/>
                <w:bCs w:val="0"/>
              </w:rPr>
            </w:pPr>
            <w:r w:rsidRPr="001814E9">
              <w:rPr>
                <w:rFonts w:cstheme="minorHAnsi"/>
                <w:b w:val="0"/>
                <w:bCs w:val="0"/>
                <w:sz w:val="24"/>
                <w:szCs w:val="24"/>
              </w:rPr>
              <w:t>Stargard</w:t>
            </w:r>
          </w:p>
        </w:tc>
        <w:tc>
          <w:tcPr>
            <w:tcW w:w="1667" w:type="pct"/>
            <w:vAlign w:val="center"/>
          </w:tcPr>
          <w:p w14:paraId="04D20F9B"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89</w:t>
            </w:r>
          </w:p>
        </w:tc>
        <w:tc>
          <w:tcPr>
            <w:tcW w:w="1667" w:type="pct"/>
            <w:vAlign w:val="center"/>
          </w:tcPr>
          <w:p w14:paraId="09AD6668"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1</w:t>
            </w:r>
          </w:p>
        </w:tc>
      </w:tr>
      <w:tr w:rsidR="001814E9" w14:paraId="2D85C512"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6101F57D" w14:textId="77777777" w:rsidR="001814E9" w:rsidRPr="001814E9" w:rsidRDefault="001814E9" w:rsidP="00597239">
            <w:pPr>
              <w:rPr>
                <w:b w:val="0"/>
                <w:bCs w:val="0"/>
              </w:rPr>
            </w:pPr>
            <w:r w:rsidRPr="001814E9">
              <w:rPr>
                <w:rFonts w:cstheme="minorHAnsi"/>
                <w:b w:val="0"/>
                <w:bCs w:val="0"/>
                <w:sz w:val="24"/>
                <w:szCs w:val="24"/>
              </w:rPr>
              <w:t>Szczecin</w:t>
            </w:r>
          </w:p>
        </w:tc>
        <w:tc>
          <w:tcPr>
            <w:tcW w:w="1667" w:type="pct"/>
            <w:vAlign w:val="center"/>
          </w:tcPr>
          <w:p w14:paraId="2333A6BC"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174</w:t>
            </w:r>
          </w:p>
        </w:tc>
        <w:tc>
          <w:tcPr>
            <w:tcW w:w="1667" w:type="pct"/>
            <w:vAlign w:val="center"/>
          </w:tcPr>
          <w:p w14:paraId="0F904A79"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5</w:t>
            </w:r>
          </w:p>
        </w:tc>
      </w:tr>
      <w:tr w:rsidR="001814E9" w14:paraId="5B08B658"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7FE61775" w14:textId="77777777" w:rsidR="001814E9" w:rsidRPr="001814E9" w:rsidRDefault="001814E9" w:rsidP="00597239">
            <w:pPr>
              <w:rPr>
                <w:b w:val="0"/>
                <w:bCs w:val="0"/>
              </w:rPr>
            </w:pPr>
            <w:r w:rsidRPr="001814E9">
              <w:rPr>
                <w:rFonts w:cstheme="minorHAnsi"/>
                <w:b w:val="0"/>
                <w:bCs w:val="0"/>
                <w:sz w:val="24"/>
                <w:szCs w:val="24"/>
              </w:rPr>
              <w:t>Szczecinek</w:t>
            </w:r>
          </w:p>
        </w:tc>
        <w:tc>
          <w:tcPr>
            <w:tcW w:w="1667" w:type="pct"/>
            <w:vAlign w:val="center"/>
          </w:tcPr>
          <w:p w14:paraId="391ECE21"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26</w:t>
            </w:r>
          </w:p>
        </w:tc>
        <w:tc>
          <w:tcPr>
            <w:tcW w:w="1667" w:type="pct"/>
            <w:vAlign w:val="center"/>
          </w:tcPr>
          <w:p w14:paraId="6DD68DBE"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0</w:t>
            </w:r>
          </w:p>
        </w:tc>
      </w:tr>
      <w:tr w:rsidR="001814E9" w14:paraId="398FCB7E"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784845C7" w14:textId="77777777" w:rsidR="001814E9" w:rsidRPr="001814E9" w:rsidRDefault="001814E9" w:rsidP="00597239">
            <w:pPr>
              <w:rPr>
                <w:b w:val="0"/>
                <w:bCs w:val="0"/>
              </w:rPr>
            </w:pPr>
            <w:r w:rsidRPr="001814E9">
              <w:rPr>
                <w:rFonts w:cstheme="minorHAnsi"/>
                <w:b w:val="0"/>
                <w:bCs w:val="0"/>
                <w:sz w:val="24"/>
                <w:szCs w:val="24"/>
              </w:rPr>
              <w:t>Świdwin</w:t>
            </w:r>
          </w:p>
        </w:tc>
        <w:tc>
          <w:tcPr>
            <w:tcW w:w="1667" w:type="pct"/>
            <w:vAlign w:val="center"/>
          </w:tcPr>
          <w:p w14:paraId="07A9CE25"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11</w:t>
            </w:r>
          </w:p>
        </w:tc>
        <w:tc>
          <w:tcPr>
            <w:tcW w:w="1667" w:type="pct"/>
            <w:vAlign w:val="center"/>
          </w:tcPr>
          <w:p w14:paraId="185615D2"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r w:rsidR="001814E9" w14:paraId="63EF0983" w14:textId="77777777" w:rsidTr="00BB03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5C7E6F12" w14:textId="77777777" w:rsidR="001814E9" w:rsidRPr="001814E9" w:rsidRDefault="001814E9" w:rsidP="00597239">
            <w:pPr>
              <w:rPr>
                <w:b w:val="0"/>
                <w:bCs w:val="0"/>
              </w:rPr>
            </w:pPr>
            <w:r w:rsidRPr="001814E9">
              <w:rPr>
                <w:rFonts w:cstheme="minorHAnsi"/>
                <w:b w:val="0"/>
                <w:bCs w:val="0"/>
                <w:sz w:val="24"/>
                <w:szCs w:val="24"/>
              </w:rPr>
              <w:t>Świnoujście</w:t>
            </w:r>
          </w:p>
        </w:tc>
        <w:tc>
          <w:tcPr>
            <w:tcW w:w="1667" w:type="pct"/>
            <w:vAlign w:val="center"/>
          </w:tcPr>
          <w:p w14:paraId="7977FE9F"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4</w:t>
            </w:r>
          </w:p>
        </w:tc>
        <w:tc>
          <w:tcPr>
            <w:tcW w:w="1667" w:type="pct"/>
            <w:vAlign w:val="center"/>
          </w:tcPr>
          <w:p w14:paraId="0B7007FC" w14:textId="77777777" w:rsidR="001814E9" w:rsidRDefault="001814E9" w:rsidP="00597239">
            <w:pPr>
              <w:cnfStyle w:val="000000100000" w:firstRow="0" w:lastRow="0" w:firstColumn="0" w:lastColumn="0" w:oddVBand="0" w:evenVBand="0" w:oddHBand="1" w:evenHBand="0" w:firstRowFirstColumn="0" w:firstRowLastColumn="0" w:lastRowFirstColumn="0" w:lastRowLastColumn="0"/>
            </w:pPr>
            <w:r>
              <w:t>0</w:t>
            </w:r>
          </w:p>
        </w:tc>
      </w:tr>
      <w:tr w:rsidR="001814E9" w14:paraId="4AD9807F" w14:textId="77777777" w:rsidTr="00BB0352">
        <w:tc>
          <w:tcPr>
            <w:cnfStyle w:val="001000000000" w:firstRow="0" w:lastRow="0" w:firstColumn="1" w:lastColumn="0" w:oddVBand="0" w:evenVBand="0" w:oddHBand="0" w:evenHBand="0" w:firstRowFirstColumn="0" w:firstRowLastColumn="0" w:lastRowFirstColumn="0" w:lastRowLastColumn="0"/>
            <w:tcW w:w="1666" w:type="pct"/>
            <w:vAlign w:val="center"/>
          </w:tcPr>
          <w:p w14:paraId="644CE4EB" w14:textId="77777777" w:rsidR="001814E9" w:rsidRPr="001814E9" w:rsidRDefault="001814E9" w:rsidP="00597239">
            <w:pPr>
              <w:rPr>
                <w:b w:val="0"/>
                <w:bCs w:val="0"/>
              </w:rPr>
            </w:pPr>
            <w:r w:rsidRPr="001814E9">
              <w:rPr>
                <w:rFonts w:cstheme="minorHAnsi"/>
                <w:b w:val="0"/>
                <w:bCs w:val="0"/>
                <w:sz w:val="24"/>
                <w:szCs w:val="24"/>
              </w:rPr>
              <w:t>Wałcz</w:t>
            </w:r>
          </w:p>
        </w:tc>
        <w:tc>
          <w:tcPr>
            <w:tcW w:w="1667" w:type="pct"/>
            <w:vAlign w:val="center"/>
          </w:tcPr>
          <w:p w14:paraId="74F6EEA6"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14</w:t>
            </w:r>
          </w:p>
        </w:tc>
        <w:tc>
          <w:tcPr>
            <w:tcW w:w="1667" w:type="pct"/>
            <w:vAlign w:val="center"/>
          </w:tcPr>
          <w:p w14:paraId="402E49FF" w14:textId="77777777" w:rsidR="001814E9" w:rsidRDefault="001814E9" w:rsidP="00597239">
            <w:pPr>
              <w:cnfStyle w:val="000000000000" w:firstRow="0" w:lastRow="0" w:firstColumn="0" w:lastColumn="0" w:oddVBand="0" w:evenVBand="0" w:oddHBand="0" w:evenHBand="0" w:firstRowFirstColumn="0" w:firstRowLastColumn="0" w:lastRowFirstColumn="0" w:lastRowLastColumn="0"/>
            </w:pPr>
            <w:r>
              <w:t>0</w:t>
            </w:r>
          </w:p>
        </w:tc>
      </w:tr>
    </w:tbl>
    <w:p w14:paraId="660629F8" w14:textId="77777777" w:rsidR="000B4D72" w:rsidRDefault="000B4D72" w:rsidP="00597239">
      <w:pPr>
        <w:spacing w:before="240" w:line="276" w:lineRule="auto"/>
        <w:rPr>
          <w:rFonts w:eastAsia="Times New Roman" w:cstheme="minorHAnsi"/>
          <w:color w:val="FF0000"/>
          <w:sz w:val="24"/>
          <w:szCs w:val="24"/>
          <w:lang w:eastAsia="pl-PL"/>
        </w:rPr>
      </w:pPr>
    </w:p>
    <w:p w14:paraId="72A6E9AB" w14:textId="77777777" w:rsidR="000B4D72" w:rsidRDefault="000B4D72" w:rsidP="00597239">
      <w:pPr>
        <w:spacing w:before="240" w:line="276" w:lineRule="auto"/>
        <w:rPr>
          <w:rFonts w:eastAsia="Times New Roman" w:cstheme="minorHAnsi"/>
          <w:color w:val="FF0000"/>
          <w:sz w:val="24"/>
          <w:szCs w:val="24"/>
          <w:lang w:eastAsia="pl-PL"/>
        </w:rPr>
        <w:sectPr w:rsidR="000B4D72" w:rsidSect="000B4D72">
          <w:pgSz w:w="11906" w:h="16838"/>
          <w:pgMar w:top="1417" w:right="1417" w:bottom="1417" w:left="1417" w:header="708" w:footer="708" w:gutter="0"/>
          <w:cols w:space="708"/>
          <w:docGrid w:linePitch="360"/>
        </w:sectPr>
      </w:pPr>
    </w:p>
    <w:p w14:paraId="64382567" w14:textId="77777777" w:rsidR="001814E9" w:rsidRDefault="001814E9" w:rsidP="00597239">
      <w:pPr>
        <w:pStyle w:val="Legenda"/>
        <w:spacing w:after="0" w:line="276" w:lineRule="auto"/>
        <w:rPr>
          <w:i w:val="0"/>
          <w:iCs w:val="0"/>
          <w:color w:val="000000" w:themeColor="text1"/>
        </w:rPr>
      </w:pPr>
      <w:bookmarkStart w:id="58" w:name="_Toc193805980"/>
    </w:p>
    <w:p w14:paraId="30E5745E" w14:textId="42D73CC9" w:rsidR="000B4D72" w:rsidRPr="00ED53E0" w:rsidRDefault="00ED53E0" w:rsidP="00597239">
      <w:pPr>
        <w:pStyle w:val="Legenda"/>
        <w:spacing w:after="0" w:line="276" w:lineRule="auto"/>
        <w:rPr>
          <w:i w:val="0"/>
          <w:iCs w:val="0"/>
          <w:color w:val="000000" w:themeColor="text1"/>
        </w:rPr>
      </w:pPr>
      <w:bookmarkStart w:id="59" w:name="_Toc193969528"/>
      <w:bookmarkStart w:id="60" w:name="_Toc194059988"/>
      <w:r w:rsidRPr="00ED53E0">
        <w:rPr>
          <w:i w:val="0"/>
          <w:iCs w:val="0"/>
          <w:color w:val="000000" w:themeColor="text1"/>
        </w:rPr>
        <w:t xml:space="preserve">Tabela </w:t>
      </w:r>
      <w:r w:rsidRPr="00ED53E0">
        <w:rPr>
          <w:i w:val="0"/>
          <w:iCs w:val="0"/>
          <w:color w:val="000000" w:themeColor="text1"/>
        </w:rPr>
        <w:fldChar w:fldCharType="begin"/>
      </w:r>
      <w:r w:rsidRPr="00ED53E0">
        <w:rPr>
          <w:i w:val="0"/>
          <w:iCs w:val="0"/>
          <w:color w:val="000000" w:themeColor="text1"/>
        </w:rPr>
        <w:instrText xml:space="preserve"> SEQ Tabela \* ARABIC </w:instrText>
      </w:r>
      <w:r w:rsidRPr="00ED53E0">
        <w:rPr>
          <w:i w:val="0"/>
          <w:iCs w:val="0"/>
          <w:color w:val="000000" w:themeColor="text1"/>
        </w:rPr>
        <w:fldChar w:fldCharType="separate"/>
      </w:r>
      <w:r w:rsidR="00FB6F6A">
        <w:rPr>
          <w:i w:val="0"/>
          <w:iCs w:val="0"/>
          <w:noProof/>
          <w:color w:val="000000" w:themeColor="text1"/>
        </w:rPr>
        <w:t>10</w:t>
      </w:r>
      <w:r w:rsidRPr="00ED53E0">
        <w:rPr>
          <w:i w:val="0"/>
          <w:iCs w:val="0"/>
          <w:color w:val="000000" w:themeColor="text1"/>
        </w:rPr>
        <w:fldChar w:fldCharType="end"/>
      </w:r>
      <w:r w:rsidR="00E75D31">
        <w:rPr>
          <w:i w:val="0"/>
          <w:iCs w:val="0"/>
          <w:color w:val="000000" w:themeColor="text1"/>
        </w:rPr>
        <w:t>.</w:t>
      </w:r>
      <w:r w:rsidRPr="00ED53E0">
        <w:rPr>
          <w:i w:val="0"/>
          <w:iCs w:val="0"/>
          <w:color w:val="000000" w:themeColor="text1"/>
        </w:rPr>
        <w:t xml:space="preserve"> Liczba zachorowań na krztusiec wg definicji przypadku w latach 2020-2024 w woj. zachodniopomorskim</w:t>
      </w:r>
      <w:r w:rsidR="005219DA">
        <w:rPr>
          <w:i w:val="0"/>
          <w:iCs w:val="0"/>
          <w:color w:val="000000" w:themeColor="text1"/>
        </w:rPr>
        <w:t>.</w:t>
      </w:r>
      <w:bookmarkEnd w:id="58"/>
      <w:bookmarkEnd w:id="59"/>
      <w:bookmarkEnd w:id="60"/>
    </w:p>
    <w:tbl>
      <w:tblPr>
        <w:tblStyle w:val="Tabelasiatki4akcent1"/>
        <w:tblW w:w="5000" w:type="pct"/>
        <w:tblLayout w:type="fixed"/>
        <w:tblLook w:val="0420" w:firstRow="1" w:lastRow="0" w:firstColumn="0" w:lastColumn="0" w:noHBand="0" w:noVBand="1"/>
        <w:tblCaption w:val="Liczba zachorowań na krztusiec wg definicji przypadku w latach 2020-2024 w woj. zachodniopomorskim"/>
        <w:tblDescription w:val="Tabela przedstawia dane dotyczace liczby zachorowań na krztusiec wg definicji przypadku w latach 2020-2024 w województwie zachodniopomorskim. W 2024 roku odnotowano 233 przypadki zachorowań możliwych, 29 przypadków zachorowań prawdopodobnych oraz 380 przypadków zachorowań potwierdzonych."/>
      </w:tblPr>
      <w:tblGrid>
        <w:gridCol w:w="1331"/>
        <w:gridCol w:w="1336"/>
        <w:gridCol w:w="1730"/>
        <w:gridCol w:w="1467"/>
        <w:gridCol w:w="1468"/>
        <w:gridCol w:w="1730"/>
      </w:tblGrid>
      <w:tr w:rsidR="000B4D72" w:rsidRPr="00FF50CD" w14:paraId="43B9CC6F" w14:textId="77777777" w:rsidTr="0022532B">
        <w:trPr>
          <w:cnfStyle w:val="100000000000" w:firstRow="1" w:lastRow="0" w:firstColumn="0" w:lastColumn="0" w:oddVBand="0" w:evenVBand="0" w:oddHBand="0" w:evenHBand="0" w:firstRowFirstColumn="0" w:firstRowLastColumn="0" w:lastRowFirstColumn="0" w:lastRowLastColumn="0"/>
          <w:trHeight w:val="362"/>
        </w:trPr>
        <w:tc>
          <w:tcPr>
            <w:tcW w:w="1413" w:type="dxa"/>
            <w:vAlign w:val="center"/>
            <w:hideMark/>
          </w:tcPr>
          <w:p w14:paraId="6DAE1196" w14:textId="77777777" w:rsidR="000B4D72" w:rsidRPr="00FF50CD" w:rsidRDefault="000B4D72" w:rsidP="00597239">
            <w:pPr>
              <w:spacing w:line="276" w:lineRule="auto"/>
              <w:ind w:firstLine="567"/>
              <w:rPr>
                <w:rFonts w:eastAsia="Times New Roman" w:cstheme="minorHAnsi"/>
                <w:b w:val="0"/>
                <w:bCs w:val="0"/>
                <w:color w:val="7030A0"/>
                <w:sz w:val="20"/>
                <w:szCs w:val="20"/>
                <w:lang w:eastAsia="pl-PL"/>
              </w:rPr>
            </w:pPr>
          </w:p>
        </w:tc>
        <w:tc>
          <w:tcPr>
            <w:tcW w:w="1418" w:type="dxa"/>
            <w:vAlign w:val="center"/>
            <w:hideMark/>
          </w:tcPr>
          <w:p w14:paraId="49E5A6B8"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Możliwe</w:t>
            </w:r>
          </w:p>
        </w:tc>
        <w:tc>
          <w:tcPr>
            <w:tcW w:w="1842" w:type="dxa"/>
            <w:vAlign w:val="center"/>
            <w:hideMark/>
          </w:tcPr>
          <w:p w14:paraId="0A39CB2C"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Prawdopodobne</w:t>
            </w:r>
          </w:p>
        </w:tc>
        <w:tc>
          <w:tcPr>
            <w:tcW w:w="1559" w:type="dxa"/>
            <w:vAlign w:val="center"/>
            <w:hideMark/>
          </w:tcPr>
          <w:p w14:paraId="663400CB"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Potwierdzone</w:t>
            </w:r>
          </w:p>
        </w:tc>
        <w:tc>
          <w:tcPr>
            <w:tcW w:w="1560" w:type="dxa"/>
            <w:vAlign w:val="center"/>
            <w:hideMark/>
          </w:tcPr>
          <w:p w14:paraId="740F5338"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Razem</w:t>
            </w:r>
          </w:p>
        </w:tc>
        <w:tc>
          <w:tcPr>
            <w:tcW w:w="1842" w:type="dxa"/>
            <w:vAlign w:val="center"/>
            <w:hideMark/>
          </w:tcPr>
          <w:p w14:paraId="0AF885A1" w14:textId="2CE60049"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 tym</w:t>
            </w:r>
          </w:p>
          <w:p w14:paraId="7B2B35BF"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hospitalizacje</w:t>
            </w:r>
          </w:p>
        </w:tc>
      </w:tr>
      <w:tr w:rsidR="000B4D72" w:rsidRPr="00FF50CD" w14:paraId="55AEFEC9" w14:textId="77777777" w:rsidTr="0022532B">
        <w:trPr>
          <w:cnfStyle w:val="000000100000" w:firstRow="0" w:lastRow="0" w:firstColumn="0" w:lastColumn="0" w:oddVBand="0" w:evenVBand="0" w:oddHBand="1" w:evenHBand="0" w:firstRowFirstColumn="0" w:firstRowLastColumn="0" w:lastRowFirstColumn="0" w:lastRowLastColumn="0"/>
          <w:trHeight w:val="232"/>
        </w:trPr>
        <w:tc>
          <w:tcPr>
            <w:tcW w:w="1413" w:type="dxa"/>
            <w:vAlign w:val="center"/>
            <w:hideMark/>
          </w:tcPr>
          <w:p w14:paraId="49E49577"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2024</w:t>
            </w:r>
          </w:p>
        </w:tc>
        <w:tc>
          <w:tcPr>
            <w:tcW w:w="1418" w:type="dxa"/>
            <w:vAlign w:val="center"/>
            <w:hideMark/>
          </w:tcPr>
          <w:p w14:paraId="6146D995"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233</w:t>
            </w:r>
          </w:p>
        </w:tc>
        <w:tc>
          <w:tcPr>
            <w:tcW w:w="1842" w:type="dxa"/>
            <w:vAlign w:val="center"/>
            <w:hideMark/>
          </w:tcPr>
          <w:p w14:paraId="761623C9"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29</w:t>
            </w:r>
          </w:p>
        </w:tc>
        <w:tc>
          <w:tcPr>
            <w:tcW w:w="1559" w:type="dxa"/>
            <w:vAlign w:val="center"/>
            <w:hideMark/>
          </w:tcPr>
          <w:p w14:paraId="4A67BD1F"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380</w:t>
            </w:r>
          </w:p>
        </w:tc>
        <w:tc>
          <w:tcPr>
            <w:tcW w:w="1560" w:type="dxa"/>
            <w:vAlign w:val="center"/>
            <w:hideMark/>
          </w:tcPr>
          <w:p w14:paraId="08CF25B5"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642</w:t>
            </w:r>
          </w:p>
        </w:tc>
        <w:tc>
          <w:tcPr>
            <w:tcW w:w="1842" w:type="dxa"/>
            <w:vAlign w:val="center"/>
            <w:hideMark/>
          </w:tcPr>
          <w:p w14:paraId="0DE64342"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91</w:t>
            </w:r>
          </w:p>
        </w:tc>
      </w:tr>
      <w:tr w:rsidR="000B4D72" w:rsidRPr="00FF50CD" w14:paraId="047F340D" w14:textId="77777777" w:rsidTr="0022532B">
        <w:trPr>
          <w:trHeight w:val="188"/>
        </w:trPr>
        <w:tc>
          <w:tcPr>
            <w:tcW w:w="1413" w:type="dxa"/>
            <w:vAlign w:val="center"/>
            <w:hideMark/>
          </w:tcPr>
          <w:p w14:paraId="35714D9F"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2023</w:t>
            </w:r>
          </w:p>
        </w:tc>
        <w:tc>
          <w:tcPr>
            <w:tcW w:w="1418" w:type="dxa"/>
            <w:vAlign w:val="center"/>
            <w:hideMark/>
          </w:tcPr>
          <w:p w14:paraId="56BB961E"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8</w:t>
            </w:r>
          </w:p>
        </w:tc>
        <w:tc>
          <w:tcPr>
            <w:tcW w:w="1842" w:type="dxa"/>
            <w:vAlign w:val="center"/>
            <w:hideMark/>
          </w:tcPr>
          <w:p w14:paraId="757AD011"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w:t>
            </w:r>
          </w:p>
        </w:tc>
        <w:tc>
          <w:tcPr>
            <w:tcW w:w="1559" w:type="dxa"/>
            <w:vAlign w:val="center"/>
            <w:hideMark/>
          </w:tcPr>
          <w:p w14:paraId="038D0DD9"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3</w:t>
            </w:r>
          </w:p>
        </w:tc>
        <w:tc>
          <w:tcPr>
            <w:tcW w:w="1560" w:type="dxa"/>
            <w:vAlign w:val="center"/>
            <w:hideMark/>
          </w:tcPr>
          <w:p w14:paraId="5558E013"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12</w:t>
            </w:r>
          </w:p>
        </w:tc>
        <w:tc>
          <w:tcPr>
            <w:tcW w:w="1842" w:type="dxa"/>
            <w:vAlign w:val="center"/>
            <w:hideMark/>
          </w:tcPr>
          <w:p w14:paraId="4D99131E"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4</w:t>
            </w:r>
          </w:p>
        </w:tc>
      </w:tr>
      <w:tr w:rsidR="000B4D72" w:rsidRPr="00FF50CD" w14:paraId="62FE71E8" w14:textId="77777777" w:rsidTr="0022532B">
        <w:trPr>
          <w:cnfStyle w:val="000000100000" w:firstRow="0" w:lastRow="0" w:firstColumn="0" w:lastColumn="0" w:oddVBand="0" w:evenVBand="0" w:oddHBand="1" w:evenHBand="0" w:firstRowFirstColumn="0" w:firstRowLastColumn="0" w:lastRowFirstColumn="0" w:lastRowLastColumn="0"/>
          <w:trHeight w:val="246"/>
        </w:trPr>
        <w:tc>
          <w:tcPr>
            <w:tcW w:w="1413" w:type="dxa"/>
            <w:vAlign w:val="center"/>
            <w:hideMark/>
          </w:tcPr>
          <w:p w14:paraId="1EFC9B82"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2022</w:t>
            </w:r>
          </w:p>
        </w:tc>
        <w:tc>
          <w:tcPr>
            <w:tcW w:w="1418" w:type="dxa"/>
            <w:vAlign w:val="center"/>
            <w:hideMark/>
          </w:tcPr>
          <w:p w14:paraId="5BE69A53"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11</w:t>
            </w:r>
          </w:p>
        </w:tc>
        <w:tc>
          <w:tcPr>
            <w:tcW w:w="1842" w:type="dxa"/>
            <w:vAlign w:val="center"/>
            <w:hideMark/>
          </w:tcPr>
          <w:p w14:paraId="38BB42A9"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w:t>
            </w:r>
          </w:p>
        </w:tc>
        <w:tc>
          <w:tcPr>
            <w:tcW w:w="1559" w:type="dxa"/>
            <w:vAlign w:val="center"/>
            <w:hideMark/>
          </w:tcPr>
          <w:p w14:paraId="02F92570"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w:t>
            </w:r>
          </w:p>
        </w:tc>
        <w:tc>
          <w:tcPr>
            <w:tcW w:w="1560" w:type="dxa"/>
            <w:vAlign w:val="center"/>
            <w:hideMark/>
          </w:tcPr>
          <w:p w14:paraId="2B1DFD93"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11</w:t>
            </w:r>
          </w:p>
        </w:tc>
        <w:tc>
          <w:tcPr>
            <w:tcW w:w="1842" w:type="dxa"/>
            <w:vAlign w:val="center"/>
            <w:hideMark/>
          </w:tcPr>
          <w:p w14:paraId="3895B99C"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4</w:t>
            </w:r>
          </w:p>
        </w:tc>
      </w:tr>
      <w:tr w:rsidR="000B4D72" w:rsidRPr="00FF50CD" w14:paraId="1F20D5FE" w14:textId="77777777" w:rsidTr="0022532B">
        <w:trPr>
          <w:trHeight w:val="214"/>
        </w:trPr>
        <w:tc>
          <w:tcPr>
            <w:tcW w:w="1413" w:type="dxa"/>
            <w:vAlign w:val="center"/>
            <w:hideMark/>
          </w:tcPr>
          <w:p w14:paraId="5664C21F"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2021</w:t>
            </w:r>
          </w:p>
        </w:tc>
        <w:tc>
          <w:tcPr>
            <w:tcW w:w="1418" w:type="dxa"/>
            <w:vAlign w:val="center"/>
            <w:hideMark/>
          </w:tcPr>
          <w:p w14:paraId="72780E3A"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12</w:t>
            </w:r>
          </w:p>
        </w:tc>
        <w:tc>
          <w:tcPr>
            <w:tcW w:w="1842" w:type="dxa"/>
            <w:vAlign w:val="center"/>
            <w:hideMark/>
          </w:tcPr>
          <w:p w14:paraId="02C6C7A7"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w:t>
            </w:r>
          </w:p>
        </w:tc>
        <w:tc>
          <w:tcPr>
            <w:tcW w:w="1559" w:type="dxa"/>
            <w:vAlign w:val="center"/>
            <w:hideMark/>
          </w:tcPr>
          <w:p w14:paraId="1EE5F975"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w:t>
            </w:r>
          </w:p>
        </w:tc>
        <w:tc>
          <w:tcPr>
            <w:tcW w:w="1560" w:type="dxa"/>
            <w:vAlign w:val="center"/>
            <w:hideMark/>
          </w:tcPr>
          <w:p w14:paraId="779FC24A"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14</w:t>
            </w:r>
          </w:p>
        </w:tc>
        <w:tc>
          <w:tcPr>
            <w:tcW w:w="1842" w:type="dxa"/>
            <w:vAlign w:val="center"/>
            <w:hideMark/>
          </w:tcPr>
          <w:p w14:paraId="46ED77FC"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w:t>
            </w:r>
          </w:p>
        </w:tc>
      </w:tr>
      <w:tr w:rsidR="000B4D72" w:rsidRPr="00FF50CD" w14:paraId="34F89CCE" w14:textId="77777777" w:rsidTr="0022532B">
        <w:trPr>
          <w:cnfStyle w:val="000000100000" w:firstRow="0" w:lastRow="0" w:firstColumn="0" w:lastColumn="0" w:oddVBand="0" w:evenVBand="0" w:oddHBand="1" w:evenHBand="0" w:firstRowFirstColumn="0" w:firstRowLastColumn="0" w:lastRowFirstColumn="0" w:lastRowLastColumn="0"/>
          <w:trHeight w:val="26"/>
        </w:trPr>
        <w:tc>
          <w:tcPr>
            <w:tcW w:w="1413" w:type="dxa"/>
            <w:vAlign w:val="center"/>
            <w:hideMark/>
          </w:tcPr>
          <w:p w14:paraId="49BE23C6"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2020</w:t>
            </w:r>
          </w:p>
        </w:tc>
        <w:tc>
          <w:tcPr>
            <w:tcW w:w="1418" w:type="dxa"/>
            <w:vAlign w:val="center"/>
            <w:hideMark/>
          </w:tcPr>
          <w:p w14:paraId="1E6F4D1B"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16</w:t>
            </w:r>
          </w:p>
        </w:tc>
        <w:tc>
          <w:tcPr>
            <w:tcW w:w="1842" w:type="dxa"/>
            <w:vAlign w:val="center"/>
            <w:hideMark/>
          </w:tcPr>
          <w:p w14:paraId="2EEDC70C"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3</w:t>
            </w:r>
          </w:p>
        </w:tc>
        <w:tc>
          <w:tcPr>
            <w:tcW w:w="1559" w:type="dxa"/>
            <w:vAlign w:val="center"/>
            <w:hideMark/>
          </w:tcPr>
          <w:p w14:paraId="72F9E0B6"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20</w:t>
            </w:r>
          </w:p>
        </w:tc>
        <w:tc>
          <w:tcPr>
            <w:tcW w:w="1560" w:type="dxa"/>
            <w:vAlign w:val="center"/>
            <w:hideMark/>
          </w:tcPr>
          <w:p w14:paraId="772E9FA6"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39</w:t>
            </w:r>
          </w:p>
        </w:tc>
        <w:tc>
          <w:tcPr>
            <w:tcW w:w="1842" w:type="dxa"/>
            <w:vAlign w:val="center"/>
            <w:hideMark/>
          </w:tcPr>
          <w:p w14:paraId="52AF951F" w14:textId="77777777" w:rsidR="000B4D72" w:rsidRPr="00FF50CD" w:rsidRDefault="000B4D72" w:rsidP="00597239">
            <w:pPr>
              <w:spacing w:line="276" w:lineRule="auto"/>
              <w:rPr>
                <w:rFonts w:eastAsia="Times New Roman" w:cstheme="minorHAnsi"/>
                <w:sz w:val="24"/>
                <w:szCs w:val="24"/>
                <w:lang w:eastAsia="pl-PL"/>
              </w:rPr>
            </w:pPr>
            <w:r w:rsidRPr="00FF50CD">
              <w:rPr>
                <w:rFonts w:eastAsia="Times New Roman" w:cstheme="minorHAnsi"/>
                <w:sz w:val="24"/>
                <w:szCs w:val="24"/>
                <w:lang w:eastAsia="pl-PL"/>
              </w:rPr>
              <w:t>4</w:t>
            </w:r>
          </w:p>
        </w:tc>
      </w:tr>
    </w:tbl>
    <w:p w14:paraId="08D14FB3" w14:textId="77777777" w:rsidR="0022532B" w:rsidRDefault="0022532B" w:rsidP="00597239">
      <w:pPr>
        <w:spacing w:after="0" w:line="276" w:lineRule="auto"/>
        <w:rPr>
          <w:rFonts w:eastAsia="Times New Roman" w:cstheme="minorHAnsi"/>
          <w:bCs/>
          <w:sz w:val="24"/>
          <w:szCs w:val="24"/>
          <w:lang w:eastAsia="pl-PL"/>
        </w:rPr>
      </w:pPr>
    </w:p>
    <w:p w14:paraId="40A45CCF" w14:textId="62D7B896" w:rsidR="000B4D72" w:rsidRDefault="000B4D72" w:rsidP="00597239">
      <w:pPr>
        <w:spacing w:after="0" w:line="276" w:lineRule="auto"/>
        <w:rPr>
          <w:sz w:val="24"/>
          <w:szCs w:val="24"/>
        </w:rPr>
      </w:pPr>
      <w:r w:rsidRPr="00246F85">
        <w:rPr>
          <w:rFonts w:eastAsia="Times New Roman" w:cstheme="minorHAnsi"/>
          <w:bCs/>
          <w:sz w:val="24"/>
          <w:szCs w:val="24"/>
          <w:lang w:eastAsia="pl-PL"/>
        </w:rPr>
        <w:t>Przeciwko krztuścowi można się uodpornić poprzez szczepienia szczepionką skojarzoną przeciwko błonicy, tężcowi i krztuścowi w ramach szczepień obowiązkowych</w:t>
      </w:r>
      <w:r>
        <w:rPr>
          <w:rFonts w:eastAsia="Times New Roman" w:cstheme="minorHAnsi"/>
          <w:bCs/>
          <w:sz w:val="24"/>
          <w:szCs w:val="24"/>
          <w:lang w:eastAsia="pl-PL"/>
        </w:rPr>
        <w:t xml:space="preserve"> dla dzieci</w:t>
      </w:r>
      <w:r w:rsidRPr="00246F85">
        <w:rPr>
          <w:rFonts w:eastAsia="Times New Roman" w:cstheme="minorHAnsi"/>
          <w:bCs/>
          <w:sz w:val="24"/>
          <w:szCs w:val="24"/>
          <w:lang w:eastAsia="pl-PL"/>
        </w:rPr>
        <w:t>.</w:t>
      </w:r>
      <w:r w:rsidRPr="00246F85">
        <w:rPr>
          <w:rStyle w:val="Nagwek1Znak"/>
          <w:color w:val="auto"/>
        </w:rPr>
        <w:t xml:space="preserve"> </w:t>
      </w:r>
      <w:r w:rsidRPr="00CE71DF">
        <w:rPr>
          <w:rStyle w:val="hgkelc"/>
          <w:sz w:val="24"/>
          <w:szCs w:val="24"/>
        </w:rPr>
        <w:t>W celu utrzymania odporności przeciw krztuścowi zalecane jest również szczepienie przypominające w 19 roku życia oraz dla osób dorosłych co 10 lat.</w:t>
      </w:r>
      <w:r w:rsidRPr="00CE71DF">
        <w:rPr>
          <w:sz w:val="24"/>
          <w:szCs w:val="24"/>
        </w:rPr>
        <w:t xml:space="preserve"> Krztusiec jest najbardziej niebezpieczny dla nieuodpornionych niemowląt i małych dzieci ze względu na ryzyko wystąpienia ciężkich dla zdrowia i życia powikłań, tj. zapalenie płuc, bezdech, drgawki, encefalopatia. Ze względu na niekorzystną sytuację epidemiologiczną oraz celem ochrony przed krztuścem najmłodszych niemowląt wprowadzono </w:t>
      </w:r>
      <w:bookmarkStart w:id="61" w:name="_Hlk192245638"/>
      <w:r w:rsidRPr="00CE71DF">
        <w:rPr>
          <w:sz w:val="24"/>
          <w:szCs w:val="24"/>
        </w:rPr>
        <w:t xml:space="preserve">od 15 października 2024 r. refundację szczepionek Tdap dla kobiet w ciąży po ukończeniu 27. do 36. tygodnia ciąży. Szczepienie jest </w:t>
      </w:r>
      <w:r>
        <w:rPr>
          <w:sz w:val="24"/>
          <w:szCs w:val="24"/>
        </w:rPr>
        <w:t>tzw. szczepieniem</w:t>
      </w:r>
      <w:r w:rsidRPr="00CE71DF">
        <w:rPr>
          <w:sz w:val="24"/>
          <w:szCs w:val="24"/>
        </w:rPr>
        <w:t xml:space="preserve"> zalecan</w:t>
      </w:r>
      <w:r>
        <w:rPr>
          <w:sz w:val="24"/>
          <w:szCs w:val="24"/>
        </w:rPr>
        <w:t>ym</w:t>
      </w:r>
      <w:r w:rsidRPr="00CE71DF">
        <w:rPr>
          <w:sz w:val="24"/>
          <w:szCs w:val="24"/>
        </w:rPr>
        <w:t xml:space="preserve"> w Programie Szczepień Ochronnych.</w:t>
      </w:r>
      <w:r>
        <w:rPr>
          <w:sz w:val="24"/>
          <w:szCs w:val="24"/>
        </w:rPr>
        <w:t xml:space="preserve"> </w:t>
      </w:r>
      <w:bookmarkEnd w:id="61"/>
    </w:p>
    <w:p w14:paraId="3F98E591" w14:textId="77777777" w:rsidR="00C719C9" w:rsidRPr="00CE71DF" w:rsidRDefault="00C719C9" w:rsidP="00597239">
      <w:pPr>
        <w:spacing w:after="0" w:line="276" w:lineRule="auto"/>
        <w:rPr>
          <w:sz w:val="24"/>
          <w:szCs w:val="24"/>
        </w:rPr>
      </w:pPr>
    </w:p>
    <w:p w14:paraId="7C894018" w14:textId="77777777" w:rsidR="000B4D72" w:rsidRPr="00947FEC" w:rsidRDefault="000B4D72" w:rsidP="00597239">
      <w:pPr>
        <w:spacing w:after="0" w:line="276" w:lineRule="auto"/>
        <w:rPr>
          <w:rFonts w:eastAsia="Times New Roman" w:cstheme="minorHAnsi"/>
          <w:b/>
          <w:sz w:val="24"/>
          <w:szCs w:val="24"/>
          <w:lang w:eastAsia="pl-PL"/>
        </w:rPr>
      </w:pPr>
      <w:r w:rsidRPr="00947FEC">
        <w:rPr>
          <w:rFonts w:eastAsia="Times New Roman" w:cstheme="minorHAnsi"/>
          <w:b/>
          <w:sz w:val="24"/>
          <w:szCs w:val="24"/>
          <w:lang w:eastAsia="pl-PL"/>
        </w:rPr>
        <w:t>Ostre porażenia wiotkie</w:t>
      </w:r>
    </w:p>
    <w:p w14:paraId="386CE330" w14:textId="75D238B1" w:rsidR="000B4D72" w:rsidRPr="00947FEC" w:rsidRDefault="000B4D72" w:rsidP="00597239">
      <w:pPr>
        <w:spacing w:after="0" w:line="276" w:lineRule="auto"/>
        <w:rPr>
          <w:rFonts w:ascii="Calibri" w:eastAsia="Times New Roman" w:hAnsi="Calibri" w:cs="Calibri"/>
          <w:sz w:val="24"/>
          <w:szCs w:val="24"/>
          <w:lang w:eastAsia="pl-PL"/>
        </w:rPr>
      </w:pPr>
      <w:r w:rsidRPr="00947FEC">
        <w:rPr>
          <w:rFonts w:ascii="Calibri" w:eastAsia="Times New Roman" w:hAnsi="Calibri" w:cs="Calibri"/>
          <w:spacing w:val="-2"/>
          <w:sz w:val="24"/>
          <w:szCs w:val="24"/>
          <w:lang w:eastAsia="pl-PL"/>
        </w:rPr>
        <w:t>Na terenie woj. zachodniopomorskiego kontynuowany jest wzmożony nadzór nad</w:t>
      </w:r>
      <w:r w:rsidR="007B1BEB">
        <w:rPr>
          <w:rFonts w:ascii="Calibri" w:eastAsia="Times New Roman" w:hAnsi="Calibri" w:cs="Calibri"/>
          <w:spacing w:val="-2"/>
          <w:sz w:val="24"/>
          <w:szCs w:val="24"/>
          <w:lang w:eastAsia="pl-PL"/>
        </w:rPr>
        <w:t> </w:t>
      </w:r>
      <w:r w:rsidRPr="00947FEC">
        <w:rPr>
          <w:rFonts w:ascii="Calibri" w:eastAsia="Times New Roman" w:hAnsi="Calibri" w:cs="Calibri"/>
          <w:spacing w:val="-2"/>
          <w:sz w:val="24"/>
          <w:szCs w:val="24"/>
          <w:lang w:eastAsia="pl-PL"/>
        </w:rPr>
        <w:t>zgłaszalnością ostrych porażeń wiotkich (OPW) u dzieci do 15 r.</w:t>
      </w:r>
      <w:r w:rsidRPr="00947FEC">
        <w:rPr>
          <w:rFonts w:ascii="Calibri" w:eastAsia="Times New Roman" w:hAnsi="Calibri" w:cs="Calibri"/>
          <w:sz w:val="24"/>
          <w:szCs w:val="24"/>
          <w:lang w:eastAsia="pl-PL"/>
        </w:rPr>
        <w:t>ż., który wynika m.in. z</w:t>
      </w:r>
      <w:r w:rsidR="004533CB">
        <w:rPr>
          <w:rFonts w:ascii="Calibri" w:eastAsia="Times New Roman" w:hAnsi="Calibri" w:cs="Calibri"/>
          <w:sz w:val="24"/>
          <w:szCs w:val="24"/>
          <w:lang w:eastAsia="pl-PL"/>
        </w:rPr>
        <w:t> </w:t>
      </w:r>
      <w:r w:rsidRPr="00947FEC">
        <w:rPr>
          <w:rFonts w:ascii="Calibri" w:eastAsia="Times New Roman" w:hAnsi="Calibri" w:cs="Calibri"/>
          <w:sz w:val="24"/>
          <w:szCs w:val="24"/>
          <w:lang w:eastAsia="pl-PL"/>
        </w:rPr>
        <w:t>uczestnictwa Polski w koordynowanym przez Światową Organizację Zdrowia światowym programie eradykacji poliomyelitis oraz konieczności prowadzenia aktywnego nadzoru epidemiologicznego w tym zakresie.</w:t>
      </w:r>
    </w:p>
    <w:p w14:paraId="60083084" w14:textId="77777777" w:rsidR="0022532B" w:rsidRDefault="0022532B" w:rsidP="00597239">
      <w:pPr>
        <w:spacing w:after="0" w:line="276" w:lineRule="auto"/>
        <w:rPr>
          <w:rFonts w:eastAsia="Times New Roman" w:cstheme="minorHAnsi"/>
          <w:sz w:val="24"/>
          <w:szCs w:val="24"/>
          <w:lang w:eastAsia="pl-PL"/>
        </w:rPr>
      </w:pPr>
    </w:p>
    <w:p w14:paraId="445475B0" w14:textId="3E095901" w:rsidR="000B4D72" w:rsidRPr="003A793F" w:rsidRDefault="000B4D72" w:rsidP="00597239">
      <w:pPr>
        <w:spacing w:after="0" w:line="276" w:lineRule="auto"/>
        <w:rPr>
          <w:rFonts w:eastAsia="Times New Roman" w:cstheme="minorHAnsi"/>
          <w:color w:val="FF0000"/>
          <w:sz w:val="24"/>
          <w:szCs w:val="24"/>
          <w:lang w:eastAsia="pl-PL"/>
        </w:rPr>
      </w:pPr>
      <w:r w:rsidRPr="00161B2E">
        <w:rPr>
          <w:rFonts w:eastAsia="Times New Roman" w:cstheme="minorHAnsi"/>
          <w:sz w:val="24"/>
          <w:szCs w:val="24"/>
          <w:lang w:eastAsia="pl-PL"/>
        </w:rPr>
        <w:t xml:space="preserve">W 2024 r. na </w:t>
      </w:r>
      <w:bookmarkStart w:id="62" w:name="_Hlk131487476"/>
      <w:r w:rsidRPr="00161B2E">
        <w:rPr>
          <w:rFonts w:eastAsia="Times New Roman" w:cstheme="minorHAnsi"/>
          <w:sz w:val="24"/>
          <w:szCs w:val="24"/>
          <w:lang w:eastAsia="pl-PL"/>
        </w:rPr>
        <w:t xml:space="preserve">terenie woj. zachodniopomorskiego zarejestrowano 1 przypadek </w:t>
      </w:r>
      <w:bookmarkEnd w:id="62"/>
      <w:r w:rsidRPr="00161B2E">
        <w:rPr>
          <w:rFonts w:eastAsia="Times New Roman" w:cstheme="minorHAnsi"/>
          <w:sz w:val="24"/>
          <w:szCs w:val="24"/>
          <w:lang w:eastAsia="pl-PL"/>
        </w:rPr>
        <w:t xml:space="preserve">podejrzenia zachorowania na ostre porażenie wiotkie u dzieci do 15 r.ż. Zachorowanie wystąpiło u 14-letniego. </w:t>
      </w:r>
      <w:r w:rsidRPr="00947FEC">
        <w:rPr>
          <w:rFonts w:eastAsia="Times New Roman" w:cstheme="minorHAnsi"/>
          <w:sz w:val="24"/>
          <w:szCs w:val="24"/>
          <w:lang w:eastAsia="pl-PL"/>
        </w:rPr>
        <w:t xml:space="preserve">Dwukrotne badania kału przeprowadzone w Laboratorium Zakładu Wirusologii </w:t>
      </w:r>
      <w:r w:rsidRPr="00B64A60">
        <w:rPr>
          <w:rFonts w:cstheme="minorHAnsi"/>
          <w:color w:val="000000" w:themeColor="text1"/>
          <w:sz w:val="24"/>
          <w:szCs w:val="24"/>
        </w:rPr>
        <w:t>NIZP-PZH PIB w Warszawie</w:t>
      </w:r>
      <w:r w:rsidRPr="00B64A60">
        <w:rPr>
          <w:rFonts w:eastAsia="Times New Roman" w:cstheme="minorHAnsi"/>
          <w:sz w:val="28"/>
          <w:szCs w:val="28"/>
          <w:lang w:eastAsia="pl-PL"/>
        </w:rPr>
        <w:t xml:space="preserve"> </w:t>
      </w:r>
      <w:r w:rsidRPr="00947FEC">
        <w:rPr>
          <w:rFonts w:eastAsia="Times New Roman" w:cstheme="minorHAnsi"/>
          <w:sz w:val="24"/>
          <w:szCs w:val="24"/>
          <w:lang w:eastAsia="pl-PL"/>
        </w:rPr>
        <w:t>nie wykazały obecności wirusa polio w pobranym materiale. Zarejestrowan</w:t>
      </w:r>
      <w:r>
        <w:rPr>
          <w:rFonts w:eastAsia="Times New Roman" w:cstheme="minorHAnsi"/>
          <w:sz w:val="24"/>
          <w:szCs w:val="24"/>
          <w:lang w:eastAsia="pl-PL"/>
        </w:rPr>
        <w:t>y</w:t>
      </w:r>
      <w:r w:rsidRPr="00947FEC">
        <w:rPr>
          <w:rFonts w:eastAsia="Times New Roman" w:cstheme="minorHAnsi"/>
          <w:sz w:val="24"/>
          <w:szCs w:val="24"/>
          <w:lang w:eastAsia="pl-PL"/>
        </w:rPr>
        <w:t xml:space="preserve"> przypad</w:t>
      </w:r>
      <w:r>
        <w:rPr>
          <w:rFonts w:eastAsia="Times New Roman" w:cstheme="minorHAnsi"/>
          <w:sz w:val="24"/>
          <w:szCs w:val="24"/>
          <w:lang w:eastAsia="pl-PL"/>
        </w:rPr>
        <w:t>e</w:t>
      </w:r>
      <w:r w:rsidRPr="00947FEC">
        <w:rPr>
          <w:rFonts w:eastAsia="Times New Roman" w:cstheme="minorHAnsi"/>
          <w:sz w:val="24"/>
          <w:szCs w:val="24"/>
          <w:lang w:eastAsia="pl-PL"/>
        </w:rPr>
        <w:t>k objawow</w:t>
      </w:r>
      <w:r>
        <w:rPr>
          <w:rFonts w:eastAsia="Times New Roman" w:cstheme="minorHAnsi"/>
          <w:sz w:val="24"/>
          <w:szCs w:val="24"/>
          <w:lang w:eastAsia="pl-PL"/>
        </w:rPr>
        <w:t>y</w:t>
      </w:r>
      <w:r w:rsidRPr="00947FEC">
        <w:rPr>
          <w:rFonts w:eastAsia="Times New Roman" w:cstheme="minorHAnsi"/>
          <w:sz w:val="24"/>
          <w:szCs w:val="24"/>
          <w:lang w:eastAsia="pl-PL"/>
        </w:rPr>
        <w:t xml:space="preserve"> OPW wyst</w:t>
      </w:r>
      <w:r>
        <w:rPr>
          <w:rFonts w:eastAsia="Times New Roman" w:cstheme="minorHAnsi"/>
          <w:sz w:val="24"/>
          <w:szCs w:val="24"/>
          <w:lang w:eastAsia="pl-PL"/>
        </w:rPr>
        <w:t>ąpił</w:t>
      </w:r>
      <w:r w:rsidRPr="00947FEC">
        <w:rPr>
          <w:rFonts w:eastAsia="Times New Roman" w:cstheme="minorHAnsi"/>
          <w:sz w:val="24"/>
          <w:szCs w:val="24"/>
          <w:lang w:eastAsia="pl-PL"/>
        </w:rPr>
        <w:t xml:space="preserve"> pod postacią niedowładu kończyn i</w:t>
      </w:r>
      <w:r w:rsidR="0022532B">
        <w:rPr>
          <w:rFonts w:eastAsia="Times New Roman" w:cstheme="minorHAnsi"/>
          <w:sz w:val="24"/>
          <w:szCs w:val="24"/>
          <w:lang w:eastAsia="pl-PL"/>
        </w:rPr>
        <w:t> </w:t>
      </w:r>
      <w:r w:rsidRPr="00947FEC">
        <w:rPr>
          <w:rFonts w:eastAsia="Times New Roman" w:cstheme="minorHAnsi"/>
          <w:sz w:val="24"/>
          <w:szCs w:val="24"/>
          <w:lang w:eastAsia="pl-PL"/>
        </w:rPr>
        <w:t>zaburzeń chodzenia u</w:t>
      </w:r>
      <w:r>
        <w:rPr>
          <w:rFonts w:eastAsia="Times New Roman" w:cstheme="minorHAnsi"/>
          <w:sz w:val="24"/>
          <w:szCs w:val="24"/>
          <w:lang w:eastAsia="pl-PL"/>
        </w:rPr>
        <w:t xml:space="preserve"> </w:t>
      </w:r>
      <w:r w:rsidRPr="00947FEC">
        <w:rPr>
          <w:rFonts w:eastAsia="Times New Roman" w:cstheme="minorHAnsi"/>
          <w:sz w:val="24"/>
          <w:szCs w:val="24"/>
          <w:lang w:eastAsia="pl-PL"/>
        </w:rPr>
        <w:t>dziec</w:t>
      </w:r>
      <w:r>
        <w:rPr>
          <w:rFonts w:eastAsia="Times New Roman" w:cstheme="minorHAnsi"/>
          <w:sz w:val="24"/>
          <w:szCs w:val="24"/>
          <w:lang w:eastAsia="pl-PL"/>
        </w:rPr>
        <w:t>ka</w:t>
      </w:r>
      <w:r w:rsidRPr="00947FEC">
        <w:rPr>
          <w:rFonts w:eastAsia="Times New Roman" w:cstheme="minorHAnsi"/>
          <w:sz w:val="24"/>
          <w:szCs w:val="24"/>
          <w:lang w:eastAsia="pl-PL"/>
        </w:rPr>
        <w:t>. W analogicznym okresie na terenie Polski stwierdzono 67 przypadków zachorowań na ostre porażenia wiotkie.</w:t>
      </w:r>
    </w:p>
    <w:p w14:paraId="1098611C" w14:textId="77777777" w:rsidR="0022532B" w:rsidRDefault="0022532B" w:rsidP="00597239">
      <w:pPr>
        <w:spacing w:after="0" w:line="276" w:lineRule="auto"/>
        <w:rPr>
          <w:rFonts w:eastAsia="Times New Roman" w:cstheme="minorHAnsi"/>
          <w:sz w:val="24"/>
          <w:szCs w:val="24"/>
          <w:lang w:eastAsia="pl-PL"/>
        </w:rPr>
      </w:pPr>
    </w:p>
    <w:p w14:paraId="7733C530" w14:textId="353A1730" w:rsidR="000B4D72" w:rsidRPr="003A793F" w:rsidRDefault="000B4D72" w:rsidP="00597239">
      <w:pPr>
        <w:spacing w:after="0" w:line="276" w:lineRule="auto"/>
        <w:rPr>
          <w:rFonts w:eastAsia="Times New Roman" w:cstheme="minorHAnsi"/>
          <w:color w:val="FF0000"/>
          <w:sz w:val="24"/>
          <w:szCs w:val="24"/>
          <w:lang w:eastAsia="pl-PL"/>
        </w:rPr>
      </w:pPr>
      <w:r w:rsidRPr="00947FEC">
        <w:rPr>
          <w:rFonts w:eastAsia="Times New Roman" w:cstheme="minorHAnsi"/>
          <w:sz w:val="24"/>
          <w:szCs w:val="24"/>
          <w:lang w:eastAsia="pl-PL"/>
        </w:rPr>
        <w:t>Zachorowania na choroby wieku dziecięcego w Polsce i woj. zachodniopomorskim w</w:t>
      </w:r>
      <w:r w:rsidR="007B1BEB">
        <w:rPr>
          <w:rFonts w:eastAsia="Times New Roman" w:cstheme="minorHAnsi"/>
          <w:sz w:val="24"/>
          <w:szCs w:val="24"/>
          <w:lang w:eastAsia="pl-PL"/>
        </w:rPr>
        <w:t> </w:t>
      </w:r>
      <w:r w:rsidRPr="00947FEC">
        <w:rPr>
          <w:rFonts w:eastAsia="Times New Roman" w:cstheme="minorHAnsi"/>
          <w:sz w:val="24"/>
          <w:szCs w:val="24"/>
          <w:lang w:eastAsia="pl-PL"/>
        </w:rPr>
        <w:t xml:space="preserve">latach 2020-2024 przedstawiono w </w:t>
      </w:r>
      <w:r w:rsidRPr="00B64A60">
        <w:rPr>
          <w:rFonts w:eastAsia="Times New Roman" w:cstheme="minorHAnsi"/>
          <w:sz w:val="24"/>
          <w:szCs w:val="24"/>
          <w:lang w:eastAsia="pl-PL"/>
        </w:rPr>
        <w:t>tabeli 1</w:t>
      </w:r>
      <w:r>
        <w:rPr>
          <w:rFonts w:eastAsia="Times New Roman" w:cstheme="minorHAnsi"/>
          <w:sz w:val="24"/>
          <w:szCs w:val="24"/>
          <w:lang w:eastAsia="pl-PL"/>
        </w:rPr>
        <w:t>1</w:t>
      </w:r>
      <w:r w:rsidRPr="00B64A60">
        <w:rPr>
          <w:rFonts w:eastAsia="Times New Roman" w:cstheme="minorHAnsi"/>
          <w:sz w:val="24"/>
          <w:szCs w:val="24"/>
          <w:lang w:eastAsia="pl-PL"/>
        </w:rPr>
        <w:t>.</w:t>
      </w:r>
    </w:p>
    <w:p w14:paraId="1820C3FE" w14:textId="77777777" w:rsidR="000B4D72" w:rsidRPr="003A793F" w:rsidRDefault="000B4D72" w:rsidP="00597239">
      <w:pPr>
        <w:rPr>
          <w:rFonts w:eastAsia="Times New Roman" w:cstheme="minorHAnsi"/>
          <w:color w:val="FF0000"/>
          <w:sz w:val="24"/>
          <w:szCs w:val="24"/>
          <w:highlight w:val="yellow"/>
          <w:lang w:eastAsia="pl-PL"/>
        </w:rPr>
      </w:pPr>
      <w:r w:rsidRPr="003A793F">
        <w:rPr>
          <w:rFonts w:eastAsia="Times New Roman" w:cstheme="minorHAnsi"/>
          <w:color w:val="FF0000"/>
          <w:sz w:val="24"/>
          <w:szCs w:val="24"/>
          <w:highlight w:val="yellow"/>
          <w:lang w:eastAsia="pl-PL"/>
        </w:rPr>
        <w:br w:type="page"/>
      </w:r>
    </w:p>
    <w:p w14:paraId="3C0B9CFF" w14:textId="77777777" w:rsidR="000B4D72" w:rsidRPr="003A793F" w:rsidRDefault="000B4D72" w:rsidP="00597239">
      <w:pPr>
        <w:spacing w:before="240"/>
        <w:ind w:firstLine="567"/>
        <w:rPr>
          <w:rFonts w:eastAsia="Times New Roman" w:cstheme="minorHAnsi"/>
          <w:color w:val="FF0000"/>
          <w:sz w:val="24"/>
          <w:szCs w:val="24"/>
          <w:highlight w:val="yellow"/>
          <w:lang w:eastAsia="pl-PL"/>
        </w:rPr>
        <w:sectPr w:rsidR="000B4D72" w:rsidRPr="003A793F" w:rsidSect="000B4D72">
          <w:type w:val="continuous"/>
          <w:pgSz w:w="11906" w:h="16838"/>
          <w:pgMar w:top="1417" w:right="1417" w:bottom="1417" w:left="1417" w:header="708" w:footer="708" w:gutter="0"/>
          <w:cols w:space="708"/>
          <w:docGrid w:linePitch="360"/>
        </w:sectPr>
      </w:pPr>
    </w:p>
    <w:p w14:paraId="2492C58B" w14:textId="5643B460" w:rsidR="000B4D72" w:rsidRPr="00065801" w:rsidRDefault="00065801" w:rsidP="00597239">
      <w:pPr>
        <w:pStyle w:val="Legenda"/>
        <w:rPr>
          <w:i w:val="0"/>
          <w:iCs w:val="0"/>
          <w:color w:val="000000" w:themeColor="text1"/>
        </w:rPr>
      </w:pPr>
      <w:bookmarkStart w:id="63" w:name="_Toc193805981"/>
      <w:bookmarkStart w:id="64" w:name="_Toc193969529"/>
      <w:bookmarkStart w:id="65" w:name="_Toc194059989"/>
      <w:r w:rsidRPr="00065801">
        <w:rPr>
          <w:i w:val="0"/>
          <w:iCs w:val="0"/>
          <w:color w:val="000000" w:themeColor="text1"/>
        </w:rPr>
        <w:lastRenderedPageBreak/>
        <w:t xml:space="preserve">Tabela </w:t>
      </w:r>
      <w:r w:rsidRPr="00065801">
        <w:rPr>
          <w:i w:val="0"/>
          <w:iCs w:val="0"/>
          <w:color w:val="000000" w:themeColor="text1"/>
        </w:rPr>
        <w:fldChar w:fldCharType="begin"/>
      </w:r>
      <w:r w:rsidRPr="00065801">
        <w:rPr>
          <w:i w:val="0"/>
          <w:iCs w:val="0"/>
          <w:color w:val="000000" w:themeColor="text1"/>
        </w:rPr>
        <w:instrText xml:space="preserve"> SEQ Tabela \* ARABIC </w:instrText>
      </w:r>
      <w:r w:rsidRPr="00065801">
        <w:rPr>
          <w:i w:val="0"/>
          <w:iCs w:val="0"/>
          <w:color w:val="000000" w:themeColor="text1"/>
        </w:rPr>
        <w:fldChar w:fldCharType="separate"/>
      </w:r>
      <w:r w:rsidR="00FB6F6A">
        <w:rPr>
          <w:i w:val="0"/>
          <w:iCs w:val="0"/>
          <w:noProof/>
          <w:color w:val="000000" w:themeColor="text1"/>
        </w:rPr>
        <w:t>11</w:t>
      </w:r>
      <w:r w:rsidRPr="00065801">
        <w:rPr>
          <w:i w:val="0"/>
          <w:iCs w:val="0"/>
          <w:color w:val="000000" w:themeColor="text1"/>
        </w:rPr>
        <w:fldChar w:fldCharType="end"/>
      </w:r>
      <w:r w:rsidR="00E75D31">
        <w:rPr>
          <w:i w:val="0"/>
          <w:iCs w:val="0"/>
          <w:color w:val="000000" w:themeColor="text1"/>
        </w:rPr>
        <w:t>.</w:t>
      </w:r>
      <w:r w:rsidRPr="00065801">
        <w:rPr>
          <w:i w:val="0"/>
          <w:iCs w:val="0"/>
          <w:color w:val="000000" w:themeColor="text1"/>
        </w:rPr>
        <w:t xml:space="preserve"> Liczba zachorowań i współczynnik zapadalności na choroby wieku dziecięcego w Polsce i woj. zachodniopomorskim w latach 2020 – 2024</w:t>
      </w:r>
      <w:r w:rsidR="005219DA">
        <w:rPr>
          <w:i w:val="0"/>
          <w:iCs w:val="0"/>
          <w:color w:val="000000" w:themeColor="text1"/>
        </w:rPr>
        <w:t>.</w:t>
      </w:r>
      <w:bookmarkEnd w:id="63"/>
      <w:bookmarkEnd w:id="64"/>
      <w:bookmarkEnd w:id="65"/>
    </w:p>
    <w:tbl>
      <w:tblPr>
        <w:tblStyle w:val="Tabelasiatki4akcent1"/>
        <w:tblpPr w:leftFromText="141" w:rightFromText="141" w:horzAnchor="page" w:tblpXSpec="center" w:tblpY="505"/>
        <w:tblW w:w="14591" w:type="dxa"/>
        <w:tblLayout w:type="fixed"/>
        <w:tblLook w:val="04A0" w:firstRow="1" w:lastRow="0" w:firstColumn="1" w:lastColumn="0" w:noHBand="0" w:noVBand="1"/>
        <w:tblCaption w:val="Liczba zachorowań i współczynnik zapadalności na choroby wieku dziecięcego w Polsce i woj. zachodniopomorskim w latach 2020-2024."/>
        <w:tblDescription w:val="Tabela przedstawia dane epidemiologiczne dotyczące wybranych chorób zakaźnych w Polsce oraz w województwie zachodniopomorskim w latach 2020–2024. Dla każdej jednostki chorobowej podano liczbę zachorowań oraz współczynnik zapadalności (na 100 000 mieszkańców).&#10;Podsumowanie danych:&#10;&#10;    Odra: W Polsce w 2024 roku odnotowano gwałtowny wzrost zachorowań – 279 przypadków (zapadalność 0,74) wobec 35 przypadków w 2023 roku. W województwie zachodniopomorskim liczba zachorowań również wzrosła – z 1 w 2021 roku do 6 w 2024 roku.&#10;&#10;    Świnka: Liczba zachorowań w Polsce utrzymywała się na poziomie około 900 przypadków rocznie, z niewielkimi wahaniami. W województwie zachodniopomorskim odnotowano wahania, od 22 przypadków w 2021 roku do 50 w 2023 roku, z lekkim spadkiem do 28 w 2024 roku.&#10;&#10;    Różyczka: W Polsce liczba zachorowań wzrosła z 50 w 2021 roku do 243 w 2023 roku, następnie spadając do 192 w 2024 roku. W województwie zachodniopomorskim przypadki wahały się od 3 (2021) do 13 (2023), a w 2024 roku wyniosły 8.&#10;&#10;    Krztusiec: Ogromny wzrost zachorowań w Polsce w 2024 roku – z 922 przypadków w 2023 roku do 32 430 w 2024 roku (zapadalność 86,33). W województwie zachodniopomorskim liczba zachorowań w 2024 roku wzrosła do 642 (zapadalność 39,46), podczas gdy w poprzednich latach utrzymywała się na poziomie poniżej 40 przypadków rocznie.&#10;&#10;    Ospa wietrzna: W Polsce najwyższą liczbę zachorowań odnotowano w 2023 roku (190 853 przypadki), natomiast w 2024 roku nastąpił spadek do 153 640 przypadków. W województwie zachodniopomorskim tendencja była podobna – szczyt zachorowań w 2022 roku (7837 przypadków), a w 2024 roku spadek do 5314 przypadków.&#10;&#10;    Ostre porażenia wiotkie: W Polsce liczba przypadków wzrosła z 18 w 2020 roku do 69 w 2023 roku, a w 2024 roku wyniosła 67. W województwie zachodniopomorskim przypadki były sporadyczne – odnotowano 1 do 3 przypadków rocznie.&#10;&#10;Tabela pokazuje wyraźne trendy epidemiologiczne, w tym znaczący wzrost liczby przypadków krztuśca w 2024 roku oraz wahania zachorowań na ospę wietrzną i różyczkę."/>
      </w:tblPr>
      <w:tblGrid>
        <w:gridCol w:w="892"/>
        <w:gridCol w:w="799"/>
        <w:gridCol w:w="709"/>
        <w:gridCol w:w="709"/>
        <w:gridCol w:w="567"/>
        <w:gridCol w:w="686"/>
        <w:gridCol w:w="587"/>
        <w:gridCol w:w="801"/>
        <w:gridCol w:w="768"/>
        <w:gridCol w:w="702"/>
        <w:gridCol w:w="708"/>
        <w:gridCol w:w="567"/>
        <w:gridCol w:w="851"/>
        <w:gridCol w:w="709"/>
        <w:gridCol w:w="708"/>
        <w:gridCol w:w="567"/>
        <w:gridCol w:w="709"/>
        <w:gridCol w:w="567"/>
        <w:gridCol w:w="709"/>
        <w:gridCol w:w="567"/>
        <w:gridCol w:w="709"/>
      </w:tblGrid>
      <w:tr w:rsidR="000B4D72" w:rsidRPr="00FF50CD" w14:paraId="643B0FF3" w14:textId="77777777" w:rsidTr="00F865A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892" w:type="dxa"/>
            <w:vMerge w:val="restart"/>
          </w:tcPr>
          <w:p w14:paraId="2DB13658" w14:textId="77777777" w:rsidR="000B4D72" w:rsidRPr="00FF50CD" w:rsidRDefault="000B4D72" w:rsidP="00597239">
            <w:pPr>
              <w:rPr>
                <w:rFonts w:ascii="Calibri" w:eastAsia="Times New Roman" w:hAnsi="Calibri" w:cs="Calibri"/>
                <w:b w:val="0"/>
                <w:bCs w:val="0"/>
                <w:sz w:val="16"/>
                <w:szCs w:val="16"/>
                <w:lang w:eastAsia="pl-PL"/>
              </w:rPr>
            </w:pPr>
            <w:bookmarkStart w:id="66" w:name="_Hlk191280040"/>
            <w:r w:rsidRPr="00FF50CD">
              <w:rPr>
                <w:rFonts w:ascii="Calibri" w:eastAsia="Times New Roman" w:hAnsi="Calibri" w:cs="Calibri"/>
                <w:b w:val="0"/>
                <w:bCs w:val="0"/>
                <w:sz w:val="16"/>
                <w:szCs w:val="16"/>
                <w:lang w:eastAsia="pl-PL"/>
              </w:rPr>
              <w:t>jednostka chorobowa</w:t>
            </w:r>
          </w:p>
        </w:tc>
        <w:tc>
          <w:tcPr>
            <w:tcW w:w="7036" w:type="dxa"/>
            <w:gridSpan w:val="10"/>
          </w:tcPr>
          <w:p w14:paraId="027EA770"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16"/>
                <w:lang w:eastAsia="pl-PL"/>
              </w:rPr>
            </w:pPr>
            <w:r w:rsidRPr="00FF50CD">
              <w:rPr>
                <w:rFonts w:ascii="Calibri" w:eastAsia="Times New Roman" w:hAnsi="Calibri" w:cs="Calibri"/>
                <w:b w:val="0"/>
                <w:bCs w:val="0"/>
                <w:sz w:val="16"/>
                <w:szCs w:val="16"/>
                <w:lang w:eastAsia="pl-PL"/>
              </w:rPr>
              <w:t>Polska</w:t>
            </w:r>
          </w:p>
        </w:tc>
        <w:tc>
          <w:tcPr>
            <w:tcW w:w="6663" w:type="dxa"/>
            <w:gridSpan w:val="10"/>
          </w:tcPr>
          <w:p w14:paraId="4FEA2284"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6"/>
                <w:szCs w:val="16"/>
                <w:lang w:eastAsia="pl-PL"/>
              </w:rPr>
            </w:pPr>
            <w:r w:rsidRPr="00FF50CD">
              <w:rPr>
                <w:rFonts w:ascii="Calibri" w:eastAsia="Times New Roman" w:hAnsi="Calibri" w:cs="Calibri"/>
                <w:b w:val="0"/>
                <w:bCs w:val="0"/>
                <w:sz w:val="16"/>
                <w:szCs w:val="16"/>
                <w:lang w:eastAsia="pl-PL"/>
              </w:rPr>
              <w:t>województwo zachodniopomorskie</w:t>
            </w:r>
          </w:p>
        </w:tc>
      </w:tr>
      <w:tr w:rsidR="000B4D72" w:rsidRPr="00FF50CD" w14:paraId="40A56226" w14:textId="77777777" w:rsidTr="00F865A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892" w:type="dxa"/>
            <w:vMerge/>
          </w:tcPr>
          <w:p w14:paraId="48DFC0A2"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p>
        </w:tc>
        <w:tc>
          <w:tcPr>
            <w:tcW w:w="1508" w:type="dxa"/>
            <w:gridSpan w:val="2"/>
          </w:tcPr>
          <w:p w14:paraId="4AEDDB2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2020</w:t>
            </w:r>
          </w:p>
        </w:tc>
        <w:tc>
          <w:tcPr>
            <w:tcW w:w="1276" w:type="dxa"/>
            <w:gridSpan w:val="2"/>
          </w:tcPr>
          <w:p w14:paraId="21FD018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2021</w:t>
            </w:r>
          </w:p>
        </w:tc>
        <w:tc>
          <w:tcPr>
            <w:tcW w:w="1273" w:type="dxa"/>
            <w:gridSpan w:val="2"/>
          </w:tcPr>
          <w:p w14:paraId="023108F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2022</w:t>
            </w:r>
          </w:p>
        </w:tc>
        <w:tc>
          <w:tcPr>
            <w:tcW w:w="1569" w:type="dxa"/>
            <w:gridSpan w:val="2"/>
          </w:tcPr>
          <w:p w14:paraId="2E30B80E"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2023</w:t>
            </w:r>
          </w:p>
        </w:tc>
        <w:tc>
          <w:tcPr>
            <w:tcW w:w="1410" w:type="dxa"/>
            <w:gridSpan w:val="2"/>
          </w:tcPr>
          <w:p w14:paraId="1E11B4E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2024</w:t>
            </w:r>
          </w:p>
        </w:tc>
        <w:tc>
          <w:tcPr>
            <w:tcW w:w="1418" w:type="dxa"/>
            <w:gridSpan w:val="2"/>
          </w:tcPr>
          <w:p w14:paraId="2855B4C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2020</w:t>
            </w:r>
          </w:p>
        </w:tc>
        <w:tc>
          <w:tcPr>
            <w:tcW w:w="1417" w:type="dxa"/>
            <w:gridSpan w:val="2"/>
          </w:tcPr>
          <w:p w14:paraId="7B05B66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2021</w:t>
            </w:r>
          </w:p>
        </w:tc>
        <w:tc>
          <w:tcPr>
            <w:tcW w:w="1276" w:type="dxa"/>
            <w:gridSpan w:val="2"/>
          </w:tcPr>
          <w:p w14:paraId="25333B0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2022</w:t>
            </w:r>
          </w:p>
        </w:tc>
        <w:tc>
          <w:tcPr>
            <w:tcW w:w="1276" w:type="dxa"/>
            <w:gridSpan w:val="2"/>
          </w:tcPr>
          <w:p w14:paraId="396D2D0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2023</w:t>
            </w:r>
          </w:p>
        </w:tc>
        <w:tc>
          <w:tcPr>
            <w:tcW w:w="1276" w:type="dxa"/>
            <w:gridSpan w:val="2"/>
          </w:tcPr>
          <w:p w14:paraId="2C652E1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2024</w:t>
            </w:r>
          </w:p>
        </w:tc>
      </w:tr>
      <w:tr w:rsidR="000B4D72" w:rsidRPr="00FF50CD" w14:paraId="345DE10E" w14:textId="77777777" w:rsidTr="00F865A1">
        <w:trPr>
          <w:trHeight w:val="1062"/>
        </w:trPr>
        <w:tc>
          <w:tcPr>
            <w:cnfStyle w:val="001000000000" w:firstRow="0" w:lastRow="0" w:firstColumn="1" w:lastColumn="0" w:oddVBand="0" w:evenVBand="0" w:oddHBand="0" w:evenHBand="0" w:firstRowFirstColumn="0" w:firstRowLastColumn="0" w:lastRowFirstColumn="0" w:lastRowLastColumn="0"/>
            <w:tcW w:w="892" w:type="dxa"/>
            <w:vMerge/>
          </w:tcPr>
          <w:p w14:paraId="23B31E14"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p>
        </w:tc>
        <w:tc>
          <w:tcPr>
            <w:tcW w:w="799" w:type="dxa"/>
            <w:textDirection w:val="btLr"/>
          </w:tcPr>
          <w:p w14:paraId="2995A9A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6D9B257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709" w:type="dxa"/>
            <w:textDirection w:val="btLr"/>
          </w:tcPr>
          <w:p w14:paraId="73F93B5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709" w:type="dxa"/>
            <w:textDirection w:val="btLr"/>
          </w:tcPr>
          <w:p w14:paraId="3B66753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64AB752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567" w:type="dxa"/>
            <w:textDirection w:val="btLr"/>
          </w:tcPr>
          <w:p w14:paraId="20BA3F8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686" w:type="dxa"/>
            <w:textDirection w:val="btLr"/>
          </w:tcPr>
          <w:p w14:paraId="2423AFC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081C273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587" w:type="dxa"/>
            <w:textDirection w:val="btLr"/>
          </w:tcPr>
          <w:p w14:paraId="3B181C8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801" w:type="dxa"/>
            <w:textDirection w:val="btLr"/>
          </w:tcPr>
          <w:p w14:paraId="270A3FF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4F444B3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768" w:type="dxa"/>
            <w:textDirection w:val="btLr"/>
          </w:tcPr>
          <w:p w14:paraId="0A06FD3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702" w:type="dxa"/>
            <w:textDirection w:val="btLr"/>
          </w:tcPr>
          <w:p w14:paraId="492DC8B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7C7A70E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708" w:type="dxa"/>
            <w:textDirection w:val="btLr"/>
          </w:tcPr>
          <w:p w14:paraId="004AD00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567" w:type="dxa"/>
            <w:textDirection w:val="btLr"/>
          </w:tcPr>
          <w:p w14:paraId="511C2CC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40EDE47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851" w:type="dxa"/>
            <w:textDirection w:val="btLr"/>
          </w:tcPr>
          <w:p w14:paraId="0163B21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709" w:type="dxa"/>
            <w:textDirection w:val="btLr"/>
          </w:tcPr>
          <w:p w14:paraId="68B3903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4BB07DD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708" w:type="dxa"/>
            <w:textDirection w:val="btLr"/>
          </w:tcPr>
          <w:p w14:paraId="4CD8DA6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567" w:type="dxa"/>
            <w:textDirection w:val="btLr"/>
          </w:tcPr>
          <w:p w14:paraId="363F82D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w:t>
            </w:r>
          </w:p>
          <w:p w14:paraId="3D8AB79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zachorowań</w:t>
            </w:r>
          </w:p>
        </w:tc>
        <w:tc>
          <w:tcPr>
            <w:tcW w:w="709" w:type="dxa"/>
            <w:textDirection w:val="btLr"/>
          </w:tcPr>
          <w:p w14:paraId="0DB1D4A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567" w:type="dxa"/>
            <w:textDirection w:val="btLr"/>
          </w:tcPr>
          <w:p w14:paraId="7A37D85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 zachorowań</w:t>
            </w:r>
          </w:p>
        </w:tc>
        <w:tc>
          <w:tcPr>
            <w:tcW w:w="709" w:type="dxa"/>
            <w:textDirection w:val="btLr"/>
          </w:tcPr>
          <w:p w14:paraId="4B7475D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c>
          <w:tcPr>
            <w:tcW w:w="567" w:type="dxa"/>
            <w:textDirection w:val="btLr"/>
          </w:tcPr>
          <w:p w14:paraId="4DD9EEA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Liczba zachorowań</w:t>
            </w:r>
          </w:p>
        </w:tc>
        <w:tc>
          <w:tcPr>
            <w:tcW w:w="709" w:type="dxa"/>
            <w:textDirection w:val="btLr"/>
          </w:tcPr>
          <w:p w14:paraId="3CA5814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Zapadalność</w:t>
            </w:r>
          </w:p>
        </w:tc>
      </w:tr>
      <w:tr w:rsidR="000B4D72" w:rsidRPr="00FF50CD" w14:paraId="6BEE8956" w14:textId="77777777" w:rsidTr="00F865A1">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892" w:type="dxa"/>
          </w:tcPr>
          <w:p w14:paraId="108FA284"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r w:rsidRPr="00FF50CD">
              <w:rPr>
                <w:rFonts w:ascii="Calibri" w:eastAsia="Times New Roman" w:hAnsi="Calibri" w:cs="Calibri"/>
                <w:b w:val="0"/>
                <w:bCs w:val="0"/>
                <w:color w:val="000000" w:themeColor="text1"/>
                <w:sz w:val="16"/>
                <w:szCs w:val="16"/>
                <w:lang w:eastAsia="pl-PL"/>
              </w:rPr>
              <w:t>odra</w:t>
            </w:r>
          </w:p>
        </w:tc>
        <w:tc>
          <w:tcPr>
            <w:tcW w:w="799" w:type="dxa"/>
          </w:tcPr>
          <w:p w14:paraId="715A5FE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29</w:t>
            </w:r>
          </w:p>
        </w:tc>
        <w:tc>
          <w:tcPr>
            <w:tcW w:w="709" w:type="dxa"/>
          </w:tcPr>
          <w:p w14:paraId="331E9C8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0,08</w:t>
            </w:r>
          </w:p>
        </w:tc>
        <w:tc>
          <w:tcPr>
            <w:tcW w:w="709" w:type="dxa"/>
          </w:tcPr>
          <w:p w14:paraId="3867BF1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13</w:t>
            </w:r>
          </w:p>
        </w:tc>
        <w:tc>
          <w:tcPr>
            <w:tcW w:w="567" w:type="dxa"/>
          </w:tcPr>
          <w:p w14:paraId="7F1A72E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0,03</w:t>
            </w:r>
          </w:p>
        </w:tc>
        <w:tc>
          <w:tcPr>
            <w:tcW w:w="686" w:type="dxa"/>
          </w:tcPr>
          <w:p w14:paraId="34B5EAF2"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27</w:t>
            </w:r>
          </w:p>
        </w:tc>
        <w:tc>
          <w:tcPr>
            <w:tcW w:w="587" w:type="dxa"/>
          </w:tcPr>
          <w:p w14:paraId="42030B3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0,07</w:t>
            </w:r>
          </w:p>
        </w:tc>
        <w:tc>
          <w:tcPr>
            <w:tcW w:w="801" w:type="dxa"/>
          </w:tcPr>
          <w:p w14:paraId="09D2643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35</w:t>
            </w:r>
          </w:p>
        </w:tc>
        <w:tc>
          <w:tcPr>
            <w:tcW w:w="768" w:type="dxa"/>
          </w:tcPr>
          <w:p w14:paraId="675BA25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0,09</w:t>
            </w:r>
          </w:p>
        </w:tc>
        <w:tc>
          <w:tcPr>
            <w:tcW w:w="702" w:type="dxa"/>
          </w:tcPr>
          <w:p w14:paraId="4170CAD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279</w:t>
            </w:r>
          </w:p>
        </w:tc>
        <w:tc>
          <w:tcPr>
            <w:tcW w:w="708" w:type="dxa"/>
          </w:tcPr>
          <w:p w14:paraId="1F215F2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0,74</w:t>
            </w:r>
          </w:p>
        </w:tc>
        <w:tc>
          <w:tcPr>
            <w:tcW w:w="567" w:type="dxa"/>
          </w:tcPr>
          <w:p w14:paraId="5E4C7A5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w:t>
            </w:r>
          </w:p>
        </w:tc>
        <w:tc>
          <w:tcPr>
            <w:tcW w:w="851" w:type="dxa"/>
          </w:tcPr>
          <w:p w14:paraId="36FD47C6" w14:textId="77777777" w:rsidR="000B4D72" w:rsidRPr="00FF50CD" w:rsidRDefault="000B4D72" w:rsidP="00597239">
            <w:pPr>
              <w:ind w:left="-104" w:right="-2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w:t>
            </w:r>
          </w:p>
        </w:tc>
        <w:tc>
          <w:tcPr>
            <w:tcW w:w="709" w:type="dxa"/>
          </w:tcPr>
          <w:p w14:paraId="2DB7424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w:t>
            </w:r>
          </w:p>
        </w:tc>
        <w:tc>
          <w:tcPr>
            <w:tcW w:w="708" w:type="dxa"/>
          </w:tcPr>
          <w:p w14:paraId="6A77A032" w14:textId="77777777" w:rsidR="000B4D72" w:rsidRPr="00FF50CD" w:rsidRDefault="000B4D72" w:rsidP="00597239">
            <w:pPr>
              <w:ind w:right="-26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w:t>
            </w:r>
          </w:p>
        </w:tc>
        <w:tc>
          <w:tcPr>
            <w:tcW w:w="567" w:type="dxa"/>
          </w:tcPr>
          <w:p w14:paraId="0A4993A8"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w:t>
            </w:r>
          </w:p>
        </w:tc>
        <w:tc>
          <w:tcPr>
            <w:tcW w:w="709" w:type="dxa"/>
          </w:tcPr>
          <w:p w14:paraId="43B24050" w14:textId="77777777" w:rsidR="000B4D72" w:rsidRPr="00FF50CD" w:rsidRDefault="000B4D72" w:rsidP="00597239">
            <w:pPr>
              <w:ind w:right="-26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0,12</w:t>
            </w:r>
          </w:p>
        </w:tc>
        <w:tc>
          <w:tcPr>
            <w:tcW w:w="567" w:type="dxa"/>
          </w:tcPr>
          <w:p w14:paraId="285A2451" w14:textId="77777777" w:rsidR="000B4D72" w:rsidRPr="00FF50CD" w:rsidRDefault="000B4D72" w:rsidP="00597239">
            <w:pPr>
              <w:ind w:left="-272" w:right="-28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w:t>
            </w:r>
          </w:p>
        </w:tc>
        <w:tc>
          <w:tcPr>
            <w:tcW w:w="709" w:type="dxa"/>
          </w:tcPr>
          <w:p w14:paraId="252FF671" w14:textId="77777777" w:rsidR="000B4D72" w:rsidRPr="00FF50CD" w:rsidRDefault="000B4D72" w:rsidP="00597239">
            <w:pPr>
              <w:ind w:left="-209" w:right="-26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0,06</w:t>
            </w:r>
          </w:p>
        </w:tc>
        <w:tc>
          <w:tcPr>
            <w:tcW w:w="567" w:type="dxa"/>
          </w:tcPr>
          <w:p w14:paraId="3C0E1DAD" w14:textId="77777777" w:rsidR="000B4D72" w:rsidRPr="00FF50CD" w:rsidRDefault="000B4D72" w:rsidP="00597239">
            <w:pPr>
              <w:ind w:left="-209" w:right="-26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6</w:t>
            </w:r>
          </w:p>
        </w:tc>
        <w:tc>
          <w:tcPr>
            <w:tcW w:w="709" w:type="dxa"/>
          </w:tcPr>
          <w:p w14:paraId="04953A69" w14:textId="77777777" w:rsidR="000B4D72" w:rsidRPr="00FF50CD" w:rsidRDefault="000B4D72" w:rsidP="00597239">
            <w:pPr>
              <w:ind w:left="-209" w:right="-261"/>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0,37</w:t>
            </w:r>
          </w:p>
        </w:tc>
      </w:tr>
      <w:tr w:rsidR="000B4D72" w:rsidRPr="00FF50CD" w14:paraId="5DA8EA58" w14:textId="77777777" w:rsidTr="00F865A1">
        <w:trPr>
          <w:trHeight w:val="474"/>
        </w:trPr>
        <w:tc>
          <w:tcPr>
            <w:cnfStyle w:val="001000000000" w:firstRow="0" w:lastRow="0" w:firstColumn="1" w:lastColumn="0" w:oddVBand="0" w:evenVBand="0" w:oddHBand="0" w:evenHBand="0" w:firstRowFirstColumn="0" w:firstRowLastColumn="0" w:lastRowFirstColumn="0" w:lastRowLastColumn="0"/>
            <w:tcW w:w="892" w:type="dxa"/>
          </w:tcPr>
          <w:p w14:paraId="3917951D"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r w:rsidRPr="00FF50CD">
              <w:rPr>
                <w:rFonts w:ascii="Calibri" w:eastAsia="Times New Roman" w:hAnsi="Calibri" w:cs="Calibri"/>
                <w:b w:val="0"/>
                <w:bCs w:val="0"/>
                <w:color w:val="000000" w:themeColor="text1"/>
                <w:sz w:val="16"/>
                <w:szCs w:val="16"/>
                <w:lang w:eastAsia="pl-PL"/>
              </w:rPr>
              <w:t>świnka</w:t>
            </w:r>
          </w:p>
        </w:tc>
        <w:tc>
          <w:tcPr>
            <w:tcW w:w="799" w:type="dxa"/>
          </w:tcPr>
          <w:p w14:paraId="58C0508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582</w:t>
            </w:r>
          </w:p>
        </w:tc>
        <w:tc>
          <w:tcPr>
            <w:tcW w:w="709" w:type="dxa"/>
          </w:tcPr>
          <w:p w14:paraId="64DE207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1,52</w:t>
            </w:r>
          </w:p>
        </w:tc>
        <w:tc>
          <w:tcPr>
            <w:tcW w:w="709" w:type="dxa"/>
          </w:tcPr>
          <w:p w14:paraId="38902B6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484</w:t>
            </w:r>
          </w:p>
        </w:tc>
        <w:tc>
          <w:tcPr>
            <w:tcW w:w="567" w:type="dxa"/>
          </w:tcPr>
          <w:p w14:paraId="0DDDF4C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1,27</w:t>
            </w:r>
          </w:p>
        </w:tc>
        <w:tc>
          <w:tcPr>
            <w:tcW w:w="686" w:type="dxa"/>
          </w:tcPr>
          <w:p w14:paraId="1704080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922</w:t>
            </w:r>
          </w:p>
        </w:tc>
        <w:tc>
          <w:tcPr>
            <w:tcW w:w="587" w:type="dxa"/>
          </w:tcPr>
          <w:p w14:paraId="10B5B67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2,44</w:t>
            </w:r>
          </w:p>
        </w:tc>
        <w:tc>
          <w:tcPr>
            <w:tcW w:w="801" w:type="dxa"/>
          </w:tcPr>
          <w:p w14:paraId="2624A6C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966</w:t>
            </w:r>
          </w:p>
        </w:tc>
        <w:tc>
          <w:tcPr>
            <w:tcW w:w="768" w:type="dxa"/>
          </w:tcPr>
          <w:p w14:paraId="671DF93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2,56</w:t>
            </w:r>
          </w:p>
        </w:tc>
        <w:tc>
          <w:tcPr>
            <w:tcW w:w="702" w:type="dxa"/>
          </w:tcPr>
          <w:p w14:paraId="03EE177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930</w:t>
            </w:r>
          </w:p>
        </w:tc>
        <w:tc>
          <w:tcPr>
            <w:tcW w:w="708" w:type="dxa"/>
          </w:tcPr>
          <w:p w14:paraId="6007B07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2,48</w:t>
            </w:r>
          </w:p>
        </w:tc>
        <w:tc>
          <w:tcPr>
            <w:tcW w:w="567" w:type="dxa"/>
          </w:tcPr>
          <w:p w14:paraId="220A66F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33</w:t>
            </w:r>
          </w:p>
        </w:tc>
        <w:tc>
          <w:tcPr>
            <w:tcW w:w="851" w:type="dxa"/>
          </w:tcPr>
          <w:p w14:paraId="041D6E2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1,95</w:t>
            </w:r>
          </w:p>
        </w:tc>
        <w:tc>
          <w:tcPr>
            <w:tcW w:w="709" w:type="dxa"/>
          </w:tcPr>
          <w:p w14:paraId="7818504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22</w:t>
            </w:r>
          </w:p>
        </w:tc>
        <w:tc>
          <w:tcPr>
            <w:tcW w:w="708" w:type="dxa"/>
          </w:tcPr>
          <w:p w14:paraId="57CD43E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1,31</w:t>
            </w:r>
          </w:p>
        </w:tc>
        <w:tc>
          <w:tcPr>
            <w:tcW w:w="567" w:type="dxa"/>
          </w:tcPr>
          <w:p w14:paraId="78B3F6D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48</w:t>
            </w:r>
          </w:p>
        </w:tc>
        <w:tc>
          <w:tcPr>
            <w:tcW w:w="709" w:type="dxa"/>
          </w:tcPr>
          <w:p w14:paraId="2B12BB0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2,92</w:t>
            </w:r>
          </w:p>
        </w:tc>
        <w:tc>
          <w:tcPr>
            <w:tcW w:w="567" w:type="dxa"/>
          </w:tcPr>
          <w:p w14:paraId="089ECD4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50</w:t>
            </w:r>
          </w:p>
        </w:tc>
        <w:tc>
          <w:tcPr>
            <w:tcW w:w="709" w:type="dxa"/>
          </w:tcPr>
          <w:p w14:paraId="4F34B67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3,06</w:t>
            </w:r>
          </w:p>
        </w:tc>
        <w:tc>
          <w:tcPr>
            <w:tcW w:w="567" w:type="dxa"/>
          </w:tcPr>
          <w:p w14:paraId="3448BF2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28</w:t>
            </w:r>
          </w:p>
        </w:tc>
        <w:tc>
          <w:tcPr>
            <w:tcW w:w="709" w:type="dxa"/>
          </w:tcPr>
          <w:p w14:paraId="65D9554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1,72</w:t>
            </w:r>
          </w:p>
        </w:tc>
      </w:tr>
      <w:tr w:rsidR="000B4D72" w:rsidRPr="00FF50CD" w14:paraId="230139A2" w14:textId="77777777" w:rsidTr="00F865A1">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892" w:type="dxa"/>
          </w:tcPr>
          <w:p w14:paraId="3433073D"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r w:rsidRPr="00FF50CD">
              <w:rPr>
                <w:rFonts w:ascii="Calibri" w:eastAsia="Times New Roman" w:hAnsi="Calibri" w:cs="Calibri"/>
                <w:b w:val="0"/>
                <w:bCs w:val="0"/>
                <w:color w:val="000000" w:themeColor="text1"/>
                <w:sz w:val="16"/>
                <w:szCs w:val="16"/>
                <w:lang w:eastAsia="pl-PL"/>
              </w:rPr>
              <w:t>różyczka</w:t>
            </w:r>
          </w:p>
        </w:tc>
        <w:tc>
          <w:tcPr>
            <w:tcW w:w="799" w:type="dxa"/>
          </w:tcPr>
          <w:p w14:paraId="24A97DC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98</w:t>
            </w:r>
          </w:p>
        </w:tc>
        <w:tc>
          <w:tcPr>
            <w:tcW w:w="709" w:type="dxa"/>
          </w:tcPr>
          <w:p w14:paraId="154A6A1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0,26</w:t>
            </w:r>
          </w:p>
        </w:tc>
        <w:tc>
          <w:tcPr>
            <w:tcW w:w="709" w:type="dxa"/>
          </w:tcPr>
          <w:p w14:paraId="62D4124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50</w:t>
            </w:r>
          </w:p>
        </w:tc>
        <w:tc>
          <w:tcPr>
            <w:tcW w:w="567" w:type="dxa"/>
          </w:tcPr>
          <w:p w14:paraId="7CCDEA2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0,13</w:t>
            </w:r>
          </w:p>
        </w:tc>
        <w:tc>
          <w:tcPr>
            <w:tcW w:w="686" w:type="dxa"/>
          </w:tcPr>
          <w:p w14:paraId="029DF65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147</w:t>
            </w:r>
          </w:p>
        </w:tc>
        <w:tc>
          <w:tcPr>
            <w:tcW w:w="587" w:type="dxa"/>
          </w:tcPr>
          <w:p w14:paraId="0100961E"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0,39</w:t>
            </w:r>
          </w:p>
        </w:tc>
        <w:tc>
          <w:tcPr>
            <w:tcW w:w="801" w:type="dxa"/>
          </w:tcPr>
          <w:p w14:paraId="0E8BB1F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243</w:t>
            </w:r>
          </w:p>
        </w:tc>
        <w:tc>
          <w:tcPr>
            <w:tcW w:w="768" w:type="dxa"/>
          </w:tcPr>
          <w:p w14:paraId="203698D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0,64</w:t>
            </w:r>
          </w:p>
        </w:tc>
        <w:tc>
          <w:tcPr>
            <w:tcW w:w="702" w:type="dxa"/>
          </w:tcPr>
          <w:p w14:paraId="6991D6C2"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192</w:t>
            </w:r>
          </w:p>
        </w:tc>
        <w:tc>
          <w:tcPr>
            <w:tcW w:w="708" w:type="dxa"/>
          </w:tcPr>
          <w:p w14:paraId="1AE8C96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0,51</w:t>
            </w:r>
          </w:p>
        </w:tc>
        <w:tc>
          <w:tcPr>
            <w:tcW w:w="567" w:type="dxa"/>
          </w:tcPr>
          <w:p w14:paraId="6F83A16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w:t>
            </w:r>
          </w:p>
        </w:tc>
        <w:tc>
          <w:tcPr>
            <w:tcW w:w="851" w:type="dxa"/>
          </w:tcPr>
          <w:p w14:paraId="27D4BC1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0,30</w:t>
            </w:r>
          </w:p>
        </w:tc>
        <w:tc>
          <w:tcPr>
            <w:tcW w:w="709" w:type="dxa"/>
          </w:tcPr>
          <w:p w14:paraId="2740DB5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w:t>
            </w:r>
          </w:p>
        </w:tc>
        <w:tc>
          <w:tcPr>
            <w:tcW w:w="708" w:type="dxa"/>
          </w:tcPr>
          <w:p w14:paraId="7E2B13F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0,18</w:t>
            </w:r>
          </w:p>
        </w:tc>
        <w:tc>
          <w:tcPr>
            <w:tcW w:w="567" w:type="dxa"/>
          </w:tcPr>
          <w:p w14:paraId="55A9942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9</w:t>
            </w:r>
          </w:p>
        </w:tc>
        <w:tc>
          <w:tcPr>
            <w:tcW w:w="709" w:type="dxa"/>
          </w:tcPr>
          <w:p w14:paraId="65A5FA5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0,55</w:t>
            </w:r>
          </w:p>
        </w:tc>
        <w:tc>
          <w:tcPr>
            <w:tcW w:w="567" w:type="dxa"/>
          </w:tcPr>
          <w:p w14:paraId="2B81580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13</w:t>
            </w:r>
          </w:p>
        </w:tc>
        <w:tc>
          <w:tcPr>
            <w:tcW w:w="709" w:type="dxa"/>
          </w:tcPr>
          <w:p w14:paraId="1C1A295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0,79</w:t>
            </w:r>
          </w:p>
        </w:tc>
        <w:tc>
          <w:tcPr>
            <w:tcW w:w="567" w:type="dxa"/>
          </w:tcPr>
          <w:p w14:paraId="32B15FB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8</w:t>
            </w:r>
          </w:p>
        </w:tc>
        <w:tc>
          <w:tcPr>
            <w:tcW w:w="709" w:type="dxa"/>
          </w:tcPr>
          <w:p w14:paraId="59B229F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0,49</w:t>
            </w:r>
          </w:p>
        </w:tc>
      </w:tr>
      <w:tr w:rsidR="000B4D72" w:rsidRPr="00FF50CD" w14:paraId="5A59D206" w14:textId="77777777" w:rsidTr="00F865A1">
        <w:trPr>
          <w:trHeight w:val="473"/>
        </w:trPr>
        <w:tc>
          <w:tcPr>
            <w:cnfStyle w:val="001000000000" w:firstRow="0" w:lastRow="0" w:firstColumn="1" w:lastColumn="0" w:oddVBand="0" w:evenVBand="0" w:oddHBand="0" w:evenHBand="0" w:firstRowFirstColumn="0" w:firstRowLastColumn="0" w:lastRowFirstColumn="0" w:lastRowLastColumn="0"/>
            <w:tcW w:w="892" w:type="dxa"/>
          </w:tcPr>
          <w:p w14:paraId="010CBF37" w14:textId="77777777" w:rsidR="000B4D72" w:rsidRPr="00FF50CD" w:rsidRDefault="000B4D72" w:rsidP="00597239">
            <w:pPr>
              <w:rPr>
                <w:rFonts w:ascii="Calibri" w:eastAsia="Times New Roman" w:hAnsi="Calibri" w:cs="Calibri"/>
                <w:b w:val="0"/>
                <w:bCs w:val="0"/>
                <w:color w:val="000000" w:themeColor="text1"/>
                <w:spacing w:val="-4"/>
                <w:sz w:val="16"/>
                <w:szCs w:val="16"/>
                <w:lang w:eastAsia="pl-PL"/>
              </w:rPr>
            </w:pPr>
            <w:r w:rsidRPr="00FF50CD">
              <w:rPr>
                <w:rFonts w:ascii="Calibri" w:eastAsia="Times New Roman" w:hAnsi="Calibri" w:cs="Calibri"/>
                <w:b w:val="0"/>
                <w:bCs w:val="0"/>
                <w:color w:val="000000" w:themeColor="text1"/>
                <w:spacing w:val="-4"/>
                <w:sz w:val="16"/>
                <w:szCs w:val="16"/>
                <w:lang w:eastAsia="pl-PL"/>
              </w:rPr>
              <w:t>krztusiec</w:t>
            </w:r>
          </w:p>
        </w:tc>
        <w:tc>
          <w:tcPr>
            <w:tcW w:w="799" w:type="dxa"/>
          </w:tcPr>
          <w:p w14:paraId="61105FC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753</w:t>
            </w:r>
          </w:p>
        </w:tc>
        <w:tc>
          <w:tcPr>
            <w:tcW w:w="709" w:type="dxa"/>
          </w:tcPr>
          <w:p w14:paraId="4C36EAA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1,96</w:t>
            </w:r>
          </w:p>
        </w:tc>
        <w:tc>
          <w:tcPr>
            <w:tcW w:w="709" w:type="dxa"/>
          </w:tcPr>
          <w:p w14:paraId="71D4BEB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182</w:t>
            </w:r>
          </w:p>
        </w:tc>
        <w:tc>
          <w:tcPr>
            <w:tcW w:w="567" w:type="dxa"/>
          </w:tcPr>
          <w:p w14:paraId="09A464B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0,48</w:t>
            </w:r>
          </w:p>
        </w:tc>
        <w:tc>
          <w:tcPr>
            <w:tcW w:w="686" w:type="dxa"/>
          </w:tcPr>
          <w:p w14:paraId="02B8A73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371</w:t>
            </w:r>
          </w:p>
        </w:tc>
        <w:tc>
          <w:tcPr>
            <w:tcW w:w="587" w:type="dxa"/>
          </w:tcPr>
          <w:p w14:paraId="00F3773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0,98</w:t>
            </w:r>
          </w:p>
        </w:tc>
        <w:tc>
          <w:tcPr>
            <w:tcW w:w="801" w:type="dxa"/>
          </w:tcPr>
          <w:p w14:paraId="1731667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922</w:t>
            </w:r>
          </w:p>
        </w:tc>
        <w:tc>
          <w:tcPr>
            <w:tcW w:w="768" w:type="dxa"/>
          </w:tcPr>
          <w:p w14:paraId="5D34491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2,45</w:t>
            </w:r>
          </w:p>
        </w:tc>
        <w:tc>
          <w:tcPr>
            <w:tcW w:w="702" w:type="dxa"/>
          </w:tcPr>
          <w:p w14:paraId="39E43BE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32430</w:t>
            </w:r>
          </w:p>
        </w:tc>
        <w:tc>
          <w:tcPr>
            <w:tcW w:w="708" w:type="dxa"/>
          </w:tcPr>
          <w:p w14:paraId="03DB868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86,33</w:t>
            </w:r>
          </w:p>
        </w:tc>
        <w:tc>
          <w:tcPr>
            <w:tcW w:w="567" w:type="dxa"/>
          </w:tcPr>
          <w:p w14:paraId="17C3DE6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39</w:t>
            </w:r>
          </w:p>
        </w:tc>
        <w:tc>
          <w:tcPr>
            <w:tcW w:w="851" w:type="dxa"/>
          </w:tcPr>
          <w:p w14:paraId="5038D41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2,30</w:t>
            </w:r>
          </w:p>
        </w:tc>
        <w:tc>
          <w:tcPr>
            <w:tcW w:w="709" w:type="dxa"/>
          </w:tcPr>
          <w:p w14:paraId="2F2D3DB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14</w:t>
            </w:r>
          </w:p>
        </w:tc>
        <w:tc>
          <w:tcPr>
            <w:tcW w:w="708" w:type="dxa"/>
          </w:tcPr>
          <w:p w14:paraId="75A45FC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0,83</w:t>
            </w:r>
          </w:p>
        </w:tc>
        <w:tc>
          <w:tcPr>
            <w:tcW w:w="567" w:type="dxa"/>
          </w:tcPr>
          <w:p w14:paraId="3DFB432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11</w:t>
            </w:r>
          </w:p>
        </w:tc>
        <w:tc>
          <w:tcPr>
            <w:tcW w:w="709" w:type="dxa"/>
          </w:tcPr>
          <w:p w14:paraId="6B4B7AA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0,67</w:t>
            </w:r>
          </w:p>
        </w:tc>
        <w:tc>
          <w:tcPr>
            <w:tcW w:w="567" w:type="dxa"/>
          </w:tcPr>
          <w:p w14:paraId="49ACD91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12</w:t>
            </w:r>
          </w:p>
        </w:tc>
        <w:tc>
          <w:tcPr>
            <w:tcW w:w="709" w:type="dxa"/>
          </w:tcPr>
          <w:p w14:paraId="0712315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0,73</w:t>
            </w:r>
          </w:p>
        </w:tc>
        <w:tc>
          <w:tcPr>
            <w:tcW w:w="567" w:type="dxa"/>
          </w:tcPr>
          <w:p w14:paraId="5FFB771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642</w:t>
            </w:r>
          </w:p>
        </w:tc>
        <w:tc>
          <w:tcPr>
            <w:tcW w:w="709" w:type="dxa"/>
          </w:tcPr>
          <w:p w14:paraId="4D15DA0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39,46</w:t>
            </w:r>
          </w:p>
        </w:tc>
      </w:tr>
      <w:tr w:rsidR="000B4D72" w:rsidRPr="00FF50CD" w14:paraId="090F3A68" w14:textId="77777777" w:rsidTr="00F865A1">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92" w:type="dxa"/>
          </w:tcPr>
          <w:p w14:paraId="42DB12B6"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r w:rsidRPr="00FF50CD">
              <w:rPr>
                <w:rFonts w:ascii="Calibri" w:eastAsia="Times New Roman" w:hAnsi="Calibri" w:cs="Calibri"/>
                <w:b w:val="0"/>
                <w:bCs w:val="0"/>
                <w:color w:val="000000" w:themeColor="text1"/>
                <w:sz w:val="16"/>
                <w:szCs w:val="16"/>
                <w:lang w:eastAsia="pl-PL"/>
              </w:rPr>
              <w:t>ospa wietrzna</w:t>
            </w:r>
          </w:p>
        </w:tc>
        <w:tc>
          <w:tcPr>
            <w:tcW w:w="799" w:type="dxa"/>
          </w:tcPr>
          <w:p w14:paraId="6969A47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71567</w:t>
            </w:r>
          </w:p>
        </w:tc>
        <w:tc>
          <w:tcPr>
            <w:tcW w:w="709" w:type="dxa"/>
          </w:tcPr>
          <w:p w14:paraId="14D8171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186,60</w:t>
            </w:r>
          </w:p>
        </w:tc>
        <w:tc>
          <w:tcPr>
            <w:tcW w:w="709" w:type="dxa"/>
          </w:tcPr>
          <w:p w14:paraId="40FBAD38"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57669</w:t>
            </w:r>
          </w:p>
        </w:tc>
        <w:tc>
          <w:tcPr>
            <w:tcW w:w="567" w:type="dxa"/>
          </w:tcPr>
          <w:p w14:paraId="1231169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151,12</w:t>
            </w:r>
          </w:p>
        </w:tc>
        <w:tc>
          <w:tcPr>
            <w:tcW w:w="686" w:type="dxa"/>
          </w:tcPr>
          <w:p w14:paraId="003C38C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171708</w:t>
            </w:r>
          </w:p>
        </w:tc>
        <w:tc>
          <w:tcPr>
            <w:tcW w:w="587" w:type="dxa"/>
          </w:tcPr>
          <w:p w14:paraId="215B24A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453,93</w:t>
            </w:r>
          </w:p>
        </w:tc>
        <w:tc>
          <w:tcPr>
            <w:tcW w:w="801" w:type="dxa"/>
          </w:tcPr>
          <w:p w14:paraId="4099E5E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190853</w:t>
            </w:r>
          </w:p>
        </w:tc>
        <w:tc>
          <w:tcPr>
            <w:tcW w:w="768" w:type="dxa"/>
          </w:tcPr>
          <w:p w14:paraId="6B15788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506,19</w:t>
            </w:r>
          </w:p>
        </w:tc>
        <w:tc>
          <w:tcPr>
            <w:tcW w:w="702" w:type="dxa"/>
          </w:tcPr>
          <w:p w14:paraId="31BCBF6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153640</w:t>
            </w:r>
          </w:p>
        </w:tc>
        <w:tc>
          <w:tcPr>
            <w:tcW w:w="708" w:type="dxa"/>
          </w:tcPr>
          <w:p w14:paraId="3108E5C2"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409,02</w:t>
            </w:r>
          </w:p>
        </w:tc>
        <w:tc>
          <w:tcPr>
            <w:tcW w:w="567" w:type="dxa"/>
          </w:tcPr>
          <w:p w14:paraId="3D63148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2965</w:t>
            </w:r>
          </w:p>
        </w:tc>
        <w:tc>
          <w:tcPr>
            <w:tcW w:w="851" w:type="dxa"/>
          </w:tcPr>
          <w:p w14:paraId="1D182D3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175,11</w:t>
            </w:r>
          </w:p>
        </w:tc>
        <w:tc>
          <w:tcPr>
            <w:tcW w:w="709" w:type="dxa"/>
          </w:tcPr>
          <w:p w14:paraId="438BF94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2515</w:t>
            </w:r>
          </w:p>
        </w:tc>
        <w:tc>
          <w:tcPr>
            <w:tcW w:w="708" w:type="dxa"/>
          </w:tcPr>
          <w:p w14:paraId="6BE66E7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149,52</w:t>
            </w:r>
          </w:p>
        </w:tc>
        <w:tc>
          <w:tcPr>
            <w:tcW w:w="567" w:type="dxa"/>
          </w:tcPr>
          <w:p w14:paraId="022866A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7837</w:t>
            </w:r>
          </w:p>
        </w:tc>
        <w:tc>
          <w:tcPr>
            <w:tcW w:w="709" w:type="dxa"/>
          </w:tcPr>
          <w:p w14:paraId="62F7011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476,40</w:t>
            </w:r>
          </w:p>
        </w:tc>
        <w:tc>
          <w:tcPr>
            <w:tcW w:w="567" w:type="dxa"/>
          </w:tcPr>
          <w:p w14:paraId="38F1A2D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6984</w:t>
            </w:r>
          </w:p>
        </w:tc>
        <w:tc>
          <w:tcPr>
            <w:tcW w:w="709" w:type="dxa"/>
          </w:tcPr>
          <w:p w14:paraId="290076D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426,82</w:t>
            </w:r>
          </w:p>
        </w:tc>
        <w:tc>
          <w:tcPr>
            <w:tcW w:w="567" w:type="dxa"/>
          </w:tcPr>
          <w:p w14:paraId="11DB9EB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5314</w:t>
            </w:r>
          </w:p>
        </w:tc>
        <w:tc>
          <w:tcPr>
            <w:tcW w:w="709" w:type="dxa"/>
          </w:tcPr>
          <w:p w14:paraId="3164F4C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326,64</w:t>
            </w:r>
          </w:p>
        </w:tc>
      </w:tr>
      <w:tr w:rsidR="000B4D72" w:rsidRPr="00FF50CD" w14:paraId="4D289545" w14:textId="77777777" w:rsidTr="00F865A1">
        <w:trPr>
          <w:trHeight w:val="586"/>
        </w:trPr>
        <w:tc>
          <w:tcPr>
            <w:cnfStyle w:val="001000000000" w:firstRow="0" w:lastRow="0" w:firstColumn="1" w:lastColumn="0" w:oddVBand="0" w:evenVBand="0" w:oddHBand="0" w:evenHBand="0" w:firstRowFirstColumn="0" w:firstRowLastColumn="0" w:lastRowFirstColumn="0" w:lastRowLastColumn="0"/>
            <w:tcW w:w="892" w:type="dxa"/>
          </w:tcPr>
          <w:p w14:paraId="28405F88"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r w:rsidRPr="00FF50CD">
              <w:rPr>
                <w:rFonts w:ascii="Calibri" w:eastAsia="Times New Roman" w:hAnsi="Calibri" w:cs="Calibri"/>
                <w:b w:val="0"/>
                <w:bCs w:val="0"/>
                <w:color w:val="000000" w:themeColor="text1"/>
                <w:sz w:val="16"/>
                <w:szCs w:val="16"/>
                <w:lang w:eastAsia="pl-PL"/>
              </w:rPr>
              <w:t>ostre porażenia</w:t>
            </w:r>
          </w:p>
          <w:p w14:paraId="489D9D47" w14:textId="77777777" w:rsidR="000B4D72" w:rsidRPr="00FF50CD" w:rsidRDefault="000B4D72" w:rsidP="00597239">
            <w:pPr>
              <w:rPr>
                <w:rFonts w:ascii="Calibri" w:eastAsia="Times New Roman" w:hAnsi="Calibri" w:cs="Calibri"/>
                <w:b w:val="0"/>
                <w:bCs w:val="0"/>
                <w:color w:val="000000" w:themeColor="text1"/>
                <w:sz w:val="16"/>
                <w:szCs w:val="16"/>
                <w:lang w:eastAsia="pl-PL"/>
              </w:rPr>
            </w:pPr>
            <w:r w:rsidRPr="00FF50CD">
              <w:rPr>
                <w:rFonts w:ascii="Calibri" w:eastAsia="Times New Roman" w:hAnsi="Calibri" w:cs="Calibri"/>
                <w:b w:val="0"/>
                <w:bCs w:val="0"/>
                <w:color w:val="000000" w:themeColor="text1"/>
                <w:sz w:val="16"/>
                <w:szCs w:val="16"/>
                <w:lang w:eastAsia="pl-PL"/>
              </w:rPr>
              <w:t>wiotkie*</w:t>
            </w:r>
          </w:p>
        </w:tc>
        <w:tc>
          <w:tcPr>
            <w:tcW w:w="799" w:type="dxa"/>
          </w:tcPr>
          <w:p w14:paraId="61A7817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18</w:t>
            </w:r>
          </w:p>
        </w:tc>
        <w:tc>
          <w:tcPr>
            <w:tcW w:w="709" w:type="dxa"/>
          </w:tcPr>
          <w:p w14:paraId="721E6F7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0,31</w:t>
            </w:r>
            <w:r w:rsidRPr="00FF50CD">
              <w:rPr>
                <w:rFonts w:ascii="Calibri" w:eastAsia="Times New Roman" w:hAnsi="Calibri" w:cs="Calibri"/>
                <w:smallCaps/>
                <w:sz w:val="16"/>
                <w:szCs w:val="16"/>
                <w:lang w:eastAsia="pl-PL"/>
              </w:rPr>
              <w:t>*</w:t>
            </w:r>
          </w:p>
        </w:tc>
        <w:tc>
          <w:tcPr>
            <w:tcW w:w="709" w:type="dxa"/>
          </w:tcPr>
          <w:p w14:paraId="14A6519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37</w:t>
            </w:r>
          </w:p>
        </w:tc>
        <w:tc>
          <w:tcPr>
            <w:tcW w:w="567" w:type="dxa"/>
          </w:tcPr>
          <w:p w14:paraId="4B95CEC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0,63</w:t>
            </w:r>
            <w:r w:rsidRPr="00FF50CD">
              <w:rPr>
                <w:rFonts w:ascii="Calibri" w:eastAsia="Times New Roman" w:hAnsi="Calibri" w:cs="Calibri"/>
                <w:smallCaps/>
                <w:sz w:val="16"/>
                <w:szCs w:val="16"/>
                <w:lang w:eastAsia="pl-PL"/>
              </w:rPr>
              <w:t>*</w:t>
            </w:r>
          </w:p>
        </w:tc>
        <w:tc>
          <w:tcPr>
            <w:tcW w:w="686" w:type="dxa"/>
          </w:tcPr>
          <w:p w14:paraId="4D2A5A7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51</w:t>
            </w:r>
          </w:p>
        </w:tc>
        <w:tc>
          <w:tcPr>
            <w:tcW w:w="587" w:type="dxa"/>
          </w:tcPr>
          <w:p w14:paraId="6CDE886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0,87</w:t>
            </w:r>
            <w:r w:rsidRPr="00FF50CD">
              <w:rPr>
                <w:rFonts w:ascii="Calibri" w:eastAsia="Times New Roman" w:hAnsi="Calibri" w:cs="Calibri"/>
                <w:smallCaps/>
                <w:sz w:val="16"/>
                <w:szCs w:val="16"/>
                <w:lang w:eastAsia="pl-PL"/>
              </w:rPr>
              <w:t>*</w:t>
            </w:r>
          </w:p>
        </w:tc>
        <w:tc>
          <w:tcPr>
            <w:tcW w:w="801" w:type="dxa"/>
          </w:tcPr>
          <w:p w14:paraId="3025036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0000"/>
                <w:sz w:val="16"/>
                <w:szCs w:val="16"/>
                <w:lang w:eastAsia="pl-PL"/>
              </w:rPr>
            </w:pPr>
            <w:r w:rsidRPr="00FF50CD">
              <w:rPr>
                <w:rFonts w:ascii="Calibri" w:eastAsia="Times New Roman" w:hAnsi="Calibri" w:cs="Calibri"/>
                <w:sz w:val="16"/>
                <w:szCs w:val="16"/>
                <w:lang w:eastAsia="pl-PL"/>
              </w:rPr>
              <w:t>69</w:t>
            </w:r>
          </w:p>
        </w:tc>
        <w:tc>
          <w:tcPr>
            <w:tcW w:w="768" w:type="dxa"/>
          </w:tcPr>
          <w:p w14:paraId="17009B0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FF0000"/>
                <w:sz w:val="16"/>
                <w:szCs w:val="16"/>
                <w:lang w:eastAsia="pl-PL"/>
              </w:rPr>
            </w:pPr>
            <w:r w:rsidRPr="00FF50CD">
              <w:rPr>
                <w:rFonts w:ascii="Calibri" w:eastAsia="Times New Roman" w:hAnsi="Calibri" w:cs="Calibri"/>
                <w:color w:val="000000" w:themeColor="text1"/>
                <w:sz w:val="16"/>
                <w:szCs w:val="16"/>
                <w:lang w:eastAsia="pl-PL"/>
              </w:rPr>
              <w:t>1,20</w:t>
            </w:r>
            <w:r w:rsidRPr="00FF50CD">
              <w:rPr>
                <w:rFonts w:ascii="Calibri" w:eastAsia="Times New Roman" w:hAnsi="Calibri" w:cs="Calibri"/>
                <w:smallCaps/>
                <w:color w:val="000000" w:themeColor="text1"/>
                <w:sz w:val="16"/>
                <w:szCs w:val="16"/>
                <w:lang w:eastAsia="pl-PL"/>
              </w:rPr>
              <w:t>*</w:t>
            </w:r>
          </w:p>
        </w:tc>
        <w:tc>
          <w:tcPr>
            <w:tcW w:w="702" w:type="dxa"/>
          </w:tcPr>
          <w:p w14:paraId="0D47304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67</w:t>
            </w:r>
          </w:p>
        </w:tc>
        <w:tc>
          <w:tcPr>
            <w:tcW w:w="708" w:type="dxa"/>
          </w:tcPr>
          <w:p w14:paraId="7F1324F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16"/>
                <w:szCs w:val="16"/>
                <w:lang w:eastAsia="pl-PL"/>
              </w:rPr>
            </w:pPr>
            <w:r w:rsidRPr="00FF50CD">
              <w:rPr>
                <w:rFonts w:ascii="Calibri" w:eastAsia="Times New Roman" w:hAnsi="Calibri" w:cs="Calibri"/>
                <w:color w:val="000000" w:themeColor="text1"/>
                <w:sz w:val="16"/>
                <w:szCs w:val="16"/>
                <w:lang w:eastAsia="pl-PL"/>
              </w:rPr>
              <w:t>1,20</w:t>
            </w:r>
            <w:r w:rsidRPr="00FF50CD">
              <w:rPr>
                <w:rFonts w:ascii="Calibri" w:eastAsia="Times New Roman" w:hAnsi="Calibri" w:cs="Calibri"/>
                <w:smallCaps/>
                <w:color w:val="000000" w:themeColor="text1"/>
                <w:sz w:val="16"/>
                <w:szCs w:val="16"/>
                <w:lang w:eastAsia="pl-PL"/>
              </w:rPr>
              <w:t>*</w:t>
            </w:r>
          </w:p>
        </w:tc>
        <w:tc>
          <w:tcPr>
            <w:tcW w:w="567" w:type="dxa"/>
          </w:tcPr>
          <w:p w14:paraId="1C7E4BD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w:t>
            </w:r>
          </w:p>
        </w:tc>
        <w:tc>
          <w:tcPr>
            <w:tcW w:w="851" w:type="dxa"/>
          </w:tcPr>
          <w:p w14:paraId="343103E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w:t>
            </w:r>
          </w:p>
        </w:tc>
        <w:tc>
          <w:tcPr>
            <w:tcW w:w="709" w:type="dxa"/>
          </w:tcPr>
          <w:p w14:paraId="576E70C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w:t>
            </w:r>
          </w:p>
        </w:tc>
        <w:tc>
          <w:tcPr>
            <w:tcW w:w="708" w:type="dxa"/>
          </w:tcPr>
          <w:p w14:paraId="42E887C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0,83*</w:t>
            </w:r>
          </w:p>
        </w:tc>
        <w:tc>
          <w:tcPr>
            <w:tcW w:w="567" w:type="dxa"/>
          </w:tcPr>
          <w:p w14:paraId="6DAE048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2</w:t>
            </w:r>
          </w:p>
        </w:tc>
        <w:tc>
          <w:tcPr>
            <w:tcW w:w="709" w:type="dxa"/>
          </w:tcPr>
          <w:p w14:paraId="47F0BF6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0,84*</w:t>
            </w:r>
          </w:p>
        </w:tc>
        <w:tc>
          <w:tcPr>
            <w:tcW w:w="567" w:type="dxa"/>
          </w:tcPr>
          <w:p w14:paraId="79ECB9B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3</w:t>
            </w:r>
          </w:p>
        </w:tc>
        <w:tc>
          <w:tcPr>
            <w:tcW w:w="709" w:type="dxa"/>
          </w:tcPr>
          <w:p w14:paraId="099CE09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1,29*</w:t>
            </w:r>
          </w:p>
        </w:tc>
        <w:tc>
          <w:tcPr>
            <w:tcW w:w="567" w:type="dxa"/>
          </w:tcPr>
          <w:p w14:paraId="6260F5A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1</w:t>
            </w:r>
          </w:p>
        </w:tc>
        <w:tc>
          <w:tcPr>
            <w:tcW w:w="709" w:type="dxa"/>
          </w:tcPr>
          <w:p w14:paraId="3CBD81C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0,45*</w:t>
            </w:r>
          </w:p>
        </w:tc>
      </w:tr>
    </w:tbl>
    <w:bookmarkEnd w:id="66"/>
    <w:p w14:paraId="28F35A13" w14:textId="77777777" w:rsidR="000B4D72" w:rsidRPr="003A793F" w:rsidRDefault="000B4D72" w:rsidP="00597239">
      <w:pPr>
        <w:ind w:firstLine="708"/>
        <w:rPr>
          <w:rFonts w:eastAsia="Times New Roman" w:cstheme="minorHAnsi"/>
          <w:color w:val="FF0000"/>
          <w:sz w:val="18"/>
          <w:szCs w:val="18"/>
          <w:lang w:eastAsia="pl-PL"/>
        </w:rPr>
        <w:sectPr w:rsidR="000B4D72" w:rsidRPr="003A793F" w:rsidSect="000B4D72">
          <w:footerReference w:type="even" r:id="rId17"/>
          <w:footerReference w:type="default" r:id="rId18"/>
          <w:pgSz w:w="16840" w:h="11907" w:orient="landscape" w:code="9"/>
          <w:pgMar w:top="1418" w:right="1418" w:bottom="1418" w:left="1418" w:header="709" w:footer="709" w:gutter="0"/>
          <w:cols w:space="708"/>
        </w:sectPr>
      </w:pPr>
      <w:r w:rsidRPr="00F228C7">
        <w:rPr>
          <w:rFonts w:eastAsia="Times New Roman" w:cstheme="minorHAnsi"/>
          <w:b/>
          <w:color w:val="000000" w:themeColor="text1"/>
          <w:sz w:val="18"/>
          <w:szCs w:val="18"/>
          <w:lang w:eastAsia="pl-PL"/>
        </w:rPr>
        <w:t>*</w:t>
      </w:r>
      <w:r w:rsidRPr="00F228C7">
        <w:rPr>
          <w:rFonts w:eastAsia="Times New Roman" w:cstheme="minorHAnsi"/>
          <w:color w:val="000000" w:themeColor="text1"/>
          <w:sz w:val="18"/>
          <w:szCs w:val="18"/>
          <w:lang w:eastAsia="pl-PL"/>
        </w:rPr>
        <w:t>zapadalność obliczona na podstawie populacji dzieci 0-14 r.ż. na 100 tys.</w:t>
      </w:r>
    </w:p>
    <w:p w14:paraId="1AD354DC" w14:textId="4776BCBB" w:rsidR="000B4D72" w:rsidRPr="00C3734C" w:rsidRDefault="000B4D72" w:rsidP="00597239">
      <w:pPr>
        <w:pStyle w:val="Nagwek3"/>
        <w:numPr>
          <w:ilvl w:val="1"/>
          <w:numId w:val="19"/>
        </w:numPr>
        <w:spacing w:before="0" w:after="0"/>
        <w:ind w:left="568" w:hanging="284"/>
      </w:pPr>
      <w:bookmarkStart w:id="67" w:name="_Toc192678702"/>
      <w:bookmarkStart w:id="68" w:name="_Toc193694442"/>
      <w:bookmarkStart w:id="69" w:name="_Toc194059780"/>
      <w:r w:rsidRPr="00C3734C">
        <w:lastRenderedPageBreak/>
        <w:t>Zapalenie opon mózgowo-rdzeniowych i mózgu</w:t>
      </w:r>
      <w:bookmarkEnd w:id="67"/>
      <w:bookmarkEnd w:id="68"/>
      <w:bookmarkEnd w:id="69"/>
    </w:p>
    <w:p w14:paraId="386B3A1D" w14:textId="77777777" w:rsidR="000B4D72" w:rsidRPr="00C3734C" w:rsidRDefault="000B4D72" w:rsidP="00597239">
      <w:pPr>
        <w:spacing w:after="0" w:line="276" w:lineRule="auto"/>
        <w:rPr>
          <w:sz w:val="24"/>
          <w:szCs w:val="24"/>
        </w:rPr>
      </w:pPr>
      <w:r w:rsidRPr="00C3734C">
        <w:rPr>
          <w:sz w:val="24"/>
          <w:szCs w:val="24"/>
        </w:rPr>
        <w:t xml:space="preserve">Epidemiologia zapaleń ośrodkowego układu nerwowego zależy od wieku oraz czynników predysponujących, zarówno tych związanych z cechami drobnoustrojów jak i organizmem gospodarza, a także od pory roku. </w:t>
      </w:r>
    </w:p>
    <w:p w14:paraId="11508E14" w14:textId="77777777" w:rsidR="00EE16EC" w:rsidRDefault="00EE16EC" w:rsidP="00597239">
      <w:pPr>
        <w:spacing w:after="0" w:line="276" w:lineRule="auto"/>
        <w:rPr>
          <w:sz w:val="24"/>
          <w:szCs w:val="24"/>
        </w:rPr>
      </w:pPr>
    </w:p>
    <w:p w14:paraId="04A13B3D" w14:textId="635D674B" w:rsidR="000B4D72" w:rsidRDefault="000B4D72" w:rsidP="00597239">
      <w:pPr>
        <w:spacing w:after="0" w:line="276" w:lineRule="auto"/>
        <w:rPr>
          <w:sz w:val="24"/>
          <w:szCs w:val="24"/>
        </w:rPr>
      </w:pPr>
      <w:r w:rsidRPr="00C3734C">
        <w:rPr>
          <w:sz w:val="24"/>
          <w:szCs w:val="24"/>
        </w:rPr>
        <w:t xml:space="preserve">W 2024 roku w woj. zachodniopomorskim odnotowano 137 zachorowań (współczynnik zapadalności 8,42 na 100 tys. mieszkańców). </w:t>
      </w:r>
    </w:p>
    <w:p w14:paraId="46811CA7" w14:textId="77777777" w:rsidR="00EE16EC" w:rsidRPr="00C3734C" w:rsidRDefault="00EE16EC" w:rsidP="00597239">
      <w:pPr>
        <w:spacing w:after="0" w:line="276" w:lineRule="auto"/>
        <w:rPr>
          <w:sz w:val="24"/>
          <w:szCs w:val="24"/>
        </w:rPr>
      </w:pPr>
    </w:p>
    <w:p w14:paraId="386A3853" w14:textId="77777777" w:rsidR="000B4D72" w:rsidRPr="00C3734C" w:rsidRDefault="000B4D72" w:rsidP="00597239">
      <w:pPr>
        <w:tabs>
          <w:tab w:val="left" w:pos="993"/>
        </w:tabs>
        <w:spacing w:after="0" w:line="276" w:lineRule="auto"/>
        <w:rPr>
          <w:b/>
          <w:bCs/>
          <w:sz w:val="24"/>
          <w:szCs w:val="24"/>
        </w:rPr>
      </w:pPr>
      <w:r w:rsidRPr="00C3734C">
        <w:rPr>
          <w:b/>
          <w:bCs/>
          <w:iCs/>
          <w:sz w:val="24"/>
          <w:szCs w:val="24"/>
        </w:rPr>
        <w:t xml:space="preserve">Bakteryjne zapalenia opon mózgowych i mózgu </w:t>
      </w:r>
    </w:p>
    <w:p w14:paraId="5DFFA596" w14:textId="4A255336" w:rsidR="000B4D72" w:rsidRDefault="000B4D72" w:rsidP="00597239">
      <w:pPr>
        <w:spacing w:after="0" w:line="276" w:lineRule="auto"/>
        <w:rPr>
          <w:sz w:val="24"/>
          <w:szCs w:val="24"/>
        </w:rPr>
      </w:pPr>
      <w:r w:rsidRPr="00C3734C">
        <w:rPr>
          <w:sz w:val="24"/>
          <w:szCs w:val="24"/>
        </w:rPr>
        <w:t>W 2024 r. nie odnotowano wzrostu zachorowań na bakteryjne zapalenie opon mózgowych i</w:t>
      </w:r>
      <w:r w:rsidR="00EE16EC">
        <w:rPr>
          <w:sz w:val="24"/>
          <w:szCs w:val="24"/>
        </w:rPr>
        <w:t> </w:t>
      </w:r>
      <w:r w:rsidRPr="00C3734C">
        <w:rPr>
          <w:sz w:val="24"/>
          <w:szCs w:val="24"/>
        </w:rPr>
        <w:t xml:space="preserve">mózgu zarówno na terenie Polski, jak i w woj. zachodniopomorskim. Na terenie województwa odnotowano 50 </w:t>
      </w:r>
      <w:r>
        <w:rPr>
          <w:sz w:val="24"/>
          <w:szCs w:val="24"/>
        </w:rPr>
        <w:t>zachorowań</w:t>
      </w:r>
      <w:r w:rsidRPr="00C3734C">
        <w:rPr>
          <w:sz w:val="24"/>
          <w:szCs w:val="24"/>
        </w:rPr>
        <w:t xml:space="preserve">, </w:t>
      </w:r>
      <w:r>
        <w:rPr>
          <w:sz w:val="24"/>
          <w:szCs w:val="24"/>
        </w:rPr>
        <w:t>w tym</w:t>
      </w:r>
      <w:r w:rsidRPr="00C3734C">
        <w:rPr>
          <w:sz w:val="24"/>
          <w:szCs w:val="24"/>
        </w:rPr>
        <w:t xml:space="preserve"> w 47 przypadkach ustalono czynnik etiologiczny, tj.:</w:t>
      </w:r>
      <w:r w:rsidRPr="000A6732">
        <w:rPr>
          <w:i/>
          <w:iCs/>
          <w:sz w:val="24"/>
          <w:szCs w:val="24"/>
        </w:rPr>
        <w:t xml:space="preserve"> </w:t>
      </w:r>
      <w:r w:rsidRPr="00C3734C">
        <w:rPr>
          <w:i/>
          <w:iCs/>
          <w:sz w:val="24"/>
          <w:szCs w:val="24"/>
        </w:rPr>
        <w:t>Neisseria meningitidis</w:t>
      </w:r>
      <w:r>
        <w:rPr>
          <w:i/>
          <w:iCs/>
          <w:sz w:val="24"/>
          <w:szCs w:val="24"/>
        </w:rPr>
        <w:t xml:space="preserve"> (6 osób), </w:t>
      </w:r>
      <w:r w:rsidRPr="00C3734C">
        <w:rPr>
          <w:i/>
          <w:iCs/>
          <w:sz w:val="24"/>
          <w:szCs w:val="24"/>
        </w:rPr>
        <w:t>Streptococcus pneumoniae</w:t>
      </w:r>
      <w:r>
        <w:rPr>
          <w:i/>
          <w:iCs/>
          <w:sz w:val="24"/>
          <w:szCs w:val="24"/>
        </w:rPr>
        <w:t xml:space="preserve"> (13 osób),</w:t>
      </w:r>
      <w:r w:rsidRPr="000A6732">
        <w:rPr>
          <w:i/>
          <w:iCs/>
          <w:sz w:val="24"/>
          <w:szCs w:val="24"/>
        </w:rPr>
        <w:t xml:space="preserve"> </w:t>
      </w:r>
      <w:r w:rsidRPr="00C3734C">
        <w:rPr>
          <w:i/>
          <w:iCs/>
          <w:sz w:val="24"/>
          <w:szCs w:val="24"/>
        </w:rPr>
        <w:t>Haemophilus influenzae</w:t>
      </w:r>
      <w:r>
        <w:rPr>
          <w:i/>
          <w:iCs/>
          <w:sz w:val="24"/>
          <w:szCs w:val="24"/>
        </w:rPr>
        <w:t xml:space="preserve"> (3 osoby), a w pojedynczych przypadkach:</w:t>
      </w:r>
      <w:r w:rsidRPr="000A6732">
        <w:rPr>
          <w:i/>
          <w:iCs/>
          <w:sz w:val="24"/>
          <w:szCs w:val="24"/>
        </w:rPr>
        <w:t xml:space="preserve"> </w:t>
      </w:r>
      <w:r w:rsidRPr="00C3734C">
        <w:rPr>
          <w:i/>
          <w:iCs/>
          <w:sz w:val="24"/>
          <w:szCs w:val="24"/>
        </w:rPr>
        <w:t>Streptococcus agalact</w:t>
      </w:r>
      <w:r>
        <w:rPr>
          <w:i/>
          <w:iCs/>
          <w:sz w:val="24"/>
          <w:szCs w:val="24"/>
        </w:rPr>
        <w:t>i</w:t>
      </w:r>
      <w:r w:rsidRPr="00C3734C">
        <w:rPr>
          <w:i/>
          <w:iCs/>
          <w:sz w:val="24"/>
          <w:szCs w:val="24"/>
        </w:rPr>
        <w:t>ae</w:t>
      </w:r>
      <w:r>
        <w:rPr>
          <w:i/>
          <w:iCs/>
          <w:sz w:val="24"/>
          <w:szCs w:val="24"/>
        </w:rPr>
        <w:t>,</w:t>
      </w:r>
      <w:r w:rsidRPr="000A6732">
        <w:rPr>
          <w:i/>
          <w:iCs/>
          <w:sz w:val="24"/>
          <w:szCs w:val="24"/>
        </w:rPr>
        <w:t xml:space="preserve"> </w:t>
      </w:r>
      <w:r w:rsidRPr="00C3734C">
        <w:rPr>
          <w:i/>
          <w:iCs/>
          <w:sz w:val="24"/>
          <w:szCs w:val="24"/>
        </w:rPr>
        <w:t>Mycoplasma pneumoniae</w:t>
      </w:r>
      <w:r>
        <w:rPr>
          <w:i/>
          <w:iCs/>
          <w:sz w:val="24"/>
          <w:szCs w:val="24"/>
        </w:rPr>
        <w:t>,</w:t>
      </w:r>
      <w:r w:rsidRPr="000A6732">
        <w:rPr>
          <w:i/>
          <w:iCs/>
          <w:sz w:val="24"/>
          <w:szCs w:val="24"/>
        </w:rPr>
        <w:t xml:space="preserve"> </w:t>
      </w:r>
      <w:r w:rsidRPr="00C3734C">
        <w:rPr>
          <w:i/>
          <w:iCs/>
          <w:sz w:val="24"/>
          <w:szCs w:val="24"/>
        </w:rPr>
        <w:t>Mycobacterium tuberculosis</w:t>
      </w:r>
      <w:r>
        <w:rPr>
          <w:i/>
          <w:iCs/>
          <w:sz w:val="24"/>
          <w:szCs w:val="24"/>
        </w:rPr>
        <w:t>,</w:t>
      </w:r>
      <w:r w:rsidRPr="000A6732">
        <w:rPr>
          <w:i/>
          <w:iCs/>
          <w:sz w:val="24"/>
          <w:szCs w:val="24"/>
        </w:rPr>
        <w:t xml:space="preserve"> </w:t>
      </w:r>
      <w:r w:rsidRPr="00C3734C">
        <w:rPr>
          <w:i/>
          <w:iCs/>
          <w:sz w:val="24"/>
          <w:szCs w:val="24"/>
        </w:rPr>
        <w:t>Escherichia coli</w:t>
      </w:r>
      <w:r w:rsidRPr="00C3734C">
        <w:rPr>
          <w:sz w:val="24"/>
          <w:szCs w:val="24"/>
        </w:rPr>
        <w:t xml:space="preserve"> i </w:t>
      </w:r>
      <w:r w:rsidRPr="00C3734C">
        <w:rPr>
          <w:i/>
          <w:iCs/>
          <w:sz w:val="24"/>
          <w:szCs w:val="24"/>
        </w:rPr>
        <w:t>Enterococcus faecium</w:t>
      </w:r>
      <w:r>
        <w:rPr>
          <w:i/>
          <w:iCs/>
          <w:sz w:val="24"/>
          <w:szCs w:val="24"/>
        </w:rPr>
        <w:t>,</w:t>
      </w:r>
      <w:r w:rsidRPr="000A6732">
        <w:rPr>
          <w:i/>
          <w:iCs/>
          <w:sz w:val="24"/>
          <w:szCs w:val="24"/>
        </w:rPr>
        <w:t xml:space="preserve"> </w:t>
      </w:r>
      <w:r w:rsidRPr="00C3734C">
        <w:rPr>
          <w:i/>
          <w:iCs/>
          <w:sz w:val="24"/>
          <w:szCs w:val="24"/>
        </w:rPr>
        <w:t>Staphylococcus aureus</w:t>
      </w:r>
      <w:r>
        <w:rPr>
          <w:sz w:val="24"/>
          <w:szCs w:val="24"/>
        </w:rPr>
        <w:t>,</w:t>
      </w:r>
      <w:r w:rsidRPr="000A6732">
        <w:rPr>
          <w:i/>
          <w:iCs/>
          <w:sz w:val="24"/>
          <w:szCs w:val="24"/>
        </w:rPr>
        <w:t xml:space="preserve"> </w:t>
      </w:r>
      <w:r w:rsidRPr="00C3734C">
        <w:rPr>
          <w:i/>
          <w:iCs/>
          <w:sz w:val="24"/>
          <w:szCs w:val="24"/>
        </w:rPr>
        <w:t>Listeria monocytogenes</w:t>
      </w:r>
      <w:r>
        <w:rPr>
          <w:sz w:val="24"/>
          <w:szCs w:val="24"/>
        </w:rPr>
        <w:t>,</w:t>
      </w:r>
      <w:r w:rsidRPr="000A6732">
        <w:rPr>
          <w:i/>
          <w:iCs/>
          <w:sz w:val="24"/>
          <w:szCs w:val="24"/>
        </w:rPr>
        <w:t xml:space="preserve"> </w:t>
      </w:r>
      <w:r w:rsidRPr="00C3734C">
        <w:rPr>
          <w:i/>
          <w:iCs/>
          <w:sz w:val="24"/>
          <w:szCs w:val="24"/>
        </w:rPr>
        <w:t>Klebsiella pneumoniae</w:t>
      </w:r>
      <w:r>
        <w:rPr>
          <w:i/>
          <w:iCs/>
          <w:sz w:val="24"/>
          <w:szCs w:val="24"/>
        </w:rPr>
        <w:t>,</w:t>
      </w:r>
      <w:r w:rsidRPr="000A6732">
        <w:rPr>
          <w:sz w:val="24"/>
          <w:szCs w:val="24"/>
        </w:rPr>
        <w:t xml:space="preserve"> </w:t>
      </w:r>
      <w:r w:rsidRPr="00C3734C">
        <w:rPr>
          <w:sz w:val="24"/>
          <w:szCs w:val="24"/>
        </w:rPr>
        <w:t>gronkowiec MSSA</w:t>
      </w:r>
      <w:r>
        <w:rPr>
          <w:sz w:val="24"/>
          <w:szCs w:val="24"/>
        </w:rPr>
        <w:t xml:space="preserve">. W </w:t>
      </w:r>
      <w:r w:rsidRPr="00C3734C">
        <w:rPr>
          <w:sz w:val="24"/>
          <w:szCs w:val="24"/>
        </w:rPr>
        <w:t xml:space="preserve">17 przypadkach </w:t>
      </w:r>
      <w:r>
        <w:rPr>
          <w:sz w:val="24"/>
          <w:szCs w:val="24"/>
        </w:rPr>
        <w:t xml:space="preserve">zarejestrowano </w:t>
      </w:r>
      <w:r w:rsidRPr="00C3734C">
        <w:rPr>
          <w:sz w:val="24"/>
          <w:szCs w:val="24"/>
        </w:rPr>
        <w:t>zapalenie opon mózgowo-rdzeniowych w przebiegu boreliozy.</w:t>
      </w:r>
      <w:r w:rsidRPr="000A6732">
        <w:rPr>
          <w:sz w:val="24"/>
          <w:szCs w:val="24"/>
        </w:rPr>
        <w:t xml:space="preserve"> (tabela 1</w:t>
      </w:r>
      <w:r>
        <w:rPr>
          <w:sz w:val="24"/>
          <w:szCs w:val="24"/>
        </w:rPr>
        <w:t>2</w:t>
      </w:r>
      <w:r w:rsidRPr="000A6732">
        <w:rPr>
          <w:sz w:val="24"/>
          <w:szCs w:val="24"/>
        </w:rPr>
        <w:t>).</w:t>
      </w:r>
    </w:p>
    <w:p w14:paraId="29ABF7B3" w14:textId="77777777" w:rsidR="00EE16EC" w:rsidRPr="000A6732" w:rsidRDefault="00EE16EC" w:rsidP="00597239">
      <w:pPr>
        <w:spacing w:after="0" w:line="276" w:lineRule="auto"/>
        <w:rPr>
          <w:sz w:val="24"/>
          <w:szCs w:val="24"/>
        </w:rPr>
      </w:pPr>
    </w:p>
    <w:p w14:paraId="338058BD" w14:textId="7E6B9A0B" w:rsidR="000B4D72" w:rsidRPr="00B50E60" w:rsidRDefault="00E8660B" w:rsidP="00597239">
      <w:pPr>
        <w:pStyle w:val="Legenda"/>
        <w:spacing w:after="0"/>
        <w:rPr>
          <w:i w:val="0"/>
          <w:iCs w:val="0"/>
          <w:color w:val="000000" w:themeColor="text1"/>
        </w:rPr>
      </w:pPr>
      <w:bookmarkStart w:id="70" w:name="_Toc193805982"/>
      <w:bookmarkStart w:id="71" w:name="_Toc193969530"/>
      <w:bookmarkStart w:id="72" w:name="_Toc194059990"/>
      <w:r w:rsidRPr="00B50E60">
        <w:rPr>
          <w:i w:val="0"/>
          <w:iCs w:val="0"/>
          <w:color w:val="000000" w:themeColor="text1"/>
        </w:rPr>
        <w:t xml:space="preserve">Tabela </w:t>
      </w:r>
      <w:r w:rsidRPr="00B50E60">
        <w:rPr>
          <w:i w:val="0"/>
          <w:iCs w:val="0"/>
          <w:color w:val="000000" w:themeColor="text1"/>
        </w:rPr>
        <w:fldChar w:fldCharType="begin"/>
      </w:r>
      <w:r w:rsidRPr="00B50E60">
        <w:rPr>
          <w:i w:val="0"/>
          <w:iCs w:val="0"/>
          <w:color w:val="000000" w:themeColor="text1"/>
        </w:rPr>
        <w:instrText xml:space="preserve"> SEQ Tabela \* ARABIC </w:instrText>
      </w:r>
      <w:r w:rsidRPr="00B50E60">
        <w:rPr>
          <w:i w:val="0"/>
          <w:iCs w:val="0"/>
          <w:color w:val="000000" w:themeColor="text1"/>
        </w:rPr>
        <w:fldChar w:fldCharType="separate"/>
      </w:r>
      <w:r w:rsidR="00FB6F6A">
        <w:rPr>
          <w:i w:val="0"/>
          <w:iCs w:val="0"/>
          <w:noProof/>
          <w:color w:val="000000" w:themeColor="text1"/>
        </w:rPr>
        <w:t>12</w:t>
      </w:r>
      <w:r w:rsidRPr="00B50E60">
        <w:rPr>
          <w:i w:val="0"/>
          <w:iCs w:val="0"/>
          <w:color w:val="000000" w:themeColor="text1"/>
        </w:rPr>
        <w:fldChar w:fldCharType="end"/>
      </w:r>
      <w:r w:rsidR="00E75D31">
        <w:rPr>
          <w:i w:val="0"/>
          <w:iCs w:val="0"/>
          <w:color w:val="000000" w:themeColor="text1"/>
        </w:rPr>
        <w:t>.</w:t>
      </w:r>
      <w:r w:rsidRPr="00B50E60">
        <w:rPr>
          <w:i w:val="0"/>
          <w:iCs w:val="0"/>
          <w:color w:val="000000" w:themeColor="text1"/>
        </w:rPr>
        <w:t xml:space="preserve"> Liczba zachorowań i współczynnik zapadalności na bakteryjne zapalenie opon mózgowych i/lub mózgu w Polsce i</w:t>
      </w:r>
      <w:r w:rsidR="007B1BEB">
        <w:rPr>
          <w:i w:val="0"/>
          <w:iCs w:val="0"/>
          <w:color w:val="000000" w:themeColor="text1"/>
        </w:rPr>
        <w:t> </w:t>
      </w:r>
      <w:r w:rsidRPr="00B50E60">
        <w:rPr>
          <w:i w:val="0"/>
          <w:iCs w:val="0"/>
          <w:color w:val="000000" w:themeColor="text1"/>
        </w:rPr>
        <w:t>woj. zachodniopomorskim w latach 2023-2024</w:t>
      </w:r>
      <w:r w:rsidR="005219DA">
        <w:rPr>
          <w:i w:val="0"/>
          <w:iCs w:val="0"/>
          <w:color w:val="000000" w:themeColor="text1"/>
        </w:rPr>
        <w:t>.</w:t>
      </w:r>
      <w:bookmarkEnd w:id="70"/>
      <w:bookmarkEnd w:id="71"/>
      <w:bookmarkEnd w:id="72"/>
    </w:p>
    <w:tbl>
      <w:tblPr>
        <w:tblStyle w:val="Tabelasiatki4akcent1"/>
        <w:tblW w:w="0" w:type="auto"/>
        <w:tblLayout w:type="fixed"/>
        <w:tblLook w:val="01E0" w:firstRow="1" w:lastRow="1" w:firstColumn="1" w:lastColumn="1" w:noHBand="0" w:noVBand="0"/>
        <w:tblCaption w:val="Liczba zachorowań i współczynnik zapadalności na bakteryjne zapalenie opon mózgowych i/lub mózgu w Polsce i woj. zachodniopomorskim w latach 2023-2024"/>
        <w:tblDescription w:val="Tabela przedstawia lcizbę zachorowań oraz współczynnik zapadalności na bakteryjne zapalenie opon mózgowych i/lub mózgu w Polsce oraz w województwie zachodniopomorskim w latach 2023-2024. W 2024 roku w województwie odnotowano 50 przypadków bakteryjnego zapalenie opon mózgowych i/lub mózgu."/>
      </w:tblPr>
      <w:tblGrid>
        <w:gridCol w:w="3681"/>
        <w:gridCol w:w="727"/>
        <w:gridCol w:w="660"/>
        <w:gridCol w:w="739"/>
        <w:gridCol w:w="626"/>
        <w:gridCol w:w="650"/>
        <w:gridCol w:w="626"/>
        <w:gridCol w:w="650"/>
        <w:gridCol w:w="625"/>
      </w:tblGrid>
      <w:tr w:rsidR="000B4D72" w:rsidRPr="00FF50CD" w14:paraId="49CC00BD" w14:textId="77777777" w:rsidTr="00F865A1">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5DD91E0E"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Bakteryjne zapalenie opon mózgowych i /lub mózgu</w:t>
            </w:r>
          </w:p>
        </w:tc>
        <w:tc>
          <w:tcPr>
            <w:cnfStyle w:val="000010000000" w:firstRow="0" w:lastRow="0" w:firstColumn="0" w:lastColumn="0" w:oddVBand="1" w:evenVBand="0" w:oddHBand="0" w:evenHBand="0" w:firstRowFirstColumn="0" w:firstRowLastColumn="0" w:lastRowFirstColumn="0" w:lastRowLastColumn="0"/>
            <w:tcW w:w="2752" w:type="dxa"/>
            <w:gridSpan w:val="4"/>
          </w:tcPr>
          <w:p w14:paraId="6D62DF4B"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Polska</w:t>
            </w:r>
          </w:p>
        </w:tc>
        <w:tc>
          <w:tcPr>
            <w:cnfStyle w:val="000100000000" w:firstRow="0" w:lastRow="0" w:firstColumn="0" w:lastColumn="1" w:oddVBand="0" w:evenVBand="0" w:oddHBand="0" w:evenHBand="0" w:firstRowFirstColumn="0" w:firstRowLastColumn="0" w:lastRowFirstColumn="0" w:lastRowLastColumn="0"/>
            <w:tcW w:w="2551" w:type="dxa"/>
            <w:gridSpan w:val="4"/>
          </w:tcPr>
          <w:p w14:paraId="051D22C8"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województwo zachodniopomorskie</w:t>
            </w:r>
          </w:p>
        </w:tc>
      </w:tr>
      <w:tr w:rsidR="000B4D72" w:rsidRPr="00FF50CD" w14:paraId="4F8F3672" w14:textId="77777777" w:rsidTr="00F865A1">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681" w:type="dxa"/>
            <w:vMerge/>
          </w:tcPr>
          <w:p w14:paraId="32452156" w14:textId="77777777" w:rsidR="000B4D72" w:rsidRPr="00FF50CD" w:rsidRDefault="000B4D72" w:rsidP="00597239">
            <w:pPr>
              <w:rPr>
                <w:rFonts w:cstheme="minorHAns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387" w:type="dxa"/>
            <w:gridSpan w:val="2"/>
          </w:tcPr>
          <w:p w14:paraId="211CAF72" w14:textId="77777777" w:rsidR="000B4D72" w:rsidRPr="00FF50CD" w:rsidRDefault="000B4D72" w:rsidP="00597239">
            <w:pPr>
              <w:rPr>
                <w:rFonts w:cstheme="minorHAnsi"/>
                <w:sz w:val="20"/>
                <w:szCs w:val="20"/>
              </w:rPr>
            </w:pPr>
            <w:r w:rsidRPr="00FF50CD">
              <w:rPr>
                <w:rFonts w:cstheme="minorHAnsi"/>
                <w:sz w:val="20"/>
                <w:szCs w:val="20"/>
              </w:rPr>
              <w:t>2023 r.</w:t>
            </w:r>
          </w:p>
        </w:tc>
        <w:tc>
          <w:tcPr>
            <w:tcW w:w="1365" w:type="dxa"/>
            <w:gridSpan w:val="2"/>
          </w:tcPr>
          <w:p w14:paraId="64835BA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2024 r.</w:t>
            </w:r>
          </w:p>
        </w:tc>
        <w:tc>
          <w:tcPr>
            <w:cnfStyle w:val="000010000000" w:firstRow="0" w:lastRow="0" w:firstColumn="0" w:lastColumn="0" w:oddVBand="1" w:evenVBand="0" w:oddHBand="0" w:evenHBand="0" w:firstRowFirstColumn="0" w:firstRowLastColumn="0" w:lastRowFirstColumn="0" w:lastRowLastColumn="0"/>
            <w:tcW w:w="1276" w:type="dxa"/>
            <w:gridSpan w:val="2"/>
          </w:tcPr>
          <w:p w14:paraId="1E606BE4" w14:textId="77777777" w:rsidR="000B4D72" w:rsidRPr="00FF50CD" w:rsidRDefault="000B4D72" w:rsidP="00597239">
            <w:pPr>
              <w:rPr>
                <w:rFonts w:cstheme="minorHAnsi"/>
                <w:sz w:val="20"/>
                <w:szCs w:val="20"/>
              </w:rPr>
            </w:pPr>
            <w:r w:rsidRPr="00FF50CD">
              <w:rPr>
                <w:rFonts w:cstheme="minorHAnsi"/>
                <w:sz w:val="20"/>
                <w:szCs w:val="20"/>
              </w:rPr>
              <w:t>2023 r.</w:t>
            </w:r>
          </w:p>
        </w:tc>
        <w:tc>
          <w:tcPr>
            <w:cnfStyle w:val="000100000000" w:firstRow="0" w:lastRow="0" w:firstColumn="0" w:lastColumn="1" w:oddVBand="0" w:evenVBand="0" w:oddHBand="0" w:evenHBand="0" w:firstRowFirstColumn="0" w:firstRowLastColumn="0" w:lastRowFirstColumn="0" w:lastRowLastColumn="0"/>
            <w:tcW w:w="1275" w:type="dxa"/>
            <w:gridSpan w:val="2"/>
          </w:tcPr>
          <w:p w14:paraId="7417C937"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2024 r.</w:t>
            </w:r>
          </w:p>
        </w:tc>
      </w:tr>
      <w:tr w:rsidR="000B4D72" w:rsidRPr="00FF50CD" w14:paraId="13D6278D" w14:textId="77777777" w:rsidTr="00F865A1">
        <w:trPr>
          <w:trHeight w:val="1097"/>
        </w:trPr>
        <w:tc>
          <w:tcPr>
            <w:cnfStyle w:val="001000000000" w:firstRow="0" w:lastRow="0" w:firstColumn="1" w:lastColumn="0" w:oddVBand="0" w:evenVBand="0" w:oddHBand="0" w:evenHBand="0" w:firstRowFirstColumn="0" w:firstRowLastColumn="0" w:lastRowFirstColumn="0" w:lastRowLastColumn="0"/>
            <w:tcW w:w="3681" w:type="dxa"/>
            <w:vMerge/>
          </w:tcPr>
          <w:p w14:paraId="442889CE" w14:textId="77777777" w:rsidR="000B4D72" w:rsidRPr="00FF50CD" w:rsidRDefault="000B4D72" w:rsidP="00597239">
            <w:pPr>
              <w:rPr>
                <w:rFonts w:cstheme="minorHAns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7" w:type="dxa"/>
            <w:textDirection w:val="btLr"/>
          </w:tcPr>
          <w:p w14:paraId="623B8E3B" w14:textId="77777777" w:rsidR="000B4D72" w:rsidRPr="00FF50CD" w:rsidRDefault="000B4D72" w:rsidP="00597239">
            <w:pPr>
              <w:contextualSpacing/>
              <w:rPr>
                <w:rFonts w:cstheme="minorHAnsi"/>
                <w:sz w:val="16"/>
                <w:szCs w:val="16"/>
              </w:rPr>
            </w:pPr>
            <w:r w:rsidRPr="00FF50CD">
              <w:rPr>
                <w:rFonts w:cstheme="minorHAnsi"/>
                <w:sz w:val="16"/>
                <w:szCs w:val="16"/>
              </w:rPr>
              <w:t>Liczba zachorowań</w:t>
            </w:r>
          </w:p>
        </w:tc>
        <w:tc>
          <w:tcPr>
            <w:tcW w:w="660" w:type="dxa"/>
            <w:textDirection w:val="btLr"/>
          </w:tcPr>
          <w:p w14:paraId="21CC6AF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F50CD">
              <w:rPr>
                <w:rFonts w:cstheme="minorHAnsi"/>
                <w:sz w:val="16"/>
                <w:szCs w:val="16"/>
              </w:rPr>
              <w:t>Zapadalność</w:t>
            </w:r>
          </w:p>
        </w:tc>
        <w:tc>
          <w:tcPr>
            <w:cnfStyle w:val="000010000000" w:firstRow="0" w:lastRow="0" w:firstColumn="0" w:lastColumn="0" w:oddVBand="1" w:evenVBand="0" w:oddHBand="0" w:evenHBand="0" w:firstRowFirstColumn="0" w:firstRowLastColumn="0" w:lastRowFirstColumn="0" w:lastRowLastColumn="0"/>
            <w:tcW w:w="739" w:type="dxa"/>
            <w:textDirection w:val="btLr"/>
          </w:tcPr>
          <w:p w14:paraId="3A2F5C8B" w14:textId="77777777" w:rsidR="000B4D72" w:rsidRPr="00FF50CD" w:rsidRDefault="000B4D72" w:rsidP="00597239">
            <w:pPr>
              <w:rPr>
                <w:rFonts w:cstheme="minorHAnsi"/>
                <w:sz w:val="16"/>
                <w:szCs w:val="16"/>
              </w:rPr>
            </w:pPr>
            <w:r w:rsidRPr="00FF50CD">
              <w:rPr>
                <w:rFonts w:cstheme="minorHAnsi"/>
                <w:sz w:val="16"/>
                <w:szCs w:val="16"/>
              </w:rPr>
              <w:t>Liczba zachorowań</w:t>
            </w:r>
          </w:p>
        </w:tc>
        <w:tc>
          <w:tcPr>
            <w:tcW w:w="626" w:type="dxa"/>
            <w:textDirection w:val="btLr"/>
          </w:tcPr>
          <w:p w14:paraId="45FE14C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F50CD">
              <w:rPr>
                <w:rFonts w:cstheme="minorHAnsi"/>
                <w:sz w:val="16"/>
                <w:szCs w:val="16"/>
              </w:rPr>
              <w:t>Zapadalność</w:t>
            </w:r>
          </w:p>
        </w:tc>
        <w:tc>
          <w:tcPr>
            <w:cnfStyle w:val="000010000000" w:firstRow="0" w:lastRow="0" w:firstColumn="0" w:lastColumn="0" w:oddVBand="1" w:evenVBand="0" w:oddHBand="0" w:evenHBand="0" w:firstRowFirstColumn="0" w:firstRowLastColumn="0" w:lastRowFirstColumn="0" w:lastRowLastColumn="0"/>
            <w:tcW w:w="650" w:type="dxa"/>
            <w:textDirection w:val="btLr"/>
          </w:tcPr>
          <w:p w14:paraId="3F70707C" w14:textId="77777777" w:rsidR="000B4D72" w:rsidRPr="00FF50CD" w:rsidRDefault="000B4D72" w:rsidP="00597239">
            <w:pPr>
              <w:rPr>
                <w:rFonts w:cstheme="minorHAnsi"/>
                <w:sz w:val="16"/>
                <w:szCs w:val="16"/>
              </w:rPr>
            </w:pPr>
            <w:r w:rsidRPr="00FF50CD">
              <w:rPr>
                <w:rFonts w:cstheme="minorHAnsi"/>
                <w:sz w:val="16"/>
                <w:szCs w:val="16"/>
              </w:rPr>
              <w:t>Liczba zachorowań</w:t>
            </w:r>
          </w:p>
        </w:tc>
        <w:tc>
          <w:tcPr>
            <w:tcW w:w="626" w:type="dxa"/>
            <w:textDirection w:val="btLr"/>
          </w:tcPr>
          <w:p w14:paraId="57981C7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F50CD">
              <w:rPr>
                <w:rFonts w:cstheme="minorHAnsi"/>
                <w:sz w:val="16"/>
                <w:szCs w:val="16"/>
              </w:rPr>
              <w:t>Zapadalność</w:t>
            </w:r>
          </w:p>
        </w:tc>
        <w:tc>
          <w:tcPr>
            <w:cnfStyle w:val="000010000000" w:firstRow="0" w:lastRow="0" w:firstColumn="0" w:lastColumn="0" w:oddVBand="1" w:evenVBand="0" w:oddHBand="0" w:evenHBand="0" w:firstRowFirstColumn="0" w:firstRowLastColumn="0" w:lastRowFirstColumn="0" w:lastRowLastColumn="0"/>
            <w:tcW w:w="650" w:type="dxa"/>
            <w:textDirection w:val="btLr"/>
          </w:tcPr>
          <w:p w14:paraId="0189C047" w14:textId="77777777" w:rsidR="000B4D72" w:rsidRPr="00FF50CD" w:rsidRDefault="000B4D72" w:rsidP="00597239">
            <w:pPr>
              <w:rPr>
                <w:rFonts w:cstheme="minorHAnsi"/>
                <w:sz w:val="16"/>
                <w:szCs w:val="16"/>
              </w:rPr>
            </w:pPr>
            <w:r w:rsidRPr="00FF50CD">
              <w:rPr>
                <w:rFonts w:cstheme="minorHAnsi"/>
                <w:sz w:val="16"/>
                <w:szCs w:val="16"/>
              </w:rPr>
              <w:t>Liczba zachorowań</w:t>
            </w:r>
          </w:p>
        </w:tc>
        <w:tc>
          <w:tcPr>
            <w:cnfStyle w:val="000100000000" w:firstRow="0" w:lastRow="0" w:firstColumn="0" w:lastColumn="1" w:oddVBand="0" w:evenVBand="0" w:oddHBand="0" w:evenHBand="0" w:firstRowFirstColumn="0" w:firstRowLastColumn="0" w:lastRowFirstColumn="0" w:lastRowLastColumn="0"/>
            <w:tcW w:w="625" w:type="dxa"/>
            <w:textDirection w:val="btLr"/>
          </w:tcPr>
          <w:p w14:paraId="1CA2279B" w14:textId="77777777" w:rsidR="000B4D72" w:rsidRPr="00FF50CD" w:rsidRDefault="000B4D72" w:rsidP="00597239">
            <w:pPr>
              <w:rPr>
                <w:rFonts w:cstheme="minorHAnsi"/>
                <w:b w:val="0"/>
                <w:bCs w:val="0"/>
                <w:sz w:val="16"/>
                <w:szCs w:val="16"/>
              </w:rPr>
            </w:pPr>
            <w:r w:rsidRPr="00FF50CD">
              <w:rPr>
                <w:rFonts w:cstheme="minorHAnsi"/>
                <w:b w:val="0"/>
                <w:bCs w:val="0"/>
                <w:sz w:val="16"/>
                <w:szCs w:val="16"/>
              </w:rPr>
              <w:t>Zapadalność</w:t>
            </w:r>
          </w:p>
        </w:tc>
      </w:tr>
      <w:tr w:rsidR="000B4D72" w:rsidRPr="00FF50CD" w14:paraId="35F4834E" w14:textId="77777777" w:rsidTr="00F865A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681" w:type="dxa"/>
          </w:tcPr>
          <w:p w14:paraId="19B7FAB8"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Inne określone</w:t>
            </w:r>
          </w:p>
        </w:tc>
        <w:tc>
          <w:tcPr>
            <w:cnfStyle w:val="000010000000" w:firstRow="0" w:lastRow="0" w:firstColumn="0" w:lastColumn="0" w:oddVBand="1" w:evenVBand="0" w:oddHBand="0" w:evenHBand="0" w:firstRowFirstColumn="0" w:firstRowLastColumn="0" w:lastRowFirstColumn="0" w:lastRowLastColumn="0"/>
            <w:tcW w:w="727" w:type="dxa"/>
          </w:tcPr>
          <w:p w14:paraId="421A204D" w14:textId="77777777" w:rsidR="000B4D72" w:rsidRPr="00FF50CD" w:rsidRDefault="000B4D72" w:rsidP="00597239">
            <w:pPr>
              <w:rPr>
                <w:rFonts w:cstheme="minorHAnsi"/>
                <w:sz w:val="20"/>
                <w:szCs w:val="20"/>
              </w:rPr>
            </w:pPr>
            <w:r w:rsidRPr="00FF50CD">
              <w:rPr>
                <w:rFonts w:cstheme="minorHAnsi"/>
                <w:sz w:val="20"/>
                <w:szCs w:val="20"/>
              </w:rPr>
              <w:t>150</w:t>
            </w:r>
          </w:p>
        </w:tc>
        <w:tc>
          <w:tcPr>
            <w:tcW w:w="660" w:type="dxa"/>
          </w:tcPr>
          <w:p w14:paraId="7F55F5A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0,40</w:t>
            </w:r>
          </w:p>
        </w:tc>
        <w:tc>
          <w:tcPr>
            <w:cnfStyle w:val="000010000000" w:firstRow="0" w:lastRow="0" w:firstColumn="0" w:lastColumn="0" w:oddVBand="1" w:evenVBand="0" w:oddHBand="0" w:evenHBand="0" w:firstRowFirstColumn="0" w:firstRowLastColumn="0" w:lastRowFirstColumn="0" w:lastRowLastColumn="0"/>
            <w:tcW w:w="739" w:type="dxa"/>
          </w:tcPr>
          <w:p w14:paraId="1FBF3CA7" w14:textId="77777777" w:rsidR="000B4D72" w:rsidRPr="00FF50CD" w:rsidRDefault="000B4D72" w:rsidP="00597239">
            <w:pPr>
              <w:rPr>
                <w:rFonts w:cstheme="minorHAnsi"/>
                <w:sz w:val="20"/>
                <w:szCs w:val="20"/>
              </w:rPr>
            </w:pPr>
            <w:r w:rsidRPr="00FF50CD">
              <w:rPr>
                <w:rFonts w:cstheme="minorHAnsi"/>
                <w:sz w:val="20"/>
                <w:szCs w:val="20"/>
              </w:rPr>
              <w:t>116</w:t>
            </w:r>
          </w:p>
        </w:tc>
        <w:tc>
          <w:tcPr>
            <w:tcW w:w="626" w:type="dxa"/>
          </w:tcPr>
          <w:p w14:paraId="068692B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0,31</w:t>
            </w:r>
          </w:p>
        </w:tc>
        <w:tc>
          <w:tcPr>
            <w:cnfStyle w:val="000010000000" w:firstRow="0" w:lastRow="0" w:firstColumn="0" w:lastColumn="0" w:oddVBand="1" w:evenVBand="0" w:oddHBand="0" w:evenHBand="0" w:firstRowFirstColumn="0" w:firstRowLastColumn="0" w:lastRowFirstColumn="0" w:lastRowLastColumn="0"/>
            <w:tcW w:w="650" w:type="dxa"/>
          </w:tcPr>
          <w:p w14:paraId="73B7F562" w14:textId="77777777" w:rsidR="000B4D72" w:rsidRPr="00FF50CD" w:rsidRDefault="000B4D72" w:rsidP="00597239">
            <w:pPr>
              <w:rPr>
                <w:rFonts w:cstheme="minorHAnsi"/>
                <w:sz w:val="20"/>
                <w:szCs w:val="20"/>
              </w:rPr>
            </w:pPr>
            <w:r w:rsidRPr="00FF50CD">
              <w:rPr>
                <w:rFonts w:cstheme="minorHAnsi"/>
                <w:sz w:val="20"/>
                <w:szCs w:val="20"/>
              </w:rPr>
              <w:t>2</w:t>
            </w:r>
          </w:p>
        </w:tc>
        <w:tc>
          <w:tcPr>
            <w:tcW w:w="626" w:type="dxa"/>
          </w:tcPr>
          <w:p w14:paraId="734DAE8E"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0,12</w:t>
            </w:r>
          </w:p>
        </w:tc>
        <w:tc>
          <w:tcPr>
            <w:cnfStyle w:val="000010000000" w:firstRow="0" w:lastRow="0" w:firstColumn="0" w:lastColumn="0" w:oddVBand="1" w:evenVBand="0" w:oddHBand="0" w:evenHBand="0" w:firstRowFirstColumn="0" w:firstRowLastColumn="0" w:lastRowFirstColumn="0" w:lastRowLastColumn="0"/>
            <w:tcW w:w="650" w:type="dxa"/>
          </w:tcPr>
          <w:p w14:paraId="062E6477" w14:textId="77777777" w:rsidR="000B4D72" w:rsidRPr="00FF50CD" w:rsidRDefault="000B4D72" w:rsidP="00597239">
            <w:pPr>
              <w:rPr>
                <w:rFonts w:cstheme="minorHAnsi"/>
                <w:sz w:val="20"/>
                <w:szCs w:val="20"/>
              </w:rPr>
            </w:pPr>
            <w:r w:rsidRPr="00FF50CD">
              <w:rPr>
                <w:rFonts w:cstheme="minorHAnsi"/>
                <w:sz w:val="20"/>
                <w:szCs w:val="20"/>
              </w:rPr>
              <w:t>7</w:t>
            </w:r>
          </w:p>
        </w:tc>
        <w:tc>
          <w:tcPr>
            <w:cnfStyle w:val="000100000000" w:firstRow="0" w:lastRow="0" w:firstColumn="0" w:lastColumn="1" w:oddVBand="0" w:evenVBand="0" w:oddHBand="0" w:evenHBand="0" w:firstRowFirstColumn="0" w:firstRowLastColumn="0" w:lastRowFirstColumn="0" w:lastRowLastColumn="0"/>
            <w:tcW w:w="625" w:type="dxa"/>
          </w:tcPr>
          <w:p w14:paraId="3CD0EBD8"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0,43</w:t>
            </w:r>
          </w:p>
        </w:tc>
      </w:tr>
      <w:tr w:rsidR="000B4D72" w:rsidRPr="00FF50CD" w14:paraId="667FA054" w14:textId="77777777" w:rsidTr="00F865A1">
        <w:trPr>
          <w:trHeight w:val="297"/>
        </w:trPr>
        <w:tc>
          <w:tcPr>
            <w:cnfStyle w:val="001000000000" w:firstRow="0" w:lastRow="0" w:firstColumn="1" w:lastColumn="0" w:oddVBand="0" w:evenVBand="0" w:oddHBand="0" w:evenHBand="0" w:firstRowFirstColumn="0" w:firstRowLastColumn="0" w:lastRowFirstColumn="0" w:lastRowLastColumn="0"/>
            <w:tcW w:w="3681" w:type="dxa"/>
          </w:tcPr>
          <w:p w14:paraId="005E05E8"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Inne, nieokreślone</w:t>
            </w:r>
          </w:p>
        </w:tc>
        <w:tc>
          <w:tcPr>
            <w:cnfStyle w:val="000010000000" w:firstRow="0" w:lastRow="0" w:firstColumn="0" w:lastColumn="0" w:oddVBand="1" w:evenVBand="0" w:oddHBand="0" w:evenHBand="0" w:firstRowFirstColumn="0" w:firstRowLastColumn="0" w:lastRowFirstColumn="0" w:lastRowLastColumn="0"/>
            <w:tcW w:w="727" w:type="dxa"/>
          </w:tcPr>
          <w:p w14:paraId="32153C18" w14:textId="77777777" w:rsidR="000B4D72" w:rsidRPr="00FF50CD" w:rsidRDefault="000B4D72" w:rsidP="00597239">
            <w:pPr>
              <w:rPr>
                <w:rFonts w:cstheme="minorHAnsi"/>
                <w:sz w:val="20"/>
                <w:szCs w:val="20"/>
              </w:rPr>
            </w:pPr>
            <w:r w:rsidRPr="00FF50CD">
              <w:rPr>
                <w:rFonts w:cstheme="minorHAnsi"/>
                <w:sz w:val="20"/>
                <w:szCs w:val="20"/>
              </w:rPr>
              <w:t>150</w:t>
            </w:r>
          </w:p>
        </w:tc>
        <w:tc>
          <w:tcPr>
            <w:tcW w:w="660" w:type="dxa"/>
          </w:tcPr>
          <w:p w14:paraId="73AF420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0,40</w:t>
            </w:r>
          </w:p>
        </w:tc>
        <w:tc>
          <w:tcPr>
            <w:cnfStyle w:val="000010000000" w:firstRow="0" w:lastRow="0" w:firstColumn="0" w:lastColumn="0" w:oddVBand="1" w:evenVBand="0" w:oddHBand="0" w:evenHBand="0" w:firstRowFirstColumn="0" w:firstRowLastColumn="0" w:lastRowFirstColumn="0" w:lastRowLastColumn="0"/>
            <w:tcW w:w="739" w:type="dxa"/>
          </w:tcPr>
          <w:p w14:paraId="25840E0F" w14:textId="77777777" w:rsidR="000B4D72" w:rsidRPr="00FF50CD" w:rsidRDefault="000B4D72" w:rsidP="00597239">
            <w:pPr>
              <w:rPr>
                <w:rFonts w:cstheme="minorHAnsi"/>
                <w:sz w:val="20"/>
                <w:szCs w:val="20"/>
              </w:rPr>
            </w:pPr>
            <w:r w:rsidRPr="00FF50CD">
              <w:rPr>
                <w:rFonts w:cstheme="minorHAnsi"/>
                <w:sz w:val="20"/>
                <w:szCs w:val="20"/>
              </w:rPr>
              <w:t>142</w:t>
            </w:r>
          </w:p>
        </w:tc>
        <w:tc>
          <w:tcPr>
            <w:tcW w:w="626" w:type="dxa"/>
          </w:tcPr>
          <w:p w14:paraId="561C2C4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0,38</w:t>
            </w:r>
          </w:p>
        </w:tc>
        <w:tc>
          <w:tcPr>
            <w:cnfStyle w:val="000010000000" w:firstRow="0" w:lastRow="0" w:firstColumn="0" w:lastColumn="0" w:oddVBand="1" w:evenVBand="0" w:oddHBand="0" w:evenHBand="0" w:firstRowFirstColumn="0" w:firstRowLastColumn="0" w:lastRowFirstColumn="0" w:lastRowLastColumn="0"/>
            <w:tcW w:w="650" w:type="dxa"/>
          </w:tcPr>
          <w:p w14:paraId="11DC00BB" w14:textId="77777777" w:rsidR="000B4D72" w:rsidRPr="00FF50CD" w:rsidRDefault="000B4D72" w:rsidP="00597239">
            <w:pPr>
              <w:rPr>
                <w:rFonts w:cstheme="minorHAnsi"/>
                <w:sz w:val="20"/>
                <w:szCs w:val="20"/>
              </w:rPr>
            </w:pPr>
            <w:r w:rsidRPr="00FF50CD">
              <w:rPr>
                <w:rFonts w:cstheme="minorHAnsi"/>
                <w:sz w:val="20"/>
                <w:szCs w:val="20"/>
              </w:rPr>
              <w:t>4</w:t>
            </w:r>
          </w:p>
        </w:tc>
        <w:tc>
          <w:tcPr>
            <w:tcW w:w="626" w:type="dxa"/>
          </w:tcPr>
          <w:p w14:paraId="4014C45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0,24</w:t>
            </w:r>
          </w:p>
        </w:tc>
        <w:tc>
          <w:tcPr>
            <w:cnfStyle w:val="000010000000" w:firstRow="0" w:lastRow="0" w:firstColumn="0" w:lastColumn="0" w:oddVBand="1" w:evenVBand="0" w:oddHBand="0" w:evenHBand="0" w:firstRowFirstColumn="0" w:firstRowLastColumn="0" w:lastRowFirstColumn="0" w:lastRowLastColumn="0"/>
            <w:tcW w:w="650" w:type="dxa"/>
          </w:tcPr>
          <w:p w14:paraId="77BD6FEF" w14:textId="77777777" w:rsidR="000B4D72" w:rsidRPr="00FF50CD" w:rsidRDefault="000B4D72" w:rsidP="00597239">
            <w:pPr>
              <w:rPr>
                <w:rFonts w:cstheme="minorHAnsi"/>
                <w:sz w:val="20"/>
                <w:szCs w:val="20"/>
              </w:rPr>
            </w:pPr>
            <w:r w:rsidRPr="00FF50CD">
              <w:rPr>
                <w:rFonts w:cstheme="minorHAnsi"/>
                <w:sz w:val="20"/>
                <w:szCs w:val="20"/>
              </w:rPr>
              <w:t>3</w:t>
            </w:r>
          </w:p>
        </w:tc>
        <w:tc>
          <w:tcPr>
            <w:cnfStyle w:val="000100000000" w:firstRow="0" w:lastRow="0" w:firstColumn="0" w:lastColumn="1" w:oddVBand="0" w:evenVBand="0" w:oddHBand="0" w:evenHBand="0" w:firstRowFirstColumn="0" w:firstRowLastColumn="0" w:lastRowFirstColumn="0" w:lastRowLastColumn="0"/>
            <w:tcW w:w="625" w:type="dxa"/>
          </w:tcPr>
          <w:p w14:paraId="397C095A"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0,18</w:t>
            </w:r>
          </w:p>
        </w:tc>
      </w:tr>
      <w:tr w:rsidR="000B4D72" w:rsidRPr="00FF50CD" w14:paraId="6531A453" w14:textId="77777777" w:rsidTr="00F865A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681" w:type="dxa"/>
          </w:tcPr>
          <w:p w14:paraId="4936A02A" w14:textId="77777777" w:rsidR="000B4D72" w:rsidRPr="00FF50CD" w:rsidRDefault="000B4D72" w:rsidP="00597239">
            <w:pPr>
              <w:rPr>
                <w:rFonts w:cstheme="minorHAnsi"/>
                <w:b w:val="0"/>
                <w:bCs w:val="0"/>
                <w:i/>
                <w:sz w:val="20"/>
                <w:szCs w:val="20"/>
              </w:rPr>
            </w:pPr>
            <w:r w:rsidRPr="00FF50CD">
              <w:rPr>
                <w:rFonts w:cstheme="minorHAnsi"/>
                <w:b w:val="0"/>
                <w:bCs w:val="0"/>
                <w:sz w:val="20"/>
                <w:szCs w:val="20"/>
              </w:rPr>
              <w:t xml:space="preserve">Zapalenie opon i/lub mózgu wywołane przez </w:t>
            </w:r>
            <w:r w:rsidRPr="00FF50CD">
              <w:rPr>
                <w:rFonts w:cstheme="minorHAnsi"/>
                <w:b w:val="0"/>
                <w:bCs w:val="0"/>
                <w:i/>
                <w:sz w:val="20"/>
                <w:szCs w:val="20"/>
              </w:rPr>
              <w:t>Streptococcus pneumoniae</w:t>
            </w:r>
          </w:p>
        </w:tc>
        <w:tc>
          <w:tcPr>
            <w:cnfStyle w:val="000010000000" w:firstRow="0" w:lastRow="0" w:firstColumn="0" w:lastColumn="0" w:oddVBand="1" w:evenVBand="0" w:oddHBand="0" w:evenHBand="0" w:firstRowFirstColumn="0" w:firstRowLastColumn="0" w:lastRowFirstColumn="0" w:lastRowLastColumn="0"/>
            <w:tcW w:w="727" w:type="dxa"/>
          </w:tcPr>
          <w:p w14:paraId="4FAB4971" w14:textId="77777777" w:rsidR="000B4D72" w:rsidRPr="00FF50CD" w:rsidRDefault="000B4D72" w:rsidP="00597239">
            <w:pPr>
              <w:rPr>
                <w:rFonts w:cstheme="minorHAnsi"/>
                <w:sz w:val="20"/>
                <w:szCs w:val="20"/>
              </w:rPr>
            </w:pPr>
            <w:r w:rsidRPr="00FF50CD">
              <w:rPr>
                <w:rFonts w:cstheme="minorHAnsi"/>
                <w:sz w:val="20"/>
                <w:szCs w:val="20"/>
              </w:rPr>
              <w:t>273</w:t>
            </w:r>
          </w:p>
        </w:tc>
        <w:tc>
          <w:tcPr>
            <w:tcW w:w="660" w:type="dxa"/>
          </w:tcPr>
          <w:p w14:paraId="792D5A4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0,72</w:t>
            </w:r>
          </w:p>
        </w:tc>
        <w:tc>
          <w:tcPr>
            <w:cnfStyle w:val="000010000000" w:firstRow="0" w:lastRow="0" w:firstColumn="0" w:lastColumn="0" w:oddVBand="1" w:evenVBand="0" w:oddHBand="0" w:evenHBand="0" w:firstRowFirstColumn="0" w:firstRowLastColumn="0" w:lastRowFirstColumn="0" w:lastRowLastColumn="0"/>
            <w:tcW w:w="739" w:type="dxa"/>
          </w:tcPr>
          <w:p w14:paraId="5BEC4029" w14:textId="77777777" w:rsidR="000B4D72" w:rsidRPr="00FF50CD" w:rsidRDefault="000B4D72" w:rsidP="00597239">
            <w:pPr>
              <w:rPr>
                <w:rFonts w:cstheme="minorHAnsi"/>
                <w:sz w:val="20"/>
                <w:szCs w:val="20"/>
              </w:rPr>
            </w:pPr>
            <w:r w:rsidRPr="00FF50CD">
              <w:rPr>
                <w:rFonts w:cstheme="minorHAnsi"/>
                <w:sz w:val="20"/>
                <w:szCs w:val="20"/>
              </w:rPr>
              <w:t>293</w:t>
            </w:r>
          </w:p>
        </w:tc>
        <w:tc>
          <w:tcPr>
            <w:tcW w:w="626" w:type="dxa"/>
          </w:tcPr>
          <w:p w14:paraId="116648E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0,78</w:t>
            </w:r>
          </w:p>
        </w:tc>
        <w:tc>
          <w:tcPr>
            <w:cnfStyle w:val="000010000000" w:firstRow="0" w:lastRow="0" w:firstColumn="0" w:lastColumn="0" w:oddVBand="1" w:evenVBand="0" w:oddHBand="0" w:evenHBand="0" w:firstRowFirstColumn="0" w:firstRowLastColumn="0" w:lastRowFirstColumn="0" w:lastRowLastColumn="0"/>
            <w:tcW w:w="650" w:type="dxa"/>
          </w:tcPr>
          <w:p w14:paraId="1C087262" w14:textId="77777777" w:rsidR="000B4D72" w:rsidRPr="00FF50CD" w:rsidRDefault="000B4D72" w:rsidP="00597239">
            <w:pPr>
              <w:rPr>
                <w:rFonts w:cstheme="minorHAnsi"/>
                <w:sz w:val="20"/>
                <w:szCs w:val="20"/>
              </w:rPr>
            </w:pPr>
            <w:r w:rsidRPr="00FF50CD">
              <w:rPr>
                <w:rFonts w:cstheme="minorHAnsi"/>
                <w:sz w:val="20"/>
                <w:szCs w:val="20"/>
              </w:rPr>
              <w:t>18</w:t>
            </w:r>
          </w:p>
        </w:tc>
        <w:tc>
          <w:tcPr>
            <w:tcW w:w="626" w:type="dxa"/>
          </w:tcPr>
          <w:p w14:paraId="0B18DB9E"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1,10</w:t>
            </w:r>
          </w:p>
        </w:tc>
        <w:tc>
          <w:tcPr>
            <w:cnfStyle w:val="000010000000" w:firstRow="0" w:lastRow="0" w:firstColumn="0" w:lastColumn="0" w:oddVBand="1" w:evenVBand="0" w:oddHBand="0" w:evenHBand="0" w:firstRowFirstColumn="0" w:firstRowLastColumn="0" w:lastRowFirstColumn="0" w:lastRowLastColumn="0"/>
            <w:tcW w:w="650" w:type="dxa"/>
          </w:tcPr>
          <w:p w14:paraId="53ADF0D9" w14:textId="77777777" w:rsidR="000B4D72" w:rsidRPr="00FF50CD" w:rsidRDefault="000B4D72" w:rsidP="00597239">
            <w:pPr>
              <w:rPr>
                <w:rFonts w:cstheme="minorHAnsi"/>
                <w:sz w:val="20"/>
                <w:szCs w:val="20"/>
              </w:rPr>
            </w:pPr>
            <w:r w:rsidRPr="00FF50CD">
              <w:rPr>
                <w:rFonts w:cstheme="minorHAnsi"/>
                <w:sz w:val="20"/>
                <w:szCs w:val="20"/>
              </w:rPr>
              <w:t>13</w:t>
            </w:r>
          </w:p>
        </w:tc>
        <w:tc>
          <w:tcPr>
            <w:cnfStyle w:val="000100000000" w:firstRow="0" w:lastRow="0" w:firstColumn="0" w:lastColumn="1" w:oddVBand="0" w:evenVBand="0" w:oddHBand="0" w:evenHBand="0" w:firstRowFirstColumn="0" w:firstRowLastColumn="0" w:lastRowFirstColumn="0" w:lastRowLastColumn="0"/>
            <w:tcW w:w="625" w:type="dxa"/>
          </w:tcPr>
          <w:p w14:paraId="52FD945D"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0,80</w:t>
            </w:r>
          </w:p>
        </w:tc>
      </w:tr>
      <w:tr w:rsidR="000B4D72" w:rsidRPr="00FF50CD" w14:paraId="442B9A53" w14:textId="77777777" w:rsidTr="00F865A1">
        <w:trPr>
          <w:trHeight w:val="310"/>
        </w:trPr>
        <w:tc>
          <w:tcPr>
            <w:cnfStyle w:val="001000000000" w:firstRow="0" w:lastRow="0" w:firstColumn="1" w:lastColumn="0" w:oddVBand="0" w:evenVBand="0" w:oddHBand="0" w:evenHBand="0" w:firstRowFirstColumn="0" w:firstRowLastColumn="0" w:lastRowFirstColumn="0" w:lastRowLastColumn="0"/>
            <w:tcW w:w="3681" w:type="dxa"/>
          </w:tcPr>
          <w:p w14:paraId="3C79FD9D"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Zapalenie opon i mózgu meningokokowe</w:t>
            </w:r>
          </w:p>
        </w:tc>
        <w:tc>
          <w:tcPr>
            <w:cnfStyle w:val="000010000000" w:firstRow="0" w:lastRow="0" w:firstColumn="0" w:lastColumn="0" w:oddVBand="1" w:evenVBand="0" w:oddHBand="0" w:evenHBand="0" w:firstRowFirstColumn="0" w:firstRowLastColumn="0" w:lastRowFirstColumn="0" w:lastRowLastColumn="0"/>
            <w:tcW w:w="727" w:type="dxa"/>
          </w:tcPr>
          <w:p w14:paraId="2F03345F" w14:textId="77777777" w:rsidR="000B4D72" w:rsidRPr="00FF50CD" w:rsidRDefault="000B4D72" w:rsidP="00597239">
            <w:pPr>
              <w:rPr>
                <w:rFonts w:cstheme="minorHAnsi"/>
                <w:sz w:val="20"/>
                <w:szCs w:val="20"/>
              </w:rPr>
            </w:pPr>
            <w:r w:rsidRPr="00FF50CD">
              <w:rPr>
                <w:rFonts w:cstheme="minorHAnsi"/>
                <w:sz w:val="20"/>
                <w:szCs w:val="20"/>
              </w:rPr>
              <w:t>74</w:t>
            </w:r>
          </w:p>
        </w:tc>
        <w:tc>
          <w:tcPr>
            <w:tcW w:w="660" w:type="dxa"/>
          </w:tcPr>
          <w:p w14:paraId="28FCED2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0,20</w:t>
            </w:r>
          </w:p>
        </w:tc>
        <w:tc>
          <w:tcPr>
            <w:cnfStyle w:val="000010000000" w:firstRow="0" w:lastRow="0" w:firstColumn="0" w:lastColumn="0" w:oddVBand="1" w:evenVBand="0" w:oddHBand="0" w:evenHBand="0" w:firstRowFirstColumn="0" w:firstRowLastColumn="0" w:lastRowFirstColumn="0" w:lastRowLastColumn="0"/>
            <w:tcW w:w="739" w:type="dxa"/>
          </w:tcPr>
          <w:p w14:paraId="0A233722" w14:textId="77777777" w:rsidR="000B4D72" w:rsidRPr="00FF50CD" w:rsidRDefault="000B4D72" w:rsidP="00597239">
            <w:pPr>
              <w:rPr>
                <w:rFonts w:cstheme="minorHAnsi"/>
                <w:sz w:val="20"/>
                <w:szCs w:val="20"/>
              </w:rPr>
            </w:pPr>
            <w:r w:rsidRPr="00FF50CD">
              <w:rPr>
                <w:rFonts w:cstheme="minorHAnsi"/>
                <w:sz w:val="20"/>
                <w:szCs w:val="20"/>
              </w:rPr>
              <w:t>82</w:t>
            </w:r>
          </w:p>
        </w:tc>
        <w:tc>
          <w:tcPr>
            <w:tcW w:w="626" w:type="dxa"/>
          </w:tcPr>
          <w:p w14:paraId="0406C2C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0,22</w:t>
            </w:r>
          </w:p>
        </w:tc>
        <w:tc>
          <w:tcPr>
            <w:cnfStyle w:val="000010000000" w:firstRow="0" w:lastRow="0" w:firstColumn="0" w:lastColumn="0" w:oddVBand="1" w:evenVBand="0" w:oddHBand="0" w:evenHBand="0" w:firstRowFirstColumn="0" w:firstRowLastColumn="0" w:lastRowFirstColumn="0" w:lastRowLastColumn="0"/>
            <w:tcW w:w="650" w:type="dxa"/>
          </w:tcPr>
          <w:p w14:paraId="126B4BAD" w14:textId="77777777" w:rsidR="000B4D72" w:rsidRPr="00FF50CD" w:rsidRDefault="000B4D72" w:rsidP="00597239">
            <w:pPr>
              <w:rPr>
                <w:rFonts w:cstheme="minorHAnsi"/>
                <w:sz w:val="20"/>
                <w:szCs w:val="20"/>
              </w:rPr>
            </w:pPr>
            <w:r w:rsidRPr="00FF50CD">
              <w:rPr>
                <w:rFonts w:cstheme="minorHAnsi"/>
                <w:sz w:val="20"/>
                <w:szCs w:val="20"/>
              </w:rPr>
              <w:t>6</w:t>
            </w:r>
          </w:p>
        </w:tc>
        <w:tc>
          <w:tcPr>
            <w:tcW w:w="626" w:type="dxa"/>
          </w:tcPr>
          <w:p w14:paraId="3942D73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0,37</w:t>
            </w:r>
          </w:p>
        </w:tc>
        <w:tc>
          <w:tcPr>
            <w:cnfStyle w:val="000010000000" w:firstRow="0" w:lastRow="0" w:firstColumn="0" w:lastColumn="0" w:oddVBand="1" w:evenVBand="0" w:oddHBand="0" w:evenHBand="0" w:firstRowFirstColumn="0" w:firstRowLastColumn="0" w:lastRowFirstColumn="0" w:lastRowLastColumn="0"/>
            <w:tcW w:w="650" w:type="dxa"/>
          </w:tcPr>
          <w:p w14:paraId="5447D2CA" w14:textId="77777777" w:rsidR="000B4D72" w:rsidRPr="00FF50CD" w:rsidRDefault="000B4D72" w:rsidP="00597239">
            <w:pPr>
              <w:rPr>
                <w:rFonts w:cstheme="minorHAnsi"/>
                <w:sz w:val="20"/>
                <w:szCs w:val="20"/>
              </w:rPr>
            </w:pPr>
            <w:r w:rsidRPr="00FF50CD">
              <w:rPr>
                <w:rFonts w:cstheme="minorHAnsi"/>
                <w:sz w:val="20"/>
                <w:szCs w:val="20"/>
              </w:rPr>
              <w:t>6</w:t>
            </w:r>
          </w:p>
        </w:tc>
        <w:tc>
          <w:tcPr>
            <w:cnfStyle w:val="000100000000" w:firstRow="0" w:lastRow="0" w:firstColumn="0" w:lastColumn="1" w:oddVBand="0" w:evenVBand="0" w:oddHBand="0" w:evenHBand="0" w:firstRowFirstColumn="0" w:firstRowLastColumn="0" w:lastRowFirstColumn="0" w:lastRowLastColumn="0"/>
            <w:tcW w:w="625" w:type="dxa"/>
          </w:tcPr>
          <w:p w14:paraId="626E7FD9"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0,37</w:t>
            </w:r>
          </w:p>
        </w:tc>
      </w:tr>
      <w:tr w:rsidR="000B4D72" w:rsidRPr="00FF50CD" w14:paraId="784FF8C5" w14:textId="77777777" w:rsidTr="00F865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681" w:type="dxa"/>
          </w:tcPr>
          <w:p w14:paraId="57CC2A9B"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 xml:space="preserve">Zapalenie opon i/lub mózgu wywołane przez </w:t>
            </w:r>
            <w:r w:rsidRPr="00FF50CD">
              <w:rPr>
                <w:rFonts w:cstheme="minorHAnsi"/>
                <w:b w:val="0"/>
                <w:bCs w:val="0"/>
                <w:i/>
                <w:sz w:val="20"/>
                <w:szCs w:val="20"/>
              </w:rPr>
              <w:t>Haemophilus influenzae</w:t>
            </w:r>
            <w:r w:rsidRPr="00FF50CD">
              <w:rPr>
                <w:rFonts w:cstheme="minorHAnsi"/>
                <w:b w:val="0"/>
                <w:bCs w:val="0"/>
                <w:sz w:val="20"/>
                <w:szCs w:val="20"/>
              </w:rPr>
              <w:t xml:space="preserve"> typ B</w:t>
            </w:r>
          </w:p>
        </w:tc>
        <w:tc>
          <w:tcPr>
            <w:cnfStyle w:val="000010000000" w:firstRow="0" w:lastRow="0" w:firstColumn="0" w:lastColumn="0" w:oddVBand="1" w:evenVBand="0" w:oddHBand="0" w:evenHBand="0" w:firstRowFirstColumn="0" w:firstRowLastColumn="0" w:lastRowFirstColumn="0" w:lastRowLastColumn="0"/>
            <w:tcW w:w="727" w:type="dxa"/>
          </w:tcPr>
          <w:p w14:paraId="4E8B6EF3" w14:textId="77777777" w:rsidR="000B4D72" w:rsidRPr="00FF50CD" w:rsidRDefault="000B4D72" w:rsidP="00597239">
            <w:pPr>
              <w:rPr>
                <w:rFonts w:cstheme="minorHAnsi"/>
                <w:sz w:val="20"/>
                <w:szCs w:val="20"/>
              </w:rPr>
            </w:pPr>
            <w:r w:rsidRPr="00FF50CD">
              <w:rPr>
                <w:rFonts w:cstheme="minorHAnsi"/>
                <w:sz w:val="20"/>
                <w:szCs w:val="20"/>
              </w:rPr>
              <w:t>33</w:t>
            </w:r>
          </w:p>
        </w:tc>
        <w:tc>
          <w:tcPr>
            <w:tcW w:w="660" w:type="dxa"/>
          </w:tcPr>
          <w:p w14:paraId="562C36A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0,09</w:t>
            </w:r>
          </w:p>
        </w:tc>
        <w:tc>
          <w:tcPr>
            <w:cnfStyle w:val="000010000000" w:firstRow="0" w:lastRow="0" w:firstColumn="0" w:lastColumn="0" w:oddVBand="1" w:evenVBand="0" w:oddHBand="0" w:evenHBand="0" w:firstRowFirstColumn="0" w:firstRowLastColumn="0" w:lastRowFirstColumn="0" w:lastRowLastColumn="0"/>
            <w:tcW w:w="739" w:type="dxa"/>
          </w:tcPr>
          <w:p w14:paraId="793A2884" w14:textId="77777777" w:rsidR="000B4D72" w:rsidRPr="00FF50CD" w:rsidRDefault="000B4D72" w:rsidP="00597239">
            <w:pPr>
              <w:rPr>
                <w:rFonts w:cstheme="minorHAnsi"/>
                <w:sz w:val="20"/>
                <w:szCs w:val="20"/>
              </w:rPr>
            </w:pPr>
            <w:r w:rsidRPr="00FF50CD">
              <w:rPr>
                <w:rFonts w:cstheme="minorHAnsi"/>
                <w:sz w:val="20"/>
                <w:szCs w:val="20"/>
              </w:rPr>
              <w:t>43</w:t>
            </w:r>
          </w:p>
        </w:tc>
        <w:tc>
          <w:tcPr>
            <w:tcW w:w="626" w:type="dxa"/>
          </w:tcPr>
          <w:p w14:paraId="47314D7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0,11</w:t>
            </w:r>
          </w:p>
        </w:tc>
        <w:tc>
          <w:tcPr>
            <w:cnfStyle w:val="000010000000" w:firstRow="0" w:lastRow="0" w:firstColumn="0" w:lastColumn="0" w:oddVBand="1" w:evenVBand="0" w:oddHBand="0" w:evenHBand="0" w:firstRowFirstColumn="0" w:firstRowLastColumn="0" w:lastRowFirstColumn="0" w:lastRowLastColumn="0"/>
            <w:tcW w:w="650" w:type="dxa"/>
          </w:tcPr>
          <w:p w14:paraId="497564EF" w14:textId="77777777" w:rsidR="000B4D72" w:rsidRPr="00FF50CD" w:rsidRDefault="000B4D72" w:rsidP="00597239">
            <w:pPr>
              <w:rPr>
                <w:rFonts w:cstheme="minorHAnsi"/>
                <w:sz w:val="20"/>
                <w:szCs w:val="20"/>
              </w:rPr>
            </w:pPr>
            <w:r w:rsidRPr="00FF50CD">
              <w:rPr>
                <w:rFonts w:cstheme="minorHAnsi"/>
                <w:sz w:val="20"/>
                <w:szCs w:val="20"/>
              </w:rPr>
              <w:t>1</w:t>
            </w:r>
          </w:p>
        </w:tc>
        <w:tc>
          <w:tcPr>
            <w:tcW w:w="626" w:type="dxa"/>
          </w:tcPr>
          <w:p w14:paraId="37AE001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0,06</w:t>
            </w:r>
          </w:p>
        </w:tc>
        <w:tc>
          <w:tcPr>
            <w:cnfStyle w:val="000010000000" w:firstRow="0" w:lastRow="0" w:firstColumn="0" w:lastColumn="0" w:oddVBand="1" w:evenVBand="0" w:oddHBand="0" w:evenHBand="0" w:firstRowFirstColumn="0" w:firstRowLastColumn="0" w:lastRowFirstColumn="0" w:lastRowLastColumn="0"/>
            <w:tcW w:w="650" w:type="dxa"/>
          </w:tcPr>
          <w:p w14:paraId="29462EF9" w14:textId="77777777" w:rsidR="000B4D72" w:rsidRPr="00FF50CD" w:rsidRDefault="000B4D72" w:rsidP="00597239">
            <w:pPr>
              <w:rPr>
                <w:rFonts w:cstheme="minorHAnsi"/>
                <w:sz w:val="20"/>
                <w:szCs w:val="20"/>
              </w:rPr>
            </w:pPr>
            <w:r w:rsidRPr="00FF50CD">
              <w:rPr>
                <w:rFonts w:cstheme="minorHAnsi"/>
                <w:sz w:val="20"/>
                <w:szCs w:val="20"/>
              </w:rPr>
              <w:t>3</w:t>
            </w:r>
          </w:p>
        </w:tc>
        <w:tc>
          <w:tcPr>
            <w:cnfStyle w:val="000100000000" w:firstRow="0" w:lastRow="0" w:firstColumn="0" w:lastColumn="1" w:oddVBand="0" w:evenVBand="0" w:oddHBand="0" w:evenHBand="0" w:firstRowFirstColumn="0" w:firstRowLastColumn="0" w:lastRowFirstColumn="0" w:lastRowLastColumn="0"/>
            <w:tcW w:w="625" w:type="dxa"/>
          </w:tcPr>
          <w:p w14:paraId="0484DE47"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0,18</w:t>
            </w:r>
          </w:p>
        </w:tc>
      </w:tr>
      <w:tr w:rsidR="000B4D72" w:rsidRPr="00FF50CD" w14:paraId="57839A5D" w14:textId="77777777" w:rsidTr="00F865A1">
        <w:tc>
          <w:tcPr>
            <w:cnfStyle w:val="001000000000" w:firstRow="0" w:lastRow="0" w:firstColumn="1" w:lastColumn="0" w:oddVBand="0" w:evenVBand="0" w:oddHBand="0" w:evenHBand="0" w:firstRowFirstColumn="0" w:firstRowLastColumn="0" w:lastRowFirstColumn="0" w:lastRowLastColumn="0"/>
            <w:tcW w:w="3681" w:type="dxa"/>
          </w:tcPr>
          <w:p w14:paraId="2F079980"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Zapalenie opon i/lub mózgu w przebiegu boreliozy</w:t>
            </w:r>
          </w:p>
        </w:tc>
        <w:tc>
          <w:tcPr>
            <w:cnfStyle w:val="000010000000" w:firstRow="0" w:lastRow="0" w:firstColumn="0" w:lastColumn="0" w:oddVBand="1" w:evenVBand="0" w:oddHBand="0" w:evenHBand="0" w:firstRowFirstColumn="0" w:firstRowLastColumn="0" w:lastRowFirstColumn="0" w:lastRowLastColumn="0"/>
            <w:tcW w:w="727" w:type="dxa"/>
          </w:tcPr>
          <w:p w14:paraId="519887C2" w14:textId="77777777" w:rsidR="000B4D72" w:rsidRPr="00FF50CD" w:rsidRDefault="000B4D72" w:rsidP="00597239">
            <w:pPr>
              <w:rPr>
                <w:rFonts w:cstheme="minorHAnsi"/>
                <w:sz w:val="20"/>
                <w:szCs w:val="20"/>
              </w:rPr>
            </w:pPr>
            <w:r w:rsidRPr="00FF50CD">
              <w:rPr>
                <w:rFonts w:cstheme="minorHAnsi"/>
                <w:sz w:val="20"/>
                <w:szCs w:val="20"/>
              </w:rPr>
              <w:t>462</w:t>
            </w:r>
          </w:p>
        </w:tc>
        <w:tc>
          <w:tcPr>
            <w:tcW w:w="660" w:type="dxa"/>
          </w:tcPr>
          <w:p w14:paraId="639D098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1,23</w:t>
            </w:r>
          </w:p>
        </w:tc>
        <w:tc>
          <w:tcPr>
            <w:cnfStyle w:val="000010000000" w:firstRow="0" w:lastRow="0" w:firstColumn="0" w:lastColumn="0" w:oddVBand="1" w:evenVBand="0" w:oddHBand="0" w:evenHBand="0" w:firstRowFirstColumn="0" w:firstRowLastColumn="0" w:lastRowFirstColumn="0" w:lastRowLastColumn="0"/>
            <w:tcW w:w="739" w:type="dxa"/>
          </w:tcPr>
          <w:p w14:paraId="1A8330AD" w14:textId="77777777" w:rsidR="000B4D72" w:rsidRPr="00FF50CD" w:rsidRDefault="000B4D72" w:rsidP="00597239">
            <w:pPr>
              <w:rPr>
                <w:rFonts w:cstheme="minorHAnsi"/>
                <w:sz w:val="20"/>
                <w:szCs w:val="20"/>
              </w:rPr>
            </w:pPr>
            <w:r w:rsidRPr="00FF50CD">
              <w:rPr>
                <w:rFonts w:cstheme="minorHAnsi"/>
                <w:sz w:val="20"/>
                <w:szCs w:val="20"/>
              </w:rPr>
              <w:t>455</w:t>
            </w:r>
          </w:p>
        </w:tc>
        <w:tc>
          <w:tcPr>
            <w:tcW w:w="626" w:type="dxa"/>
          </w:tcPr>
          <w:p w14:paraId="35EF0BE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1,21</w:t>
            </w:r>
          </w:p>
        </w:tc>
        <w:tc>
          <w:tcPr>
            <w:cnfStyle w:val="000010000000" w:firstRow="0" w:lastRow="0" w:firstColumn="0" w:lastColumn="0" w:oddVBand="1" w:evenVBand="0" w:oddHBand="0" w:evenHBand="0" w:firstRowFirstColumn="0" w:firstRowLastColumn="0" w:lastRowFirstColumn="0" w:lastRowLastColumn="0"/>
            <w:tcW w:w="650" w:type="dxa"/>
          </w:tcPr>
          <w:p w14:paraId="2EA87975" w14:textId="77777777" w:rsidR="000B4D72" w:rsidRPr="00FF50CD" w:rsidRDefault="000B4D72" w:rsidP="00597239">
            <w:pPr>
              <w:rPr>
                <w:rFonts w:cstheme="minorHAnsi"/>
                <w:sz w:val="20"/>
                <w:szCs w:val="20"/>
              </w:rPr>
            </w:pPr>
            <w:r w:rsidRPr="00FF50CD">
              <w:rPr>
                <w:rFonts w:cstheme="minorHAnsi"/>
                <w:sz w:val="20"/>
                <w:szCs w:val="20"/>
              </w:rPr>
              <w:t>17</w:t>
            </w:r>
          </w:p>
        </w:tc>
        <w:tc>
          <w:tcPr>
            <w:tcW w:w="626" w:type="dxa"/>
          </w:tcPr>
          <w:p w14:paraId="10483D7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1,04</w:t>
            </w:r>
          </w:p>
        </w:tc>
        <w:tc>
          <w:tcPr>
            <w:cnfStyle w:val="000010000000" w:firstRow="0" w:lastRow="0" w:firstColumn="0" w:lastColumn="0" w:oddVBand="1" w:evenVBand="0" w:oddHBand="0" w:evenHBand="0" w:firstRowFirstColumn="0" w:firstRowLastColumn="0" w:lastRowFirstColumn="0" w:lastRowLastColumn="0"/>
            <w:tcW w:w="650" w:type="dxa"/>
          </w:tcPr>
          <w:p w14:paraId="3E6BE942" w14:textId="77777777" w:rsidR="000B4D72" w:rsidRPr="00FF50CD" w:rsidRDefault="000B4D72" w:rsidP="00597239">
            <w:pPr>
              <w:rPr>
                <w:rFonts w:cstheme="minorHAnsi"/>
                <w:sz w:val="20"/>
                <w:szCs w:val="20"/>
              </w:rPr>
            </w:pPr>
            <w:r w:rsidRPr="00FF50CD">
              <w:rPr>
                <w:rFonts w:cstheme="minorHAnsi"/>
                <w:sz w:val="20"/>
                <w:szCs w:val="20"/>
              </w:rPr>
              <w:t>17</w:t>
            </w:r>
          </w:p>
        </w:tc>
        <w:tc>
          <w:tcPr>
            <w:cnfStyle w:val="000100000000" w:firstRow="0" w:lastRow="0" w:firstColumn="0" w:lastColumn="1" w:oddVBand="0" w:evenVBand="0" w:oddHBand="0" w:evenHBand="0" w:firstRowFirstColumn="0" w:firstRowLastColumn="0" w:lastRowFirstColumn="0" w:lastRowLastColumn="0"/>
            <w:tcW w:w="625" w:type="dxa"/>
          </w:tcPr>
          <w:p w14:paraId="4CE064B0"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1,04</w:t>
            </w:r>
          </w:p>
        </w:tc>
      </w:tr>
      <w:tr w:rsidR="000B4D72" w:rsidRPr="00FF50CD" w14:paraId="15166C6A" w14:textId="77777777" w:rsidTr="00F865A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81" w:type="dxa"/>
          </w:tcPr>
          <w:p w14:paraId="6EC5C73C"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W innych chorobach objętych MZ-56</w:t>
            </w:r>
          </w:p>
        </w:tc>
        <w:tc>
          <w:tcPr>
            <w:cnfStyle w:val="000010000000" w:firstRow="0" w:lastRow="0" w:firstColumn="0" w:lastColumn="0" w:oddVBand="1" w:evenVBand="0" w:oddHBand="0" w:evenHBand="0" w:firstRowFirstColumn="0" w:firstRowLastColumn="0" w:lastRowFirstColumn="0" w:lastRowLastColumn="0"/>
            <w:tcW w:w="727" w:type="dxa"/>
          </w:tcPr>
          <w:p w14:paraId="347946C1" w14:textId="77777777" w:rsidR="000B4D72" w:rsidRPr="00FF50CD" w:rsidRDefault="000B4D72" w:rsidP="00597239">
            <w:pPr>
              <w:rPr>
                <w:rFonts w:cstheme="minorHAnsi"/>
                <w:sz w:val="20"/>
                <w:szCs w:val="20"/>
              </w:rPr>
            </w:pPr>
            <w:r w:rsidRPr="00FF50CD">
              <w:rPr>
                <w:rFonts w:cstheme="minorHAnsi"/>
                <w:sz w:val="20"/>
                <w:szCs w:val="20"/>
              </w:rPr>
              <w:t>42</w:t>
            </w:r>
          </w:p>
        </w:tc>
        <w:tc>
          <w:tcPr>
            <w:tcW w:w="660" w:type="dxa"/>
          </w:tcPr>
          <w:p w14:paraId="2B9C1AA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0,11</w:t>
            </w:r>
          </w:p>
        </w:tc>
        <w:tc>
          <w:tcPr>
            <w:cnfStyle w:val="000010000000" w:firstRow="0" w:lastRow="0" w:firstColumn="0" w:lastColumn="0" w:oddVBand="1" w:evenVBand="0" w:oddHBand="0" w:evenHBand="0" w:firstRowFirstColumn="0" w:firstRowLastColumn="0" w:lastRowFirstColumn="0" w:lastRowLastColumn="0"/>
            <w:tcW w:w="739" w:type="dxa"/>
          </w:tcPr>
          <w:p w14:paraId="1EB65507" w14:textId="77777777" w:rsidR="000B4D72" w:rsidRPr="00FF50CD" w:rsidRDefault="000B4D72" w:rsidP="00597239">
            <w:pPr>
              <w:rPr>
                <w:rFonts w:cstheme="minorHAnsi"/>
                <w:sz w:val="20"/>
                <w:szCs w:val="20"/>
              </w:rPr>
            </w:pPr>
            <w:r w:rsidRPr="00FF50CD">
              <w:rPr>
                <w:rFonts w:cstheme="minorHAnsi"/>
                <w:sz w:val="20"/>
                <w:szCs w:val="20"/>
              </w:rPr>
              <w:t>54</w:t>
            </w:r>
          </w:p>
        </w:tc>
        <w:tc>
          <w:tcPr>
            <w:tcW w:w="626" w:type="dxa"/>
          </w:tcPr>
          <w:p w14:paraId="53E8AC68"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0,14</w:t>
            </w:r>
          </w:p>
        </w:tc>
        <w:tc>
          <w:tcPr>
            <w:cnfStyle w:val="000010000000" w:firstRow="0" w:lastRow="0" w:firstColumn="0" w:lastColumn="0" w:oddVBand="1" w:evenVBand="0" w:oddHBand="0" w:evenHBand="0" w:firstRowFirstColumn="0" w:firstRowLastColumn="0" w:lastRowFirstColumn="0" w:lastRowLastColumn="0"/>
            <w:tcW w:w="650" w:type="dxa"/>
          </w:tcPr>
          <w:p w14:paraId="202AFAD5" w14:textId="77777777" w:rsidR="000B4D72" w:rsidRPr="00FF50CD" w:rsidRDefault="000B4D72" w:rsidP="00597239">
            <w:pPr>
              <w:rPr>
                <w:rFonts w:cstheme="minorHAnsi"/>
                <w:sz w:val="20"/>
                <w:szCs w:val="20"/>
              </w:rPr>
            </w:pPr>
            <w:r w:rsidRPr="00FF50CD">
              <w:rPr>
                <w:rFonts w:cstheme="minorHAnsi"/>
                <w:sz w:val="20"/>
                <w:szCs w:val="20"/>
              </w:rPr>
              <w:t>3</w:t>
            </w:r>
          </w:p>
        </w:tc>
        <w:tc>
          <w:tcPr>
            <w:tcW w:w="626" w:type="dxa"/>
          </w:tcPr>
          <w:p w14:paraId="2BE58A2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0,18</w:t>
            </w:r>
          </w:p>
        </w:tc>
        <w:tc>
          <w:tcPr>
            <w:cnfStyle w:val="000010000000" w:firstRow="0" w:lastRow="0" w:firstColumn="0" w:lastColumn="0" w:oddVBand="1" w:evenVBand="0" w:oddHBand="0" w:evenHBand="0" w:firstRowFirstColumn="0" w:firstRowLastColumn="0" w:lastRowFirstColumn="0" w:lastRowLastColumn="0"/>
            <w:tcW w:w="650" w:type="dxa"/>
          </w:tcPr>
          <w:p w14:paraId="1FF2E785" w14:textId="77777777" w:rsidR="000B4D72" w:rsidRPr="00FF50CD" w:rsidRDefault="000B4D72" w:rsidP="00597239">
            <w:pPr>
              <w:rPr>
                <w:rFonts w:cstheme="minorHAnsi"/>
                <w:sz w:val="20"/>
                <w:szCs w:val="20"/>
              </w:rPr>
            </w:pPr>
            <w:r w:rsidRPr="00FF50CD">
              <w:rPr>
                <w:rFonts w:cstheme="minorHAnsi"/>
                <w:sz w:val="20"/>
                <w:szCs w:val="20"/>
              </w:rPr>
              <w:t>1</w:t>
            </w:r>
          </w:p>
        </w:tc>
        <w:tc>
          <w:tcPr>
            <w:cnfStyle w:val="000100000000" w:firstRow="0" w:lastRow="0" w:firstColumn="0" w:lastColumn="1" w:oddVBand="0" w:evenVBand="0" w:oddHBand="0" w:evenHBand="0" w:firstRowFirstColumn="0" w:firstRowLastColumn="0" w:lastRowFirstColumn="0" w:lastRowLastColumn="0"/>
            <w:tcW w:w="625" w:type="dxa"/>
          </w:tcPr>
          <w:p w14:paraId="44A8A6DE"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0,06</w:t>
            </w:r>
          </w:p>
        </w:tc>
      </w:tr>
      <w:tr w:rsidR="000B4D72" w:rsidRPr="00FF50CD" w14:paraId="581E61DC" w14:textId="77777777" w:rsidTr="00F865A1">
        <w:trPr>
          <w:cnfStyle w:val="010000000000" w:firstRow="0" w:lastRow="1"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3681" w:type="dxa"/>
          </w:tcPr>
          <w:p w14:paraId="1849E937"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Razem:</w:t>
            </w:r>
          </w:p>
        </w:tc>
        <w:tc>
          <w:tcPr>
            <w:cnfStyle w:val="000010000000" w:firstRow="0" w:lastRow="0" w:firstColumn="0" w:lastColumn="0" w:oddVBand="1" w:evenVBand="0" w:oddHBand="0" w:evenHBand="0" w:firstRowFirstColumn="0" w:firstRowLastColumn="0" w:lastRowFirstColumn="0" w:lastRowLastColumn="0"/>
            <w:tcW w:w="727" w:type="dxa"/>
          </w:tcPr>
          <w:p w14:paraId="66849A20"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1184</w:t>
            </w:r>
          </w:p>
        </w:tc>
        <w:tc>
          <w:tcPr>
            <w:tcW w:w="660" w:type="dxa"/>
          </w:tcPr>
          <w:p w14:paraId="0819B1D8"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3,15</w:t>
            </w:r>
          </w:p>
        </w:tc>
        <w:tc>
          <w:tcPr>
            <w:cnfStyle w:val="000010000000" w:firstRow="0" w:lastRow="0" w:firstColumn="0" w:lastColumn="0" w:oddVBand="1" w:evenVBand="0" w:oddHBand="0" w:evenHBand="0" w:firstRowFirstColumn="0" w:firstRowLastColumn="0" w:lastRowFirstColumn="0" w:lastRowLastColumn="0"/>
            <w:tcW w:w="739" w:type="dxa"/>
          </w:tcPr>
          <w:p w14:paraId="5CC85461"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1185</w:t>
            </w:r>
          </w:p>
        </w:tc>
        <w:tc>
          <w:tcPr>
            <w:tcW w:w="626" w:type="dxa"/>
          </w:tcPr>
          <w:p w14:paraId="0C59EDD3"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3,15</w:t>
            </w:r>
          </w:p>
        </w:tc>
        <w:tc>
          <w:tcPr>
            <w:cnfStyle w:val="000010000000" w:firstRow="0" w:lastRow="0" w:firstColumn="0" w:lastColumn="0" w:oddVBand="1" w:evenVBand="0" w:oddHBand="0" w:evenHBand="0" w:firstRowFirstColumn="0" w:firstRowLastColumn="0" w:lastRowFirstColumn="0" w:lastRowLastColumn="0"/>
            <w:tcW w:w="650" w:type="dxa"/>
          </w:tcPr>
          <w:p w14:paraId="7105704C"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51</w:t>
            </w:r>
          </w:p>
        </w:tc>
        <w:tc>
          <w:tcPr>
            <w:tcW w:w="626" w:type="dxa"/>
          </w:tcPr>
          <w:p w14:paraId="78B1F9BC"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3,11</w:t>
            </w:r>
          </w:p>
        </w:tc>
        <w:tc>
          <w:tcPr>
            <w:cnfStyle w:val="000010000000" w:firstRow="0" w:lastRow="0" w:firstColumn="0" w:lastColumn="0" w:oddVBand="1" w:evenVBand="0" w:oddHBand="0" w:evenHBand="0" w:firstRowFirstColumn="0" w:firstRowLastColumn="0" w:lastRowFirstColumn="0" w:lastRowLastColumn="0"/>
            <w:tcW w:w="650" w:type="dxa"/>
          </w:tcPr>
          <w:p w14:paraId="5EC69150"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50</w:t>
            </w:r>
          </w:p>
        </w:tc>
        <w:tc>
          <w:tcPr>
            <w:cnfStyle w:val="000100000000" w:firstRow="0" w:lastRow="0" w:firstColumn="0" w:lastColumn="1" w:oddVBand="0" w:evenVBand="0" w:oddHBand="0" w:evenHBand="0" w:firstRowFirstColumn="0" w:firstRowLastColumn="0" w:lastRowFirstColumn="0" w:lastRowLastColumn="0"/>
            <w:tcW w:w="625" w:type="dxa"/>
          </w:tcPr>
          <w:p w14:paraId="02C1992F"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3,06</w:t>
            </w:r>
          </w:p>
        </w:tc>
      </w:tr>
    </w:tbl>
    <w:p w14:paraId="667CB57B" w14:textId="77777777" w:rsidR="00EE16EC" w:rsidRDefault="00EE16EC" w:rsidP="00597239">
      <w:pPr>
        <w:tabs>
          <w:tab w:val="left" w:pos="993"/>
        </w:tabs>
        <w:spacing w:after="0" w:line="276" w:lineRule="auto"/>
        <w:rPr>
          <w:b/>
          <w:bCs/>
          <w:sz w:val="24"/>
          <w:szCs w:val="24"/>
        </w:rPr>
      </w:pPr>
    </w:p>
    <w:p w14:paraId="209D2133" w14:textId="5D24C3E9" w:rsidR="000B4D72" w:rsidRPr="00573B21" w:rsidRDefault="000B4D72" w:rsidP="00597239">
      <w:pPr>
        <w:tabs>
          <w:tab w:val="left" w:pos="993"/>
        </w:tabs>
        <w:spacing w:after="0" w:line="276" w:lineRule="auto"/>
        <w:rPr>
          <w:b/>
          <w:bCs/>
          <w:sz w:val="24"/>
          <w:szCs w:val="24"/>
        </w:rPr>
      </w:pPr>
      <w:r w:rsidRPr="00573B21">
        <w:rPr>
          <w:b/>
          <w:bCs/>
          <w:sz w:val="24"/>
          <w:szCs w:val="24"/>
        </w:rPr>
        <w:t>Wirusowe zapalenie opon mózgowych</w:t>
      </w:r>
      <w:r>
        <w:rPr>
          <w:b/>
          <w:bCs/>
          <w:sz w:val="24"/>
          <w:szCs w:val="24"/>
        </w:rPr>
        <w:t xml:space="preserve"> i mózgu</w:t>
      </w:r>
    </w:p>
    <w:p w14:paraId="470F57B3" w14:textId="7DC7F9D0" w:rsidR="000B4D72" w:rsidRPr="00A270B1" w:rsidRDefault="000B4D72" w:rsidP="00597239">
      <w:pPr>
        <w:spacing w:after="0" w:line="276" w:lineRule="auto"/>
        <w:rPr>
          <w:sz w:val="24"/>
          <w:szCs w:val="24"/>
        </w:rPr>
      </w:pPr>
      <w:r w:rsidRPr="00573B21">
        <w:rPr>
          <w:sz w:val="24"/>
          <w:szCs w:val="24"/>
        </w:rPr>
        <w:t>W 2024 roku w woj. zachodniopomorskim zarejestrowano 41 przypadków</w:t>
      </w:r>
      <w:r>
        <w:rPr>
          <w:sz w:val="24"/>
          <w:szCs w:val="24"/>
        </w:rPr>
        <w:t>.</w:t>
      </w:r>
      <w:r w:rsidRPr="00573B21">
        <w:rPr>
          <w:sz w:val="24"/>
          <w:szCs w:val="24"/>
        </w:rPr>
        <w:t xml:space="preserve"> </w:t>
      </w:r>
      <w:r>
        <w:rPr>
          <w:sz w:val="24"/>
          <w:szCs w:val="24"/>
        </w:rPr>
        <w:t>W</w:t>
      </w:r>
      <w:r w:rsidRPr="00573B21">
        <w:rPr>
          <w:sz w:val="24"/>
          <w:szCs w:val="24"/>
        </w:rPr>
        <w:t xml:space="preserve">spółczynnik zapadalności </w:t>
      </w:r>
      <w:r>
        <w:rPr>
          <w:sz w:val="24"/>
          <w:szCs w:val="24"/>
        </w:rPr>
        <w:t xml:space="preserve">wynosił </w:t>
      </w:r>
      <w:r w:rsidRPr="00573B21">
        <w:rPr>
          <w:sz w:val="24"/>
          <w:szCs w:val="24"/>
        </w:rPr>
        <w:t xml:space="preserve">2,51 na 100 </w:t>
      </w:r>
      <w:r w:rsidRPr="00A270B1">
        <w:rPr>
          <w:sz w:val="24"/>
          <w:szCs w:val="24"/>
        </w:rPr>
        <w:t>tys. mieszkańców</w:t>
      </w:r>
      <w:r>
        <w:rPr>
          <w:sz w:val="24"/>
          <w:szCs w:val="24"/>
        </w:rPr>
        <w:t xml:space="preserve"> i był zbliżony do</w:t>
      </w:r>
      <w:r w:rsidR="000B1187">
        <w:rPr>
          <w:sz w:val="24"/>
          <w:szCs w:val="24"/>
        </w:rPr>
        <w:t> </w:t>
      </w:r>
      <w:r>
        <w:rPr>
          <w:sz w:val="24"/>
          <w:szCs w:val="24"/>
        </w:rPr>
        <w:t>współczynnika zapadalności w Polsce (2,62 na 100 tys. mieszkańców)</w:t>
      </w:r>
      <w:r w:rsidRPr="00A270B1">
        <w:rPr>
          <w:sz w:val="24"/>
          <w:szCs w:val="24"/>
        </w:rPr>
        <w:t>.</w:t>
      </w:r>
    </w:p>
    <w:p w14:paraId="02C8EF59" w14:textId="77777777" w:rsidR="007F42A2" w:rsidRDefault="007F42A2" w:rsidP="00597239">
      <w:pPr>
        <w:tabs>
          <w:tab w:val="left" w:pos="993"/>
        </w:tabs>
        <w:spacing w:after="0" w:line="276" w:lineRule="auto"/>
        <w:rPr>
          <w:b/>
          <w:bCs/>
          <w:sz w:val="24"/>
          <w:szCs w:val="24"/>
        </w:rPr>
      </w:pPr>
    </w:p>
    <w:p w14:paraId="32A45461" w14:textId="7F0876F7" w:rsidR="000B4D72" w:rsidRPr="00A270B1" w:rsidRDefault="000B4D72" w:rsidP="00597239">
      <w:pPr>
        <w:tabs>
          <w:tab w:val="left" w:pos="993"/>
        </w:tabs>
        <w:spacing w:after="0" w:line="276" w:lineRule="auto"/>
        <w:rPr>
          <w:b/>
          <w:bCs/>
          <w:sz w:val="24"/>
          <w:szCs w:val="24"/>
        </w:rPr>
      </w:pPr>
      <w:r w:rsidRPr="00A270B1">
        <w:rPr>
          <w:b/>
          <w:bCs/>
          <w:sz w:val="24"/>
          <w:szCs w:val="24"/>
        </w:rPr>
        <w:t>Wirusowe zapalenie mózgu</w:t>
      </w:r>
    </w:p>
    <w:p w14:paraId="6545EBB9" w14:textId="31C60FAD" w:rsidR="000B4D72" w:rsidRPr="00A270B1" w:rsidRDefault="000B4D72" w:rsidP="00597239">
      <w:pPr>
        <w:pStyle w:val="Styl1"/>
        <w:spacing w:before="0" w:after="0"/>
        <w:ind w:firstLine="0"/>
        <w:jc w:val="left"/>
      </w:pPr>
      <w:r w:rsidRPr="00A270B1">
        <w:t>W 2024 roku w Polsce odnotowano 936 zachorowań na wirusowe zapalenie mózgu (współczynnik zapadalności 2,49 na 100 tys. mieszkańców). Wśród ogółu zachorowań aż</w:t>
      </w:r>
      <w:r w:rsidR="000B1187">
        <w:t> </w:t>
      </w:r>
      <w:r w:rsidRPr="00A270B1">
        <w:t>84,72% stanowiło kleszczowe zapalenie mózgu.</w:t>
      </w:r>
    </w:p>
    <w:p w14:paraId="336AB54B" w14:textId="77777777" w:rsidR="00EE16EC" w:rsidRDefault="00EE16EC" w:rsidP="00597239">
      <w:pPr>
        <w:pStyle w:val="Styl1"/>
        <w:spacing w:before="0" w:after="0"/>
        <w:ind w:firstLine="0"/>
        <w:jc w:val="left"/>
      </w:pPr>
    </w:p>
    <w:p w14:paraId="4670F3EB" w14:textId="594B28D7" w:rsidR="000B4D72" w:rsidRDefault="000B4D72" w:rsidP="00597239">
      <w:pPr>
        <w:pStyle w:val="Styl1"/>
        <w:spacing w:before="0" w:after="0"/>
        <w:ind w:firstLine="0"/>
        <w:jc w:val="left"/>
      </w:pPr>
      <w:r w:rsidRPr="00A270B1">
        <w:t xml:space="preserve">W woj. zachodniopomorskim zarejestrowano 19 zachorowań na zapalenie mózgu </w:t>
      </w:r>
      <w:r>
        <w:t>o</w:t>
      </w:r>
      <w:r w:rsidR="000B1187">
        <w:t> </w:t>
      </w:r>
      <w:r>
        <w:t xml:space="preserve">etiologii wirusowej </w:t>
      </w:r>
      <w:r w:rsidRPr="00A270B1">
        <w:t>(współczynnik zapadalności 1,17 na 100 tys. mieszkańców)</w:t>
      </w:r>
      <w:r>
        <w:t>.</w:t>
      </w:r>
      <w:r w:rsidRPr="00A270B1">
        <w:t xml:space="preserve"> Większość zachorowań (63,18%) stanowiło kleszczowe zapalenie mózgu</w:t>
      </w:r>
      <w:r>
        <w:t>, a odsetek udziału tej jednostki chorobowej wśród ogółu wirusowych zapaleń mózgu był niższy niż w Polsce, gdzie wynosił prawie 85%.</w:t>
      </w:r>
    </w:p>
    <w:p w14:paraId="38220FF9" w14:textId="77777777" w:rsidR="00EE16EC" w:rsidRPr="00F07B44" w:rsidRDefault="00EE16EC" w:rsidP="00597239">
      <w:pPr>
        <w:pStyle w:val="Styl1"/>
        <w:spacing w:before="0" w:after="0"/>
        <w:ind w:firstLine="0"/>
        <w:jc w:val="left"/>
      </w:pPr>
    </w:p>
    <w:p w14:paraId="764A64CC" w14:textId="05FBB950" w:rsidR="000B4D72" w:rsidRPr="00F07B44" w:rsidRDefault="000B4D72" w:rsidP="00597239">
      <w:pPr>
        <w:pStyle w:val="Nagwek3"/>
        <w:numPr>
          <w:ilvl w:val="1"/>
          <w:numId w:val="18"/>
        </w:numPr>
        <w:spacing w:before="0" w:after="0"/>
        <w:ind w:left="568" w:hanging="284"/>
      </w:pPr>
      <w:bookmarkStart w:id="73" w:name="_Toc192678703"/>
      <w:bookmarkStart w:id="74" w:name="_Toc193694443"/>
      <w:bookmarkStart w:id="75" w:name="_Toc194059781"/>
      <w:r w:rsidRPr="00F07B44">
        <w:t>Inwazyjna choroba meningokokowa</w:t>
      </w:r>
      <w:bookmarkEnd w:id="73"/>
      <w:bookmarkEnd w:id="74"/>
      <w:bookmarkEnd w:id="75"/>
    </w:p>
    <w:p w14:paraId="1F09CB91" w14:textId="77777777" w:rsidR="000B4D72" w:rsidRPr="00F07B44" w:rsidRDefault="000B4D72" w:rsidP="00597239">
      <w:pPr>
        <w:spacing w:after="0" w:line="276" w:lineRule="auto"/>
        <w:rPr>
          <w:sz w:val="24"/>
          <w:szCs w:val="24"/>
        </w:rPr>
      </w:pPr>
      <w:r w:rsidRPr="00F07B44">
        <w:rPr>
          <w:sz w:val="24"/>
          <w:szCs w:val="24"/>
        </w:rPr>
        <w:t xml:space="preserve">Inwazyjna choroba meningokokowa (ICHM) jest wywołana przez dwoinkę zapalenia opon mózgowych </w:t>
      </w:r>
      <w:r w:rsidRPr="00F07B44">
        <w:rPr>
          <w:i/>
          <w:sz w:val="24"/>
          <w:szCs w:val="24"/>
        </w:rPr>
        <w:t>Neisseria meningitidis</w:t>
      </w:r>
      <w:r w:rsidRPr="00F07B44">
        <w:rPr>
          <w:sz w:val="24"/>
          <w:szCs w:val="24"/>
        </w:rPr>
        <w:t>. Rozróżnia się 13 typów serologicznych, z których A,</w:t>
      </w:r>
      <w:r>
        <w:rPr>
          <w:sz w:val="24"/>
          <w:szCs w:val="24"/>
        </w:rPr>
        <w:t xml:space="preserve"> </w:t>
      </w:r>
      <w:r w:rsidRPr="00F07B44">
        <w:rPr>
          <w:sz w:val="24"/>
          <w:szCs w:val="24"/>
        </w:rPr>
        <w:t>B, C, Y i W odpowiadają za większość przypadków zachorowań.</w:t>
      </w:r>
    </w:p>
    <w:p w14:paraId="58DF6CF3" w14:textId="77777777" w:rsidR="00EE16EC" w:rsidRDefault="00EE16EC" w:rsidP="00597239">
      <w:pPr>
        <w:spacing w:after="0" w:line="276" w:lineRule="auto"/>
        <w:rPr>
          <w:sz w:val="24"/>
          <w:szCs w:val="24"/>
        </w:rPr>
      </w:pPr>
    </w:p>
    <w:p w14:paraId="1DA0A942" w14:textId="77777777" w:rsidR="00EE16EC" w:rsidRDefault="000B4D72" w:rsidP="00597239">
      <w:pPr>
        <w:spacing w:after="0" w:line="276" w:lineRule="auto"/>
        <w:rPr>
          <w:sz w:val="24"/>
          <w:szCs w:val="24"/>
        </w:rPr>
      </w:pPr>
      <w:r w:rsidRPr="000B45AE">
        <w:rPr>
          <w:sz w:val="24"/>
          <w:szCs w:val="24"/>
        </w:rPr>
        <w:t xml:space="preserve">W </w:t>
      </w:r>
      <w:r>
        <w:rPr>
          <w:sz w:val="24"/>
          <w:szCs w:val="24"/>
        </w:rPr>
        <w:t>niektórych</w:t>
      </w:r>
      <w:r w:rsidRPr="000B45AE">
        <w:rPr>
          <w:sz w:val="24"/>
          <w:szCs w:val="24"/>
        </w:rPr>
        <w:t xml:space="preserve"> przypadk</w:t>
      </w:r>
      <w:r>
        <w:rPr>
          <w:sz w:val="24"/>
          <w:szCs w:val="24"/>
        </w:rPr>
        <w:t>ach</w:t>
      </w:r>
      <w:r w:rsidRPr="000B45AE">
        <w:rPr>
          <w:sz w:val="24"/>
          <w:szCs w:val="24"/>
        </w:rPr>
        <w:t xml:space="preserve"> przebieg zachorowań jest piorunujący i kończy się zgonem, stąd każde podejrzenie zachorowania traktowane jest jak zagrożenie życia i wymaga również podjęcia działań przeciwepidemicznych ze strony </w:t>
      </w:r>
      <w:r>
        <w:rPr>
          <w:sz w:val="24"/>
          <w:szCs w:val="24"/>
        </w:rPr>
        <w:t>organów Państwowej Inspekcji Sanitarnej</w:t>
      </w:r>
      <w:r w:rsidRPr="000B45AE">
        <w:rPr>
          <w:sz w:val="24"/>
          <w:szCs w:val="24"/>
        </w:rPr>
        <w:t xml:space="preserve">. </w:t>
      </w:r>
    </w:p>
    <w:p w14:paraId="458F69D4" w14:textId="77777777" w:rsidR="00EE16EC" w:rsidRDefault="00EE16EC" w:rsidP="00597239">
      <w:pPr>
        <w:spacing w:after="0" w:line="276" w:lineRule="auto"/>
        <w:rPr>
          <w:sz w:val="24"/>
          <w:szCs w:val="24"/>
        </w:rPr>
      </w:pPr>
    </w:p>
    <w:p w14:paraId="55D32B0D" w14:textId="378A0931" w:rsidR="000B4D72" w:rsidRDefault="000B4D72" w:rsidP="00597239">
      <w:pPr>
        <w:spacing w:after="0" w:line="276" w:lineRule="auto"/>
        <w:rPr>
          <w:sz w:val="24"/>
          <w:szCs w:val="24"/>
        </w:rPr>
      </w:pPr>
      <w:r w:rsidRPr="000B45AE">
        <w:rPr>
          <w:sz w:val="24"/>
          <w:szCs w:val="24"/>
        </w:rPr>
        <w:t xml:space="preserve">W woj. zachodniopomorskim częstość występowania </w:t>
      </w:r>
      <w:r>
        <w:rPr>
          <w:sz w:val="24"/>
          <w:szCs w:val="24"/>
        </w:rPr>
        <w:t>ICHM</w:t>
      </w:r>
      <w:r w:rsidRPr="000B45AE">
        <w:rPr>
          <w:sz w:val="24"/>
          <w:szCs w:val="24"/>
        </w:rPr>
        <w:t xml:space="preserve"> jest na ogół wyższa od średniej z</w:t>
      </w:r>
      <w:r w:rsidR="007B1BEB">
        <w:rPr>
          <w:sz w:val="24"/>
          <w:szCs w:val="24"/>
        </w:rPr>
        <w:t> </w:t>
      </w:r>
      <w:r w:rsidRPr="000B45AE">
        <w:rPr>
          <w:sz w:val="24"/>
          <w:szCs w:val="24"/>
        </w:rPr>
        <w:t>całego kraju (</w:t>
      </w:r>
      <w:r w:rsidR="000D65C5">
        <w:rPr>
          <w:sz w:val="24"/>
          <w:szCs w:val="24"/>
        </w:rPr>
        <w:t xml:space="preserve">wykres </w:t>
      </w:r>
      <w:r w:rsidRPr="00475423">
        <w:rPr>
          <w:sz w:val="24"/>
          <w:szCs w:val="24"/>
        </w:rPr>
        <w:t>3</w:t>
      </w:r>
      <w:r w:rsidRPr="000B45AE">
        <w:rPr>
          <w:sz w:val="24"/>
          <w:szCs w:val="24"/>
        </w:rPr>
        <w:t>)</w:t>
      </w:r>
      <w:r>
        <w:rPr>
          <w:sz w:val="24"/>
          <w:szCs w:val="24"/>
        </w:rPr>
        <w:t>.</w:t>
      </w:r>
    </w:p>
    <w:p w14:paraId="6D630C55" w14:textId="77777777" w:rsidR="00EE16EC" w:rsidRDefault="00EE16EC" w:rsidP="00597239">
      <w:pPr>
        <w:spacing w:after="0" w:line="276" w:lineRule="auto"/>
        <w:rPr>
          <w:sz w:val="24"/>
          <w:szCs w:val="24"/>
        </w:rPr>
      </w:pPr>
    </w:p>
    <w:p w14:paraId="045E368F" w14:textId="010189AB" w:rsidR="000B4D72" w:rsidRPr="009A695E" w:rsidRDefault="009A695E" w:rsidP="00597239">
      <w:pPr>
        <w:pStyle w:val="Legenda"/>
        <w:spacing w:after="0"/>
        <w:rPr>
          <w:i w:val="0"/>
          <w:iCs w:val="0"/>
          <w:color w:val="000000" w:themeColor="text1"/>
          <w:sz w:val="24"/>
          <w:szCs w:val="24"/>
        </w:rPr>
      </w:pPr>
      <w:bookmarkStart w:id="76" w:name="_Toc193969460"/>
      <w:bookmarkStart w:id="77" w:name="_Toc194059920"/>
      <w:r w:rsidRPr="009A695E">
        <w:rPr>
          <w:i w:val="0"/>
          <w:iCs w:val="0"/>
          <w:color w:val="000000" w:themeColor="text1"/>
        </w:rPr>
        <w:t xml:space="preserve">Wykres </w:t>
      </w:r>
      <w:r w:rsidRPr="009A695E">
        <w:rPr>
          <w:i w:val="0"/>
          <w:iCs w:val="0"/>
          <w:color w:val="000000" w:themeColor="text1"/>
        </w:rPr>
        <w:fldChar w:fldCharType="begin"/>
      </w:r>
      <w:r w:rsidRPr="009A695E">
        <w:rPr>
          <w:i w:val="0"/>
          <w:iCs w:val="0"/>
          <w:color w:val="000000" w:themeColor="text1"/>
        </w:rPr>
        <w:instrText xml:space="preserve"> SEQ Wykres \* ARABIC </w:instrText>
      </w:r>
      <w:r w:rsidRPr="009A695E">
        <w:rPr>
          <w:i w:val="0"/>
          <w:iCs w:val="0"/>
          <w:color w:val="000000" w:themeColor="text1"/>
        </w:rPr>
        <w:fldChar w:fldCharType="separate"/>
      </w:r>
      <w:r w:rsidR="00FB6F6A">
        <w:rPr>
          <w:i w:val="0"/>
          <w:iCs w:val="0"/>
          <w:noProof/>
          <w:color w:val="000000" w:themeColor="text1"/>
        </w:rPr>
        <w:t>3</w:t>
      </w:r>
      <w:r w:rsidRPr="009A695E">
        <w:rPr>
          <w:i w:val="0"/>
          <w:iCs w:val="0"/>
          <w:color w:val="000000" w:themeColor="text1"/>
        </w:rPr>
        <w:fldChar w:fldCharType="end"/>
      </w:r>
      <w:r w:rsidR="00E75D31">
        <w:rPr>
          <w:i w:val="0"/>
          <w:iCs w:val="0"/>
          <w:color w:val="000000" w:themeColor="text1"/>
        </w:rPr>
        <w:t>.</w:t>
      </w:r>
      <w:r w:rsidR="005219DA">
        <w:rPr>
          <w:i w:val="0"/>
          <w:iCs w:val="0"/>
          <w:color w:val="000000" w:themeColor="text1"/>
        </w:rPr>
        <w:t xml:space="preserve"> </w:t>
      </w:r>
      <w:r w:rsidRPr="009A695E">
        <w:rPr>
          <w:i w:val="0"/>
          <w:iCs w:val="0"/>
          <w:color w:val="000000" w:themeColor="text1"/>
        </w:rPr>
        <w:t>Współczynnik zapadalności na ICHM w Polsce i w woj. zachodniopomorskim w latach 2020-2024</w:t>
      </w:r>
      <w:r w:rsidR="005219DA">
        <w:rPr>
          <w:i w:val="0"/>
          <w:iCs w:val="0"/>
          <w:color w:val="000000" w:themeColor="text1"/>
        </w:rPr>
        <w:t>.</w:t>
      </w:r>
      <w:bookmarkEnd w:id="76"/>
      <w:bookmarkEnd w:id="77"/>
    </w:p>
    <w:p w14:paraId="4FAF4E35" w14:textId="77777777" w:rsidR="000B4D72" w:rsidRPr="000B45AE" w:rsidRDefault="000B4D72" w:rsidP="00597239">
      <w:pPr>
        <w:spacing w:after="0" w:line="276" w:lineRule="auto"/>
        <w:rPr>
          <w:sz w:val="24"/>
          <w:szCs w:val="24"/>
        </w:rPr>
      </w:pPr>
      <w:r w:rsidRPr="003A793F">
        <w:rPr>
          <w:noProof/>
          <w:color w:val="FF0000"/>
        </w:rPr>
        <w:drawing>
          <wp:inline distT="0" distB="0" distL="0" distR="0" wp14:anchorId="1AC6E825" wp14:editId="00AFE82B">
            <wp:extent cx="5760720" cy="3445510"/>
            <wp:effectExtent l="0" t="0" r="11430" b="2540"/>
            <wp:docPr id="155684407" name="Wykres 155684407" descr="Wykres przedstawia współczynnik zapadalności na ICHM w Polsce i w woj. zachodniopomorskim w latach 2020-2024. W 2024 współczynnik zapadalności w województwie wynosił 0,92, a w Polsce 0,42.">
              <a:extLst xmlns:a="http://schemas.openxmlformats.org/drawingml/2006/main">
                <a:ext uri="{FF2B5EF4-FFF2-40B4-BE49-F238E27FC236}">
                  <a16:creationId xmlns:a16="http://schemas.microsoft.com/office/drawing/2014/main" id="{BBB5BDE7-A4F4-CCC3-5BC5-D9795EEB35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5814BC" w14:textId="77777777" w:rsidR="000B4D72" w:rsidRDefault="000B4D72" w:rsidP="00597239">
      <w:pPr>
        <w:spacing w:after="0" w:line="276" w:lineRule="auto"/>
        <w:rPr>
          <w:sz w:val="24"/>
          <w:szCs w:val="24"/>
        </w:rPr>
      </w:pPr>
      <w:r w:rsidRPr="000B45AE">
        <w:rPr>
          <w:sz w:val="24"/>
          <w:szCs w:val="24"/>
        </w:rPr>
        <w:lastRenderedPageBreak/>
        <w:t xml:space="preserve">W woj. zachodniopomorskim w roku 2024 odnotowano 15 przypadków </w:t>
      </w:r>
      <w:r>
        <w:rPr>
          <w:sz w:val="24"/>
          <w:szCs w:val="24"/>
        </w:rPr>
        <w:t>ICHM</w:t>
      </w:r>
      <w:r w:rsidRPr="000B45AE">
        <w:rPr>
          <w:sz w:val="24"/>
          <w:szCs w:val="24"/>
        </w:rPr>
        <w:t>. Choroba dotyczyła osób w wieku od 10 miesięcy do 62 lat. W 1 przypadku choroba przebiegała pod postacią zapalenia opon mózgowo-rdzeniowych (ZOMR), w 4 przypadkach pod postacią posocznicy, w 5 przypadkach pod postacią ZOMR i posocznicy, a w 5 przypadkach miała przebieg nieokreślony. Dwa przypadki zachorowań zakończyły się zgonem</w:t>
      </w:r>
      <w:r>
        <w:rPr>
          <w:sz w:val="24"/>
          <w:szCs w:val="24"/>
        </w:rPr>
        <w:t xml:space="preserve"> (tabela 13)</w:t>
      </w:r>
      <w:r w:rsidRPr="000B45AE">
        <w:rPr>
          <w:sz w:val="24"/>
          <w:szCs w:val="24"/>
        </w:rPr>
        <w:t>.</w:t>
      </w:r>
    </w:p>
    <w:p w14:paraId="0F151D01" w14:textId="77777777" w:rsidR="00EE16EC" w:rsidRPr="000B45AE" w:rsidRDefault="00EE16EC" w:rsidP="00597239">
      <w:pPr>
        <w:spacing w:after="0" w:line="276" w:lineRule="auto"/>
        <w:rPr>
          <w:sz w:val="24"/>
          <w:szCs w:val="24"/>
        </w:rPr>
      </w:pPr>
    </w:p>
    <w:p w14:paraId="35201CBB" w14:textId="38CEA411" w:rsidR="000B4D72" w:rsidRDefault="000B4D72" w:rsidP="00597239">
      <w:pPr>
        <w:spacing w:after="0" w:line="276" w:lineRule="auto"/>
        <w:rPr>
          <w:sz w:val="24"/>
          <w:szCs w:val="24"/>
        </w:rPr>
      </w:pPr>
      <w:r w:rsidRPr="000B45AE">
        <w:rPr>
          <w:sz w:val="24"/>
          <w:szCs w:val="24"/>
        </w:rPr>
        <w:t>Wszystkie zachorowania w 2024 roku objęto nadzorem epidemiologicznym. Osobom z</w:t>
      </w:r>
      <w:r w:rsidR="007B1BEB">
        <w:rPr>
          <w:sz w:val="24"/>
          <w:szCs w:val="24"/>
        </w:rPr>
        <w:t> </w:t>
      </w:r>
      <w:r w:rsidRPr="000B45AE">
        <w:rPr>
          <w:sz w:val="24"/>
          <w:szCs w:val="24"/>
        </w:rPr>
        <w:t>najbliższego otoczenia chorych wdrożono chemioprofilaktykę, którą objęto łącznie 171 osób.</w:t>
      </w:r>
    </w:p>
    <w:p w14:paraId="6AB10541" w14:textId="77777777" w:rsidR="00EE16EC" w:rsidRPr="000B45AE" w:rsidRDefault="00EE16EC" w:rsidP="00597239">
      <w:pPr>
        <w:spacing w:after="0" w:line="276" w:lineRule="auto"/>
        <w:rPr>
          <w:sz w:val="24"/>
          <w:szCs w:val="24"/>
        </w:rPr>
      </w:pPr>
    </w:p>
    <w:p w14:paraId="2BFB00C2" w14:textId="330B075D" w:rsidR="000B4D72" w:rsidRPr="005E7D46" w:rsidRDefault="005E7D46" w:rsidP="00597239">
      <w:pPr>
        <w:pStyle w:val="Legenda"/>
        <w:spacing w:after="0"/>
        <w:rPr>
          <w:b/>
          <w:i w:val="0"/>
          <w:iCs w:val="0"/>
          <w:color w:val="000000" w:themeColor="text1"/>
        </w:rPr>
      </w:pPr>
      <w:bookmarkStart w:id="78" w:name="_Toc193805983"/>
      <w:bookmarkStart w:id="79" w:name="_Toc193969531"/>
      <w:bookmarkStart w:id="80" w:name="_Toc194059991"/>
      <w:r w:rsidRPr="005E7D46">
        <w:rPr>
          <w:i w:val="0"/>
          <w:iCs w:val="0"/>
          <w:color w:val="000000" w:themeColor="text1"/>
        </w:rPr>
        <w:t xml:space="preserve">Tabela </w:t>
      </w:r>
      <w:r w:rsidRPr="005E7D46">
        <w:rPr>
          <w:i w:val="0"/>
          <w:iCs w:val="0"/>
          <w:color w:val="000000" w:themeColor="text1"/>
        </w:rPr>
        <w:fldChar w:fldCharType="begin"/>
      </w:r>
      <w:r w:rsidRPr="005E7D46">
        <w:rPr>
          <w:i w:val="0"/>
          <w:iCs w:val="0"/>
          <w:color w:val="000000" w:themeColor="text1"/>
        </w:rPr>
        <w:instrText xml:space="preserve"> SEQ Tabela \* ARABIC </w:instrText>
      </w:r>
      <w:r w:rsidRPr="005E7D46">
        <w:rPr>
          <w:i w:val="0"/>
          <w:iCs w:val="0"/>
          <w:color w:val="000000" w:themeColor="text1"/>
        </w:rPr>
        <w:fldChar w:fldCharType="separate"/>
      </w:r>
      <w:r w:rsidR="00FB6F6A">
        <w:rPr>
          <w:i w:val="0"/>
          <w:iCs w:val="0"/>
          <w:noProof/>
          <w:color w:val="000000" w:themeColor="text1"/>
        </w:rPr>
        <w:t>13</w:t>
      </w:r>
      <w:r w:rsidRPr="005E7D46">
        <w:rPr>
          <w:i w:val="0"/>
          <w:iCs w:val="0"/>
          <w:color w:val="000000" w:themeColor="text1"/>
        </w:rPr>
        <w:fldChar w:fldCharType="end"/>
      </w:r>
      <w:r w:rsidR="00E75D31">
        <w:rPr>
          <w:i w:val="0"/>
          <w:iCs w:val="0"/>
          <w:color w:val="000000" w:themeColor="text1"/>
        </w:rPr>
        <w:t>.</w:t>
      </w:r>
      <w:r w:rsidRPr="005E7D46">
        <w:rPr>
          <w:i w:val="0"/>
          <w:iCs w:val="0"/>
          <w:color w:val="000000" w:themeColor="text1"/>
        </w:rPr>
        <w:t xml:space="preserve"> Inwazyjna choroba meningokokowa w woj. zachodniopomorskim w 2024 r. z uwzględnieniem wieku i miejsca wystąpienia zachorowania</w:t>
      </w:r>
      <w:r w:rsidR="005219DA">
        <w:rPr>
          <w:i w:val="0"/>
          <w:iCs w:val="0"/>
          <w:color w:val="000000" w:themeColor="text1"/>
        </w:rPr>
        <w:t>.</w:t>
      </w:r>
      <w:bookmarkEnd w:id="78"/>
      <w:bookmarkEnd w:id="79"/>
      <w:bookmarkEnd w:id="80"/>
    </w:p>
    <w:tbl>
      <w:tblPr>
        <w:tblStyle w:val="Tabelasiatki4akcent1"/>
        <w:tblW w:w="5000" w:type="pct"/>
        <w:tblLayout w:type="fixed"/>
        <w:tblLook w:val="01E0" w:firstRow="1" w:lastRow="1" w:firstColumn="1" w:lastColumn="1" w:noHBand="0" w:noVBand="0"/>
        <w:tblCaption w:val="Inwazyjna choroba meningokokowa w woj. zachodniopomorskim w 2024 r. z uwzględnieniem wieku i miejsca wystąpienia zachorowania"/>
        <w:tblDescription w:val="Tabela przedstawia liczbę przypadków zachorwań na inwazyjną chorobę meningokokową z podziałem na powiaty, w których takie przypadki wystąpiły. Najwięcej przypadków odnotowano w mieście Szczecin - 9 przypadków."/>
      </w:tblPr>
      <w:tblGrid>
        <w:gridCol w:w="1306"/>
        <w:gridCol w:w="724"/>
        <w:gridCol w:w="725"/>
        <w:gridCol w:w="725"/>
        <w:gridCol w:w="822"/>
        <w:gridCol w:w="812"/>
        <w:gridCol w:w="811"/>
        <w:gridCol w:w="812"/>
        <w:gridCol w:w="811"/>
        <w:gridCol w:w="679"/>
        <w:gridCol w:w="835"/>
      </w:tblGrid>
      <w:tr w:rsidR="000B4D72" w:rsidRPr="00FF50CD" w14:paraId="2769EA1B" w14:textId="77777777" w:rsidTr="00D6619C">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377" w:type="dxa"/>
            <w:vMerge w:val="restart"/>
          </w:tcPr>
          <w:p w14:paraId="5758EF9D" w14:textId="77777777" w:rsidR="000B4D72" w:rsidRPr="00FF50CD" w:rsidRDefault="000B4D72" w:rsidP="00597239">
            <w:pPr>
              <w:rPr>
                <w:rFonts w:cstheme="minorHAnsi"/>
                <w:b w:val="0"/>
                <w:bCs w:val="0"/>
                <w:sz w:val="20"/>
                <w:szCs w:val="20"/>
              </w:rPr>
            </w:pPr>
            <w:bookmarkStart w:id="81" w:name="_Hlk161644644"/>
            <w:r w:rsidRPr="00FF50CD">
              <w:rPr>
                <w:rFonts w:cstheme="minorHAnsi"/>
                <w:b w:val="0"/>
                <w:bCs w:val="0"/>
                <w:sz w:val="20"/>
                <w:szCs w:val="20"/>
              </w:rPr>
              <w:t>Powiat</w:t>
            </w:r>
          </w:p>
        </w:tc>
        <w:tc>
          <w:tcPr>
            <w:cnfStyle w:val="000010000000" w:firstRow="0" w:lastRow="0" w:firstColumn="0" w:lastColumn="0" w:oddVBand="1" w:evenVBand="0" w:oddHBand="0" w:evenHBand="0" w:firstRowFirstColumn="0" w:firstRowLastColumn="0" w:lastRowFirstColumn="0" w:lastRowLastColumn="0"/>
            <w:tcW w:w="7246" w:type="dxa"/>
            <w:gridSpan w:val="9"/>
          </w:tcPr>
          <w:p w14:paraId="09ED2B69"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Grupa wiekowa</w:t>
            </w:r>
          </w:p>
        </w:tc>
        <w:tc>
          <w:tcPr>
            <w:cnfStyle w:val="000100000000" w:firstRow="0" w:lastRow="0" w:firstColumn="0" w:lastColumn="1" w:oddVBand="0" w:evenVBand="0" w:oddHBand="0" w:evenHBand="0" w:firstRowFirstColumn="0" w:firstRowLastColumn="0" w:lastRowFirstColumn="0" w:lastRowLastColumn="0"/>
            <w:tcW w:w="875" w:type="dxa"/>
            <w:vMerge w:val="restart"/>
          </w:tcPr>
          <w:p w14:paraId="6AA718A9"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Ogółem</w:t>
            </w:r>
          </w:p>
        </w:tc>
      </w:tr>
      <w:tr w:rsidR="000B4D72" w:rsidRPr="00FF50CD" w14:paraId="73EBEE81" w14:textId="77777777" w:rsidTr="00D66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vMerge/>
          </w:tcPr>
          <w:p w14:paraId="2546D811" w14:textId="77777777" w:rsidR="000B4D72" w:rsidRPr="00FF50CD" w:rsidRDefault="000B4D72" w:rsidP="00597239">
            <w:pPr>
              <w:rPr>
                <w:rFonts w:cstheme="minorHAnsi"/>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57" w:type="dxa"/>
          </w:tcPr>
          <w:p w14:paraId="29DBB7E1" w14:textId="77777777" w:rsidR="000B4D72" w:rsidRPr="00FF50CD" w:rsidRDefault="000B4D72" w:rsidP="00597239">
            <w:pPr>
              <w:rPr>
                <w:rFonts w:cstheme="minorHAnsi"/>
                <w:sz w:val="20"/>
                <w:szCs w:val="20"/>
              </w:rPr>
            </w:pPr>
            <w:r w:rsidRPr="00FF50CD">
              <w:rPr>
                <w:rFonts w:cstheme="minorHAnsi"/>
                <w:sz w:val="20"/>
                <w:szCs w:val="20"/>
              </w:rPr>
              <w:t>&lt;1 r.</w:t>
            </w:r>
          </w:p>
        </w:tc>
        <w:tc>
          <w:tcPr>
            <w:tcW w:w="758" w:type="dxa"/>
          </w:tcPr>
          <w:p w14:paraId="6D29F2F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1-3 l.</w:t>
            </w:r>
          </w:p>
        </w:tc>
        <w:tc>
          <w:tcPr>
            <w:cnfStyle w:val="000010000000" w:firstRow="0" w:lastRow="0" w:firstColumn="0" w:lastColumn="0" w:oddVBand="1" w:evenVBand="0" w:oddHBand="0" w:evenHBand="0" w:firstRowFirstColumn="0" w:firstRowLastColumn="0" w:lastRowFirstColumn="0" w:lastRowLastColumn="0"/>
            <w:tcW w:w="758" w:type="dxa"/>
          </w:tcPr>
          <w:p w14:paraId="7D5A47AA" w14:textId="77777777" w:rsidR="000B4D72" w:rsidRPr="00FF50CD" w:rsidRDefault="000B4D72" w:rsidP="00597239">
            <w:pPr>
              <w:rPr>
                <w:rFonts w:cstheme="minorHAnsi"/>
                <w:sz w:val="20"/>
                <w:szCs w:val="20"/>
              </w:rPr>
            </w:pPr>
            <w:r w:rsidRPr="00FF50CD">
              <w:rPr>
                <w:rFonts w:cstheme="minorHAnsi"/>
                <w:sz w:val="20"/>
                <w:szCs w:val="20"/>
              </w:rPr>
              <w:t>4-7 l.</w:t>
            </w:r>
          </w:p>
        </w:tc>
        <w:tc>
          <w:tcPr>
            <w:tcW w:w="862" w:type="dxa"/>
          </w:tcPr>
          <w:p w14:paraId="0B7C3A7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8-10 l.</w:t>
            </w:r>
          </w:p>
        </w:tc>
        <w:tc>
          <w:tcPr>
            <w:cnfStyle w:val="000010000000" w:firstRow="0" w:lastRow="0" w:firstColumn="0" w:lastColumn="0" w:oddVBand="1" w:evenVBand="0" w:oddHBand="0" w:evenHBand="0" w:firstRowFirstColumn="0" w:firstRowLastColumn="0" w:lastRowFirstColumn="0" w:lastRowLastColumn="0"/>
            <w:tcW w:w="851" w:type="dxa"/>
          </w:tcPr>
          <w:p w14:paraId="37DBF538" w14:textId="77777777" w:rsidR="000B4D72" w:rsidRPr="00FF50CD" w:rsidRDefault="000B4D72" w:rsidP="00597239">
            <w:pPr>
              <w:rPr>
                <w:rFonts w:cstheme="minorHAnsi"/>
                <w:sz w:val="20"/>
                <w:szCs w:val="20"/>
              </w:rPr>
            </w:pPr>
            <w:r w:rsidRPr="00FF50CD">
              <w:rPr>
                <w:rFonts w:cstheme="minorHAnsi"/>
                <w:sz w:val="20"/>
                <w:szCs w:val="20"/>
              </w:rPr>
              <w:t>11-18 l.</w:t>
            </w:r>
          </w:p>
        </w:tc>
        <w:tc>
          <w:tcPr>
            <w:tcW w:w="850" w:type="dxa"/>
          </w:tcPr>
          <w:p w14:paraId="0C5B473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19-30 l.</w:t>
            </w:r>
          </w:p>
        </w:tc>
        <w:tc>
          <w:tcPr>
            <w:cnfStyle w:val="000010000000" w:firstRow="0" w:lastRow="0" w:firstColumn="0" w:lastColumn="0" w:oddVBand="1" w:evenVBand="0" w:oddHBand="0" w:evenHBand="0" w:firstRowFirstColumn="0" w:firstRowLastColumn="0" w:lastRowFirstColumn="0" w:lastRowLastColumn="0"/>
            <w:tcW w:w="851" w:type="dxa"/>
          </w:tcPr>
          <w:p w14:paraId="24C751E9" w14:textId="77777777" w:rsidR="000B4D72" w:rsidRPr="00FF50CD" w:rsidRDefault="000B4D72" w:rsidP="00597239">
            <w:pPr>
              <w:rPr>
                <w:rFonts w:cstheme="minorHAnsi"/>
                <w:sz w:val="20"/>
                <w:szCs w:val="20"/>
              </w:rPr>
            </w:pPr>
            <w:r w:rsidRPr="00FF50CD">
              <w:rPr>
                <w:rFonts w:cstheme="minorHAnsi"/>
                <w:sz w:val="20"/>
                <w:szCs w:val="20"/>
              </w:rPr>
              <w:t>31-40 l.</w:t>
            </w:r>
          </w:p>
        </w:tc>
        <w:tc>
          <w:tcPr>
            <w:tcW w:w="850" w:type="dxa"/>
          </w:tcPr>
          <w:p w14:paraId="0D9E1E1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41-60 l.</w:t>
            </w:r>
          </w:p>
        </w:tc>
        <w:tc>
          <w:tcPr>
            <w:cnfStyle w:val="000010000000" w:firstRow="0" w:lastRow="0" w:firstColumn="0" w:lastColumn="0" w:oddVBand="1" w:evenVBand="0" w:oddHBand="0" w:evenHBand="0" w:firstRowFirstColumn="0" w:firstRowLastColumn="0" w:lastRowFirstColumn="0" w:lastRowLastColumn="0"/>
            <w:tcW w:w="709" w:type="dxa"/>
          </w:tcPr>
          <w:p w14:paraId="05F4B538" w14:textId="77777777" w:rsidR="000B4D72" w:rsidRPr="00FF50CD" w:rsidRDefault="000B4D72" w:rsidP="00597239">
            <w:pPr>
              <w:rPr>
                <w:rFonts w:cstheme="minorHAnsi"/>
                <w:sz w:val="20"/>
                <w:szCs w:val="20"/>
              </w:rPr>
            </w:pPr>
            <w:r w:rsidRPr="00FF50CD">
              <w:rPr>
                <w:rFonts w:cstheme="minorHAnsi"/>
                <w:sz w:val="20"/>
                <w:szCs w:val="20"/>
              </w:rPr>
              <w:t>+60 l.</w:t>
            </w:r>
          </w:p>
        </w:tc>
        <w:tc>
          <w:tcPr>
            <w:cnfStyle w:val="000100000000" w:firstRow="0" w:lastRow="0" w:firstColumn="0" w:lastColumn="1" w:oddVBand="0" w:evenVBand="0" w:oddHBand="0" w:evenHBand="0" w:firstRowFirstColumn="0" w:firstRowLastColumn="0" w:lastRowFirstColumn="0" w:lastRowLastColumn="0"/>
            <w:tcW w:w="875" w:type="dxa"/>
            <w:vMerge/>
          </w:tcPr>
          <w:p w14:paraId="17D8D18E" w14:textId="77777777" w:rsidR="000B4D72" w:rsidRPr="00FF50CD" w:rsidRDefault="000B4D72" w:rsidP="00597239">
            <w:pPr>
              <w:rPr>
                <w:rFonts w:cstheme="minorHAnsi"/>
                <w:b w:val="0"/>
                <w:bCs w:val="0"/>
                <w:sz w:val="20"/>
                <w:szCs w:val="20"/>
              </w:rPr>
            </w:pPr>
          </w:p>
        </w:tc>
      </w:tr>
      <w:tr w:rsidR="000B4D72" w:rsidRPr="00FF50CD" w14:paraId="64C5B0E0" w14:textId="77777777" w:rsidTr="00D6619C">
        <w:tc>
          <w:tcPr>
            <w:cnfStyle w:val="001000000000" w:firstRow="0" w:lastRow="0" w:firstColumn="1" w:lastColumn="0" w:oddVBand="0" w:evenVBand="0" w:oddHBand="0" w:evenHBand="0" w:firstRowFirstColumn="0" w:firstRowLastColumn="0" w:lastRowFirstColumn="0" w:lastRowLastColumn="0"/>
            <w:tcW w:w="1377" w:type="dxa"/>
          </w:tcPr>
          <w:p w14:paraId="3D29B45D"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Białogard</w:t>
            </w:r>
          </w:p>
        </w:tc>
        <w:tc>
          <w:tcPr>
            <w:cnfStyle w:val="000010000000" w:firstRow="0" w:lastRow="0" w:firstColumn="0" w:lastColumn="0" w:oddVBand="1" w:evenVBand="0" w:oddHBand="0" w:evenHBand="0" w:firstRowFirstColumn="0" w:firstRowLastColumn="0" w:lastRowFirstColumn="0" w:lastRowLastColumn="0"/>
            <w:tcW w:w="757" w:type="dxa"/>
          </w:tcPr>
          <w:p w14:paraId="03F9240A" w14:textId="77777777" w:rsidR="000B4D72" w:rsidRPr="00FF50CD" w:rsidRDefault="000B4D72" w:rsidP="00597239">
            <w:pPr>
              <w:rPr>
                <w:rFonts w:cstheme="minorHAnsi"/>
                <w:sz w:val="20"/>
                <w:szCs w:val="20"/>
              </w:rPr>
            </w:pPr>
            <w:r w:rsidRPr="00FF50CD">
              <w:rPr>
                <w:rFonts w:cstheme="minorHAnsi"/>
                <w:sz w:val="20"/>
                <w:szCs w:val="20"/>
              </w:rPr>
              <w:t>-</w:t>
            </w:r>
          </w:p>
        </w:tc>
        <w:tc>
          <w:tcPr>
            <w:tcW w:w="758" w:type="dxa"/>
          </w:tcPr>
          <w:p w14:paraId="07E8355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58" w:type="dxa"/>
          </w:tcPr>
          <w:p w14:paraId="72538D7E" w14:textId="77777777" w:rsidR="000B4D72" w:rsidRPr="00FF50CD" w:rsidRDefault="000B4D72" w:rsidP="00597239">
            <w:pPr>
              <w:rPr>
                <w:rFonts w:cstheme="minorHAnsi"/>
                <w:sz w:val="20"/>
                <w:szCs w:val="20"/>
              </w:rPr>
            </w:pPr>
            <w:r w:rsidRPr="00FF50CD">
              <w:rPr>
                <w:rFonts w:cstheme="minorHAnsi"/>
                <w:sz w:val="20"/>
                <w:szCs w:val="20"/>
              </w:rPr>
              <w:t>-</w:t>
            </w:r>
          </w:p>
        </w:tc>
        <w:tc>
          <w:tcPr>
            <w:tcW w:w="862" w:type="dxa"/>
          </w:tcPr>
          <w:p w14:paraId="0A6805C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851" w:type="dxa"/>
          </w:tcPr>
          <w:p w14:paraId="53B23F17"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782B3E1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2DFA691A"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7A9ED57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09" w:type="dxa"/>
          </w:tcPr>
          <w:p w14:paraId="3A6F6FCC" w14:textId="77777777" w:rsidR="000B4D72" w:rsidRPr="00FF50CD" w:rsidRDefault="000B4D72" w:rsidP="00597239">
            <w:pPr>
              <w:rPr>
                <w:rFonts w:cstheme="minorHAnsi"/>
                <w:sz w:val="20"/>
                <w:szCs w:val="20"/>
              </w:rPr>
            </w:pPr>
            <w:r w:rsidRPr="00FF50CD">
              <w:rPr>
                <w:rFonts w:cstheme="minorHAnsi"/>
                <w:sz w:val="20"/>
                <w:szCs w:val="20"/>
              </w:rPr>
              <w:t>-</w:t>
            </w:r>
          </w:p>
        </w:tc>
        <w:tc>
          <w:tcPr>
            <w:cnfStyle w:val="000100000000" w:firstRow="0" w:lastRow="0" w:firstColumn="0" w:lastColumn="1" w:oddVBand="0" w:evenVBand="0" w:oddHBand="0" w:evenHBand="0" w:firstRowFirstColumn="0" w:firstRowLastColumn="0" w:lastRowFirstColumn="0" w:lastRowLastColumn="0"/>
            <w:tcW w:w="875" w:type="dxa"/>
          </w:tcPr>
          <w:p w14:paraId="6020C8D6"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w:t>
            </w:r>
          </w:p>
        </w:tc>
      </w:tr>
      <w:tr w:rsidR="000B4D72" w:rsidRPr="00FF50CD" w14:paraId="18448005" w14:textId="77777777" w:rsidTr="00D66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0F1F7A3D"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Goleniów</w:t>
            </w:r>
          </w:p>
        </w:tc>
        <w:tc>
          <w:tcPr>
            <w:cnfStyle w:val="000010000000" w:firstRow="0" w:lastRow="0" w:firstColumn="0" w:lastColumn="0" w:oddVBand="1" w:evenVBand="0" w:oddHBand="0" w:evenHBand="0" w:firstRowFirstColumn="0" w:firstRowLastColumn="0" w:lastRowFirstColumn="0" w:lastRowLastColumn="0"/>
            <w:tcW w:w="757" w:type="dxa"/>
          </w:tcPr>
          <w:p w14:paraId="45A1291D" w14:textId="77777777" w:rsidR="000B4D72" w:rsidRPr="00FF50CD" w:rsidRDefault="000B4D72" w:rsidP="00597239">
            <w:pPr>
              <w:rPr>
                <w:rFonts w:cstheme="minorHAnsi"/>
                <w:sz w:val="20"/>
                <w:szCs w:val="20"/>
              </w:rPr>
            </w:pPr>
            <w:r w:rsidRPr="00FF50CD">
              <w:rPr>
                <w:rFonts w:cstheme="minorHAnsi"/>
                <w:sz w:val="20"/>
                <w:szCs w:val="20"/>
              </w:rPr>
              <w:t>-</w:t>
            </w:r>
          </w:p>
        </w:tc>
        <w:tc>
          <w:tcPr>
            <w:tcW w:w="758" w:type="dxa"/>
          </w:tcPr>
          <w:p w14:paraId="52B304C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58" w:type="dxa"/>
          </w:tcPr>
          <w:p w14:paraId="38CBAF9F" w14:textId="77777777" w:rsidR="000B4D72" w:rsidRPr="00FF50CD" w:rsidRDefault="000B4D72" w:rsidP="00597239">
            <w:pPr>
              <w:rPr>
                <w:rFonts w:cstheme="minorHAnsi"/>
                <w:sz w:val="20"/>
                <w:szCs w:val="20"/>
              </w:rPr>
            </w:pPr>
            <w:r w:rsidRPr="00FF50CD">
              <w:rPr>
                <w:rFonts w:cstheme="minorHAnsi"/>
                <w:sz w:val="20"/>
                <w:szCs w:val="20"/>
              </w:rPr>
              <w:t>-</w:t>
            </w:r>
          </w:p>
        </w:tc>
        <w:tc>
          <w:tcPr>
            <w:tcW w:w="862" w:type="dxa"/>
          </w:tcPr>
          <w:p w14:paraId="791D325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7021FE30"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6321608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12824829"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2B170A3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709" w:type="dxa"/>
          </w:tcPr>
          <w:p w14:paraId="2DEE9D3E" w14:textId="77777777" w:rsidR="000B4D72" w:rsidRPr="00FF50CD" w:rsidRDefault="000B4D72" w:rsidP="00597239">
            <w:pPr>
              <w:rPr>
                <w:rFonts w:cstheme="minorHAnsi"/>
                <w:sz w:val="20"/>
                <w:szCs w:val="20"/>
              </w:rPr>
            </w:pPr>
            <w:r w:rsidRPr="00FF50CD">
              <w:rPr>
                <w:rFonts w:cstheme="minorHAnsi"/>
                <w:sz w:val="20"/>
                <w:szCs w:val="20"/>
              </w:rPr>
              <w:t>-</w:t>
            </w:r>
          </w:p>
        </w:tc>
        <w:tc>
          <w:tcPr>
            <w:cnfStyle w:val="000100000000" w:firstRow="0" w:lastRow="0" w:firstColumn="0" w:lastColumn="1" w:oddVBand="0" w:evenVBand="0" w:oddHBand="0" w:evenHBand="0" w:firstRowFirstColumn="0" w:firstRowLastColumn="0" w:lastRowFirstColumn="0" w:lastRowLastColumn="0"/>
            <w:tcW w:w="875" w:type="dxa"/>
          </w:tcPr>
          <w:p w14:paraId="36132A24"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w:t>
            </w:r>
          </w:p>
        </w:tc>
      </w:tr>
      <w:tr w:rsidR="000B4D72" w:rsidRPr="00FF50CD" w14:paraId="486414C9" w14:textId="77777777" w:rsidTr="00D6619C">
        <w:tc>
          <w:tcPr>
            <w:cnfStyle w:val="001000000000" w:firstRow="0" w:lastRow="0" w:firstColumn="1" w:lastColumn="0" w:oddVBand="0" w:evenVBand="0" w:oddHBand="0" w:evenHBand="0" w:firstRowFirstColumn="0" w:firstRowLastColumn="0" w:lastRowFirstColumn="0" w:lastRowLastColumn="0"/>
            <w:tcW w:w="1377" w:type="dxa"/>
          </w:tcPr>
          <w:p w14:paraId="16F00A99"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Kołobrzeg</w:t>
            </w:r>
          </w:p>
        </w:tc>
        <w:tc>
          <w:tcPr>
            <w:cnfStyle w:val="000010000000" w:firstRow="0" w:lastRow="0" w:firstColumn="0" w:lastColumn="0" w:oddVBand="1" w:evenVBand="0" w:oddHBand="0" w:evenHBand="0" w:firstRowFirstColumn="0" w:firstRowLastColumn="0" w:lastRowFirstColumn="0" w:lastRowLastColumn="0"/>
            <w:tcW w:w="757" w:type="dxa"/>
          </w:tcPr>
          <w:p w14:paraId="11D34DB3" w14:textId="77777777" w:rsidR="000B4D72" w:rsidRPr="00FF50CD" w:rsidRDefault="000B4D72" w:rsidP="00597239">
            <w:pPr>
              <w:rPr>
                <w:rFonts w:cstheme="minorHAnsi"/>
                <w:sz w:val="20"/>
                <w:szCs w:val="20"/>
              </w:rPr>
            </w:pPr>
            <w:r w:rsidRPr="00FF50CD">
              <w:rPr>
                <w:rFonts w:cstheme="minorHAnsi"/>
                <w:sz w:val="20"/>
                <w:szCs w:val="20"/>
              </w:rPr>
              <w:t>-</w:t>
            </w:r>
          </w:p>
        </w:tc>
        <w:tc>
          <w:tcPr>
            <w:tcW w:w="758" w:type="dxa"/>
          </w:tcPr>
          <w:p w14:paraId="725895C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758" w:type="dxa"/>
          </w:tcPr>
          <w:p w14:paraId="4B760320" w14:textId="77777777" w:rsidR="000B4D72" w:rsidRPr="00FF50CD" w:rsidRDefault="000B4D72" w:rsidP="00597239">
            <w:pPr>
              <w:rPr>
                <w:rFonts w:cstheme="minorHAnsi"/>
                <w:sz w:val="20"/>
                <w:szCs w:val="20"/>
              </w:rPr>
            </w:pPr>
            <w:r w:rsidRPr="00FF50CD">
              <w:rPr>
                <w:rFonts w:cstheme="minorHAnsi"/>
                <w:sz w:val="20"/>
                <w:szCs w:val="20"/>
              </w:rPr>
              <w:t>-</w:t>
            </w:r>
          </w:p>
        </w:tc>
        <w:tc>
          <w:tcPr>
            <w:tcW w:w="862" w:type="dxa"/>
          </w:tcPr>
          <w:p w14:paraId="0962BFC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2C636D37"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7D61947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238AAAD9"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19C9111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09" w:type="dxa"/>
          </w:tcPr>
          <w:p w14:paraId="51A1530E" w14:textId="77777777" w:rsidR="000B4D72" w:rsidRPr="00FF50CD" w:rsidRDefault="000B4D72" w:rsidP="00597239">
            <w:pPr>
              <w:rPr>
                <w:rFonts w:cstheme="minorHAnsi"/>
                <w:sz w:val="20"/>
                <w:szCs w:val="20"/>
              </w:rPr>
            </w:pPr>
            <w:r w:rsidRPr="00FF50CD">
              <w:rPr>
                <w:rFonts w:cstheme="minorHAnsi"/>
                <w:sz w:val="20"/>
                <w:szCs w:val="20"/>
              </w:rPr>
              <w:t>-</w:t>
            </w:r>
          </w:p>
        </w:tc>
        <w:tc>
          <w:tcPr>
            <w:cnfStyle w:val="000100000000" w:firstRow="0" w:lastRow="0" w:firstColumn="0" w:lastColumn="1" w:oddVBand="0" w:evenVBand="0" w:oddHBand="0" w:evenHBand="0" w:firstRowFirstColumn="0" w:firstRowLastColumn="0" w:lastRowFirstColumn="0" w:lastRowLastColumn="0"/>
            <w:tcW w:w="875" w:type="dxa"/>
          </w:tcPr>
          <w:p w14:paraId="34FC26AA"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w:t>
            </w:r>
          </w:p>
        </w:tc>
      </w:tr>
      <w:tr w:rsidR="000B4D72" w:rsidRPr="00FF50CD" w14:paraId="5E99A087" w14:textId="77777777" w:rsidTr="00D66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427E325E"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Koszalin</w:t>
            </w:r>
          </w:p>
        </w:tc>
        <w:tc>
          <w:tcPr>
            <w:cnfStyle w:val="000010000000" w:firstRow="0" w:lastRow="0" w:firstColumn="0" w:lastColumn="0" w:oddVBand="1" w:evenVBand="0" w:oddHBand="0" w:evenHBand="0" w:firstRowFirstColumn="0" w:firstRowLastColumn="0" w:lastRowFirstColumn="0" w:lastRowLastColumn="0"/>
            <w:tcW w:w="757" w:type="dxa"/>
          </w:tcPr>
          <w:p w14:paraId="7E5F27B2" w14:textId="77777777" w:rsidR="000B4D72" w:rsidRPr="00FF50CD" w:rsidRDefault="000B4D72" w:rsidP="00597239">
            <w:pPr>
              <w:rPr>
                <w:rFonts w:cstheme="minorHAnsi"/>
                <w:sz w:val="20"/>
                <w:szCs w:val="20"/>
              </w:rPr>
            </w:pPr>
            <w:r w:rsidRPr="00FF50CD">
              <w:rPr>
                <w:rFonts w:cstheme="minorHAnsi"/>
                <w:sz w:val="20"/>
                <w:szCs w:val="20"/>
              </w:rPr>
              <w:t>-</w:t>
            </w:r>
          </w:p>
        </w:tc>
        <w:tc>
          <w:tcPr>
            <w:tcW w:w="758" w:type="dxa"/>
          </w:tcPr>
          <w:p w14:paraId="2382D8E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58" w:type="dxa"/>
          </w:tcPr>
          <w:p w14:paraId="6DC86F95" w14:textId="77777777" w:rsidR="000B4D72" w:rsidRPr="00FF50CD" w:rsidRDefault="000B4D72" w:rsidP="00597239">
            <w:pPr>
              <w:rPr>
                <w:rFonts w:cstheme="minorHAnsi"/>
                <w:sz w:val="20"/>
                <w:szCs w:val="20"/>
              </w:rPr>
            </w:pPr>
            <w:r w:rsidRPr="00FF50CD">
              <w:rPr>
                <w:rFonts w:cstheme="minorHAnsi"/>
                <w:sz w:val="20"/>
                <w:szCs w:val="20"/>
              </w:rPr>
              <w:t>-</w:t>
            </w:r>
          </w:p>
        </w:tc>
        <w:tc>
          <w:tcPr>
            <w:tcW w:w="862" w:type="dxa"/>
          </w:tcPr>
          <w:p w14:paraId="3D6D9A8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30CDAFAB"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5DD8F44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67215596" w14:textId="77777777" w:rsidR="000B4D72" w:rsidRPr="00FF50CD" w:rsidRDefault="000B4D72" w:rsidP="00597239">
            <w:pPr>
              <w:rPr>
                <w:rFonts w:cstheme="minorHAnsi"/>
                <w:sz w:val="20"/>
                <w:szCs w:val="20"/>
              </w:rPr>
            </w:pPr>
            <w:r w:rsidRPr="00FF50CD">
              <w:rPr>
                <w:rFonts w:cstheme="minorHAnsi"/>
                <w:sz w:val="20"/>
                <w:szCs w:val="20"/>
              </w:rPr>
              <w:t>1</w:t>
            </w:r>
          </w:p>
        </w:tc>
        <w:tc>
          <w:tcPr>
            <w:tcW w:w="850" w:type="dxa"/>
          </w:tcPr>
          <w:p w14:paraId="04DD41F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709" w:type="dxa"/>
          </w:tcPr>
          <w:p w14:paraId="373999B2" w14:textId="77777777" w:rsidR="000B4D72" w:rsidRPr="00FF50CD" w:rsidRDefault="000B4D72" w:rsidP="00597239">
            <w:pPr>
              <w:rPr>
                <w:rFonts w:cstheme="minorHAnsi"/>
                <w:sz w:val="20"/>
                <w:szCs w:val="20"/>
              </w:rPr>
            </w:pPr>
            <w:r w:rsidRPr="00FF50CD">
              <w:rPr>
                <w:rFonts w:cstheme="minorHAnsi"/>
                <w:sz w:val="20"/>
                <w:szCs w:val="20"/>
              </w:rPr>
              <w:t>-</w:t>
            </w:r>
          </w:p>
        </w:tc>
        <w:tc>
          <w:tcPr>
            <w:cnfStyle w:val="000100000000" w:firstRow="0" w:lastRow="0" w:firstColumn="0" w:lastColumn="1" w:oddVBand="0" w:evenVBand="0" w:oddHBand="0" w:evenHBand="0" w:firstRowFirstColumn="0" w:firstRowLastColumn="0" w:lastRowFirstColumn="0" w:lastRowLastColumn="0"/>
            <w:tcW w:w="875" w:type="dxa"/>
          </w:tcPr>
          <w:p w14:paraId="37CA1523"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2</w:t>
            </w:r>
          </w:p>
        </w:tc>
      </w:tr>
      <w:tr w:rsidR="000B4D72" w:rsidRPr="00FF50CD" w14:paraId="6A3A89F6" w14:textId="77777777" w:rsidTr="00D6619C">
        <w:tc>
          <w:tcPr>
            <w:cnfStyle w:val="001000000000" w:firstRow="0" w:lastRow="0" w:firstColumn="1" w:lastColumn="0" w:oddVBand="0" w:evenVBand="0" w:oddHBand="0" w:evenHBand="0" w:firstRowFirstColumn="0" w:firstRowLastColumn="0" w:lastRowFirstColumn="0" w:lastRowLastColumn="0"/>
            <w:tcW w:w="1377" w:type="dxa"/>
          </w:tcPr>
          <w:p w14:paraId="46B03974"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Szczecin</w:t>
            </w:r>
          </w:p>
        </w:tc>
        <w:tc>
          <w:tcPr>
            <w:cnfStyle w:val="000010000000" w:firstRow="0" w:lastRow="0" w:firstColumn="0" w:lastColumn="0" w:oddVBand="1" w:evenVBand="0" w:oddHBand="0" w:evenHBand="0" w:firstRowFirstColumn="0" w:firstRowLastColumn="0" w:lastRowFirstColumn="0" w:lastRowLastColumn="0"/>
            <w:tcW w:w="757" w:type="dxa"/>
          </w:tcPr>
          <w:p w14:paraId="7198EBE2" w14:textId="77777777" w:rsidR="000B4D72" w:rsidRPr="00FF50CD" w:rsidRDefault="000B4D72" w:rsidP="00597239">
            <w:pPr>
              <w:rPr>
                <w:rFonts w:cstheme="minorHAnsi"/>
                <w:sz w:val="20"/>
                <w:szCs w:val="20"/>
              </w:rPr>
            </w:pPr>
            <w:r w:rsidRPr="00FF50CD">
              <w:rPr>
                <w:rFonts w:cstheme="minorHAnsi"/>
                <w:sz w:val="20"/>
                <w:szCs w:val="20"/>
              </w:rPr>
              <w:t>-</w:t>
            </w:r>
          </w:p>
        </w:tc>
        <w:tc>
          <w:tcPr>
            <w:tcW w:w="758" w:type="dxa"/>
          </w:tcPr>
          <w:p w14:paraId="129E27A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58" w:type="dxa"/>
          </w:tcPr>
          <w:p w14:paraId="5863F088" w14:textId="77777777" w:rsidR="000B4D72" w:rsidRPr="00FF50CD" w:rsidRDefault="000B4D72" w:rsidP="00597239">
            <w:pPr>
              <w:rPr>
                <w:rFonts w:cstheme="minorHAnsi"/>
                <w:sz w:val="20"/>
                <w:szCs w:val="20"/>
              </w:rPr>
            </w:pPr>
            <w:r w:rsidRPr="00FF50CD">
              <w:rPr>
                <w:rFonts w:cstheme="minorHAnsi"/>
                <w:sz w:val="20"/>
                <w:szCs w:val="20"/>
              </w:rPr>
              <w:t>2</w:t>
            </w:r>
          </w:p>
        </w:tc>
        <w:tc>
          <w:tcPr>
            <w:tcW w:w="862" w:type="dxa"/>
          </w:tcPr>
          <w:p w14:paraId="0D0F7A7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25D9A74F" w14:textId="77777777" w:rsidR="000B4D72" w:rsidRPr="00FF50CD" w:rsidRDefault="000B4D72" w:rsidP="00597239">
            <w:pPr>
              <w:rPr>
                <w:rFonts w:cstheme="minorHAnsi"/>
                <w:sz w:val="20"/>
                <w:szCs w:val="20"/>
              </w:rPr>
            </w:pPr>
            <w:r w:rsidRPr="00FF50CD">
              <w:rPr>
                <w:rFonts w:cstheme="minorHAnsi"/>
                <w:sz w:val="20"/>
                <w:szCs w:val="20"/>
              </w:rPr>
              <w:t>1</w:t>
            </w:r>
          </w:p>
        </w:tc>
        <w:tc>
          <w:tcPr>
            <w:tcW w:w="850" w:type="dxa"/>
          </w:tcPr>
          <w:p w14:paraId="29F43C2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2</w:t>
            </w:r>
          </w:p>
        </w:tc>
        <w:tc>
          <w:tcPr>
            <w:cnfStyle w:val="000010000000" w:firstRow="0" w:lastRow="0" w:firstColumn="0" w:lastColumn="0" w:oddVBand="1" w:evenVBand="0" w:oddHBand="0" w:evenHBand="0" w:firstRowFirstColumn="0" w:firstRowLastColumn="0" w:lastRowFirstColumn="0" w:lastRowLastColumn="0"/>
            <w:tcW w:w="851" w:type="dxa"/>
          </w:tcPr>
          <w:p w14:paraId="19B424FF" w14:textId="77777777" w:rsidR="000B4D72" w:rsidRPr="00FF50CD" w:rsidRDefault="000B4D72" w:rsidP="00597239">
            <w:pPr>
              <w:rPr>
                <w:rFonts w:cstheme="minorHAnsi"/>
                <w:sz w:val="20"/>
                <w:szCs w:val="20"/>
              </w:rPr>
            </w:pPr>
            <w:r w:rsidRPr="00FF50CD">
              <w:rPr>
                <w:rFonts w:cstheme="minorHAnsi"/>
                <w:sz w:val="20"/>
                <w:szCs w:val="20"/>
              </w:rPr>
              <w:t>2</w:t>
            </w:r>
          </w:p>
        </w:tc>
        <w:tc>
          <w:tcPr>
            <w:tcW w:w="850" w:type="dxa"/>
          </w:tcPr>
          <w:p w14:paraId="2EFBFE0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709" w:type="dxa"/>
          </w:tcPr>
          <w:p w14:paraId="144D9057" w14:textId="77777777" w:rsidR="000B4D72" w:rsidRPr="00FF50CD" w:rsidRDefault="000B4D72" w:rsidP="00597239">
            <w:pPr>
              <w:rPr>
                <w:rFonts w:cstheme="minorHAnsi"/>
                <w:sz w:val="20"/>
                <w:szCs w:val="20"/>
              </w:rPr>
            </w:pPr>
            <w:r w:rsidRPr="00FF50CD">
              <w:rPr>
                <w:rFonts w:cstheme="minorHAnsi"/>
                <w:sz w:val="20"/>
                <w:szCs w:val="20"/>
              </w:rPr>
              <w:t>1</w:t>
            </w:r>
          </w:p>
        </w:tc>
        <w:tc>
          <w:tcPr>
            <w:cnfStyle w:val="000100000000" w:firstRow="0" w:lastRow="0" w:firstColumn="0" w:lastColumn="1" w:oddVBand="0" w:evenVBand="0" w:oddHBand="0" w:evenHBand="0" w:firstRowFirstColumn="0" w:firstRowLastColumn="0" w:lastRowFirstColumn="0" w:lastRowLastColumn="0"/>
            <w:tcW w:w="875" w:type="dxa"/>
          </w:tcPr>
          <w:p w14:paraId="7EA710C0"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9</w:t>
            </w:r>
          </w:p>
        </w:tc>
      </w:tr>
      <w:tr w:rsidR="000B4D72" w:rsidRPr="00FF50CD" w14:paraId="1629900A" w14:textId="77777777" w:rsidTr="00D66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7" w:type="dxa"/>
          </w:tcPr>
          <w:p w14:paraId="62CB9814"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Świdwin</w:t>
            </w:r>
          </w:p>
        </w:tc>
        <w:tc>
          <w:tcPr>
            <w:cnfStyle w:val="000010000000" w:firstRow="0" w:lastRow="0" w:firstColumn="0" w:lastColumn="0" w:oddVBand="1" w:evenVBand="0" w:oddHBand="0" w:evenHBand="0" w:firstRowFirstColumn="0" w:firstRowLastColumn="0" w:lastRowFirstColumn="0" w:lastRowLastColumn="0"/>
            <w:tcW w:w="757" w:type="dxa"/>
          </w:tcPr>
          <w:p w14:paraId="37961ED1" w14:textId="77777777" w:rsidR="000B4D72" w:rsidRPr="00FF50CD" w:rsidRDefault="000B4D72" w:rsidP="00597239">
            <w:pPr>
              <w:rPr>
                <w:rFonts w:cstheme="minorHAnsi"/>
                <w:sz w:val="20"/>
                <w:szCs w:val="20"/>
              </w:rPr>
            </w:pPr>
            <w:r w:rsidRPr="00FF50CD">
              <w:rPr>
                <w:rFonts w:cstheme="minorHAnsi"/>
                <w:sz w:val="20"/>
                <w:szCs w:val="20"/>
              </w:rPr>
              <w:t>1</w:t>
            </w:r>
          </w:p>
        </w:tc>
        <w:tc>
          <w:tcPr>
            <w:tcW w:w="758" w:type="dxa"/>
          </w:tcPr>
          <w:p w14:paraId="152912D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58" w:type="dxa"/>
          </w:tcPr>
          <w:p w14:paraId="63C39C10" w14:textId="77777777" w:rsidR="000B4D72" w:rsidRPr="00FF50CD" w:rsidRDefault="000B4D72" w:rsidP="00597239">
            <w:pPr>
              <w:rPr>
                <w:rFonts w:cstheme="minorHAnsi"/>
                <w:sz w:val="20"/>
                <w:szCs w:val="20"/>
              </w:rPr>
            </w:pPr>
            <w:r w:rsidRPr="00FF50CD">
              <w:rPr>
                <w:rFonts w:cstheme="minorHAnsi"/>
                <w:sz w:val="20"/>
                <w:szCs w:val="20"/>
              </w:rPr>
              <w:t>-</w:t>
            </w:r>
          </w:p>
        </w:tc>
        <w:tc>
          <w:tcPr>
            <w:tcW w:w="862" w:type="dxa"/>
          </w:tcPr>
          <w:p w14:paraId="6246FE3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58941744"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444D72E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6A3D0025" w14:textId="77777777" w:rsidR="000B4D72" w:rsidRPr="00FF50CD" w:rsidRDefault="000B4D72" w:rsidP="00597239">
            <w:pPr>
              <w:rPr>
                <w:rFonts w:cstheme="minorHAnsi"/>
                <w:sz w:val="20"/>
                <w:szCs w:val="20"/>
              </w:rPr>
            </w:pPr>
            <w:r w:rsidRPr="00FF50CD">
              <w:rPr>
                <w:rFonts w:cstheme="minorHAnsi"/>
                <w:sz w:val="20"/>
                <w:szCs w:val="20"/>
              </w:rPr>
              <w:t>-</w:t>
            </w:r>
          </w:p>
        </w:tc>
        <w:tc>
          <w:tcPr>
            <w:tcW w:w="850" w:type="dxa"/>
          </w:tcPr>
          <w:p w14:paraId="413B868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F50CD">
              <w:rPr>
                <w:rFonts w:cstheme="minorHAnsi"/>
                <w:sz w:val="20"/>
                <w:szCs w:val="20"/>
              </w:rPr>
              <w:t>-</w:t>
            </w:r>
          </w:p>
        </w:tc>
        <w:tc>
          <w:tcPr>
            <w:cnfStyle w:val="000010000000" w:firstRow="0" w:lastRow="0" w:firstColumn="0" w:lastColumn="0" w:oddVBand="1" w:evenVBand="0" w:oddHBand="0" w:evenHBand="0" w:firstRowFirstColumn="0" w:firstRowLastColumn="0" w:lastRowFirstColumn="0" w:lastRowLastColumn="0"/>
            <w:tcW w:w="709" w:type="dxa"/>
          </w:tcPr>
          <w:p w14:paraId="23A59369" w14:textId="77777777" w:rsidR="000B4D72" w:rsidRPr="00FF50CD" w:rsidRDefault="000B4D72" w:rsidP="00597239">
            <w:pPr>
              <w:rPr>
                <w:rFonts w:cstheme="minorHAnsi"/>
                <w:sz w:val="20"/>
                <w:szCs w:val="20"/>
              </w:rPr>
            </w:pPr>
            <w:r w:rsidRPr="00FF50CD">
              <w:rPr>
                <w:rFonts w:cstheme="minorHAnsi"/>
                <w:sz w:val="20"/>
                <w:szCs w:val="20"/>
              </w:rPr>
              <w:t>-</w:t>
            </w:r>
          </w:p>
        </w:tc>
        <w:tc>
          <w:tcPr>
            <w:cnfStyle w:val="000100000000" w:firstRow="0" w:lastRow="0" w:firstColumn="0" w:lastColumn="1" w:oddVBand="0" w:evenVBand="0" w:oddHBand="0" w:evenHBand="0" w:firstRowFirstColumn="0" w:firstRowLastColumn="0" w:lastRowFirstColumn="0" w:lastRowLastColumn="0"/>
            <w:tcW w:w="875" w:type="dxa"/>
          </w:tcPr>
          <w:p w14:paraId="2214E1DD"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w:t>
            </w:r>
          </w:p>
        </w:tc>
      </w:tr>
      <w:tr w:rsidR="000B4D72" w:rsidRPr="00FF50CD" w14:paraId="42ADC618" w14:textId="77777777" w:rsidTr="00D6619C">
        <w:trPr>
          <w:trHeight w:val="283"/>
        </w:trPr>
        <w:tc>
          <w:tcPr>
            <w:cnfStyle w:val="001000000000" w:firstRow="0" w:lastRow="0" w:firstColumn="1" w:lastColumn="0" w:oddVBand="0" w:evenVBand="0" w:oddHBand="0" w:evenHBand="0" w:firstRowFirstColumn="0" w:firstRowLastColumn="0" w:lastRowFirstColumn="0" w:lastRowLastColumn="0"/>
            <w:tcW w:w="1377" w:type="dxa"/>
          </w:tcPr>
          <w:p w14:paraId="53877E50"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Razem:</w:t>
            </w:r>
          </w:p>
        </w:tc>
        <w:tc>
          <w:tcPr>
            <w:cnfStyle w:val="000010000000" w:firstRow="0" w:lastRow="0" w:firstColumn="0" w:lastColumn="0" w:oddVBand="1" w:evenVBand="0" w:oddHBand="0" w:evenHBand="0" w:firstRowFirstColumn="0" w:firstRowLastColumn="0" w:lastRowFirstColumn="0" w:lastRowLastColumn="0"/>
            <w:tcW w:w="757" w:type="dxa"/>
          </w:tcPr>
          <w:p w14:paraId="1005A320" w14:textId="77777777" w:rsidR="000B4D72" w:rsidRPr="00FF50CD" w:rsidRDefault="000B4D72" w:rsidP="00597239">
            <w:pPr>
              <w:rPr>
                <w:rFonts w:cstheme="minorHAnsi"/>
                <w:sz w:val="20"/>
                <w:szCs w:val="20"/>
              </w:rPr>
            </w:pPr>
            <w:r w:rsidRPr="00FF50CD">
              <w:rPr>
                <w:rFonts w:cstheme="minorHAnsi"/>
                <w:sz w:val="20"/>
                <w:szCs w:val="20"/>
              </w:rPr>
              <w:t>1</w:t>
            </w:r>
          </w:p>
        </w:tc>
        <w:tc>
          <w:tcPr>
            <w:tcW w:w="758" w:type="dxa"/>
          </w:tcPr>
          <w:p w14:paraId="434FB0D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758" w:type="dxa"/>
          </w:tcPr>
          <w:p w14:paraId="63409E2B" w14:textId="77777777" w:rsidR="000B4D72" w:rsidRPr="00FF50CD" w:rsidRDefault="000B4D72" w:rsidP="00597239">
            <w:pPr>
              <w:rPr>
                <w:rFonts w:cstheme="minorHAnsi"/>
                <w:sz w:val="20"/>
                <w:szCs w:val="20"/>
              </w:rPr>
            </w:pPr>
            <w:r w:rsidRPr="00FF50CD">
              <w:rPr>
                <w:rFonts w:cstheme="minorHAnsi"/>
                <w:sz w:val="20"/>
                <w:szCs w:val="20"/>
              </w:rPr>
              <w:t>2</w:t>
            </w:r>
          </w:p>
        </w:tc>
        <w:tc>
          <w:tcPr>
            <w:tcW w:w="862" w:type="dxa"/>
          </w:tcPr>
          <w:p w14:paraId="4100C4F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1</w:t>
            </w:r>
          </w:p>
        </w:tc>
        <w:tc>
          <w:tcPr>
            <w:cnfStyle w:val="000010000000" w:firstRow="0" w:lastRow="0" w:firstColumn="0" w:lastColumn="0" w:oddVBand="1" w:evenVBand="0" w:oddHBand="0" w:evenHBand="0" w:firstRowFirstColumn="0" w:firstRowLastColumn="0" w:lastRowFirstColumn="0" w:lastRowLastColumn="0"/>
            <w:tcW w:w="851" w:type="dxa"/>
          </w:tcPr>
          <w:p w14:paraId="55902BEA" w14:textId="77777777" w:rsidR="000B4D72" w:rsidRPr="00FF50CD" w:rsidRDefault="000B4D72" w:rsidP="00597239">
            <w:pPr>
              <w:rPr>
                <w:rFonts w:cstheme="minorHAnsi"/>
                <w:sz w:val="20"/>
                <w:szCs w:val="20"/>
              </w:rPr>
            </w:pPr>
            <w:r w:rsidRPr="00FF50CD">
              <w:rPr>
                <w:rFonts w:cstheme="minorHAnsi"/>
                <w:sz w:val="20"/>
                <w:szCs w:val="20"/>
              </w:rPr>
              <w:t>1</w:t>
            </w:r>
          </w:p>
        </w:tc>
        <w:tc>
          <w:tcPr>
            <w:tcW w:w="850" w:type="dxa"/>
          </w:tcPr>
          <w:p w14:paraId="16F18C1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2</w:t>
            </w:r>
          </w:p>
        </w:tc>
        <w:tc>
          <w:tcPr>
            <w:cnfStyle w:val="000010000000" w:firstRow="0" w:lastRow="0" w:firstColumn="0" w:lastColumn="0" w:oddVBand="1" w:evenVBand="0" w:oddHBand="0" w:evenHBand="0" w:firstRowFirstColumn="0" w:firstRowLastColumn="0" w:lastRowFirstColumn="0" w:lastRowLastColumn="0"/>
            <w:tcW w:w="851" w:type="dxa"/>
          </w:tcPr>
          <w:p w14:paraId="4B9857A0" w14:textId="77777777" w:rsidR="000B4D72" w:rsidRPr="00FF50CD" w:rsidRDefault="000B4D72" w:rsidP="00597239">
            <w:pPr>
              <w:rPr>
                <w:rFonts w:cstheme="minorHAnsi"/>
                <w:sz w:val="20"/>
                <w:szCs w:val="20"/>
              </w:rPr>
            </w:pPr>
            <w:r w:rsidRPr="00FF50CD">
              <w:rPr>
                <w:rFonts w:cstheme="minorHAnsi"/>
                <w:sz w:val="20"/>
                <w:szCs w:val="20"/>
              </w:rPr>
              <w:t>3</w:t>
            </w:r>
          </w:p>
        </w:tc>
        <w:tc>
          <w:tcPr>
            <w:tcW w:w="850" w:type="dxa"/>
          </w:tcPr>
          <w:p w14:paraId="2E6665F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50CD">
              <w:rPr>
                <w:rFonts w:cstheme="minorHAnsi"/>
                <w:sz w:val="20"/>
                <w:szCs w:val="20"/>
              </w:rPr>
              <w:t>3</w:t>
            </w:r>
          </w:p>
        </w:tc>
        <w:tc>
          <w:tcPr>
            <w:cnfStyle w:val="000010000000" w:firstRow="0" w:lastRow="0" w:firstColumn="0" w:lastColumn="0" w:oddVBand="1" w:evenVBand="0" w:oddHBand="0" w:evenHBand="0" w:firstRowFirstColumn="0" w:firstRowLastColumn="0" w:lastRowFirstColumn="0" w:lastRowLastColumn="0"/>
            <w:tcW w:w="709" w:type="dxa"/>
          </w:tcPr>
          <w:p w14:paraId="2962DAEC" w14:textId="77777777" w:rsidR="000B4D72" w:rsidRPr="00FF50CD" w:rsidRDefault="000B4D72" w:rsidP="00597239">
            <w:pPr>
              <w:rPr>
                <w:rFonts w:cstheme="minorHAnsi"/>
                <w:sz w:val="20"/>
                <w:szCs w:val="20"/>
              </w:rPr>
            </w:pPr>
            <w:r w:rsidRPr="00FF50CD">
              <w:rPr>
                <w:rFonts w:cstheme="minorHAnsi"/>
                <w:sz w:val="20"/>
                <w:szCs w:val="20"/>
              </w:rPr>
              <w:t>1</w:t>
            </w:r>
          </w:p>
        </w:tc>
        <w:tc>
          <w:tcPr>
            <w:cnfStyle w:val="000100000000" w:firstRow="0" w:lastRow="0" w:firstColumn="0" w:lastColumn="1" w:oddVBand="0" w:evenVBand="0" w:oddHBand="0" w:evenHBand="0" w:firstRowFirstColumn="0" w:firstRowLastColumn="0" w:lastRowFirstColumn="0" w:lastRowLastColumn="0"/>
            <w:tcW w:w="875" w:type="dxa"/>
          </w:tcPr>
          <w:p w14:paraId="507564ED"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15</w:t>
            </w:r>
          </w:p>
        </w:tc>
      </w:tr>
      <w:tr w:rsidR="000B4D72" w:rsidRPr="00FF50CD" w14:paraId="101DB1F4" w14:textId="77777777" w:rsidTr="00D6619C">
        <w:trPr>
          <w:cnfStyle w:val="010000000000" w:firstRow="0" w:lastRow="1"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77" w:type="dxa"/>
          </w:tcPr>
          <w:p w14:paraId="1F955313"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w tym zgony:</w:t>
            </w:r>
          </w:p>
        </w:tc>
        <w:tc>
          <w:tcPr>
            <w:cnfStyle w:val="000010000000" w:firstRow="0" w:lastRow="0" w:firstColumn="0" w:lastColumn="0" w:oddVBand="1" w:evenVBand="0" w:oddHBand="0" w:evenHBand="0" w:firstRowFirstColumn="0" w:firstRowLastColumn="0" w:lastRowFirstColumn="0" w:lastRowLastColumn="0"/>
            <w:tcW w:w="757" w:type="dxa"/>
          </w:tcPr>
          <w:p w14:paraId="3EA0B6E6"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w:t>
            </w:r>
          </w:p>
        </w:tc>
        <w:tc>
          <w:tcPr>
            <w:tcW w:w="758" w:type="dxa"/>
          </w:tcPr>
          <w:p w14:paraId="36957BD5"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w:t>
            </w:r>
          </w:p>
        </w:tc>
        <w:tc>
          <w:tcPr>
            <w:cnfStyle w:val="000010000000" w:firstRow="0" w:lastRow="0" w:firstColumn="0" w:lastColumn="0" w:oddVBand="1" w:evenVBand="0" w:oddHBand="0" w:evenHBand="0" w:firstRowFirstColumn="0" w:firstRowLastColumn="0" w:lastRowFirstColumn="0" w:lastRowLastColumn="0"/>
            <w:tcW w:w="758" w:type="dxa"/>
          </w:tcPr>
          <w:p w14:paraId="1FBC71E6"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w:t>
            </w:r>
          </w:p>
        </w:tc>
        <w:tc>
          <w:tcPr>
            <w:tcW w:w="862" w:type="dxa"/>
          </w:tcPr>
          <w:p w14:paraId="1B6A3E07"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55DA523B"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w:t>
            </w:r>
          </w:p>
        </w:tc>
        <w:tc>
          <w:tcPr>
            <w:tcW w:w="850" w:type="dxa"/>
          </w:tcPr>
          <w:p w14:paraId="33918A69"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w:t>
            </w:r>
          </w:p>
        </w:tc>
        <w:tc>
          <w:tcPr>
            <w:cnfStyle w:val="000010000000" w:firstRow="0" w:lastRow="0" w:firstColumn="0" w:lastColumn="0" w:oddVBand="1" w:evenVBand="0" w:oddHBand="0" w:evenHBand="0" w:firstRowFirstColumn="0" w:firstRowLastColumn="0" w:lastRowFirstColumn="0" w:lastRowLastColumn="0"/>
            <w:tcW w:w="851" w:type="dxa"/>
          </w:tcPr>
          <w:p w14:paraId="7177A3FA"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w:t>
            </w:r>
          </w:p>
        </w:tc>
        <w:tc>
          <w:tcPr>
            <w:tcW w:w="850" w:type="dxa"/>
          </w:tcPr>
          <w:p w14:paraId="15DA92C0"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w:t>
            </w:r>
          </w:p>
        </w:tc>
        <w:tc>
          <w:tcPr>
            <w:cnfStyle w:val="000010000000" w:firstRow="0" w:lastRow="0" w:firstColumn="0" w:lastColumn="0" w:oddVBand="1" w:evenVBand="0" w:oddHBand="0" w:evenHBand="0" w:firstRowFirstColumn="0" w:firstRowLastColumn="0" w:lastRowFirstColumn="0" w:lastRowLastColumn="0"/>
            <w:tcW w:w="709" w:type="dxa"/>
          </w:tcPr>
          <w:p w14:paraId="7D3C9CFF"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1</w:t>
            </w:r>
          </w:p>
        </w:tc>
        <w:tc>
          <w:tcPr>
            <w:cnfStyle w:val="000100000000" w:firstRow="0" w:lastRow="0" w:firstColumn="0" w:lastColumn="1" w:oddVBand="0" w:evenVBand="0" w:oddHBand="0" w:evenHBand="0" w:firstRowFirstColumn="0" w:firstRowLastColumn="0" w:lastRowFirstColumn="0" w:lastRowLastColumn="0"/>
            <w:tcW w:w="875" w:type="dxa"/>
          </w:tcPr>
          <w:p w14:paraId="195FED42" w14:textId="77777777" w:rsidR="000B4D72" w:rsidRPr="00FF50CD" w:rsidRDefault="000B4D72" w:rsidP="00597239">
            <w:pPr>
              <w:rPr>
                <w:rFonts w:cstheme="minorHAnsi"/>
                <w:b w:val="0"/>
                <w:bCs w:val="0"/>
                <w:sz w:val="20"/>
                <w:szCs w:val="20"/>
              </w:rPr>
            </w:pPr>
            <w:r w:rsidRPr="00FF50CD">
              <w:rPr>
                <w:rFonts w:cstheme="minorHAnsi"/>
                <w:b w:val="0"/>
                <w:bCs w:val="0"/>
                <w:sz w:val="20"/>
                <w:szCs w:val="20"/>
              </w:rPr>
              <w:t>2</w:t>
            </w:r>
          </w:p>
        </w:tc>
      </w:tr>
      <w:bookmarkEnd w:id="81"/>
    </w:tbl>
    <w:p w14:paraId="5E40A139" w14:textId="77777777" w:rsidR="000B4D72" w:rsidRDefault="000B4D72" w:rsidP="00597239">
      <w:pPr>
        <w:spacing w:after="0"/>
        <w:rPr>
          <w:i/>
          <w:iCs/>
          <w:sz w:val="18"/>
          <w:szCs w:val="18"/>
        </w:rPr>
      </w:pPr>
    </w:p>
    <w:p w14:paraId="7A2E91EB" w14:textId="49265500" w:rsidR="000B4D72" w:rsidRPr="00464057" w:rsidRDefault="00464057" w:rsidP="00597239">
      <w:pPr>
        <w:pStyle w:val="Legenda"/>
        <w:spacing w:after="0"/>
        <w:rPr>
          <w:i w:val="0"/>
          <w:iCs w:val="0"/>
          <w:color w:val="000000" w:themeColor="text1"/>
        </w:rPr>
      </w:pPr>
      <w:bookmarkStart w:id="82" w:name="_Toc193805984"/>
      <w:bookmarkStart w:id="83" w:name="_Toc193969532"/>
      <w:bookmarkStart w:id="84" w:name="_Toc194059992"/>
      <w:r w:rsidRPr="00464057">
        <w:rPr>
          <w:i w:val="0"/>
          <w:iCs w:val="0"/>
          <w:color w:val="000000" w:themeColor="text1"/>
        </w:rPr>
        <w:t xml:space="preserve">Tabela </w:t>
      </w:r>
      <w:r w:rsidRPr="00464057">
        <w:rPr>
          <w:i w:val="0"/>
          <w:iCs w:val="0"/>
          <w:color w:val="000000" w:themeColor="text1"/>
        </w:rPr>
        <w:fldChar w:fldCharType="begin"/>
      </w:r>
      <w:r w:rsidRPr="00464057">
        <w:rPr>
          <w:i w:val="0"/>
          <w:iCs w:val="0"/>
          <w:color w:val="000000" w:themeColor="text1"/>
        </w:rPr>
        <w:instrText xml:space="preserve"> SEQ Tabela \* ARABIC </w:instrText>
      </w:r>
      <w:r w:rsidRPr="00464057">
        <w:rPr>
          <w:i w:val="0"/>
          <w:iCs w:val="0"/>
          <w:color w:val="000000" w:themeColor="text1"/>
        </w:rPr>
        <w:fldChar w:fldCharType="separate"/>
      </w:r>
      <w:r w:rsidR="00FB6F6A">
        <w:rPr>
          <w:i w:val="0"/>
          <w:iCs w:val="0"/>
          <w:noProof/>
          <w:color w:val="000000" w:themeColor="text1"/>
        </w:rPr>
        <w:t>14</w:t>
      </w:r>
      <w:r w:rsidRPr="00464057">
        <w:rPr>
          <w:i w:val="0"/>
          <w:iCs w:val="0"/>
          <w:color w:val="000000" w:themeColor="text1"/>
        </w:rPr>
        <w:fldChar w:fldCharType="end"/>
      </w:r>
      <w:r w:rsidR="00E75D31">
        <w:rPr>
          <w:i w:val="0"/>
          <w:iCs w:val="0"/>
          <w:color w:val="000000" w:themeColor="text1"/>
        </w:rPr>
        <w:t>.</w:t>
      </w:r>
      <w:r w:rsidRPr="00464057">
        <w:rPr>
          <w:i w:val="0"/>
          <w:iCs w:val="0"/>
          <w:color w:val="000000" w:themeColor="text1"/>
        </w:rPr>
        <w:t xml:space="preserve"> Liczba zachorowań na inwazyjną chorobę meningokokową w latach 2020-2024 ze względu na etiologię</w:t>
      </w:r>
      <w:r w:rsidR="005219DA">
        <w:rPr>
          <w:i w:val="0"/>
          <w:iCs w:val="0"/>
          <w:color w:val="000000" w:themeColor="text1"/>
        </w:rPr>
        <w:t>.</w:t>
      </w:r>
      <w:bookmarkEnd w:id="82"/>
      <w:bookmarkEnd w:id="83"/>
      <w:bookmarkEnd w:id="84"/>
    </w:p>
    <w:tbl>
      <w:tblPr>
        <w:tblStyle w:val="Tabelasiatki4akcent1"/>
        <w:tblW w:w="4968" w:type="pct"/>
        <w:tblLook w:val="01E0" w:firstRow="1" w:lastRow="1" w:firstColumn="1" w:lastColumn="1" w:noHBand="0" w:noVBand="0"/>
        <w:tblCaption w:val="Liczba zachorowań na inwazyjną chorobę meningokokową w latach 2020-2024 ze względu na etiologię"/>
        <w:tblDescription w:val="Tabela przedstawia liczbę zachorowań na inwazyjną chorobę meningokokową z podziałem na etiologię. W 2024 roku w większości przypadków (9 przypadków) nie ustalono grupy serologicznej, pozostałe 6 przypadków zachorowań było o etiologii Neisseria meningitidis z grupy B."/>
      </w:tblPr>
      <w:tblGrid>
        <w:gridCol w:w="141"/>
        <w:gridCol w:w="3127"/>
        <w:gridCol w:w="1148"/>
        <w:gridCol w:w="1147"/>
        <w:gridCol w:w="1147"/>
        <w:gridCol w:w="1147"/>
        <w:gridCol w:w="1147"/>
      </w:tblGrid>
      <w:tr w:rsidR="000B4D72" w:rsidRPr="00FF50CD" w14:paraId="3097FD85" w14:textId="77777777" w:rsidTr="00F865A1">
        <w:trPr>
          <w:gridBefore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6" w:type="pct"/>
          </w:tcPr>
          <w:p w14:paraId="67A0DCC7" w14:textId="77777777" w:rsidR="000B4D72" w:rsidRPr="00FF50CD" w:rsidRDefault="000B4D72" w:rsidP="00597239">
            <w:pPr>
              <w:rPr>
                <w:b w:val="0"/>
                <w:bCs w:val="0"/>
                <w:sz w:val="20"/>
                <w:szCs w:val="20"/>
              </w:rPr>
            </w:pPr>
            <w:bookmarkStart w:id="85" w:name="_Hlk102400703"/>
          </w:p>
        </w:tc>
        <w:tc>
          <w:tcPr>
            <w:cnfStyle w:val="000010000000" w:firstRow="0" w:lastRow="0" w:firstColumn="0" w:lastColumn="0" w:oddVBand="1" w:evenVBand="0" w:oddHBand="0" w:evenHBand="0" w:firstRowFirstColumn="0" w:firstRowLastColumn="0" w:lastRowFirstColumn="0" w:lastRowLastColumn="0"/>
            <w:tcW w:w="637" w:type="pct"/>
          </w:tcPr>
          <w:p w14:paraId="2142BA9A" w14:textId="77777777" w:rsidR="000B4D72" w:rsidRPr="00FF50CD" w:rsidRDefault="000B4D72" w:rsidP="00597239">
            <w:pPr>
              <w:rPr>
                <w:b w:val="0"/>
                <w:bCs w:val="0"/>
                <w:sz w:val="20"/>
                <w:szCs w:val="20"/>
              </w:rPr>
            </w:pPr>
            <w:r w:rsidRPr="00FF50CD">
              <w:rPr>
                <w:b w:val="0"/>
                <w:bCs w:val="0"/>
                <w:sz w:val="20"/>
                <w:szCs w:val="20"/>
              </w:rPr>
              <w:t>2020 r.</w:t>
            </w:r>
          </w:p>
        </w:tc>
        <w:tc>
          <w:tcPr>
            <w:tcW w:w="637" w:type="pct"/>
          </w:tcPr>
          <w:p w14:paraId="17FD6689"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F50CD">
              <w:rPr>
                <w:b w:val="0"/>
                <w:bCs w:val="0"/>
                <w:sz w:val="20"/>
                <w:szCs w:val="20"/>
              </w:rPr>
              <w:t>2021 r.</w:t>
            </w:r>
          </w:p>
        </w:tc>
        <w:tc>
          <w:tcPr>
            <w:cnfStyle w:val="000010000000" w:firstRow="0" w:lastRow="0" w:firstColumn="0" w:lastColumn="0" w:oddVBand="1" w:evenVBand="0" w:oddHBand="0" w:evenHBand="0" w:firstRowFirstColumn="0" w:firstRowLastColumn="0" w:lastRowFirstColumn="0" w:lastRowLastColumn="0"/>
            <w:tcW w:w="637" w:type="pct"/>
          </w:tcPr>
          <w:p w14:paraId="6F535F46" w14:textId="77777777" w:rsidR="000B4D72" w:rsidRPr="00FF50CD" w:rsidRDefault="000B4D72" w:rsidP="00597239">
            <w:pPr>
              <w:rPr>
                <w:b w:val="0"/>
                <w:bCs w:val="0"/>
                <w:sz w:val="20"/>
                <w:szCs w:val="20"/>
              </w:rPr>
            </w:pPr>
            <w:r w:rsidRPr="00FF50CD">
              <w:rPr>
                <w:b w:val="0"/>
                <w:bCs w:val="0"/>
                <w:sz w:val="20"/>
                <w:szCs w:val="20"/>
              </w:rPr>
              <w:t>2022 r.</w:t>
            </w:r>
          </w:p>
        </w:tc>
        <w:tc>
          <w:tcPr>
            <w:tcW w:w="637" w:type="pct"/>
          </w:tcPr>
          <w:p w14:paraId="6C7AE189"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F50CD">
              <w:rPr>
                <w:b w:val="0"/>
                <w:bCs w:val="0"/>
                <w:sz w:val="20"/>
                <w:szCs w:val="20"/>
              </w:rPr>
              <w:t>2023 r.</w:t>
            </w:r>
          </w:p>
        </w:tc>
        <w:tc>
          <w:tcPr>
            <w:cnfStyle w:val="000100000000" w:firstRow="0" w:lastRow="0" w:firstColumn="0" w:lastColumn="1" w:oddVBand="0" w:evenVBand="0" w:oddHBand="0" w:evenHBand="0" w:firstRowFirstColumn="0" w:firstRowLastColumn="0" w:lastRowFirstColumn="0" w:lastRowLastColumn="0"/>
            <w:tcW w:w="637" w:type="pct"/>
          </w:tcPr>
          <w:p w14:paraId="412B2E32" w14:textId="77777777" w:rsidR="000B4D72" w:rsidRPr="00FF50CD" w:rsidRDefault="000B4D72" w:rsidP="00597239">
            <w:pPr>
              <w:rPr>
                <w:b w:val="0"/>
                <w:bCs w:val="0"/>
                <w:sz w:val="20"/>
                <w:szCs w:val="20"/>
              </w:rPr>
            </w:pPr>
            <w:r w:rsidRPr="00FF50CD">
              <w:rPr>
                <w:b w:val="0"/>
                <w:bCs w:val="0"/>
                <w:sz w:val="20"/>
                <w:szCs w:val="20"/>
              </w:rPr>
              <w:t>2024 r.</w:t>
            </w:r>
          </w:p>
        </w:tc>
      </w:tr>
      <w:tr w:rsidR="000B4D72" w:rsidRPr="00FF50CD" w14:paraId="6AC30767" w14:textId="77777777" w:rsidTr="00F865A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14" w:type="pct"/>
            <w:gridSpan w:val="2"/>
          </w:tcPr>
          <w:p w14:paraId="51E5AA7C" w14:textId="77777777" w:rsidR="000B4D72" w:rsidRPr="00FF50CD" w:rsidRDefault="000B4D72" w:rsidP="00597239">
            <w:pPr>
              <w:rPr>
                <w:b w:val="0"/>
                <w:bCs w:val="0"/>
                <w:sz w:val="20"/>
                <w:szCs w:val="20"/>
                <w:lang w:val="nb-NO"/>
              </w:rPr>
            </w:pPr>
            <w:r w:rsidRPr="00FF50CD">
              <w:rPr>
                <w:b w:val="0"/>
                <w:bCs w:val="0"/>
                <w:sz w:val="20"/>
                <w:szCs w:val="20"/>
                <w:lang w:val="nb-NO"/>
              </w:rPr>
              <w:t>Neisseria meningitidis z gr. B</w:t>
            </w:r>
          </w:p>
        </w:tc>
        <w:tc>
          <w:tcPr>
            <w:cnfStyle w:val="000010000000" w:firstRow="0" w:lastRow="0" w:firstColumn="0" w:lastColumn="0" w:oddVBand="1" w:evenVBand="0" w:oddHBand="0" w:evenHBand="0" w:firstRowFirstColumn="0" w:firstRowLastColumn="0" w:lastRowFirstColumn="0" w:lastRowLastColumn="0"/>
            <w:tcW w:w="637" w:type="pct"/>
          </w:tcPr>
          <w:p w14:paraId="72CA48B6" w14:textId="77777777" w:rsidR="000B4D72" w:rsidRPr="00FF50CD" w:rsidRDefault="000B4D72" w:rsidP="00597239">
            <w:pPr>
              <w:rPr>
                <w:sz w:val="20"/>
                <w:szCs w:val="20"/>
              </w:rPr>
            </w:pPr>
            <w:r w:rsidRPr="00FF50CD">
              <w:rPr>
                <w:sz w:val="20"/>
                <w:szCs w:val="20"/>
              </w:rPr>
              <w:t>4</w:t>
            </w:r>
          </w:p>
        </w:tc>
        <w:tc>
          <w:tcPr>
            <w:tcW w:w="637" w:type="pct"/>
          </w:tcPr>
          <w:p w14:paraId="55545D0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sz w:val="20"/>
                <w:szCs w:val="20"/>
              </w:rPr>
            </w:pPr>
            <w:r w:rsidRPr="00FF50CD">
              <w:rPr>
                <w:sz w:val="20"/>
                <w:szCs w:val="20"/>
              </w:rPr>
              <w:t>9</w:t>
            </w:r>
          </w:p>
        </w:tc>
        <w:tc>
          <w:tcPr>
            <w:cnfStyle w:val="000010000000" w:firstRow="0" w:lastRow="0" w:firstColumn="0" w:lastColumn="0" w:oddVBand="1" w:evenVBand="0" w:oddHBand="0" w:evenHBand="0" w:firstRowFirstColumn="0" w:firstRowLastColumn="0" w:lastRowFirstColumn="0" w:lastRowLastColumn="0"/>
            <w:tcW w:w="637" w:type="pct"/>
          </w:tcPr>
          <w:p w14:paraId="20810F56" w14:textId="77777777" w:rsidR="000B4D72" w:rsidRPr="00FF50CD" w:rsidRDefault="000B4D72" w:rsidP="00597239">
            <w:pPr>
              <w:rPr>
                <w:sz w:val="20"/>
                <w:szCs w:val="20"/>
              </w:rPr>
            </w:pPr>
            <w:r w:rsidRPr="00FF50CD">
              <w:rPr>
                <w:sz w:val="20"/>
                <w:szCs w:val="20"/>
              </w:rPr>
              <w:t>2</w:t>
            </w:r>
          </w:p>
        </w:tc>
        <w:tc>
          <w:tcPr>
            <w:tcW w:w="637" w:type="pct"/>
          </w:tcPr>
          <w:p w14:paraId="1236288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sz w:val="20"/>
                <w:szCs w:val="20"/>
              </w:rPr>
            </w:pPr>
            <w:r w:rsidRPr="00FF50CD">
              <w:rPr>
                <w:sz w:val="20"/>
                <w:szCs w:val="20"/>
              </w:rPr>
              <w:t>6</w:t>
            </w:r>
          </w:p>
        </w:tc>
        <w:tc>
          <w:tcPr>
            <w:cnfStyle w:val="000100000000" w:firstRow="0" w:lastRow="0" w:firstColumn="0" w:lastColumn="1" w:oddVBand="0" w:evenVBand="0" w:oddHBand="0" w:evenHBand="0" w:firstRowFirstColumn="0" w:firstRowLastColumn="0" w:lastRowFirstColumn="0" w:lastRowLastColumn="0"/>
            <w:tcW w:w="637" w:type="pct"/>
          </w:tcPr>
          <w:p w14:paraId="42BD145D" w14:textId="77777777" w:rsidR="000B4D72" w:rsidRPr="00FF50CD" w:rsidRDefault="000B4D72" w:rsidP="00597239">
            <w:pPr>
              <w:rPr>
                <w:b w:val="0"/>
                <w:bCs w:val="0"/>
                <w:sz w:val="20"/>
                <w:szCs w:val="20"/>
              </w:rPr>
            </w:pPr>
            <w:r w:rsidRPr="00FF50CD">
              <w:rPr>
                <w:b w:val="0"/>
                <w:bCs w:val="0"/>
                <w:sz w:val="20"/>
                <w:szCs w:val="20"/>
              </w:rPr>
              <w:t>6</w:t>
            </w:r>
          </w:p>
        </w:tc>
      </w:tr>
      <w:tr w:rsidR="000B4D72" w:rsidRPr="00FF50CD" w14:paraId="670F9AE9" w14:textId="77777777" w:rsidTr="00F865A1">
        <w:trPr>
          <w:trHeight w:val="411"/>
        </w:trPr>
        <w:tc>
          <w:tcPr>
            <w:cnfStyle w:val="001000000000" w:firstRow="0" w:lastRow="0" w:firstColumn="1" w:lastColumn="0" w:oddVBand="0" w:evenVBand="0" w:oddHBand="0" w:evenHBand="0" w:firstRowFirstColumn="0" w:firstRowLastColumn="0" w:lastRowFirstColumn="0" w:lastRowLastColumn="0"/>
            <w:tcW w:w="1814" w:type="pct"/>
            <w:gridSpan w:val="2"/>
          </w:tcPr>
          <w:p w14:paraId="56FFEF88" w14:textId="77777777" w:rsidR="000B4D72" w:rsidRPr="00FF50CD" w:rsidRDefault="000B4D72" w:rsidP="00597239">
            <w:pPr>
              <w:rPr>
                <w:b w:val="0"/>
                <w:bCs w:val="0"/>
                <w:sz w:val="20"/>
                <w:szCs w:val="20"/>
                <w:lang w:val="nb-NO"/>
              </w:rPr>
            </w:pPr>
            <w:r w:rsidRPr="00FF50CD">
              <w:rPr>
                <w:b w:val="0"/>
                <w:bCs w:val="0"/>
                <w:sz w:val="20"/>
                <w:szCs w:val="20"/>
                <w:lang w:val="nb-NO"/>
              </w:rPr>
              <w:t>Neisseria meningitidis z gr. C</w:t>
            </w:r>
          </w:p>
        </w:tc>
        <w:tc>
          <w:tcPr>
            <w:cnfStyle w:val="000010000000" w:firstRow="0" w:lastRow="0" w:firstColumn="0" w:lastColumn="0" w:oddVBand="1" w:evenVBand="0" w:oddHBand="0" w:evenHBand="0" w:firstRowFirstColumn="0" w:firstRowLastColumn="0" w:lastRowFirstColumn="0" w:lastRowLastColumn="0"/>
            <w:tcW w:w="637" w:type="pct"/>
          </w:tcPr>
          <w:p w14:paraId="33950A93" w14:textId="77777777" w:rsidR="000B4D72" w:rsidRPr="00FF50CD" w:rsidRDefault="000B4D72" w:rsidP="00597239">
            <w:pPr>
              <w:rPr>
                <w:sz w:val="20"/>
                <w:szCs w:val="20"/>
              </w:rPr>
            </w:pPr>
            <w:r w:rsidRPr="00FF50CD">
              <w:rPr>
                <w:sz w:val="20"/>
                <w:szCs w:val="20"/>
              </w:rPr>
              <w:t>1</w:t>
            </w:r>
          </w:p>
        </w:tc>
        <w:tc>
          <w:tcPr>
            <w:tcW w:w="637" w:type="pct"/>
          </w:tcPr>
          <w:p w14:paraId="77C37EE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sz w:val="20"/>
                <w:szCs w:val="20"/>
              </w:rPr>
            </w:pPr>
            <w:r w:rsidRPr="00FF50CD">
              <w:rPr>
                <w:sz w:val="20"/>
                <w:szCs w:val="20"/>
              </w:rPr>
              <w:t>1</w:t>
            </w:r>
          </w:p>
        </w:tc>
        <w:tc>
          <w:tcPr>
            <w:cnfStyle w:val="000010000000" w:firstRow="0" w:lastRow="0" w:firstColumn="0" w:lastColumn="0" w:oddVBand="1" w:evenVBand="0" w:oddHBand="0" w:evenHBand="0" w:firstRowFirstColumn="0" w:firstRowLastColumn="0" w:lastRowFirstColumn="0" w:lastRowLastColumn="0"/>
            <w:tcW w:w="637" w:type="pct"/>
          </w:tcPr>
          <w:p w14:paraId="21E7FAB3" w14:textId="77777777" w:rsidR="000B4D72" w:rsidRPr="00FF50CD" w:rsidRDefault="000B4D72" w:rsidP="00597239">
            <w:pPr>
              <w:rPr>
                <w:sz w:val="20"/>
                <w:szCs w:val="20"/>
              </w:rPr>
            </w:pPr>
            <w:r w:rsidRPr="00FF50CD">
              <w:rPr>
                <w:sz w:val="20"/>
                <w:szCs w:val="20"/>
              </w:rPr>
              <w:t>-</w:t>
            </w:r>
          </w:p>
        </w:tc>
        <w:tc>
          <w:tcPr>
            <w:tcW w:w="637" w:type="pct"/>
          </w:tcPr>
          <w:p w14:paraId="5B8960E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sz w:val="20"/>
                <w:szCs w:val="20"/>
              </w:rPr>
            </w:pPr>
            <w:r w:rsidRPr="00FF50CD">
              <w:rPr>
                <w:sz w:val="20"/>
                <w:szCs w:val="20"/>
              </w:rPr>
              <w:t>1</w:t>
            </w:r>
          </w:p>
        </w:tc>
        <w:tc>
          <w:tcPr>
            <w:cnfStyle w:val="000100000000" w:firstRow="0" w:lastRow="0" w:firstColumn="0" w:lastColumn="1" w:oddVBand="0" w:evenVBand="0" w:oddHBand="0" w:evenHBand="0" w:firstRowFirstColumn="0" w:firstRowLastColumn="0" w:lastRowFirstColumn="0" w:lastRowLastColumn="0"/>
            <w:tcW w:w="637" w:type="pct"/>
          </w:tcPr>
          <w:p w14:paraId="4057100D" w14:textId="77777777" w:rsidR="000B4D72" w:rsidRPr="00FF50CD" w:rsidRDefault="000B4D72" w:rsidP="00597239">
            <w:pPr>
              <w:rPr>
                <w:b w:val="0"/>
                <w:bCs w:val="0"/>
                <w:sz w:val="20"/>
                <w:szCs w:val="20"/>
              </w:rPr>
            </w:pPr>
            <w:r w:rsidRPr="00FF50CD">
              <w:rPr>
                <w:b w:val="0"/>
                <w:bCs w:val="0"/>
                <w:sz w:val="20"/>
                <w:szCs w:val="20"/>
              </w:rPr>
              <w:t>-</w:t>
            </w:r>
          </w:p>
        </w:tc>
      </w:tr>
      <w:tr w:rsidR="000B4D72" w:rsidRPr="00FF50CD" w14:paraId="0AC83965" w14:textId="77777777" w:rsidTr="00F865A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14" w:type="pct"/>
            <w:gridSpan w:val="2"/>
          </w:tcPr>
          <w:p w14:paraId="5CB6D4D4" w14:textId="77777777" w:rsidR="000B4D72" w:rsidRPr="00FF50CD" w:rsidRDefault="000B4D72" w:rsidP="00597239">
            <w:pPr>
              <w:rPr>
                <w:b w:val="0"/>
                <w:bCs w:val="0"/>
                <w:sz w:val="20"/>
                <w:szCs w:val="20"/>
              </w:rPr>
            </w:pPr>
            <w:r w:rsidRPr="00FF50CD">
              <w:rPr>
                <w:b w:val="0"/>
                <w:bCs w:val="0"/>
                <w:sz w:val="20"/>
                <w:szCs w:val="20"/>
              </w:rPr>
              <w:t>Neisseria meningitidis z gr. W</w:t>
            </w:r>
          </w:p>
        </w:tc>
        <w:tc>
          <w:tcPr>
            <w:cnfStyle w:val="000010000000" w:firstRow="0" w:lastRow="0" w:firstColumn="0" w:lastColumn="0" w:oddVBand="1" w:evenVBand="0" w:oddHBand="0" w:evenHBand="0" w:firstRowFirstColumn="0" w:firstRowLastColumn="0" w:lastRowFirstColumn="0" w:lastRowLastColumn="0"/>
            <w:tcW w:w="637" w:type="pct"/>
          </w:tcPr>
          <w:p w14:paraId="6D0FB057" w14:textId="77777777" w:rsidR="000B4D72" w:rsidRPr="00FF50CD" w:rsidRDefault="000B4D72" w:rsidP="00597239">
            <w:pPr>
              <w:rPr>
                <w:sz w:val="20"/>
                <w:szCs w:val="20"/>
              </w:rPr>
            </w:pPr>
            <w:r w:rsidRPr="00FF50CD">
              <w:rPr>
                <w:sz w:val="20"/>
                <w:szCs w:val="20"/>
              </w:rPr>
              <w:t>1</w:t>
            </w:r>
          </w:p>
        </w:tc>
        <w:tc>
          <w:tcPr>
            <w:tcW w:w="637" w:type="pct"/>
          </w:tcPr>
          <w:p w14:paraId="0DECE5F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sz w:val="20"/>
                <w:szCs w:val="20"/>
              </w:rPr>
            </w:pPr>
            <w:r w:rsidRPr="00FF50CD">
              <w:rPr>
                <w:sz w:val="20"/>
                <w:szCs w:val="20"/>
              </w:rPr>
              <w:t>-</w:t>
            </w:r>
          </w:p>
        </w:tc>
        <w:tc>
          <w:tcPr>
            <w:cnfStyle w:val="000010000000" w:firstRow="0" w:lastRow="0" w:firstColumn="0" w:lastColumn="0" w:oddVBand="1" w:evenVBand="0" w:oddHBand="0" w:evenHBand="0" w:firstRowFirstColumn="0" w:firstRowLastColumn="0" w:lastRowFirstColumn="0" w:lastRowLastColumn="0"/>
            <w:tcW w:w="637" w:type="pct"/>
          </w:tcPr>
          <w:p w14:paraId="543E8E4B" w14:textId="77777777" w:rsidR="000B4D72" w:rsidRPr="00FF50CD" w:rsidRDefault="000B4D72" w:rsidP="00597239">
            <w:pPr>
              <w:rPr>
                <w:sz w:val="20"/>
                <w:szCs w:val="20"/>
              </w:rPr>
            </w:pPr>
            <w:r w:rsidRPr="00FF50CD">
              <w:rPr>
                <w:sz w:val="20"/>
                <w:szCs w:val="20"/>
              </w:rPr>
              <w:t>-</w:t>
            </w:r>
          </w:p>
        </w:tc>
        <w:tc>
          <w:tcPr>
            <w:tcW w:w="637" w:type="pct"/>
          </w:tcPr>
          <w:p w14:paraId="7EE5A61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sz w:val="20"/>
                <w:szCs w:val="20"/>
              </w:rPr>
            </w:pPr>
            <w:r w:rsidRPr="00FF50CD">
              <w:rPr>
                <w:sz w:val="20"/>
                <w:szCs w:val="20"/>
              </w:rPr>
              <w:t>-</w:t>
            </w:r>
          </w:p>
        </w:tc>
        <w:tc>
          <w:tcPr>
            <w:cnfStyle w:val="000100000000" w:firstRow="0" w:lastRow="0" w:firstColumn="0" w:lastColumn="1" w:oddVBand="0" w:evenVBand="0" w:oddHBand="0" w:evenHBand="0" w:firstRowFirstColumn="0" w:firstRowLastColumn="0" w:lastRowFirstColumn="0" w:lastRowLastColumn="0"/>
            <w:tcW w:w="637" w:type="pct"/>
          </w:tcPr>
          <w:p w14:paraId="4B22A2B1" w14:textId="77777777" w:rsidR="000B4D72" w:rsidRPr="00FF50CD" w:rsidRDefault="000B4D72" w:rsidP="00597239">
            <w:pPr>
              <w:rPr>
                <w:b w:val="0"/>
                <w:bCs w:val="0"/>
                <w:sz w:val="20"/>
                <w:szCs w:val="20"/>
              </w:rPr>
            </w:pPr>
            <w:r w:rsidRPr="00FF50CD">
              <w:rPr>
                <w:b w:val="0"/>
                <w:bCs w:val="0"/>
                <w:sz w:val="20"/>
                <w:szCs w:val="20"/>
              </w:rPr>
              <w:t>-</w:t>
            </w:r>
          </w:p>
        </w:tc>
      </w:tr>
      <w:tr w:rsidR="000B4D72" w:rsidRPr="00FF50CD" w14:paraId="5BFA96E3" w14:textId="77777777" w:rsidTr="00F865A1">
        <w:trPr>
          <w:trHeight w:val="411"/>
        </w:trPr>
        <w:tc>
          <w:tcPr>
            <w:cnfStyle w:val="001000000000" w:firstRow="0" w:lastRow="0" w:firstColumn="1" w:lastColumn="0" w:oddVBand="0" w:evenVBand="0" w:oddHBand="0" w:evenHBand="0" w:firstRowFirstColumn="0" w:firstRowLastColumn="0" w:lastRowFirstColumn="0" w:lastRowLastColumn="0"/>
            <w:tcW w:w="1814" w:type="pct"/>
            <w:gridSpan w:val="2"/>
          </w:tcPr>
          <w:p w14:paraId="3E4E8A0B" w14:textId="77777777" w:rsidR="000B4D72" w:rsidRPr="00FF50CD" w:rsidRDefault="000B4D72" w:rsidP="00597239">
            <w:pPr>
              <w:rPr>
                <w:b w:val="0"/>
                <w:bCs w:val="0"/>
                <w:sz w:val="20"/>
                <w:szCs w:val="20"/>
              </w:rPr>
            </w:pPr>
            <w:r w:rsidRPr="00FF50CD">
              <w:rPr>
                <w:b w:val="0"/>
                <w:bCs w:val="0"/>
                <w:sz w:val="20"/>
                <w:szCs w:val="20"/>
              </w:rPr>
              <w:t>Neisseria meningitidis z gr. Y</w:t>
            </w:r>
          </w:p>
        </w:tc>
        <w:tc>
          <w:tcPr>
            <w:cnfStyle w:val="000010000000" w:firstRow="0" w:lastRow="0" w:firstColumn="0" w:lastColumn="0" w:oddVBand="1" w:evenVBand="0" w:oddHBand="0" w:evenHBand="0" w:firstRowFirstColumn="0" w:firstRowLastColumn="0" w:lastRowFirstColumn="0" w:lastRowLastColumn="0"/>
            <w:tcW w:w="637" w:type="pct"/>
          </w:tcPr>
          <w:p w14:paraId="6612A43B" w14:textId="77777777" w:rsidR="000B4D72" w:rsidRPr="00FF50CD" w:rsidRDefault="000B4D72" w:rsidP="00597239">
            <w:pPr>
              <w:rPr>
                <w:sz w:val="20"/>
                <w:szCs w:val="20"/>
              </w:rPr>
            </w:pPr>
            <w:r w:rsidRPr="00FF50CD">
              <w:rPr>
                <w:sz w:val="20"/>
                <w:szCs w:val="20"/>
              </w:rPr>
              <w:t>-</w:t>
            </w:r>
          </w:p>
        </w:tc>
        <w:tc>
          <w:tcPr>
            <w:tcW w:w="637" w:type="pct"/>
          </w:tcPr>
          <w:p w14:paraId="74335C4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sz w:val="20"/>
                <w:szCs w:val="20"/>
              </w:rPr>
            </w:pPr>
            <w:r w:rsidRPr="00FF50CD">
              <w:rPr>
                <w:sz w:val="20"/>
                <w:szCs w:val="20"/>
              </w:rPr>
              <w:t>-</w:t>
            </w:r>
          </w:p>
        </w:tc>
        <w:tc>
          <w:tcPr>
            <w:cnfStyle w:val="000010000000" w:firstRow="0" w:lastRow="0" w:firstColumn="0" w:lastColumn="0" w:oddVBand="1" w:evenVBand="0" w:oddHBand="0" w:evenHBand="0" w:firstRowFirstColumn="0" w:firstRowLastColumn="0" w:lastRowFirstColumn="0" w:lastRowLastColumn="0"/>
            <w:tcW w:w="637" w:type="pct"/>
          </w:tcPr>
          <w:p w14:paraId="7167D865" w14:textId="77777777" w:rsidR="000B4D72" w:rsidRPr="00FF50CD" w:rsidRDefault="000B4D72" w:rsidP="00597239">
            <w:pPr>
              <w:rPr>
                <w:sz w:val="20"/>
                <w:szCs w:val="20"/>
              </w:rPr>
            </w:pPr>
            <w:r w:rsidRPr="00FF50CD">
              <w:rPr>
                <w:sz w:val="20"/>
                <w:szCs w:val="20"/>
              </w:rPr>
              <w:t>-</w:t>
            </w:r>
          </w:p>
        </w:tc>
        <w:tc>
          <w:tcPr>
            <w:tcW w:w="637" w:type="pct"/>
          </w:tcPr>
          <w:p w14:paraId="37E59B5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sz w:val="20"/>
                <w:szCs w:val="20"/>
              </w:rPr>
            </w:pPr>
            <w:r w:rsidRPr="00FF50CD">
              <w:rPr>
                <w:sz w:val="20"/>
                <w:szCs w:val="20"/>
              </w:rPr>
              <w:t>1</w:t>
            </w:r>
          </w:p>
        </w:tc>
        <w:tc>
          <w:tcPr>
            <w:cnfStyle w:val="000100000000" w:firstRow="0" w:lastRow="0" w:firstColumn="0" w:lastColumn="1" w:oddVBand="0" w:evenVBand="0" w:oddHBand="0" w:evenHBand="0" w:firstRowFirstColumn="0" w:firstRowLastColumn="0" w:lastRowFirstColumn="0" w:lastRowLastColumn="0"/>
            <w:tcW w:w="637" w:type="pct"/>
          </w:tcPr>
          <w:p w14:paraId="7E855429" w14:textId="77777777" w:rsidR="000B4D72" w:rsidRPr="00FF50CD" w:rsidRDefault="000B4D72" w:rsidP="00597239">
            <w:pPr>
              <w:rPr>
                <w:b w:val="0"/>
                <w:bCs w:val="0"/>
                <w:sz w:val="20"/>
                <w:szCs w:val="20"/>
              </w:rPr>
            </w:pPr>
            <w:r w:rsidRPr="00FF50CD">
              <w:rPr>
                <w:b w:val="0"/>
                <w:bCs w:val="0"/>
                <w:sz w:val="20"/>
                <w:szCs w:val="20"/>
              </w:rPr>
              <w:t>-</w:t>
            </w:r>
          </w:p>
        </w:tc>
      </w:tr>
      <w:tr w:rsidR="000B4D72" w:rsidRPr="00FF50CD" w14:paraId="0D4D9F25" w14:textId="77777777" w:rsidTr="00F865A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14" w:type="pct"/>
            <w:gridSpan w:val="2"/>
          </w:tcPr>
          <w:p w14:paraId="377B752E" w14:textId="77777777" w:rsidR="000B4D72" w:rsidRPr="00FF50CD" w:rsidRDefault="000B4D72" w:rsidP="00597239">
            <w:pPr>
              <w:rPr>
                <w:b w:val="0"/>
                <w:bCs w:val="0"/>
                <w:sz w:val="20"/>
                <w:szCs w:val="20"/>
              </w:rPr>
            </w:pPr>
            <w:r w:rsidRPr="00FF50CD">
              <w:rPr>
                <w:b w:val="0"/>
                <w:bCs w:val="0"/>
                <w:sz w:val="20"/>
                <w:szCs w:val="20"/>
              </w:rPr>
              <w:t>Nie ustalono gr. serologicznej</w:t>
            </w:r>
          </w:p>
        </w:tc>
        <w:tc>
          <w:tcPr>
            <w:cnfStyle w:val="000010000000" w:firstRow="0" w:lastRow="0" w:firstColumn="0" w:lastColumn="0" w:oddVBand="1" w:evenVBand="0" w:oddHBand="0" w:evenHBand="0" w:firstRowFirstColumn="0" w:firstRowLastColumn="0" w:lastRowFirstColumn="0" w:lastRowLastColumn="0"/>
            <w:tcW w:w="637" w:type="pct"/>
          </w:tcPr>
          <w:p w14:paraId="164B4313" w14:textId="77777777" w:rsidR="000B4D72" w:rsidRPr="00FF50CD" w:rsidRDefault="000B4D72" w:rsidP="00597239">
            <w:pPr>
              <w:rPr>
                <w:sz w:val="20"/>
                <w:szCs w:val="20"/>
              </w:rPr>
            </w:pPr>
            <w:r w:rsidRPr="00FF50CD">
              <w:rPr>
                <w:sz w:val="20"/>
                <w:szCs w:val="20"/>
              </w:rPr>
              <w:t>3</w:t>
            </w:r>
          </w:p>
        </w:tc>
        <w:tc>
          <w:tcPr>
            <w:tcW w:w="637" w:type="pct"/>
          </w:tcPr>
          <w:p w14:paraId="6058EFD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sz w:val="20"/>
                <w:szCs w:val="20"/>
              </w:rPr>
            </w:pPr>
            <w:r w:rsidRPr="00FF50CD">
              <w:rPr>
                <w:sz w:val="20"/>
                <w:szCs w:val="20"/>
              </w:rPr>
              <w:t>3</w:t>
            </w:r>
          </w:p>
        </w:tc>
        <w:tc>
          <w:tcPr>
            <w:cnfStyle w:val="000010000000" w:firstRow="0" w:lastRow="0" w:firstColumn="0" w:lastColumn="0" w:oddVBand="1" w:evenVBand="0" w:oddHBand="0" w:evenHBand="0" w:firstRowFirstColumn="0" w:firstRowLastColumn="0" w:lastRowFirstColumn="0" w:lastRowLastColumn="0"/>
            <w:tcW w:w="637" w:type="pct"/>
          </w:tcPr>
          <w:p w14:paraId="4EF4FC71" w14:textId="77777777" w:rsidR="000B4D72" w:rsidRPr="00FF50CD" w:rsidRDefault="000B4D72" w:rsidP="00597239">
            <w:pPr>
              <w:rPr>
                <w:sz w:val="20"/>
                <w:szCs w:val="20"/>
              </w:rPr>
            </w:pPr>
            <w:r w:rsidRPr="00FF50CD">
              <w:rPr>
                <w:sz w:val="20"/>
                <w:szCs w:val="20"/>
              </w:rPr>
              <w:t>2</w:t>
            </w:r>
          </w:p>
        </w:tc>
        <w:tc>
          <w:tcPr>
            <w:tcW w:w="637" w:type="pct"/>
          </w:tcPr>
          <w:p w14:paraId="27855AE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sz w:val="20"/>
                <w:szCs w:val="20"/>
              </w:rPr>
            </w:pPr>
            <w:r w:rsidRPr="00FF50CD">
              <w:rPr>
                <w:sz w:val="20"/>
                <w:szCs w:val="20"/>
              </w:rPr>
              <w:t>8</w:t>
            </w:r>
          </w:p>
        </w:tc>
        <w:tc>
          <w:tcPr>
            <w:cnfStyle w:val="000100000000" w:firstRow="0" w:lastRow="0" w:firstColumn="0" w:lastColumn="1" w:oddVBand="0" w:evenVBand="0" w:oddHBand="0" w:evenHBand="0" w:firstRowFirstColumn="0" w:firstRowLastColumn="0" w:lastRowFirstColumn="0" w:lastRowLastColumn="0"/>
            <w:tcW w:w="637" w:type="pct"/>
          </w:tcPr>
          <w:p w14:paraId="41FC7627" w14:textId="77777777" w:rsidR="000B4D72" w:rsidRPr="00FF50CD" w:rsidRDefault="000B4D72" w:rsidP="00597239">
            <w:pPr>
              <w:rPr>
                <w:b w:val="0"/>
                <w:bCs w:val="0"/>
                <w:sz w:val="20"/>
                <w:szCs w:val="20"/>
              </w:rPr>
            </w:pPr>
            <w:r w:rsidRPr="00FF50CD">
              <w:rPr>
                <w:b w:val="0"/>
                <w:bCs w:val="0"/>
                <w:sz w:val="20"/>
                <w:szCs w:val="20"/>
              </w:rPr>
              <w:t>9</w:t>
            </w:r>
          </w:p>
        </w:tc>
      </w:tr>
      <w:tr w:rsidR="000B4D72" w:rsidRPr="00FF50CD" w14:paraId="74BCE567" w14:textId="77777777" w:rsidTr="00F865A1">
        <w:trPr>
          <w:cnfStyle w:val="010000000000" w:firstRow="0" w:lastRow="1"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814" w:type="pct"/>
            <w:gridSpan w:val="2"/>
          </w:tcPr>
          <w:p w14:paraId="75DF1446" w14:textId="77777777" w:rsidR="000B4D72" w:rsidRPr="00FF50CD" w:rsidRDefault="000B4D72" w:rsidP="00597239">
            <w:pPr>
              <w:rPr>
                <w:b w:val="0"/>
                <w:bCs w:val="0"/>
                <w:sz w:val="20"/>
                <w:szCs w:val="20"/>
              </w:rPr>
            </w:pPr>
            <w:r w:rsidRPr="00FF50CD">
              <w:rPr>
                <w:b w:val="0"/>
                <w:bCs w:val="0"/>
                <w:sz w:val="20"/>
                <w:szCs w:val="20"/>
              </w:rPr>
              <w:t>Razem:</w:t>
            </w:r>
          </w:p>
        </w:tc>
        <w:tc>
          <w:tcPr>
            <w:cnfStyle w:val="000010000000" w:firstRow="0" w:lastRow="0" w:firstColumn="0" w:lastColumn="0" w:oddVBand="1" w:evenVBand="0" w:oddHBand="0" w:evenHBand="0" w:firstRowFirstColumn="0" w:firstRowLastColumn="0" w:lastRowFirstColumn="0" w:lastRowLastColumn="0"/>
            <w:tcW w:w="637" w:type="pct"/>
          </w:tcPr>
          <w:p w14:paraId="0A19A65D" w14:textId="77777777" w:rsidR="000B4D72" w:rsidRPr="00FF50CD" w:rsidRDefault="000B4D72" w:rsidP="00597239">
            <w:pPr>
              <w:rPr>
                <w:b w:val="0"/>
                <w:bCs w:val="0"/>
                <w:sz w:val="20"/>
                <w:szCs w:val="20"/>
              </w:rPr>
            </w:pPr>
            <w:r w:rsidRPr="00FF50CD">
              <w:rPr>
                <w:b w:val="0"/>
                <w:bCs w:val="0"/>
                <w:sz w:val="20"/>
                <w:szCs w:val="20"/>
              </w:rPr>
              <w:t>9</w:t>
            </w:r>
          </w:p>
        </w:tc>
        <w:tc>
          <w:tcPr>
            <w:tcW w:w="637" w:type="pct"/>
          </w:tcPr>
          <w:p w14:paraId="150FE4AD"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b w:val="0"/>
                <w:bCs w:val="0"/>
                <w:sz w:val="20"/>
                <w:szCs w:val="20"/>
              </w:rPr>
            </w:pPr>
            <w:r w:rsidRPr="00FF50CD">
              <w:rPr>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637" w:type="pct"/>
          </w:tcPr>
          <w:p w14:paraId="1DC47EBE" w14:textId="77777777" w:rsidR="000B4D72" w:rsidRPr="00FF50CD" w:rsidRDefault="000B4D72" w:rsidP="00597239">
            <w:pPr>
              <w:rPr>
                <w:b w:val="0"/>
                <w:bCs w:val="0"/>
                <w:sz w:val="20"/>
                <w:szCs w:val="20"/>
              </w:rPr>
            </w:pPr>
            <w:r w:rsidRPr="00FF50CD">
              <w:rPr>
                <w:b w:val="0"/>
                <w:bCs w:val="0"/>
                <w:sz w:val="20"/>
                <w:szCs w:val="20"/>
              </w:rPr>
              <w:t>4</w:t>
            </w:r>
          </w:p>
        </w:tc>
        <w:tc>
          <w:tcPr>
            <w:tcW w:w="637" w:type="pct"/>
          </w:tcPr>
          <w:p w14:paraId="163EF3DA" w14:textId="77777777" w:rsidR="000B4D72" w:rsidRPr="00FF50CD" w:rsidRDefault="000B4D72" w:rsidP="00597239">
            <w:pPr>
              <w:cnfStyle w:val="010000000000" w:firstRow="0" w:lastRow="1" w:firstColumn="0" w:lastColumn="0" w:oddVBand="0" w:evenVBand="0" w:oddHBand="0" w:evenHBand="0" w:firstRowFirstColumn="0" w:firstRowLastColumn="0" w:lastRowFirstColumn="0" w:lastRowLastColumn="0"/>
              <w:rPr>
                <w:b w:val="0"/>
                <w:bCs w:val="0"/>
                <w:sz w:val="20"/>
                <w:szCs w:val="20"/>
              </w:rPr>
            </w:pPr>
            <w:r w:rsidRPr="00FF50CD">
              <w:rPr>
                <w:b w:val="0"/>
                <w:bCs w:val="0"/>
                <w:sz w:val="20"/>
                <w:szCs w:val="20"/>
              </w:rPr>
              <w:t>16</w:t>
            </w:r>
          </w:p>
        </w:tc>
        <w:tc>
          <w:tcPr>
            <w:cnfStyle w:val="000100000000" w:firstRow="0" w:lastRow="0" w:firstColumn="0" w:lastColumn="1" w:oddVBand="0" w:evenVBand="0" w:oddHBand="0" w:evenHBand="0" w:firstRowFirstColumn="0" w:firstRowLastColumn="0" w:lastRowFirstColumn="0" w:lastRowLastColumn="0"/>
            <w:tcW w:w="637" w:type="pct"/>
          </w:tcPr>
          <w:p w14:paraId="081DA7D9" w14:textId="77777777" w:rsidR="000B4D72" w:rsidRPr="00FF50CD" w:rsidRDefault="000B4D72" w:rsidP="00597239">
            <w:pPr>
              <w:rPr>
                <w:b w:val="0"/>
                <w:bCs w:val="0"/>
                <w:sz w:val="20"/>
                <w:szCs w:val="20"/>
              </w:rPr>
            </w:pPr>
            <w:r w:rsidRPr="00FF50CD">
              <w:rPr>
                <w:b w:val="0"/>
                <w:bCs w:val="0"/>
                <w:sz w:val="20"/>
                <w:szCs w:val="20"/>
              </w:rPr>
              <w:t>15</w:t>
            </w:r>
          </w:p>
        </w:tc>
      </w:tr>
    </w:tbl>
    <w:p w14:paraId="36339B68" w14:textId="77777777" w:rsidR="00EE16EC" w:rsidRDefault="00EE16EC" w:rsidP="00597239">
      <w:pPr>
        <w:pStyle w:val="Nagwek3"/>
        <w:spacing w:before="0" w:after="0"/>
        <w:ind w:left="0" w:firstLine="0"/>
      </w:pPr>
      <w:bookmarkStart w:id="86" w:name="_Toc192678704"/>
      <w:bookmarkStart w:id="87" w:name="_Toc193694444"/>
      <w:bookmarkEnd w:id="85"/>
    </w:p>
    <w:p w14:paraId="0DB99BC1" w14:textId="748BE741" w:rsidR="000B4D72" w:rsidRPr="00997524" w:rsidRDefault="000B4D72" w:rsidP="00597239">
      <w:pPr>
        <w:pStyle w:val="Nagwek3"/>
        <w:numPr>
          <w:ilvl w:val="1"/>
          <w:numId w:val="18"/>
        </w:numPr>
        <w:spacing w:before="0" w:after="0"/>
        <w:ind w:left="568" w:hanging="284"/>
      </w:pPr>
      <w:bookmarkStart w:id="88" w:name="_Toc194059782"/>
      <w:r w:rsidRPr="00997524">
        <w:t>Borelioza z Lyme</w:t>
      </w:r>
      <w:bookmarkEnd w:id="86"/>
      <w:bookmarkEnd w:id="87"/>
      <w:bookmarkEnd w:id="88"/>
    </w:p>
    <w:p w14:paraId="2498EDFE" w14:textId="583CA09C" w:rsidR="000B4D72" w:rsidRPr="00997524" w:rsidRDefault="000B4D72" w:rsidP="00597239">
      <w:pPr>
        <w:spacing w:after="0" w:line="276" w:lineRule="auto"/>
        <w:rPr>
          <w:rFonts w:eastAsia="Calibri" w:cstheme="minorHAnsi"/>
          <w:color w:val="000000" w:themeColor="text1"/>
          <w:kern w:val="2"/>
          <w:sz w:val="24"/>
          <w:szCs w:val="24"/>
          <w14:ligatures w14:val="standardContextual"/>
        </w:rPr>
      </w:pPr>
      <w:r w:rsidRPr="00997524">
        <w:rPr>
          <w:rFonts w:eastAsia="Calibri" w:cstheme="minorHAnsi"/>
          <w:color w:val="000000" w:themeColor="text1"/>
          <w:kern w:val="2"/>
          <w:sz w:val="24"/>
          <w:szCs w:val="24"/>
          <w14:ligatures w14:val="standardContextual"/>
        </w:rPr>
        <w:t xml:space="preserve">W 2024 roku zarówno w Polsce, jak i w woj. zachodniopomorskim, zaobserwowano wzrost liczby zachorowań na boreliozę. W Polsce zarejestrowano </w:t>
      </w:r>
      <w:r>
        <w:rPr>
          <w:rFonts w:eastAsia="Calibri" w:cstheme="minorHAnsi"/>
          <w:color w:val="000000" w:themeColor="text1"/>
          <w:kern w:val="2"/>
          <w:sz w:val="24"/>
          <w:szCs w:val="24"/>
          <w14:ligatures w14:val="standardContextual"/>
        </w:rPr>
        <w:t>prawie</w:t>
      </w:r>
      <w:r w:rsidRPr="00997524">
        <w:rPr>
          <w:rFonts w:eastAsia="Calibri" w:cstheme="minorHAnsi"/>
          <w:color w:val="000000" w:themeColor="text1"/>
          <w:kern w:val="2"/>
          <w:sz w:val="24"/>
          <w:szCs w:val="24"/>
          <w14:ligatures w14:val="standardContextual"/>
        </w:rPr>
        <w:t xml:space="preserve"> 14% przypadków więcej niż w roku ubiegłym, </w:t>
      </w:r>
      <w:r>
        <w:rPr>
          <w:rFonts w:eastAsia="Calibri" w:cstheme="minorHAnsi"/>
          <w:color w:val="000000" w:themeColor="text1"/>
          <w:kern w:val="2"/>
          <w:sz w:val="24"/>
          <w:szCs w:val="24"/>
          <w14:ligatures w14:val="standardContextual"/>
        </w:rPr>
        <w:t xml:space="preserve">w </w:t>
      </w:r>
      <w:r w:rsidRPr="00997524">
        <w:rPr>
          <w:rFonts w:eastAsia="Calibri" w:cstheme="minorHAnsi"/>
          <w:color w:val="000000" w:themeColor="text1"/>
          <w:kern w:val="2"/>
          <w:sz w:val="24"/>
          <w:szCs w:val="24"/>
          <w14:ligatures w14:val="standardContextual"/>
        </w:rPr>
        <w:t>woj. zachodniopomorskim ponad 4 %</w:t>
      </w:r>
      <w:r>
        <w:rPr>
          <w:rFonts w:eastAsia="Calibri" w:cstheme="minorHAnsi"/>
          <w:color w:val="000000" w:themeColor="text1"/>
          <w:kern w:val="2"/>
          <w:sz w:val="24"/>
          <w:szCs w:val="24"/>
          <w14:ligatures w14:val="standardContextual"/>
        </w:rPr>
        <w:t xml:space="preserve"> zgłoszeń więcej</w:t>
      </w:r>
      <w:r w:rsidRPr="00997524">
        <w:rPr>
          <w:rFonts w:eastAsia="Calibri" w:cstheme="minorHAnsi"/>
          <w:color w:val="000000" w:themeColor="text1"/>
          <w:kern w:val="2"/>
          <w:sz w:val="24"/>
          <w:szCs w:val="24"/>
          <w14:ligatures w14:val="standardContextual"/>
        </w:rPr>
        <w:t xml:space="preserve">. Ogółem </w:t>
      </w:r>
      <w:r>
        <w:rPr>
          <w:rFonts w:eastAsia="Calibri" w:cstheme="minorHAnsi"/>
          <w:color w:val="000000" w:themeColor="text1"/>
          <w:kern w:val="2"/>
          <w:sz w:val="24"/>
          <w:szCs w:val="24"/>
          <w14:ligatures w14:val="standardContextual"/>
        </w:rPr>
        <w:t>w</w:t>
      </w:r>
      <w:r w:rsidR="00EE16EC">
        <w:rPr>
          <w:rFonts w:eastAsia="Calibri" w:cstheme="minorHAnsi"/>
          <w:color w:val="000000" w:themeColor="text1"/>
          <w:kern w:val="2"/>
          <w:sz w:val="24"/>
          <w:szCs w:val="24"/>
          <w14:ligatures w14:val="standardContextual"/>
        </w:rPr>
        <w:t> </w:t>
      </w:r>
      <w:r>
        <w:rPr>
          <w:rFonts w:eastAsia="Calibri" w:cstheme="minorHAnsi"/>
          <w:color w:val="000000" w:themeColor="text1"/>
          <w:kern w:val="2"/>
          <w:sz w:val="24"/>
          <w:szCs w:val="24"/>
          <w14:ligatures w14:val="standardContextual"/>
        </w:rPr>
        <w:t xml:space="preserve">województwie </w:t>
      </w:r>
      <w:r w:rsidRPr="00997524">
        <w:rPr>
          <w:rFonts w:eastAsia="Calibri" w:cstheme="minorHAnsi"/>
          <w:color w:val="000000" w:themeColor="text1"/>
          <w:kern w:val="2"/>
          <w:sz w:val="24"/>
          <w:szCs w:val="24"/>
          <w14:ligatures w14:val="standardContextual"/>
        </w:rPr>
        <w:t xml:space="preserve">zarejestrowano 1111 przypadków </w:t>
      </w:r>
      <w:r>
        <w:rPr>
          <w:rFonts w:eastAsia="Calibri" w:cstheme="minorHAnsi"/>
          <w:color w:val="000000" w:themeColor="text1"/>
          <w:kern w:val="2"/>
          <w:sz w:val="24"/>
          <w:szCs w:val="24"/>
          <w14:ligatures w14:val="standardContextual"/>
        </w:rPr>
        <w:t>(</w:t>
      </w:r>
      <w:r w:rsidRPr="00997524">
        <w:rPr>
          <w:rFonts w:eastAsia="Calibri" w:cstheme="minorHAnsi"/>
          <w:color w:val="000000" w:themeColor="text1"/>
          <w:kern w:val="2"/>
          <w:sz w:val="24"/>
          <w:szCs w:val="24"/>
          <w14:ligatures w14:val="standardContextual"/>
        </w:rPr>
        <w:t>współczynnik zapadalności 68,29 na 100 tys. mieszkańców</w:t>
      </w:r>
      <w:r>
        <w:rPr>
          <w:rFonts w:eastAsia="Calibri" w:cstheme="minorHAnsi"/>
          <w:color w:val="000000" w:themeColor="text1"/>
          <w:kern w:val="2"/>
          <w:sz w:val="24"/>
          <w:szCs w:val="24"/>
          <w14:ligatures w14:val="standardContextual"/>
        </w:rPr>
        <w:t>)</w:t>
      </w:r>
      <w:r w:rsidRPr="00997524">
        <w:rPr>
          <w:rFonts w:eastAsia="Calibri" w:cstheme="minorHAnsi"/>
          <w:color w:val="000000" w:themeColor="text1"/>
          <w:kern w:val="2"/>
          <w:sz w:val="24"/>
          <w:szCs w:val="24"/>
          <w14:ligatures w14:val="standardContextual"/>
        </w:rPr>
        <w:t>, w tym 17 przypadków neuroboreliozy.</w:t>
      </w:r>
    </w:p>
    <w:p w14:paraId="7AC4B7C7" w14:textId="77777777" w:rsidR="00EE16EC" w:rsidRDefault="00EE16EC" w:rsidP="00597239">
      <w:pPr>
        <w:spacing w:after="0" w:line="276" w:lineRule="auto"/>
        <w:rPr>
          <w:rFonts w:eastAsia="Calibri" w:cstheme="minorHAnsi"/>
          <w:color w:val="000000" w:themeColor="text1"/>
          <w:kern w:val="2"/>
          <w:sz w:val="24"/>
          <w:szCs w:val="24"/>
          <w14:ligatures w14:val="standardContextual"/>
        </w:rPr>
      </w:pPr>
    </w:p>
    <w:p w14:paraId="19EEE991" w14:textId="716CECC8" w:rsidR="000B4D72" w:rsidRPr="00997524" w:rsidRDefault="000B4D72" w:rsidP="00597239">
      <w:pPr>
        <w:spacing w:after="0" w:line="276" w:lineRule="auto"/>
        <w:rPr>
          <w:rFonts w:eastAsia="Calibri" w:cstheme="minorHAnsi"/>
          <w:color w:val="000000" w:themeColor="text1"/>
          <w:kern w:val="2"/>
          <w:sz w:val="24"/>
          <w:szCs w:val="24"/>
          <w14:ligatures w14:val="standardContextual"/>
        </w:rPr>
      </w:pPr>
      <w:r w:rsidRPr="00997524">
        <w:rPr>
          <w:rFonts w:eastAsia="Calibri" w:cstheme="minorHAnsi"/>
          <w:color w:val="000000" w:themeColor="text1"/>
          <w:kern w:val="2"/>
          <w:sz w:val="24"/>
          <w:szCs w:val="24"/>
          <w14:ligatures w14:val="standardContextual"/>
        </w:rPr>
        <w:t xml:space="preserve">Analizując sytuację epidemiologiczną boreliozy w woj. zachodniopomorskim należy stwierdzić, że w 2024 roku utrzymał się w trend wzrostowy z lat poprzednich. Najwięcej </w:t>
      </w:r>
      <w:r w:rsidRPr="00997524">
        <w:rPr>
          <w:rFonts w:eastAsia="Calibri" w:cstheme="minorHAnsi"/>
          <w:color w:val="000000" w:themeColor="text1"/>
          <w:kern w:val="2"/>
          <w:sz w:val="24"/>
          <w:szCs w:val="24"/>
          <w14:ligatures w14:val="standardContextual"/>
        </w:rPr>
        <w:lastRenderedPageBreak/>
        <w:t xml:space="preserve">zachorowań, zarejestrowano wśród mieszkańców Szczecina (169), powiatu goleniowskiego (103), powiatu stargardzkiego (97) oraz powiatu łobeskiego (74). </w:t>
      </w:r>
    </w:p>
    <w:p w14:paraId="7D830D4E" w14:textId="6C847F62" w:rsidR="000B4D72" w:rsidRDefault="000B4D72" w:rsidP="00597239">
      <w:pPr>
        <w:spacing w:after="0" w:line="276" w:lineRule="auto"/>
        <w:rPr>
          <w:rFonts w:eastAsia="Calibri" w:cstheme="minorHAnsi"/>
          <w:color w:val="000000" w:themeColor="text1"/>
          <w:kern w:val="2"/>
          <w:sz w:val="24"/>
          <w:szCs w:val="24"/>
          <w14:ligatures w14:val="standardContextual"/>
        </w:rPr>
      </w:pPr>
      <w:r w:rsidRPr="009F2908">
        <w:rPr>
          <w:rFonts w:eastAsia="Calibri" w:cstheme="minorHAnsi"/>
          <w:color w:val="000000" w:themeColor="text1"/>
          <w:kern w:val="2"/>
          <w:sz w:val="24"/>
          <w:szCs w:val="24"/>
          <w14:ligatures w14:val="standardContextual"/>
        </w:rPr>
        <w:t xml:space="preserve">Liczbę zachorowań wraz z hospitalizacjami w woj. zachodniopomorskim w latach 2020-2024 oraz podział w ujęciu kwartalnym uwzględniając zgłoszenia neuroboreliozy przedstawiają </w:t>
      </w:r>
      <w:r w:rsidR="005219DA">
        <w:rPr>
          <w:rFonts w:eastAsia="Calibri" w:cstheme="minorHAnsi"/>
          <w:color w:val="000000" w:themeColor="text1"/>
          <w:kern w:val="2"/>
          <w:sz w:val="24"/>
          <w:szCs w:val="24"/>
          <w14:ligatures w14:val="standardContextual"/>
        </w:rPr>
        <w:t>wykres</w:t>
      </w:r>
      <w:r>
        <w:rPr>
          <w:rFonts w:eastAsia="Calibri" w:cstheme="minorHAnsi"/>
          <w:color w:val="000000" w:themeColor="text1"/>
          <w:kern w:val="2"/>
          <w:sz w:val="24"/>
          <w:szCs w:val="24"/>
          <w14:ligatures w14:val="standardContextual"/>
        </w:rPr>
        <w:t xml:space="preserve"> 4 i </w:t>
      </w:r>
      <w:r w:rsidRPr="009F2908">
        <w:rPr>
          <w:rFonts w:eastAsia="Calibri" w:cstheme="minorHAnsi"/>
          <w:color w:val="000000" w:themeColor="text1"/>
          <w:kern w:val="2"/>
          <w:sz w:val="24"/>
          <w:szCs w:val="24"/>
          <w14:ligatures w14:val="standardContextual"/>
        </w:rPr>
        <w:t>tabel</w:t>
      </w:r>
      <w:r>
        <w:rPr>
          <w:rFonts w:eastAsia="Calibri" w:cstheme="minorHAnsi"/>
          <w:color w:val="000000" w:themeColor="text1"/>
          <w:kern w:val="2"/>
          <w:sz w:val="24"/>
          <w:szCs w:val="24"/>
          <w14:ligatures w14:val="standardContextual"/>
        </w:rPr>
        <w:t>a</w:t>
      </w:r>
      <w:r w:rsidRPr="009F2908">
        <w:rPr>
          <w:rFonts w:eastAsia="Calibri" w:cstheme="minorHAnsi"/>
          <w:color w:val="000000" w:themeColor="text1"/>
          <w:kern w:val="2"/>
          <w:sz w:val="24"/>
          <w:szCs w:val="24"/>
          <w14:ligatures w14:val="standardContextual"/>
        </w:rPr>
        <w:t xml:space="preserve"> 1</w:t>
      </w:r>
      <w:r>
        <w:rPr>
          <w:rFonts w:eastAsia="Calibri" w:cstheme="minorHAnsi"/>
          <w:color w:val="000000" w:themeColor="text1"/>
          <w:kern w:val="2"/>
          <w:sz w:val="24"/>
          <w:szCs w:val="24"/>
          <w14:ligatures w14:val="standardContextual"/>
        </w:rPr>
        <w:t>5.</w:t>
      </w:r>
    </w:p>
    <w:p w14:paraId="7CB0DB28" w14:textId="77777777" w:rsidR="00EE16EC" w:rsidRPr="009F2908" w:rsidRDefault="00EE16EC" w:rsidP="00597239">
      <w:pPr>
        <w:spacing w:after="0" w:line="276" w:lineRule="auto"/>
        <w:rPr>
          <w:rFonts w:eastAsia="Calibri" w:cstheme="minorHAnsi"/>
          <w:bCs/>
          <w:color w:val="000000" w:themeColor="text1"/>
          <w:kern w:val="2"/>
          <w:sz w:val="24"/>
          <w:szCs w:val="24"/>
          <w14:ligatures w14:val="standardContextual"/>
        </w:rPr>
      </w:pPr>
    </w:p>
    <w:p w14:paraId="39735D28" w14:textId="5E97BAA6" w:rsidR="000D65C5" w:rsidRPr="000D65C5" w:rsidRDefault="000D65C5" w:rsidP="00597239">
      <w:pPr>
        <w:pStyle w:val="Legenda"/>
        <w:spacing w:after="0"/>
        <w:rPr>
          <w:i w:val="0"/>
          <w:iCs w:val="0"/>
          <w:color w:val="000000" w:themeColor="text1"/>
        </w:rPr>
      </w:pPr>
      <w:bookmarkStart w:id="89" w:name="_Toc193969461"/>
      <w:bookmarkStart w:id="90" w:name="_Toc194059921"/>
      <w:r w:rsidRPr="000D65C5">
        <w:rPr>
          <w:i w:val="0"/>
          <w:iCs w:val="0"/>
          <w:color w:val="000000" w:themeColor="text1"/>
        </w:rPr>
        <w:t xml:space="preserve">Wykres </w:t>
      </w:r>
      <w:r w:rsidRPr="000D65C5">
        <w:rPr>
          <w:i w:val="0"/>
          <w:iCs w:val="0"/>
          <w:color w:val="000000" w:themeColor="text1"/>
        </w:rPr>
        <w:fldChar w:fldCharType="begin"/>
      </w:r>
      <w:r w:rsidRPr="000D65C5">
        <w:rPr>
          <w:i w:val="0"/>
          <w:iCs w:val="0"/>
          <w:color w:val="000000" w:themeColor="text1"/>
        </w:rPr>
        <w:instrText xml:space="preserve"> SEQ Wykres \* ARABIC </w:instrText>
      </w:r>
      <w:r w:rsidRPr="000D65C5">
        <w:rPr>
          <w:i w:val="0"/>
          <w:iCs w:val="0"/>
          <w:color w:val="000000" w:themeColor="text1"/>
        </w:rPr>
        <w:fldChar w:fldCharType="separate"/>
      </w:r>
      <w:r w:rsidR="00FB6F6A">
        <w:rPr>
          <w:i w:val="0"/>
          <w:iCs w:val="0"/>
          <w:noProof/>
          <w:color w:val="000000" w:themeColor="text1"/>
        </w:rPr>
        <w:t>4</w:t>
      </w:r>
      <w:r w:rsidRPr="000D65C5">
        <w:rPr>
          <w:i w:val="0"/>
          <w:iCs w:val="0"/>
          <w:color w:val="000000" w:themeColor="text1"/>
        </w:rPr>
        <w:fldChar w:fldCharType="end"/>
      </w:r>
      <w:r w:rsidR="00E75D31">
        <w:rPr>
          <w:i w:val="0"/>
          <w:iCs w:val="0"/>
          <w:color w:val="000000" w:themeColor="text1"/>
        </w:rPr>
        <w:t>.</w:t>
      </w:r>
      <w:r w:rsidRPr="000D65C5">
        <w:rPr>
          <w:i w:val="0"/>
          <w:iCs w:val="0"/>
          <w:color w:val="000000" w:themeColor="text1"/>
        </w:rPr>
        <w:t xml:space="preserve"> Liczba zachorowań i hospitalizacji z powodu boreliozy w woj. zachodniopomorskim w latach 2020 – 2024</w:t>
      </w:r>
      <w:bookmarkEnd w:id="89"/>
      <w:bookmarkEnd w:id="90"/>
    </w:p>
    <w:p w14:paraId="4C97A38C" w14:textId="77777777" w:rsidR="000B4D72" w:rsidRPr="003A793F" w:rsidRDefault="000B4D72" w:rsidP="00597239">
      <w:pPr>
        <w:spacing w:after="0" w:line="276" w:lineRule="auto"/>
        <w:contextualSpacing/>
        <w:rPr>
          <w:rFonts w:ascii="Calibri" w:eastAsia="Times New Roman" w:hAnsi="Calibri" w:cs="Calibri"/>
          <w:b/>
          <w:bCs/>
          <w:color w:val="FF0000"/>
          <w:sz w:val="24"/>
          <w:szCs w:val="24"/>
          <w:lang w:eastAsia="pl-PL"/>
        </w:rPr>
      </w:pPr>
      <w:r>
        <w:rPr>
          <w:rFonts w:ascii="Calibri" w:eastAsia="Times New Roman" w:hAnsi="Calibri" w:cs="Calibri"/>
          <w:b/>
          <w:bCs/>
          <w:noProof/>
          <w:color w:val="FF0000"/>
          <w:sz w:val="24"/>
          <w:szCs w:val="24"/>
          <w:lang w:eastAsia="pl-PL"/>
        </w:rPr>
        <w:drawing>
          <wp:inline distT="0" distB="0" distL="0" distR="0" wp14:anchorId="1F16A46C" wp14:editId="2A17FBBD">
            <wp:extent cx="5486400" cy="3200400"/>
            <wp:effectExtent l="0" t="0" r="0" b="0"/>
            <wp:docPr id="328772960" name="Wykres 2" descr="Wykres przedstawia liczbę zachorowań i hospitalizacji z powodu boreliozy w woj. zachodniopomorskim w latach 2020 – 2024. W 2024 roku liczba zachorowań wynosiła 1111 przypadków.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6EA312" w14:textId="77777777" w:rsidR="00EE16EC" w:rsidRDefault="00EE16EC" w:rsidP="00597239">
      <w:pPr>
        <w:pStyle w:val="Legenda"/>
        <w:spacing w:after="0"/>
        <w:rPr>
          <w:i w:val="0"/>
          <w:iCs w:val="0"/>
          <w:color w:val="000000" w:themeColor="text1"/>
        </w:rPr>
      </w:pPr>
      <w:bookmarkStart w:id="91" w:name="_Toc193805985"/>
    </w:p>
    <w:p w14:paraId="706A03C1" w14:textId="7DE06C22" w:rsidR="000B4D72" w:rsidRPr="00A20FF3" w:rsidRDefault="00A20FF3" w:rsidP="00597239">
      <w:pPr>
        <w:pStyle w:val="Legenda"/>
        <w:spacing w:after="0"/>
        <w:rPr>
          <w:b/>
          <w:bCs/>
          <w:i w:val="0"/>
          <w:iCs w:val="0"/>
          <w:color w:val="000000" w:themeColor="text1"/>
        </w:rPr>
      </w:pPr>
      <w:bookmarkStart w:id="92" w:name="_Toc193969533"/>
      <w:bookmarkStart w:id="93" w:name="_Toc194059993"/>
      <w:r w:rsidRPr="00A20FF3">
        <w:rPr>
          <w:i w:val="0"/>
          <w:iCs w:val="0"/>
          <w:color w:val="000000" w:themeColor="text1"/>
        </w:rPr>
        <w:t xml:space="preserve">Tabela </w:t>
      </w:r>
      <w:r w:rsidRPr="00A20FF3">
        <w:rPr>
          <w:i w:val="0"/>
          <w:iCs w:val="0"/>
          <w:color w:val="000000" w:themeColor="text1"/>
        </w:rPr>
        <w:fldChar w:fldCharType="begin"/>
      </w:r>
      <w:r w:rsidRPr="00A20FF3">
        <w:rPr>
          <w:i w:val="0"/>
          <w:iCs w:val="0"/>
          <w:color w:val="000000" w:themeColor="text1"/>
        </w:rPr>
        <w:instrText xml:space="preserve"> SEQ Tabela \* ARABIC </w:instrText>
      </w:r>
      <w:r w:rsidRPr="00A20FF3">
        <w:rPr>
          <w:i w:val="0"/>
          <w:iCs w:val="0"/>
          <w:color w:val="000000" w:themeColor="text1"/>
        </w:rPr>
        <w:fldChar w:fldCharType="separate"/>
      </w:r>
      <w:r w:rsidR="00FB6F6A">
        <w:rPr>
          <w:i w:val="0"/>
          <w:iCs w:val="0"/>
          <w:noProof/>
          <w:color w:val="000000" w:themeColor="text1"/>
        </w:rPr>
        <w:t>15</w:t>
      </w:r>
      <w:r w:rsidRPr="00A20FF3">
        <w:rPr>
          <w:i w:val="0"/>
          <w:iCs w:val="0"/>
          <w:color w:val="000000" w:themeColor="text1"/>
        </w:rPr>
        <w:fldChar w:fldCharType="end"/>
      </w:r>
      <w:r w:rsidR="00E75D31">
        <w:rPr>
          <w:i w:val="0"/>
          <w:iCs w:val="0"/>
          <w:color w:val="000000" w:themeColor="text1"/>
        </w:rPr>
        <w:t>.</w:t>
      </w:r>
      <w:r w:rsidRPr="00A20FF3">
        <w:rPr>
          <w:i w:val="0"/>
          <w:iCs w:val="0"/>
          <w:color w:val="000000" w:themeColor="text1"/>
        </w:rPr>
        <w:t xml:space="preserve"> Liczba zachorowań na boreliozę, w tym neuroboreliozę w woj. zachodniopomorskim w latach 2020 – 2024 w</w:t>
      </w:r>
      <w:r w:rsidR="000B1187">
        <w:rPr>
          <w:i w:val="0"/>
          <w:iCs w:val="0"/>
          <w:color w:val="000000" w:themeColor="text1"/>
        </w:rPr>
        <w:t> </w:t>
      </w:r>
      <w:r w:rsidRPr="00A20FF3">
        <w:rPr>
          <w:i w:val="0"/>
          <w:iCs w:val="0"/>
          <w:color w:val="000000" w:themeColor="text1"/>
        </w:rPr>
        <w:t>ujęciu kwartalnym</w:t>
      </w:r>
      <w:bookmarkEnd w:id="91"/>
      <w:bookmarkEnd w:id="92"/>
      <w:bookmarkEnd w:id="93"/>
    </w:p>
    <w:tbl>
      <w:tblPr>
        <w:tblStyle w:val="Tabelasiatki4akcent1"/>
        <w:tblW w:w="9057" w:type="dxa"/>
        <w:tblLayout w:type="fixed"/>
        <w:tblLook w:val="04A0" w:firstRow="1" w:lastRow="0" w:firstColumn="1" w:lastColumn="0" w:noHBand="0" w:noVBand="1"/>
        <w:tblCaption w:val="Liczba zachorowań na boreliozę, w tym neuroboreliozę w woj. zachodniopomorskim w latach 2020 – 2024 w ujęciu kwartalnym"/>
        <w:tblDescription w:val="Tabela przedstawia liczbę zachorowań na boreliozę, w tym neuroboreliozę w woj. zachodniopomorskim w latach 2020 – 2024 w ujęciu kwartalnym. W 2024 roku największą liczbę przypadków zachorowań odnotowano w trzecim kwartale - 559 przypadków. "/>
      </w:tblPr>
      <w:tblGrid>
        <w:gridCol w:w="709"/>
        <w:gridCol w:w="795"/>
        <w:gridCol w:w="796"/>
        <w:gridCol w:w="795"/>
        <w:gridCol w:w="796"/>
        <w:gridCol w:w="795"/>
        <w:gridCol w:w="796"/>
        <w:gridCol w:w="795"/>
        <w:gridCol w:w="796"/>
        <w:gridCol w:w="992"/>
        <w:gridCol w:w="992"/>
      </w:tblGrid>
      <w:tr w:rsidR="000B4D72" w:rsidRPr="00FF50CD" w14:paraId="42E02663" w14:textId="77777777" w:rsidTr="00F865A1">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hideMark/>
          </w:tcPr>
          <w:p w14:paraId="2E1EF169" w14:textId="77777777" w:rsidR="000B4D72" w:rsidRPr="00FF50CD" w:rsidRDefault="000B4D72" w:rsidP="00597239">
            <w:pPr>
              <w:rPr>
                <w:rFonts w:eastAsia="Calibri" w:cstheme="minorHAnsi"/>
                <w:b w:val="0"/>
                <w:bCs w:val="0"/>
                <w:kern w:val="2"/>
                <w14:ligatures w14:val="standardContextual"/>
              </w:rPr>
            </w:pPr>
            <w:r w:rsidRPr="00FF50CD">
              <w:rPr>
                <w:rFonts w:eastAsia="Calibri" w:cstheme="minorHAnsi"/>
                <w:b w:val="0"/>
                <w:bCs w:val="0"/>
                <w:kern w:val="2"/>
                <w:sz w:val="20"/>
                <w:szCs w:val="20"/>
                <w14:ligatures w14:val="standardContextual"/>
              </w:rPr>
              <w:t>Rok</w:t>
            </w:r>
          </w:p>
        </w:tc>
        <w:tc>
          <w:tcPr>
            <w:tcW w:w="1591" w:type="dxa"/>
            <w:gridSpan w:val="2"/>
            <w:vAlign w:val="center"/>
            <w:hideMark/>
          </w:tcPr>
          <w:p w14:paraId="74200B01"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b w:val="0"/>
                <w:bCs w:val="0"/>
                <w:kern w:val="2"/>
                <w:sz w:val="20"/>
                <w:szCs w:val="20"/>
                <w14:ligatures w14:val="standardContextual"/>
              </w:rPr>
            </w:pPr>
            <w:r w:rsidRPr="00FF50CD">
              <w:rPr>
                <w:rFonts w:eastAsia="Calibri" w:cstheme="minorHAnsi"/>
                <w:b w:val="0"/>
                <w:bCs w:val="0"/>
                <w:kern w:val="2"/>
                <w:sz w:val="20"/>
                <w:szCs w:val="20"/>
                <w14:ligatures w14:val="standardContextual"/>
              </w:rPr>
              <w:t>I kwartał</w:t>
            </w:r>
          </w:p>
        </w:tc>
        <w:tc>
          <w:tcPr>
            <w:tcW w:w="1591" w:type="dxa"/>
            <w:gridSpan w:val="2"/>
            <w:vAlign w:val="center"/>
            <w:hideMark/>
          </w:tcPr>
          <w:p w14:paraId="0C53189B"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b w:val="0"/>
                <w:bCs w:val="0"/>
                <w:kern w:val="2"/>
                <w:sz w:val="20"/>
                <w:szCs w:val="20"/>
                <w14:ligatures w14:val="standardContextual"/>
              </w:rPr>
            </w:pPr>
            <w:r w:rsidRPr="00FF50CD">
              <w:rPr>
                <w:rFonts w:eastAsia="Calibri" w:cstheme="minorHAnsi"/>
                <w:b w:val="0"/>
                <w:bCs w:val="0"/>
                <w:kern w:val="2"/>
                <w:sz w:val="20"/>
                <w:szCs w:val="20"/>
                <w14:ligatures w14:val="standardContextual"/>
              </w:rPr>
              <w:t>II kwartał</w:t>
            </w:r>
          </w:p>
        </w:tc>
        <w:tc>
          <w:tcPr>
            <w:tcW w:w="1591" w:type="dxa"/>
            <w:gridSpan w:val="2"/>
            <w:vAlign w:val="center"/>
            <w:hideMark/>
          </w:tcPr>
          <w:p w14:paraId="6AE3B3DE"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b w:val="0"/>
                <w:bCs w:val="0"/>
                <w:kern w:val="2"/>
                <w:sz w:val="20"/>
                <w:szCs w:val="20"/>
                <w14:ligatures w14:val="standardContextual"/>
              </w:rPr>
            </w:pPr>
            <w:r w:rsidRPr="00FF50CD">
              <w:rPr>
                <w:rFonts w:eastAsia="Calibri" w:cstheme="minorHAnsi"/>
                <w:b w:val="0"/>
                <w:bCs w:val="0"/>
                <w:kern w:val="2"/>
                <w:sz w:val="20"/>
                <w:szCs w:val="20"/>
                <w14:ligatures w14:val="standardContextual"/>
              </w:rPr>
              <w:t>III kwartał</w:t>
            </w:r>
          </w:p>
        </w:tc>
        <w:tc>
          <w:tcPr>
            <w:tcW w:w="1591" w:type="dxa"/>
            <w:gridSpan w:val="2"/>
            <w:vAlign w:val="center"/>
            <w:hideMark/>
          </w:tcPr>
          <w:p w14:paraId="3C784961"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b w:val="0"/>
                <w:bCs w:val="0"/>
                <w:kern w:val="2"/>
                <w:sz w:val="20"/>
                <w:szCs w:val="20"/>
                <w14:ligatures w14:val="standardContextual"/>
              </w:rPr>
            </w:pPr>
            <w:r w:rsidRPr="00FF50CD">
              <w:rPr>
                <w:rFonts w:eastAsia="Calibri" w:cstheme="minorHAnsi"/>
                <w:b w:val="0"/>
                <w:bCs w:val="0"/>
                <w:kern w:val="2"/>
                <w:sz w:val="20"/>
                <w:szCs w:val="20"/>
                <w14:ligatures w14:val="standardContextual"/>
              </w:rPr>
              <w:t>IV kwartał</w:t>
            </w:r>
          </w:p>
        </w:tc>
        <w:tc>
          <w:tcPr>
            <w:tcW w:w="1984" w:type="dxa"/>
            <w:gridSpan w:val="2"/>
            <w:vAlign w:val="center"/>
            <w:hideMark/>
          </w:tcPr>
          <w:p w14:paraId="6DA3E048"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b w:val="0"/>
                <w:bCs w:val="0"/>
                <w:kern w:val="2"/>
                <w:sz w:val="20"/>
                <w:szCs w:val="20"/>
                <w14:ligatures w14:val="standardContextual"/>
              </w:rPr>
            </w:pPr>
            <w:r w:rsidRPr="00FF50CD">
              <w:rPr>
                <w:rFonts w:eastAsia="Calibri" w:cstheme="minorHAnsi"/>
                <w:b w:val="0"/>
                <w:bCs w:val="0"/>
                <w:kern w:val="2"/>
                <w:sz w:val="20"/>
                <w:szCs w:val="20"/>
                <w14:ligatures w14:val="standardContextual"/>
              </w:rPr>
              <w:t>Razem</w:t>
            </w:r>
          </w:p>
        </w:tc>
      </w:tr>
      <w:tr w:rsidR="000B4D72" w:rsidRPr="00FF50CD" w14:paraId="70771AC6" w14:textId="77777777" w:rsidTr="00F865A1">
        <w:trPr>
          <w:cnfStyle w:val="000000100000" w:firstRow="0" w:lastRow="0" w:firstColumn="0" w:lastColumn="0" w:oddVBand="0" w:evenVBand="0" w:oddHBand="1" w:evenHBand="0" w:firstRowFirstColumn="0" w:firstRowLastColumn="0" w:lastRowFirstColumn="0" w:lastRowLastColumn="0"/>
          <w:trHeight w:val="1486"/>
        </w:trPr>
        <w:tc>
          <w:tcPr>
            <w:cnfStyle w:val="001000000000" w:firstRow="0" w:lastRow="0" w:firstColumn="1" w:lastColumn="0" w:oddVBand="0" w:evenVBand="0" w:oddHBand="0" w:evenHBand="0" w:firstRowFirstColumn="0" w:firstRowLastColumn="0" w:lastRowFirstColumn="0" w:lastRowLastColumn="0"/>
            <w:tcW w:w="709" w:type="dxa"/>
            <w:vMerge/>
            <w:vAlign w:val="center"/>
            <w:hideMark/>
          </w:tcPr>
          <w:p w14:paraId="2C2D8419" w14:textId="77777777" w:rsidR="000B4D72" w:rsidRPr="00FF50CD" w:rsidRDefault="000B4D72" w:rsidP="00597239">
            <w:pPr>
              <w:rPr>
                <w:rFonts w:eastAsia="Calibri" w:cstheme="minorHAnsi"/>
                <w:b w:val="0"/>
                <w:bCs w:val="0"/>
                <w:color w:val="000000" w:themeColor="text1"/>
                <w:kern w:val="2"/>
                <w14:ligatures w14:val="standardContextual"/>
              </w:rPr>
            </w:pPr>
          </w:p>
        </w:tc>
        <w:tc>
          <w:tcPr>
            <w:tcW w:w="795" w:type="dxa"/>
            <w:textDirection w:val="btLr"/>
            <w:vAlign w:val="center"/>
            <w:hideMark/>
          </w:tcPr>
          <w:p w14:paraId="69318EA4"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borelioza</w:t>
            </w:r>
          </w:p>
        </w:tc>
        <w:tc>
          <w:tcPr>
            <w:tcW w:w="796" w:type="dxa"/>
            <w:textDirection w:val="btLr"/>
            <w:vAlign w:val="center"/>
            <w:hideMark/>
          </w:tcPr>
          <w:p w14:paraId="2D3A286F"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 tym neuroborelioza</w:t>
            </w:r>
          </w:p>
        </w:tc>
        <w:tc>
          <w:tcPr>
            <w:tcW w:w="795" w:type="dxa"/>
            <w:textDirection w:val="btLr"/>
            <w:vAlign w:val="center"/>
            <w:hideMark/>
          </w:tcPr>
          <w:p w14:paraId="2B2DF1A8"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borelioza</w:t>
            </w:r>
          </w:p>
        </w:tc>
        <w:tc>
          <w:tcPr>
            <w:tcW w:w="796" w:type="dxa"/>
            <w:textDirection w:val="btLr"/>
            <w:vAlign w:val="center"/>
            <w:hideMark/>
          </w:tcPr>
          <w:p w14:paraId="1C9C90E0"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 tym neuroborelioza</w:t>
            </w:r>
          </w:p>
        </w:tc>
        <w:tc>
          <w:tcPr>
            <w:tcW w:w="795" w:type="dxa"/>
            <w:textDirection w:val="btLr"/>
            <w:vAlign w:val="center"/>
            <w:hideMark/>
          </w:tcPr>
          <w:p w14:paraId="3D6EA8DB"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borelioza</w:t>
            </w:r>
          </w:p>
        </w:tc>
        <w:tc>
          <w:tcPr>
            <w:tcW w:w="796" w:type="dxa"/>
            <w:textDirection w:val="btLr"/>
            <w:vAlign w:val="center"/>
            <w:hideMark/>
          </w:tcPr>
          <w:p w14:paraId="5950BE56"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 tym neuroborelioza</w:t>
            </w:r>
          </w:p>
        </w:tc>
        <w:tc>
          <w:tcPr>
            <w:tcW w:w="795" w:type="dxa"/>
            <w:textDirection w:val="btLr"/>
            <w:vAlign w:val="center"/>
            <w:hideMark/>
          </w:tcPr>
          <w:p w14:paraId="09A2CED9"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borelioza</w:t>
            </w:r>
          </w:p>
        </w:tc>
        <w:tc>
          <w:tcPr>
            <w:tcW w:w="796" w:type="dxa"/>
            <w:textDirection w:val="btLr"/>
            <w:vAlign w:val="center"/>
            <w:hideMark/>
          </w:tcPr>
          <w:p w14:paraId="45E619FF"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 tym neuroborelioza</w:t>
            </w:r>
          </w:p>
        </w:tc>
        <w:tc>
          <w:tcPr>
            <w:tcW w:w="992" w:type="dxa"/>
            <w:textDirection w:val="btLr"/>
            <w:vAlign w:val="center"/>
            <w:hideMark/>
          </w:tcPr>
          <w:p w14:paraId="27802A33"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borelioza</w:t>
            </w:r>
          </w:p>
        </w:tc>
        <w:tc>
          <w:tcPr>
            <w:tcW w:w="992" w:type="dxa"/>
            <w:textDirection w:val="btLr"/>
            <w:vAlign w:val="center"/>
            <w:hideMark/>
          </w:tcPr>
          <w:p w14:paraId="7ADFA2D7" w14:textId="77777777" w:rsidR="000B4D72" w:rsidRPr="00FF50CD" w:rsidRDefault="000B4D72" w:rsidP="00597239">
            <w:pPr>
              <w:ind w:left="113" w:right="113"/>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 tym neuroborelioza</w:t>
            </w:r>
          </w:p>
        </w:tc>
      </w:tr>
      <w:tr w:rsidR="000B4D72" w:rsidRPr="00FF50CD" w14:paraId="4699E930" w14:textId="77777777" w:rsidTr="00F865A1">
        <w:trPr>
          <w:trHeight w:val="402"/>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244B03C2" w14:textId="77777777" w:rsidR="000B4D72" w:rsidRPr="00FF50CD" w:rsidRDefault="000B4D72" w:rsidP="00597239">
            <w:pPr>
              <w:rPr>
                <w:rFonts w:eastAsia="Calibri" w:cstheme="minorHAnsi"/>
                <w:b w:val="0"/>
                <w:bCs w:val="0"/>
                <w:color w:val="000000" w:themeColor="text1"/>
                <w:kern w:val="2"/>
                <w:sz w:val="20"/>
                <w:szCs w:val="20"/>
                <w14:ligatures w14:val="standardContextual"/>
              </w:rPr>
            </w:pPr>
            <w:r w:rsidRPr="00FF50CD">
              <w:rPr>
                <w:rFonts w:eastAsia="Calibri" w:cstheme="minorHAnsi"/>
                <w:b w:val="0"/>
                <w:bCs w:val="0"/>
                <w:color w:val="000000" w:themeColor="text1"/>
                <w:kern w:val="2"/>
                <w:sz w:val="20"/>
                <w:szCs w:val="20"/>
                <w14:ligatures w14:val="standardContextual"/>
              </w:rPr>
              <w:t>2020</w:t>
            </w:r>
          </w:p>
        </w:tc>
        <w:tc>
          <w:tcPr>
            <w:tcW w:w="795" w:type="dxa"/>
            <w:vAlign w:val="center"/>
            <w:hideMark/>
          </w:tcPr>
          <w:p w14:paraId="6CDBFD9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86</w:t>
            </w:r>
          </w:p>
        </w:tc>
        <w:tc>
          <w:tcPr>
            <w:tcW w:w="796" w:type="dxa"/>
            <w:vAlign w:val="center"/>
            <w:hideMark/>
          </w:tcPr>
          <w:p w14:paraId="4E9D95E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3</w:t>
            </w:r>
          </w:p>
        </w:tc>
        <w:tc>
          <w:tcPr>
            <w:tcW w:w="795" w:type="dxa"/>
            <w:vAlign w:val="center"/>
            <w:hideMark/>
          </w:tcPr>
          <w:p w14:paraId="0E8D84E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90</w:t>
            </w:r>
          </w:p>
        </w:tc>
        <w:tc>
          <w:tcPr>
            <w:tcW w:w="796" w:type="dxa"/>
            <w:vAlign w:val="center"/>
            <w:hideMark/>
          </w:tcPr>
          <w:p w14:paraId="6631848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t>
            </w:r>
          </w:p>
        </w:tc>
        <w:tc>
          <w:tcPr>
            <w:tcW w:w="795" w:type="dxa"/>
            <w:vAlign w:val="center"/>
            <w:hideMark/>
          </w:tcPr>
          <w:p w14:paraId="14B57E9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279</w:t>
            </w:r>
          </w:p>
        </w:tc>
        <w:tc>
          <w:tcPr>
            <w:tcW w:w="796" w:type="dxa"/>
            <w:vAlign w:val="center"/>
            <w:hideMark/>
          </w:tcPr>
          <w:p w14:paraId="11C5468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4</w:t>
            </w:r>
          </w:p>
        </w:tc>
        <w:tc>
          <w:tcPr>
            <w:tcW w:w="795" w:type="dxa"/>
            <w:vAlign w:val="center"/>
            <w:hideMark/>
          </w:tcPr>
          <w:p w14:paraId="582ECE2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89</w:t>
            </w:r>
          </w:p>
        </w:tc>
        <w:tc>
          <w:tcPr>
            <w:tcW w:w="796" w:type="dxa"/>
            <w:vAlign w:val="center"/>
            <w:hideMark/>
          </w:tcPr>
          <w:p w14:paraId="16A7A1B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w:t>
            </w:r>
          </w:p>
        </w:tc>
        <w:tc>
          <w:tcPr>
            <w:tcW w:w="992" w:type="dxa"/>
            <w:vAlign w:val="center"/>
            <w:hideMark/>
          </w:tcPr>
          <w:p w14:paraId="37F37A0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544</w:t>
            </w:r>
          </w:p>
        </w:tc>
        <w:tc>
          <w:tcPr>
            <w:tcW w:w="992" w:type="dxa"/>
            <w:vAlign w:val="center"/>
            <w:hideMark/>
          </w:tcPr>
          <w:p w14:paraId="129DB0F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7</w:t>
            </w:r>
          </w:p>
        </w:tc>
      </w:tr>
      <w:tr w:rsidR="000B4D72" w:rsidRPr="00FF50CD" w14:paraId="7D2BB567" w14:textId="77777777" w:rsidTr="00F865A1">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1993B5E6" w14:textId="77777777" w:rsidR="000B4D72" w:rsidRPr="00FF50CD" w:rsidRDefault="000B4D72" w:rsidP="00597239">
            <w:pPr>
              <w:rPr>
                <w:rFonts w:eastAsia="Calibri" w:cstheme="minorHAnsi"/>
                <w:b w:val="0"/>
                <w:bCs w:val="0"/>
                <w:color w:val="000000" w:themeColor="text1"/>
                <w:kern w:val="2"/>
                <w:sz w:val="20"/>
                <w:szCs w:val="20"/>
                <w14:ligatures w14:val="standardContextual"/>
              </w:rPr>
            </w:pPr>
            <w:bookmarkStart w:id="94" w:name="_Hlk100649489" w:colFirst="1" w:colLast="9"/>
            <w:r w:rsidRPr="00FF50CD">
              <w:rPr>
                <w:rFonts w:eastAsia="Calibri" w:cstheme="minorHAnsi"/>
                <w:b w:val="0"/>
                <w:bCs w:val="0"/>
                <w:color w:val="000000" w:themeColor="text1"/>
                <w:kern w:val="2"/>
                <w:sz w:val="20"/>
                <w:szCs w:val="20"/>
                <w14:ligatures w14:val="standardContextual"/>
              </w:rPr>
              <w:t>2021</w:t>
            </w:r>
          </w:p>
        </w:tc>
        <w:tc>
          <w:tcPr>
            <w:tcW w:w="795" w:type="dxa"/>
            <w:vAlign w:val="center"/>
          </w:tcPr>
          <w:p w14:paraId="52B5FBC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39</w:t>
            </w:r>
          </w:p>
        </w:tc>
        <w:tc>
          <w:tcPr>
            <w:tcW w:w="796" w:type="dxa"/>
            <w:vAlign w:val="center"/>
          </w:tcPr>
          <w:p w14:paraId="2A88656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w:t>
            </w:r>
          </w:p>
        </w:tc>
        <w:tc>
          <w:tcPr>
            <w:tcW w:w="795" w:type="dxa"/>
            <w:vAlign w:val="center"/>
          </w:tcPr>
          <w:p w14:paraId="4DA7A432"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76</w:t>
            </w:r>
          </w:p>
        </w:tc>
        <w:tc>
          <w:tcPr>
            <w:tcW w:w="796" w:type="dxa"/>
            <w:vAlign w:val="center"/>
          </w:tcPr>
          <w:p w14:paraId="3352E25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w:t>
            </w:r>
          </w:p>
        </w:tc>
        <w:tc>
          <w:tcPr>
            <w:tcW w:w="795" w:type="dxa"/>
            <w:vAlign w:val="center"/>
          </w:tcPr>
          <w:p w14:paraId="0DC1E4B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352</w:t>
            </w:r>
          </w:p>
        </w:tc>
        <w:tc>
          <w:tcPr>
            <w:tcW w:w="796" w:type="dxa"/>
            <w:vAlign w:val="center"/>
          </w:tcPr>
          <w:p w14:paraId="62703AC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4</w:t>
            </w:r>
          </w:p>
        </w:tc>
        <w:tc>
          <w:tcPr>
            <w:tcW w:w="795" w:type="dxa"/>
            <w:vAlign w:val="center"/>
          </w:tcPr>
          <w:p w14:paraId="068B357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174</w:t>
            </w:r>
          </w:p>
        </w:tc>
        <w:tc>
          <w:tcPr>
            <w:tcW w:w="796" w:type="dxa"/>
            <w:vAlign w:val="center"/>
          </w:tcPr>
          <w:p w14:paraId="258EDBE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5</w:t>
            </w:r>
          </w:p>
        </w:tc>
        <w:tc>
          <w:tcPr>
            <w:tcW w:w="992" w:type="dxa"/>
            <w:vAlign w:val="center"/>
          </w:tcPr>
          <w:p w14:paraId="749776F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641</w:t>
            </w:r>
          </w:p>
        </w:tc>
        <w:tc>
          <w:tcPr>
            <w:tcW w:w="992" w:type="dxa"/>
            <w:vAlign w:val="center"/>
          </w:tcPr>
          <w:p w14:paraId="71BD106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11</w:t>
            </w:r>
          </w:p>
        </w:tc>
      </w:tr>
      <w:tr w:rsidR="000B4D72" w:rsidRPr="00FF50CD" w14:paraId="452FBDD7" w14:textId="77777777" w:rsidTr="00F865A1">
        <w:trPr>
          <w:trHeight w:val="564"/>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14:paraId="10DB3D36" w14:textId="77777777" w:rsidR="000B4D72" w:rsidRPr="00FF50CD" w:rsidRDefault="000B4D72" w:rsidP="00597239">
            <w:pPr>
              <w:rPr>
                <w:rFonts w:eastAsia="Calibri" w:cstheme="minorHAnsi"/>
                <w:b w:val="0"/>
                <w:bCs w:val="0"/>
                <w:color w:val="000000" w:themeColor="text1"/>
                <w:kern w:val="2"/>
                <w:sz w:val="20"/>
                <w:szCs w:val="20"/>
                <w14:ligatures w14:val="standardContextual"/>
              </w:rPr>
            </w:pPr>
            <w:bookmarkStart w:id="95" w:name="_Hlk100651114" w:colFirst="1" w:colLast="9"/>
            <w:r w:rsidRPr="00FF50CD">
              <w:rPr>
                <w:rFonts w:eastAsia="Calibri" w:cstheme="minorHAnsi"/>
                <w:b w:val="0"/>
                <w:bCs w:val="0"/>
                <w:color w:val="000000" w:themeColor="text1"/>
                <w:kern w:val="2"/>
                <w:sz w:val="20"/>
                <w:szCs w:val="20"/>
                <w14:ligatures w14:val="standardContextual"/>
              </w:rPr>
              <w:t>2022</w:t>
            </w:r>
          </w:p>
        </w:tc>
        <w:tc>
          <w:tcPr>
            <w:tcW w:w="795" w:type="dxa"/>
            <w:vAlign w:val="center"/>
          </w:tcPr>
          <w:p w14:paraId="45C7FFC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50</w:t>
            </w:r>
          </w:p>
        </w:tc>
        <w:tc>
          <w:tcPr>
            <w:tcW w:w="796" w:type="dxa"/>
            <w:vAlign w:val="center"/>
          </w:tcPr>
          <w:p w14:paraId="24AC7A3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w:t>
            </w:r>
          </w:p>
        </w:tc>
        <w:tc>
          <w:tcPr>
            <w:tcW w:w="795" w:type="dxa"/>
            <w:vAlign w:val="center"/>
          </w:tcPr>
          <w:p w14:paraId="07D972A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109</w:t>
            </w:r>
          </w:p>
        </w:tc>
        <w:tc>
          <w:tcPr>
            <w:tcW w:w="796" w:type="dxa"/>
            <w:vAlign w:val="center"/>
          </w:tcPr>
          <w:p w14:paraId="3C109FB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0</w:t>
            </w:r>
          </w:p>
        </w:tc>
        <w:tc>
          <w:tcPr>
            <w:tcW w:w="795" w:type="dxa"/>
            <w:vAlign w:val="center"/>
          </w:tcPr>
          <w:p w14:paraId="64CB7BD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298</w:t>
            </w:r>
          </w:p>
        </w:tc>
        <w:tc>
          <w:tcPr>
            <w:tcW w:w="796" w:type="dxa"/>
            <w:vAlign w:val="center"/>
          </w:tcPr>
          <w:p w14:paraId="6D5B54A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6</w:t>
            </w:r>
          </w:p>
        </w:tc>
        <w:tc>
          <w:tcPr>
            <w:tcW w:w="795" w:type="dxa"/>
            <w:vAlign w:val="center"/>
          </w:tcPr>
          <w:p w14:paraId="63CA76A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215</w:t>
            </w:r>
          </w:p>
        </w:tc>
        <w:tc>
          <w:tcPr>
            <w:tcW w:w="796" w:type="dxa"/>
            <w:vAlign w:val="center"/>
          </w:tcPr>
          <w:p w14:paraId="6937FB7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4</w:t>
            </w:r>
          </w:p>
        </w:tc>
        <w:tc>
          <w:tcPr>
            <w:tcW w:w="992" w:type="dxa"/>
            <w:vAlign w:val="center"/>
          </w:tcPr>
          <w:p w14:paraId="23B66FD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672</w:t>
            </w:r>
          </w:p>
        </w:tc>
        <w:tc>
          <w:tcPr>
            <w:tcW w:w="992" w:type="dxa"/>
            <w:vAlign w:val="center"/>
          </w:tcPr>
          <w:p w14:paraId="28EDC87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11</w:t>
            </w:r>
          </w:p>
        </w:tc>
      </w:tr>
      <w:tr w:rsidR="000B4D72" w:rsidRPr="00FF50CD" w14:paraId="5F472E43" w14:textId="77777777" w:rsidTr="00F865A1">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392C7AE" w14:textId="77777777" w:rsidR="000B4D72" w:rsidRPr="00FF50CD" w:rsidRDefault="000B4D72" w:rsidP="00597239">
            <w:pPr>
              <w:rPr>
                <w:rFonts w:eastAsia="Calibri" w:cstheme="minorHAnsi"/>
                <w:b w:val="0"/>
                <w:bCs w:val="0"/>
                <w:color w:val="000000" w:themeColor="text1"/>
                <w:kern w:val="2"/>
                <w:sz w:val="20"/>
                <w:szCs w:val="20"/>
                <w14:ligatures w14:val="standardContextual"/>
              </w:rPr>
            </w:pPr>
            <w:r w:rsidRPr="00FF50CD">
              <w:rPr>
                <w:rFonts w:eastAsia="Calibri" w:cstheme="minorHAnsi"/>
                <w:b w:val="0"/>
                <w:bCs w:val="0"/>
                <w:color w:val="000000" w:themeColor="text1"/>
                <w:kern w:val="2"/>
                <w:sz w:val="20"/>
                <w:szCs w:val="20"/>
                <w14:ligatures w14:val="standardContextual"/>
              </w:rPr>
              <w:t>2023</w:t>
            </w:r>
          </w:p>
        </w:tc>
        <w:tc>
          <w:tcPr>
            <w:tcW w:w="795" w:type="dxa"/>
            <w:vAlign w:val="center"/>
          </w:tcPr>
          <w:p w14:paraId="4103519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92</w:t>
            </w:r>
          </w:p>
        </w:tc>
        <w:tc>
          <w:tcPr>
            <w:tcW w:w="796" w:type="dxa"/>
            <w:vAlign w:val="center"/>
          </w:tcPr>
          <w:p w14:paraId="375E504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3</w:t>
            </w:r>
          </w:p>
        </w:tc>
        <w:tc>
          <w:tcPr>
            <w:tcW w:w="795" w:type="dxa"/>
            <w:vAlign w:val="center"/>
          </w:tcPr>
          <w:p w14:paraId="383B34C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173</w:t>
            </w:r>
          </w:p>
        </w:tc>
        <w:tc>
          <w:tcPr>
            <w:tcW w:w="796" w:type="dxa"/>
            <w:vAlign w:val="center"/>
          </w:tcPr>
          <w:p w14:paraId="526550F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w:t>
            </w:r>
          </w:p>
        </w:tc>
        <w:tc>
          <w:tcPr>
            <w:tcW w:w="795" w:type="dxa"/>
            <w:vAlign w:val="center"/>
          </w:tcPr>
          <w:p w14:paraId="13E12D2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545</w:t>
            </w:r>
          </w:p>
        </w:tc>
        <w:tc>
          <w:tcPr>
            <w:tcW w:w="796" w:type="dxa"/>
            <w:vAlign w:val="center"/>
          </w:tcPr>
          <w:p w14:paraId="408D842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6</w:t>
            </w:r>
          </w:p>
        </w:tc>
        <w:tc>
          <w:tcPr>
            <w:tcW w:w="795" w:type="dxa"/>
            <w:vAlign w:val="center"/>
          </w:tcPr>
          <w:p w14:paraId="1013063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254</w:t>
            </w:r>
          </w:p>
        </w:tc>
        <w:tc>
          <w:tcPr>
            <w:tcW w:w="796" w:type="dxa"/>
            <w:vAlign w:val="center"/>
          </w:tcPr>
          <w:p w14:paraId="44E1204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8</w:t>
            </w:r>
          </w:p>
        </w:tc>
        <w:tc>
          <w:tcPr>
            <w:tcW w:w="992" w:type="dxa"/>
            <w:vAlign w:val="center"/>
          </w:tcPr>
          <w:p w14:paraId="0B9F15A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1064</w:t>
            </w:r>
          </w:p>
        </w:tc>
        <w:tc>
          <w:tcPr>
            <w:tcW w:w="992" w:type="dxa"/>
            <w:vAlign w:val="center"/>
          </w:tcPr>
          <w:p w14:paraId="710EC92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18</w:t>
            </w:r>
          </w:p>
        </w:tc>
      </w:tr>
      <w:tr w:rsidR="000B4D72" w:rsidRPr="00FF50CD" w14:paraId="20B6ADD9" w14:textId="77777777" w:rsidTr="00F865A1">
        <w:trPr>
          <w:trHeight w:val="544"/>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8C6A591" w14:textId="77777777" w:rsidR="000B4D72" w:rsidRPr="00FF50CD" w:rsidRDefault="000B4D72" w:rsidP="00597239">
            <w:pPr>
              <w:rPr>
                <w:rFonts w:eastAsia="Calibri" w:cstheme="minorHAnsi"/>
                <w:b w:val="0"/>
                <w:bCs w:val="0"/>
                <w:color w:val="000000" w:themeColor="text1"/>
                <w:kern w:val="2"/>
                <w:sz w:val="20"/>
                <w:szCs w:val="20"/>
                <w14:ligatures w14:val="standardContextual"/>
              </w:rPr>
            </w:pPr>
            <w:r w:rsidRPr="00FF50CD">
              <w:rPr>
                <w:rFonts w:eastAsia="Calibri" w:cstheme="minorHAnsi"/>
                <w:b w:val="0"/>
                <w:bCs w:val="0"/>
                <w:color w:val="000000" w:themeColor="text1"/>
                <w:kern w:val="2"/>
                <w:sz w:val="20"/>
                <w:szCs w:val="20"/>
                <w14:ligatures w14:val="standardContextual"/>
              </w:rPr>
              <w:t>2024</w:t>
            </w:r>
          </w:p>
        </w:tc>
        <w:tc>
          <w:tcPr>
            <w:tcW w:w="795" w:type="dxa"/>
            <w:vAlign w:val="center"/>
          </w:tcPr>
          <w:p w14:paraId="07CA94B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70</w:t>
            </w:r>
          </w:p>
        </w:tc>
        <w:tc>
          <w:tcPr>
            <w:tcW w:w="796" w:type="dxa"/>
            <w:vAlign w:val="center"/>
          </w:tcPr>
          <w:p w14:paraId="01B8706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5</w:t>
            </w:r>
          </w:p>
        </w:tc>
        <w:tc>
          <w:tcPr>
            <w:tcW w:w="795" w:type="dxa"/>
            <w:vAlign w:val="center"/>
          </w:tcPr>
          <w:p w14:paraId="1BBBCD5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230</w:t>
            </w:r>
          </w:p>
        </w:tc>
        <w:tc>
          <w:tcPr>
            <w:tcW w:w="796" w:type="dxa"/>
            <w:vAlign w:val="center"/>
          </w:tcPr>
          <w:p w14:paraId="0EC0905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4</w:t>
            </w:r>
          </w:p>
        </w:tc>
        <w:tc>
          <w:tcPr>
            <w:tcW w:w="795" w:type="dxa"/>
            <w:vAlign w:val="center"/>
          </w:tcPr>
          <w:p w14:paraId="0C6E4A6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559</w:t>
            </w:r>
          </w:p>
        </w:tc>
        <w:tc>
          <w:tcPr>
            <w:tcW w:w="796" w:type="dxa"/>
            <w:vAlign w:val="center"/>
          </w:tcPr>
          <w:p w14:paraId="7E28068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12</w:t>
            </w:r>
          </w:p>
        </w:tc>
        <w:tc>
          <w:tcPr>
            <w:tcW w:w="795" w:type="dxa"/>
            <w:vAlign w:val="center"/>
          </w:tcPr>
          <w:p w14:paraId="608EADE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252</w:t>
            </w:r>
          </w:p>
        </w:tc>
        <w:tc>
          <w:tcPr>
            <w:tcW w:w="796" w:type="dxa"/>
            <w:vAlign w:val="center"/>
          </w:tcPr>
          <w:p w14:paraId="5CB32AF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9</w:t>
            </w:r>
          </w:p>
        </w:tc>
        <w:tc>
          <w:tcPr>
            <w:tcW w:w="992" w:type="dxa"/>
            <w:vAlign w:val="center"/>
          </w:tcPr>
          <w:p w14:paraId="60837B8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1111</w:t>
            </w:r>
          </w:p>
        </w:tc>
        <w:tc>
          <w:tcPr>
            <w:tcW w:w="992" w:type="dxa"/>
            <w:vAlign w:val="center"/>
          </w:tcPr>
          <w:p w14:paraId="2F27B0C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kern w:val="2"/>
                <w:sz w:val="20"/>
                <w:szCs w:val="20"/>
                <w14:ligatures w14:val="standardContextual"/>
              </w:rPr>
            </w:pPr>
            <w:r w:rsidRPr="00FF50CD">
              <w:rPr>
                <w:rFonts w:eastAsia="Calibri" w:cstheme="minorHAnsi"/>
                <w:color w:val="000000" w:themeColor="text1"/>
                <w:kern w:val="2"/>
                <w:sz w:val="20"/>
                <w:szCs w:val="20"/>
                <w14:ligatures w14:val="standardContextual"/>
              </w:rPr>
              <w:t>30</w:t>
            </w:r>
          </w:p>
        </w:tc>
      </w:tr>
    </w:tbl>
    <w:p w14:paraId="5513690B" w14:textId="77777777" w:rsidR="00EE16EC" w:rsidRDefault="00EE16EC" w:rsidP="00597239">
      <w:pPr>
        <w:pStyle w:val="Nagwek3"/>
        <w:spacing w:before="0" w:after="0"/>
        <w:ind w:left="0" w:firstLine="0"/>
      </w:pPr>
      <w:bookmarkStart w:id="96" w:name="_Toc192678705"/>
      <w:bookmarkStart w:id="97" w:name="_Toc193694445"/>
      <w:bookmarkEnd w:id="94"/>
      <w:bookmarkEnd w:id="95"/>
    </w:p>
    <w:p w14:paraId="1B381D99" w14:textId="7572EDA2" w:rsidR="000B4D72" w:rsidRPr="001625A3" w:rsidRDefault="000B4D72" w:rsidP="00597239">
      <w:pPr>
        <w:pStyle w:val="Nagwek3"/>
        <w:numPr>
          <w:ilvl w:val="1"/>
          <w:numId w:val="18"/>
        </w:numPr>
        <w:spacing w:before="0" w:after="0"/>
        <w:ind w:left="568" w:hanging="284"/>
      </w:pPr>
      <w:bookmarkStart w:id="98" w:name="_Toc194059783"/>
      <w:r w:rsidRPr="001625A3">
        <w:t>Wścieklizna</w:t>
      </w:r>
      <w:bookmarkEnd w:id="96"/>
      <w:bookmarkEnd w:id="97"/>
      <w:bookmarkEnd w:id="98"/>
    </w:p>
    <w:p w14:paraId="52D44029" w14:textId="116BD09F" w:rsidR="000B4D72" w:rsidRPr="001625A3" w:rsidRDefault="000B4D72" w:rsidP="00597239">
      <w:pPr>
        <w:spacing w:after="0" w:line="276" w:lineRule="auto"/>
        <w:rPr>
          <w:rFonts w:eastAsia="Times New Roman" w:cstheme="minorHAnsi"/>
          <w:sz w:val="24"/>
          <w:szCs w:val="24"/>
          <w:highlight w:val="yellow"/>
          <w:lang w:eastAsia="pl-PL"/>
        </w:rPr>
      </w:pPr>
      <w:r w:rsidRPr="001625A3">
        <w:rPr>
          <w:rFonts w:eastAsia="Times New Roman" w:cstheme="minorHAnsi"/>
          <w:sz w:val="24"/>
          <w:szCs w:val="24"/>
          <w:lang w:eastAsia="pl-PL"/>
        </w:rPr>
        <w:t>W 2024 r. na terenie woj. zachodniopomorskiego zarejestrowano 494 zgłoszenia styczności i</w:t>
      </w:r>
      <w:r w:rsidR="00EE16EC">
        <w:rPr>
          <w:rFonts w:eastAsia="Times New Roman" w:cstheme="minorHAnsi"/>
          <w:sz w:val="24"/>
          <w:szCs w:val="24"/>
          <w:lang w:eastAsia="pl-PL"/>
        </w:rPr>
        <w:t> </w:t>
      </w:r>
      <w:r w:rsidRPr="001625A3">
        <w:rPr>
          <w:rFonts w:eastAsia="Times New Roman" w:cstheme="minorHAnsi"/>
          <w:sz w:val="24"/>
          <w:szCs w:val="24"/>
          <w:lang w:eastAsia="pl-PL"/>
        </w:rPr>
        <w:t xml:space="preserve">pokąsań przez zwierzęta (82 </w:t>
      </w:r>
      <w:r>
        <w:rPr>
          <w:rFonts w:eastAsia="Times New Roman" w:cstheme="minorHAnsi"/>
          <w:sz w:val="24"/>
          <w:szCs w:val="24"/>
          <w:lang w:eastAsia="pl-PL"/>
        </w:rPr>
        <w:t xml:space="preserve">zgłoszenia </w:t>
      </w:r>
      <w:r w:rsidRPr="001625A3">
        <w:rPr>
          <w:rFonts w:eastAsia="Times New Roman" w:cstheme="minorHAnsi"/>
          <w:sz w:val="24"/>
          <w:szCs w:val="24"/>
          <w:lang w:eastAsia="pl-PL"/>
        </w:rPr>
        <w:t>dotyczyły dzieci do 14 roku życia), w</w:t>
      </w:r>
      <w:r w:rsidR="007F42A2">
        <w:rPr>
          <w:rFonts w:eastAsia="Times New Roman" w:cstheme="minorHAnsi"/>
          <w:sz w:val="24"/>
          <w:szCs w:val="24"/>
          <w:lang w:eastAsia="pl-PL"/>
        </w:rPr>
        <w:t> </w:t>
      </w:r>
      <w:r w:rsidRPr="001625A3">
        <w:rPr>
          <w:rFonts w:eastAsia="Times New Roman" w:cstheme="minorHAnsi"/>
          <w:sz w:val="24"/>
          <w:szCs w:val="24"/>
          <w:lang w:eastAsia="pl-PL"/>
        </w:rPr>
        <w:t xml:space="preserve">których </w:t>
      </w:r>
      <w:r w:rsidRPr="001625A3">
        <w:rPr>
          <w:rFonts w:eastAsia="Times New Roman" w:cstheme="minorHAnsi"/>
          <w:sz w:val="24"/>
          <w:szCs w:val="24"/>
          <w:lang w:eastAsia="pl-PL"/>
        </w:rPr>
        <w:lastRenderedPageBreak/>
        <w:t xml:space="preserve">zachodziło podejrzenie potencjalnego narażenia na wściekliznę i wdrożono szczepienia </w:t>
      </w:r>
      <w:r>
        <w:rPr>
          <w:rFonts w:eastAsia="Times New Roman" w:cstheme="minorHAnsi"/>
          <w:sz w:val="24"/>
          <w:szCs w:val="24"/>
          <w:lang w:eastAsia="pl-PL"/>
        </w:rPr>
        <w:t>- tabela 16</w:t>
      </w:r>
      <w:r w:rsidRPr="001625A3">
        <w:rPr>
          <w:rFonts w:eastAsia="Times New Roman" w:cstheme="minorHAnsi"/>
          <w:sz w:val="24"/>
          <w:szCs w:val="24"/>
          <w:lang w:eastAsia="pl-PL"/>
        </w:rPr>
        <w:t>.</w:t>
      </w:r>
    </w:p>
    <w:p w14:paraId="33AE4CF9" w14:textId="66263A8D" w:rsidR="000B4D72" w:rsidRDefault="000B4D72" w:rsidP="00597239">
      <w:pPr>
        <w:spacing w:after="0" w:line="276" w:lineRule="auto"/>
        <w:rPr>
          <w:rFonts w:eastAsia="Times New Roman" w:cstheme="minorHAnsi"/>
          <w:sz w:val="24"/>
          <w:szCs w:val="24"/>
          <w:lang w:eastAsia="pl-PL"/>
        </w:rPr>
      </w:pPr>
      <w:r w:rsidRPr="001625A3">
        <w:rPr>
          <w:rFonts w:eastAsia="Times New Roman" w:cstheme="minorHAnsi"/>
          <w:sz w:val="24"/>
          <w:szCs w:val="24"/>
          <w:lang w:eastAsia="pl-PL"/>
        </w:rPr>
        <w:t xml:space="preserve">W 2024 r. </w:t>
      </w:r>
      <w:r>
        <w:rPr>
          <w:rFonts w:eastAsia="Times New Roman" w:cstheme="minorHAnsi"/>
          <w:sz w:val="24"/>
          <w:szCs w:val="24"/>
          <w:lang w:eastAsia="pl-PL"/>
        </w:rPr>
        <w:t xml:space="preserve">szczepienia </w:t>
      </w:r>
      <w:r w:rsidRPr="001625A3">
        <w:rPr>
          <w:rFonts w:eastAsia="Times New Roman" w:cstheme="minorHAnsi"/>
          <w:sz w:val="24"/>
          <w:szCs w:val="24"/>
          <w:lang w:eastAsia="pl-PL"/>
        </w:rPr>
        <w:t xml:space="preserve">przeciw wściekliźnie </w:t>
      </w:r>
      <w:r>
        <w:rPr>
          <w:rFonts w:eastAsia="Times New Roman" w:cstheme="minorHAnsi"/>
          <w:sz w:val="24"/>
          <w:szCs w:val="24"/>
          <w:lang w:eastAsia="pl-PL"/>
        </w:rPr>
        <w:t>realizowano</w:t>
      </w:r>
      <w:r w:rsidRPr="001625A3">
        <w:rPr>
          <w:rFonts w:eastAsia="Times New Roman" w:cstheme="minorHAnsi"/>
          <w:sz w:val="24"/>
          <w:szCs w:val="24"/>
          <w:lang w:eastAsia="pl-PL"/>
        </w:rPr>
        <w:t xml:space="preserve"> w trzech Poradniach Profilaktyki Wścieklizny, tj. Samodzielnym Publicznym Wojewódzkim Szpitalu Zespolonym, ul. Arkońska 4, </w:t>
      </w:r>
      <w:r>
        <w:rPr>
          <w:rFonts w:eastAsia="Times New Roman" w:cstheme="minorHAnsi"/>
          <w:sz w:val="24"/>
          <w:szCs w:val="24"/>
          <w:lang w:eastAsia="pl-PL"/>
        </w:rPr>
        <w:t>w</w:t>
      </w:r>
      <w:r w:rsidRPr="001625A3">
        <w:rPr>
          <w:rFonts w:eastAsia="Times New Roman" w:cstheme="minorHAnsi"/>
          <w:sz w:val="24"/>
          <w:szCs w:val="24"/>
          <w:lang w:eastAsia="pl-PL"/>
        </w:rPr>
        <w:t xml:space="preserve"> Szczecin</w:t>
      </w:r>
      <w:r>
        <w:rPr>
          <w:rFonts w:eastAsia="Times New Roman" w:cstheme="minorHAnsi"/>
          <w:sz w:val="24"/>
          <w:szCs w:val="24"/>
          <w:lang w:eastAsia="pl-PL"/>
        </w:rPr>
        <w:t>ie</w:t>
      </w:r>
      <w:r w:rsidRPr="001625A3">
        <w:rPr>
          <w:rFonts w:eastAsia="Times New Roman" w:cstheme="minorHAnsi"/>
          <w:sz w:val="24"/>
          <w:szCs w:val="24"/>
          <w:lang w:eastAsia="pl-PL"/>
        </w:rPr>
        <w:t xml:space="preserve"> oraz Szpitalu Wojewódzkim im. Mikołaja Kopernika w Koszalinie, ul. Tytusa Chałubińskiego 7</w:t>
      </w:r>
      <w:r>
        <w:rPr>
          <w:rFonts w:eastAsia="Times New Roman" w:cstheme="minorHAnsi"/>
          <w:sz w:val="24"/>
          <w:szCs w:val="24"/>
          <w:lang w:eastAsia="pl-PL"/>
        </w:rPr>
        <w:t xml:space="preserve"> w</w:t>
      </w:r>
      <w:r w:rsidRPr="001625A3">
        <w:rPr>
          <w:rFonts w:eastAsia="Times New Roman" w:cstheme="minorHAnsi"/>
          <w:sz w:val="24"/>
          <w:szCs w:val="24"/>
          <w:lang w:eastAsia="pl-PL"/>
        </w:rPr>
        <w:t xml:space="preserve"> Koszalin</w:t>
      </w:r>
      <w:r>
        <w:rPr>
          <w:rFonts w:eastAsia="Times New Roman" w:cstheme="minorHAnsi"/>
          <w:sz w:val="24"/>
          <w:szCs w:val="24"/>
          <w:lang w:eastAsia="pl-PL"/>
        </w:rPr>
        <w:t>ie i</w:t>
      </w:r>
      <w:r w:rsidRPr="001625A3">
        <w:rPr>
          <w:rFonts w:eastAsia="Times New Roman" w:cstheme="minorHAnsi"/>
          <w:sz w:val="24"/>
          <w:szCs w:val="24"/>
          <w:lang w:eastAsia="pl-PL"/>
        </w:rPr>
        <w:t xml:space="preserve"> 107 Szpitalu Wojskowym z Przychodnią SPZOZ, ul. Kołobrzeska 44</w:t>
      </w:r>
      <w:r>
        <w:rPr>
          <w:rFonts w:eastAsia="Times New Roman" w:cstheme="minorHAnsi"/>
          <w:sz w:val="24"/>
          <w:szCs w:val="24"/>
          <w:lang w:eastAsia="pl-PL"/>
        </w:rPr>
        <w:t xml:space="preserve"> w </w:t>
      </w:r>
      <w:r w:rsidRPr="001625A3">
        <w:rPr>
          <w:rFonts w:eastAsia="Times New Roman" w:cstheme="minorHAnsi"/>
          <w:sz w:val="24"/>
          <w:szCs w:val="24"/>
          <w:lang w:eastAsia="pl-PL"/>
        </w:rPr>
        <w:t>Wałcz</w:t>
      </w:r>
      <w:r>
        <w:rPr>
          <w:rFonts w:eastAsia="Times New Roman" w:cstheme="minorHAnsi"/>
          <w:sz w:val="24"/>
          <w:szCs w:val="24"/>
          <w:lang w:eastAsia="pl-PL"/>
        </w:rPr>
        <w:t>u.</w:t>
      </w:r>
      <w:r w:rsidRPr="001625A3">
        <w:rPr>
          <w:rFonts w:eastAsia="Times New Roman" w:cstheme="minorHAnsi"/>
          <w:sz w:val="24"/>
          <w:szCs w:val="24"/>
          <w:lang w:eastAsia="pl-PL"/>
        </w:rPr>
        <w:t xml:space="preserve"> </w:t>
      </w:r>
      <w:r>
        <w:rPr>
          <w:rFonts w:eastAsia="Times New Roman" w:cstheme="minorHAnsi"/>
          <w:sz w:val="24"/>
          <w:szCs w:val="24"/>
          <w:lang w:eastAsia="pl-PL"/>
        </w:rPr>
        <w:t>P</w:t>
      </w:r>
      <w:r w:rsidRPr="001625A3">
        <w:rPr>
          <w:rFonts w:eastAsia="Times New Roman" w:cstheme="minorHAnsi"/>
          <w:sz w:val="24"/>
          <w:szCs w:val="24"/>
          <w:lang w:eastAsia="pl-PL"/>
        </w:rPr>
        <w:t>o</w:t>
      </w:r>
      <w:r w:rsidR="00B84251">
        <w:rPr>
          <w:rFonts w:eastAsia="Times New Roman" w:cstheme="minorHAnsi"/>
          <w:sz w:val="24"/>
          <w:szCs w:val="24"/>
          <w:lang w:eastAsia="pl-PL"/>
        </w:rPr>
        <w:t xml:space="preserve"> </w:t>
      </w:r>
      <w:r w:rsidRPr="001625A3">
        <w:rPr>
          <w:rFonts w:eastAsia="Times New Roman" w:cstheme="minorHAnsi"/>
          <w:sz w:val="24"/>
          <w:szCs w:val="24"/>
          <w:lang w:eastAsia="pl-PL"/>
        </w:rPr>
        <w:t>ekspozycyjne szczepienia przeciw wściekliźnie wdrożono u 542 os</w:t>
      </w:r>
      <w:r>
        <w:rPr>
          <w:rFonts w:eastAsia="Times New Roman" w:cstheme="minorHAnsi"/>
          <w:sz w:val="24"/>
          <w:szCs w:val="24"/>
          <w:lang w:eastAsia="pl-PL"/>
        </w:rPr>
        <w:t>ób</w:t>
      </w:r>
      <w:r w:rsidRPr="001625A3">
        <w:rPr>
          <w:rFonts w:eastAsia="Times New Roman" w:cstheme="minorHAnsi"/>
          <w:sz w:val="24"/>
          <w:szCs w:val="24"/>
          <w:lang w:eastAsia="pl-PL"/>
        </w:rPr>
        <w:t>, w tym u</w:t>
      </w:r>
      <w:r>
        <w:rPr>
          <w:rFonts w:eastAsia="Times New Roman" w:cstheme="minorHAnsi"/>
          <w:sz w:val="24"/>
          <w:szCs w:val="24"/>
          <w:lang w:eastAsia="pl-PL"/>
        </w:rPr>
        <w:t xml:space="preserve"> osób pokąsanych poza granicami województwa.</w:t>
      </w:r>
    </w:p>
    <w:p w14:paraId="42291F0E" w14:textId="77777777" w:rsidR="00EE16EC" w:rsidRPr="001625A3" w:rsidRDefault="00EE16EC" w:rsidP="00597239">
      <w:pPr>
        <w:spacing w:after="0" w:line="276" w:lineRule="auto"/>
        <w:rPr>
          <w:rFonts w:eastAsia="Times New Roman" w:cstheme="minorHAnsi"/>
          <w:sz w:val="24"/>
          <w:szCs w:val="24"/>
          <w:lang w:eastAsia="pl-PL"/>
        </w:rPr>
      </w:pPr>
    </w:p>
    <w:p w14:paraId="40CBAB66" w14:textId="25A161E5" w:rsidR="000B4D72" w:rsidRPr="00ED3D66" w:rsidRDefault="000A57C6" w:rsidP="00597239">
      <w:pPr>
        <w:pStyle w:val="Legenda"/>
        <w:spacing w:after="0"/>
        <w:rPr>
          <w:i w:val="0"/>
          <w:iCs w:val="0"/>
          <w:color w:val="000000" w:themeColor="text1"/>
          <w:lang w:eastAsia="pl-PL"/>
        </w:rPr>
      </w:pPr>
      <w:bookmarkStart w:id="99" w:name="_Toc193805986"/>
      <w:bookmarkStart w:id="100" w:name="_Toc193969534"/>
      <w:bookmarkStart w:id="101" w:name="_Toc194059994"/>
      <w:r w:rsidRPr="00ED3D66">
        <w:rPr>
          <w:i w:val="0"/>
          <w:iCs w:val="0"/>
          <w:color w:val="000000" w:themeColor="text1"/>
        </w:rPr>
        <w:t xml:space="preserve">Tabela </w:t>
      </w:r>
      <w:r w:rsidRPr="00ED3D66">
        <w:rPr>
          <w:i w:val="0"/>
          <w:iCs w:val="0"/>
          <w:color w:val="000000" w:themeColor="text1"/>
        </w:rPr>
        <w:fldChar w:fldCharType="begin"/>
      </w:r>
      <w:r w:rsidRPr="00ED3D66">
        <w:rPr>
          <w:i w:val="0"/>
          <w:iCs w:val="0"/>
          <w:color w:val="000000" w:themeColor="text1"/>
        </w:rPr>
        <w:instrText xml:space="preserve"> SEQ Tabela \* ARABIC </w:instrText>
      </w:r>
      <w:r w:rsidRPr="00ED3D66">
        <w:rPr>
          <w:i w:val="0"/>
          <w:iCs w:val="0"/>
          <w:color w:val="000000" w:themeColor="text1"/>
        </w:rPr>
        <w:fldChar w:fldCharType="separate"/>
      </w:r>
      <w:r w:rsidR="00FB6F6A">
        <w:rPr>
          <w:i w:val="0"/>
          <w:iCs w:val="0"/>
          <w:noProof/>
          <w:color w:val="000000" w:themeColor="text1"/>
        </w:rPr>
        <w:t>16</w:t>
      </w:r>
      <w:r w:rsidRPr="00ED3D66">
        <w:rPr>
          <w:i w:val="0"/>
          <w:iCs w:val="0"/>
          <w:color w:val="000000" w:themeColor="text1"/>
        </w:rPr>
        <w:fldChar w:fldCharType="end"/>
      </w:r>
      <w:r w:rsidR="00E75D31">
        <w:rPr>
          <w:i w:val="0"/>
          <w:iCs w:val="0"/>
          <w:color w:val="000000" w:themeColor="text1"/>
        </w:rPr>
        <w:t>.</w:t>
      </w:r>
      <w:r w:rsidRPr="00ED3D66">
        <w:rPr>
          <w:i w:val="0"/>
          <w:iCs w:val="0"/>
          <w:color w:val="000000" w:themeColor="text1"/>
        </w:rPr>
        <w:t xml:space="preserve"> Liczba przeprowadzonych dochodzeń epidemiologicznych i liczba przypadków styczności i narażenia na wściekliznę zgłoszonych na terenie woj. zachodniopomorskiego, po których wdrożono szczepienia p/wściekliźnie w latach 2020- 2024</w:t>
      </w:r>
      <w:r w:rsidR="00B84251">
        <w:rPr>
          <w:i w:val="0"/>
          <w:iCs w:val="0"/>
          <w:color w:val="000000" w:themeColor="text1"/>
        </w:rPr>
        <w:t>.</w:t>
      </w:r>
      <w:bookmarkEnd w:id="99"/>
      <w:bookmarkEnd w:id="100"/>
      <w:bookmarkEnd w:id="101"/>
    </w:p>
    <w:tbl>
      <w:tblPr>
        <w:tblStyle w:val="Tabelasiatki4akcent1"/>
        <w:tblW w:w="5124" w:type="pct"/>
        <w:tblLook w:val="04A0" w:firstRow="1" w:lastRow="0" w:firstColumn="1" w:lastColumn="0" w:noHBand="0" w:noVBand="1"/>
        <w:tblCaption w:val="Liczba przeprowadzonych dochodzeń epidemiologicznych i liczba przypadków styczności i narażenia na wściekliznę zgłoszonych na terenie woj. zachodniopomorskiego, po których wdrożono szczepienia p/wściekliźnie w latach 2020- 2024."/>
        <w:tblDescription w:val="Tabela przedstawia dane dotyczące liczby przeprowadzonych dochodzeń epidemiologicznych oraz liczby przypadków styczności i narażenia na wściekliznę w województwie zachodniomoporskim w latach 2020-2024. W roku 2024 przeprowadzono 2142 dochodzenia epidemiologiczne. Odnotowano 494 przypadki styczności i narażenia na wściekliznę."/>
      </w:tblPr>
      <w:tblGrid>
        <w:gridCol w:w="2382"/>
        <w:gridCol w:w="791"/>
        <w:gridCol w:w="590"/>
        <w:gridCol w:w="791"/>
        <w:gridCol w:w="590"/>
        <w:gridCol w:w="791"/>
        <w:gridCol w:w="590"/>
        <w:gridCol w:w="791"/>
        <w:gridCol w:w="590"/>
        <w:gridCol w:w="791"/>
        <w:gridCol w:w="590"/>
      </w:tblGrid>
      <w:tr w:rsidR="000B4D72" w:rsidRPr="00FF50CD" w14:paraId="1F29B674" w14:textId="77777777" w:rsidTr="00F865A1">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373" w:type="pct"/>
            <w:vAlign w:val="center"/>
            <w:hideMark/>
          </w:tcPr>
          <w:p w14:paraId="607B31B5" w14:textId="77777777" w:rsidR="000B4D72" w:rsidRPr="00FF50CD" w:rsidRDefault="000B4D72" w:rsidP="00597239">
            <w:pPr>
              <w:spacing w:line="276" w:lineRule="auto"/>
              <w:rPr>
                <w:rFonts w:eastAsia="Times New Roman" w:cstheme="minorHAnsi"/>
                <w:b w:val="0"/>
                <w:bCs w:val="0"/>
                <w:sz w:val="18"/>
                <w:szCs w:val="18"/>
              </w:rPr>
            </w:pPr>
            <w:r w:rsidRPr="00FF50CD">
              <w:rPr>
                <w:rFonts w:eastAsia="Times New Roman" w:cstheme="minorHAnsi"/>
                <w:b w:val="0"/>
                <w:bCs w:val="0"/>
                <w:sz w:val="18"/>
                <w:szCs w:val="18"/>
              </w:rPr>
              <w:t>ROK</w:t>
            </w:r>
          </w:p>
        </w:tc>
        <w:tc>
          <w:tcPr>
            <w:tcW w:w="725" w:type="pct"/>
            <w:gridSpan w:val="2"/>
            <w:vAlign w:val="center"/>
          </w:tcPr>
          <w:p w14:paraId="712EDBCC"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rPr>
            </w:pPr>
            <w:r w:rsidRPr="00FF50CD">
              <w:rPr>
                <w:rFonts w:eastAsia="Times New Roman" w:cstheme="minorHAnsi"/>
                <w:b w:val="0"/>
                <w:bCs w:val="0"/>
                <w:sz w:val="18"/>
                <w:szCs w:val="18"/>
              </w:rPr>
              <w:t>2020</w:t>
            </w:r>
          </w:p>
        </w:tc>
        <w:tc>
          <w:tcPr>
            <w:tcW w:w="725" w:type="pct"/>
            <w:gridSpan w:val="2"/>
            <w:vAlign w:val="center"/>
          </w:tcPr>
          <w:p w14:paraId="2DB3024B"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rPr>
            </w:pPr>
            <w:r w:rsidRPr="00FF50CD">
              <w:rPr>
                <w:rFonts w:eastAsia="Times New Roman" w:cstheme="minorHAnsi"/>
                <w:b w:val="0"/>
                <w:bCs w:val="0"/>
                <w:sz w:val="18"/>
                <w:szCs w:val="18"/>
              </w:rPr>
              <w:t>2021</w:t>
            </w:r>
          </w:p>
        </w:tc>
        <w:tc>
          <w:tcPr>
            <w:tcW w:w="725" w:type="pct"/>
            <w:gridSpan w:val="2"/>
            <w:vAlign w:val="center"/>
          </w:tcPr>
          <w:p w14:paraId="476BC15A"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rPr>
            </w:pPr>
            <w:r w:rsidRPr="00FF50CD">
              <w:rPr>
                <w:rFonts w:eastAsia="Times New Roman" w:cstheme="minorHAnsi"/>
                <w:b w:val="0"/>
                <w:bCs w:val="0"/>
                <w:sz w:val="18"/>
                <w:szCs w:val="18"/>
              </w:rPr>
              <w:t>2022</w:t>
            </w:r>
          </w:p>
        </w:tc>
        <w:tc>
          <w:tcPr>
            <w:tcW w:w="726" w:type="pct"/>
            <w:gridSpan w:val="2"/>
            <w:vAlign w:val="center"/>
          </w:tcPr>
          <w:p w14:paraId="0BE565D3"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rPr>
            </w:pPr>
            <w:r w:rsidRPr="00FF50CD">
              <w:rPr>
                <w:rFonts w:eastAsia="Times New Roman" w:cstheme="minorHAnsi"/>
                <w:b w:val="0"/>
                <w:bCs w:val="0"/>
                <w:sz w:val="18"/>
                <w:szCs w:val="18"/>
              </w:rPr>
              <w:t>2023</w:t>
            </w:r>
          </w:p>
        </w:tc>
        <w:tc>
          <w:tcPr>
            <w:tcW w:w="726" w:type="pct"/>
            <w:gridSpan w:val="2"/>
            <w:vAlign w:val="center"/>
          </w:tcPr>
          <w:p w14:paraId="7A80181B"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rPr>
            </w:pPr>
            <w:r w:rsidRPr="00FF50CD">
              <w:rPr>
                <w:rFonts w:eastAsia="Times New Roman" w:cstheme="minorHAnsi"/>
                <w:b w:val="0"/>
                <w:bCs w:val="0"/>
                <w:sz w:val="18"/>
                <w:szCs w:val="18"/>
              </w:rPr>
              <w:t>2024</w:t>
            </w:r>
          </w:p>
        </w:tc>
      </w:tr>
      <w:tr w:rsidR="000B4D72" w:rsidRPr="00FF50CD" w14:paraId="2FBAC9B8" w14:textId="77777777" w:rsidTr="00F865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E493052" w14:textId="77777777" w:rsidR="000B4D72" w:rsidRPr="00FF50CD" w:rsidRDefault="000B4D72" w:rsidP="00597239">
            <w:pPr>
              <w:spacing w:line="276" w:lineRule="auto"/>
              <w:rPr>
                <w:rFonts w:eastAsia="Times New Roman" w:cstheme="minorHAnsi"/>
                <w:b w:val="0"/>
                <w:bCs w:val="0"/>
                <w:sz w:val="18"/>
                <w:szCs w:val="18"/>
              </w:rPr>
            </w:pPr>
            <w:r w:rsidRPr="00FF50CD">
              <w:rPr>
                <w:rFonts w:eastAsia="Times New Roman" w:cstheme="minorHAnsi"/>
                <w:b w:val="0"/>
                <w:bCs w:val="0"/>
                <w:sz w:val="18"/>
                <w:szCs w:val="18"/>
              </w:rPr>
              <w:t>Liczba przeprowadzonych dochodzeń epidemiologicznych</w:t>
            </w:r>
          </w:p>
        </w:tc>
        <w:tc>
          <w:tcPr>
            <w:tcW w:w="725" w:type="pct"/>
            <w:gridSpan w:val="2"/>
            <w:vAlign w:val="center"/>
          </w:tcPr>
          <w:p w14:paraId="78CF8BC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1445</w:t>
            </w:r>
          </w:p>
        </w:tc>
        <w:tc>
          <w:tcPr>
            <w:tcW w:w="725" w:type="pct"/>
            <w:gridSpan w:val="2"/>
            <w:vAlign w:val="center"/>
          </w:tcPr>
          <w:p w14:paraId="4D3186BD"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1276</w:t>
            </w:r>
          </w:p>
        </w:tc>
        <w:tc>
          <w:tcPr>
            <w:tcW w:w="725" w:type="pct"/>
            <w:gridSpan w:val="2"/>
            <w:vAlign w:val="center"/>
          </w:tcPr>
          <w:p w14:paraId="000AE4D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1695</w:t>
            </w:r>
          </w:p>
        </w:tc>
        <w:tc>
          <w:tcPr>
            <w:tcW w:w="726" w:type="pct"/>
            <w:gridSpan w:val="2"/>
            <w:vAlign w:val="center"/>
          </w:tcPr>
          <w:p w14:paraId="3CF9E05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1850</w:t>
            </w:r>
          </w:p>
        </w:tc>
        <w:tc>
          <w:tcPr>
            <w:tcW w:w="726" w:type="pct"/>
            <w:gridSpan w:val="2"/>
            <w:vAlign w:val="center"/>
          </w:tcPr>
          <w:p w14:paraId="591FB049"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2142</w:t>
            </w:r>
          </w:p>
        </w:tc>
      </w:tr>
      <w:tr w:rsidR="000B4D72" w:rsidRPr="00FF50CD" w14:paraId="69515430" w14:textId="77777777" w:rsidTr="00F865A1">
        <w:trPr>
          <w:trHeight w:val="454"/>
        </w:trPr>
        <w:tc>
          <w:tcPr>
            <w:cnfStyle w:val="001000000000" w:firstRow="0" w:lastRow="0" w:firstColumn="1" w:lastColumn="0" w:oddVBand="0" w:evenVBand="0" w:oddHBand="0" w:evenHBand="0" w:firstRowFirstColumn="0" w:firstRowLastColumn="0" w:lastRowFirstColumn="0" w:lastRowLastColumn="0"/>
            <w:tcW w:w="1373" w:type="pct"/>
            <w:vMerge w:val="restart"/>
            <w:vAlign w:val="center"/>
            <w:hideMark/>
          </w:tcPr>
          <w:p w14:paraId="2BD97295" w14:textId="77777777" w:rsidR="000B4D72" w:rsidRPr="00FF50CD" w:rsidRDefault="000B4D72" w:rsidP="00597239">
            <w:pPr>
              <w:spacing w:line="276" w:lineRule="auto"/>
              <w:rPr>
                <w:rFonts w:eastAsia="Times New Roman" w:cstheme="minorHAnsi"/>
                <w:b w:val="0"/>
                <w:bCs w:val="0"/>
                <w:sz w:val="18"/>
                <w:szCs w:val="18"/>
              </w:rPr>
            </w:pPr>
            <w:r w:rsidRPr="00FF50CD">
              <w:rPr>
                <w:rFonts w:eastAsia="Times New Roman" w:cstheme="minorHAnsi"/>
                <w:b w:val="0"/>
                <w:bCs w:val="0"/>
                <w:sz w:val="18"/>
                <w:szCs w:val="18"/>
              </w:rPr>
              <w:t>Liczba przypadków styczności i narażenia na wściekliznę, po których wdrożono szczepienia p/wściekliźnie</w:t>
            </w:r>
          </w:p>
        </w:tc>
        <w:tc>
          <w:tcPr>
            <w:tcW w:w="725" w:type="pct"/>
            <w:gridSpan w:val="2"/>
            <w:vAlign w:val="center"/>
          </w:tcPr>
          <w:p w14:paraId="500D96B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217</w:t>
            </w:r>
          </w:p>
        </w:tc>
        <w:tc>
          <w:tcPr>
            <w:tcW w:w="725" w:type="pct"/>
            <w:gridSpan w:val="2"/>
            <w:vAlign w:val="center"/>
          </w:tcPr>
          <w:p w14:paraId="345AF8F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259</w:t>
            </w:r>
          </w:p>
        </w:tc>
        <w:tc>
          <w:tcPr>
            <w:tcW w:w="725" w:type="pct"/>
            <w:gridSpan w:val="2"/>
            <w:vAlign w:val="center"/>
          </w:tcPr>
          <w:p w14:paraId="210DEE7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388</w:t>
            </w:r>
          </w:p>
        </w:tc>
        <w:tc>
          <w:tcPr>
            <w:tcW w:w="726" w:type="pct"/>
            <w:gridSpan w:val="2"/>
            <w:vAlign w:val="center"/>
          </w:tcPr>
          <w:p w14:paraId="2E81A00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405</w:t>
            </w:r>
          </w:p>
        </w:tc>
        <w:tc>
          <w:tcPr>
            <w:tcW w:w="726" w:type="pct"/>
            <w:gridSpan w:val="2"/>
            <w:vAlign w:val="center"/>
          </w:tcPr>
          <w:p w14:paraId="3DE3DAE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494</w:t>
            </w:r>
          </w:p>
        </w:tc>
      </w:tr>
      <w:tr w:rsidR="000B4D72" w:rsidRPr="00FF50CD" w14:paraId="2F463D70" w14:textId="77777777" w:rsidTr="00F865A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0179CD6" w14:textId="77777777" w:rsidR="000B4D72" w:rsidRPr="00FF50CD" w:rsidRDefault="000B4D72" w:rsidP="00597239">
            <w:pPr>
              <w:rPr>
                <w:rFonts w:eastAsia="Times New Roman" w:cstheme="minorHAnsi"/>
                <w:b w:val="0"/>
                <w:bCs w:val="0"/>
                <w:sz w:val="16"/>
                <w:szCs w:val="16"/>
              </w:rPr>
            </w:pPr>
          </w:p>
        </w:tc>
        <w:tc>
          <w:tcPr>
            <w:tcW w:w="725" w:type="pct"/>
            <w:gridSpan w:val="2"/>
            <w:vAlign w:val="center"/>
            <w:hideMark/>
          </w:tcPr>
          <w:p w14:paraId="54E8B10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w tym pokąsania przez zwierzęta</w:t>
            </w:r>
          </w:p>
        </w:tc>
        <w:tc>
          <w:tcPr>
            <w:tcW w:w="725" w:type="pct"/>
            <w:gridSpan w:val="2"/>
            <w:vAlign w:val="center"/>
            <w:hideMark/>
          </w:tcPr>
          <w:p w14:paraId="7DDD54E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w tym pokąsania przez zwierzęta</w:t>
            </w:r>
          </w:p>
        </w:tc>
        <w:tc>
          <w:tcPr>
            <w:tcW w:w="725" w:type="pct"/>
            <w:gridSpan w:val="2"/>
            <w:vAlign w:val="center"/>
            <w:hideMark/>
          </w:tcPr>
          <w:p w14:paraId="2F0F148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w tym pokąsania przez zwierzęta</w:t>
            </w:r>
          </w:p>
        </w:tc>
        <w:tc>
          <w:tcPr>
            <w:tcW w:w="726" w:type="pct"/>
            <w:gridSpan w:val="2"/>
            <w:vAlign w:val="center"/>
            <w:hideMark/>
          </w:tcPr>
          <w:p w14:paraId="7094887D"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w tym pokąsania przez zwierzęta</w:t>
            </w:r>
          </w:p>
        </w:tc>
        <w:tc>
          <w:tcPr>
            <w:tcW w:w="726" w:type="pct"/>
            <w:gridSpan w:val="2"/>
            <w:vAlign w:val="center"/>
            <w:hideMark/>
          </w:tcPr>
          <w:p w14:paraId="0D451BC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w tym pokąsania przez zwierzęta</w:t>
            </w:r>
          </w:p>
        </w:tc>
      </w:tr>
      <w:tr w:rsidR="000B4D72" w:rsidRPr="00FF50CD" w14:paraId="6A8FA0E6" w14:textId="77777777" w:rsidTr="00F865A1">
        <w:trPr>
          <w:trHeight w:val="407"/>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4AFBD5E" w14:textId="77777777" w:rsidR="000B4D72" w:rsidRPr="00FF50CD" w:rsidRDefault="000B4D72" w:rsidP="00597239">
            <w:pPr>
              <w:rPr>
                <w:rFonts w:eastAsia="Times New Roman" w:cstheme="minorHAnsi"/>
                <w:b w:val="0"/>
                <w:bCs w:val="0"/>
                <w:sz w:val="16"/>
                <w:szCs w:val="16"/>
              </w:rPr>
            </w:pPr>
          </w:p>
        </w:tc>
        <w:tc>
          <w:tcPr>
            <w:tcW w:w="424" w:type="pct"/>
            <w:vAlign w:val="center"/>
            <w:hideMark/>
          </w:tcPr>
          <w:p w14:paraId="5500842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domowe</w:t>
            </w:r>
          </w:p>
        </w:tc>
        <w:tc>
          <w:tcPr>
            <w:tcW w:w="301" w:type="pct"/>
            <w:vAlign w:val="center"/>
            <w:hideMark/>
          </w:tcPr>
          <w:p w14:paraId="0FDAD78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dzikie</w:t>
            </w:r>
          </w:p>
        </w:tc>
        <w:tc>
          <w:tcPr>
            <w:tcW w:w="424" w:type="pct"/>
            <w:vAlign w:val="center"/>
            <w:hideMark/>
          </w:tcPr>
          <w:p w14:paraId="598B76E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domowe</w:t>
            </w:r>
          </w:p>
        </w:tc>
        <w:tc>
          <w:tcPr>
            <w:tcW w:w="301" w:type="pct"/>
            <w:vAlign w:val="center"/>
            <w:hideMark/>
          </w:tcPr>
          <w:p w14:paraId="565DC82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dzikie</w:t>
            </w:r>
          </w:p>
        </w:tc>
        <w:tc>
          <w:tcPr>
            <w:tcW w:w="424" w:type="pct"/>
            <w:vAlign w:val="center"/>
            <w:hideMark/>
          </w:tcPr>
          <w:p w14:paraId="66D51FA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domowe</w:t>
            </w:r>
          </w:p>
        </w:tc>
        <w:tc>
          <w:tcPr>
            <w:tcW w:w="301" w:type="pct"/>
            <w:vAlign w:val="center"/>
            <w:hideMark/>
          </w:tcPr>
          <w:p w14:paraId="192CBB3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dzikie</w:t>
            </w:r>
          </w:p>
        </w:tc>
        <w:tc>
          <w:tcPr>
            <w:tcW w:w="424" w:type="pct"/>
            <w:vAlign w:val="center"/>
            <w:hideMark/>
          </w:tcPr>
          <w:p w14:paraId="6417DE0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domowe</w:t>
            </w:r>
          </w:p>
        </w:tc>
        <w:tc>
          <w:tcPr>
            <w:tcW w:w="302" w:type="pct"/>
            <w:vAlign w:val="center"/>
            <w:hideMark/>
          </w:tcPr>
          <w:p w14:paraId="02AD048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dzikie</w:t>
            </w:r>
          </w:p>
        </w:tc>
        <w:tc>
          <w:tcPr>
            <w:tcW w:w="424" w:type="pct"/>
            <w:vAlign w:val="center"/>
            <w:hideMark/>
          </w:tcPr>
          <w:p w14:paraId="4293E7BE"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domowe</w:t>
            </w:r>
          </w:p>
        </w:tc>
        <w:tc>
          <w:tcPr>
            <w:tcW w:w="301" w:type="pct"/>
            <w:vAlign w:val="center"/>
            <w:hideMark/>
          </w:tcPr>
          <w:p w14:paraId="3F2E340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dzikie</w:t>
            </w:r>
          </w:p>
        </w:tc>
      </w:tr>
      <w:tr w:rsidR="000B4D72" w:rsidRPr="00FF50CD" w14:paraId="0CCFF980" w14:textId="77777777" w:rsidTr="00F865A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31C9104" w14:textId="77777777" w:rsidR="000B4D72" w:rsidRPr="00FF50CD" w:rsidRDefault="000B4D72" w:rsidP="00597239">
            <w:pPr>
              <w:rPr>
                <w:rFonts w:eastAsia="Times New Roman" w:cstheme="minorHAnsi"/>
                <w:b w:val="0"/>
                <w:bCs w:val="0"/>
                <w:color w:val="FF0000"/>
                <w:sz w:val="16"/>
                <w:szCs w:val="16"/>
              </w:rPr>
            </w:pPr>
          </w:p>
        </w:tc>
        <w:tc>
          <w:tcPr>
            <w:tcW w:w="424" w:type="pct"/>
            <w:vAlign w:val="center"/>
          </w:tcPr>
          <w:p w14:paraId="19F40AC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171</w:t>
            </w:r>
          </w:p>
        </w:tc>
        <w:tc>
          <w:tcPr>
            <w:tcW w:w="301" w:type="pct"/>
            <w:vAlign w:val="center"/>
          </w:tcPr>
          <w:p w14:paraId="424EB409"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46</w:t>
            </w:r>
          </w:p>
        </w:tc>
        <w:tc>
          <w:tcPr>
            <w:tcW w:w="424" w:type="pct"/>
            <w:vAlign w:val="center"/>
          </w:tcPr>
          <w:p w14:paraId="605D902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221</w:t>
            </w:r>
          </w:p>
        </w:tc>
        <w:tc>
          <w:tcPr>
            <w:tcW w:w="301" w:type="pct"/>
            <w:vAlign w:val="center"/>
          </w:tcPr>
          <w:p w14:paraId="006F8AE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38</w:t>
            </w:r>
          </w:p>
        </w:tc>
        <w:tc>
          <w:tcPr>
            <w:tcW w:w="424" w:type="pct"/>
            <w:vAlign w:val="center"/>
          </w:tcPr>
          <w:p w14:paraId="522F660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334</w:t>
            </w:r>
          </w:p>
        </w:tc>
        <w:tc>
          <w:tcPr>
            <w:tcW w:w="301" w:type="pct"/>
            <w:vAlign w:val="center"/>
          </w:tcPr>
          <w:p w14:paraId="7F69EC4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54</w:t>
            </w:r>
          </w:p>
        </w:tc>
        <w:tc>
          <w:tcPr>
            <w:tcW w:w="424" w:type="pct"/>
            <w:vAlign w:val="center"/>
          </w:tcPr>
          <w:p w14:paraId="1D9ABEB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353</w:t>
            </w:r>
          </w:p>
        </w:tc>
        <w:tc>
          <w:tcPr>
            <w:tcW w:w="302" w:type="pct"/>
            <w:vAlign w:val="center"/>
          </w:tcPr>
          <w:p w14:paraId="5492E7E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52</w:t>
            </w:r>
          </w:p>
        </w:tc>
        <w:tc>
          <w:tcPr>
            <w:tcW w:w="424" w:type="pct"/>
            <w:vAlign w:val="center"/>
          </w:tcPr>
          <w:p w14:paraId="22D7E4C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422</w:t>
            </w:r>
          </w:p>
        </w:tc>
        <w:tc>
          <w:tcPr>
            <w:tcW w:w="301" w:type="pct"/>
            <w:vAlign w:val="center"/>
          </w:tcPr>
          <w:p w14:paraId="4F6FBDC4"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rPr>
            </w:pPr>
            <w:r w:rsidRPr="00FF50CD">
              <w:rPr>
                <w:rFonts w:eastAsia="Times New Roman" w:cstheme="minorHAnsi"/>
                <w:sz w:val="16"/>
                <w:szCs w:val="16"/>
              </w:rPr>
              <w:t>72</w:t>
            </w:r>
          </w:p>
        </w:tc>
      </w:tr>
    </w:tbl>
    <w:p w14:paraId="21A34931" w14:textId="03207B72" w:rsidR="000B4D72" w:rsidRPr="001625A3" w:rsidRDefault="000B4D72" w:rsidP="00597239">
      <w:pPr>
        <w:spacing w:before="240" w:after="0" w:line="276" w:lineRule="auto"/>
        <w:rPr>
          <w:rFonts w:eastAsia="Times New Roman" w:cstheme="minorHAnsi"/>
          <w:sz w:val="24"/>
          <w:szCs w:val="24"/>
          <w:lang w:eastAsia="pl-PL"/>
        </w:rPr>
      </w:pPr>
      <w:r w:rsidRPr="001625A3">
        <w:rPr>
          <w:rFonts w:eastAsia="Times New Roman" w:cstheme="minorHAnsi"/>
          <w:sz w:val="24"/>
          <w:szCs w:val="24"/>
          <w:lang w:eastAsia="pl-PL"/>
        </w:rPr>
        <w:t xml:space="preserve">W 2024 r. przeprowadzono 2142 dochodzenia epidemiologiczne, w tym 409 z powodu pokąsania dzieci do 14 roku życia. </w:t>
      </w:r>
      <w:r w:rsidRPr="001625A3">
        <w:rPr>
          <w:rFonts w:eastAsia="Times New Roman" w:cstheme="minorHAnsi"/>
          <w:sz w:val="24"/>
          <w:szCs w:val="20"/>
          <w:lang w:eastAsia="pl-PL"/>
        </w:rPr>
        <w:t>Liczba ta w</w:t>
      </w:r>
      <w:r>
        <w:rPr>
          <w:rFonts w:eastAsia="Times New Roman" w:cstheme="minorHAnsi"/>
          <w:sz w:val="24"/>
          <w:szCs w:val="20"/>
          <w:lang w:eastAsia="pl-PL"/>
        </w:rPr>
        <w:t xml:space="preserve"> </w:t>
      </w:r>
      <w:r w:rsidRPr="001625A3">
        <w:rPr>
          <w:rFonts w:eastAsia="Times New Roman" w:cstheme="minorHAnsi"/>
          <w:sz w:val="24"/>
          <w:szCs w:val="20"/>
          <w:lang w:eastAsia="pl-PL"/>
        </w:rPr>
        <w:t>porównaniu z rokiem 2023 r. zwiększyła się o</w:t>
      </w:r>
      <w:r w:rsidR="007F42A2">
        <w:rPr>
          <w:rFonts w:eastAsia="Times New Roman" w:cstheme="minorHAnsi"/>
          <w:sz w:val="24"/>
          <w:szCs w:val="20"/>
          <w:lang w:eastAsia="pl-PL"/>
        </w:rPr>
        <w:t> </w:t>
      </w:r>
      <w:r w:rsidRPr="001625A3">
        <w:rPr>
          <w:rFonts w:eastAsia="Times New Roman" w:cstheme="minorHAnsi"/>
          <w:sz w:val="24"/>
          <w:szCs w:val="20"/>
          <w:lang w:eastAsia="pl-PL"/>
        </w:rPr>
        <w:t xml:space="preserve">292 przypadki. </w:t>
      </w:r>
    </w:p>
    <w:p w14:paraId="12335675" w14:textId="77777777" w:rsidR="00EE16EC" w:rsidRDefault="00EE16EC" w:rsidP="00597239">
      <w:pPr>
        <w:spacing w:after="0" w:line="276" w:lineRule="auto"/>
        <w:rPr>
          <w:rFonts w:eastAsia="Times New Roman" w:cstheme="minorHAnsi"/>
          <w:sz w:val="24"/>
          <w:szCs w:val="24"/>
          <w:lang w:eastAsia="pl-PL"/>
        </w:rPr>
      </w:pPr>
    </w:p>
    <w:p w14:paraId="4BC24F1B" w14:textId="376BAFEE" w:rsidR="00EE16EC" w:rsidRDefault="000B4D72" w:rsidP="00597239">
      <w:pPr>
        <w:spacing w:after="0" w:line="276" w:lineRule="auto"/>
        <w:rPr>
          <w:rFonts w:eastAsia="Times New Roman" w:cstheme="minorHAnsi"/>
          <w:sz w:val="24"/>
          <w:szCs w:val="24"/>
          <w:lang w:eastAsia="pl-PL"/>
        </w:rPr>
      </w:pPr>
      <w:r w:rsidRPr="001625A3">
        <w:rPr>
          <w:rFonts w:eastAsia="Times New Roman" w:cstheme="minorHAnsi"/>
          <w:sz w:val="24"/>
          <w:szCs w:val="24"/>
          <w:lang w:eastAsia="pl-PL"/>
        </w:rPr>
        <w:t xml:space="preserve">Wskaźnik liczbowy osób zaszczepionych na 100 tys. mieszkańców w woj. zachodniopomorskim w 2024 roku w stosunku do danych z Polski </w:t>
      </w:r>
      <w:r w:rsidRPr="000E083B">
        <w:rPr>
          <w:rFonts w:eastAsia="Times New Roman" w:cstheme="minorHAnsi"/>
          <w:sz w:val="24"/>
          <w:szCs w:val="24"/>
          <w:lang w:eastAsia="pl-PL"/>
        </w:rPr>
        <w:t>przedstawia tabela 1</w:t>
      </w:r>
      <w:r>
        <w:rPr>
          <w:rFonts w:eastAsia="Times New Roman" w:cstheme="minorHAnsi"/>
          <w:sz w:val="24"/>
          <w:szCs w:val="24"/>
          <w:lang w:eastAsia="pl-PL"/>
        </w:rPr>
        <w:t>7</w:t>
      </w:r>
      <w:r w:rsidRPr="000E083B">
        <w:rPr>
          <w:rFonts w:eastAsia="Times New Roman" w:cstheme="minorHAnsi"/>
          <w:sz w:val="24"/>
          <w:szCs w:val="24"/>
          <w:lang w:eastAsia="pl-PL"/>
        </w:rPr>
        <w:t>.</w:t>
      </w:r>
    </w:p>
    <w:p w14:paraId="5A344D48" w14:textId="56887376" w:rsidR="000B4D72" w:rsidRDefault="000B4D72" w:rsidP="00597239">
      <w:pPr>
        <w:spacing w:after="0" w:line="276" w:lineRule="auto"/>
        <w:rPr>
          <w:rFonts w:eastAsia="Times New Roman" w:cstheme="minorHAnsi"/>
          <w:sz w:val="24"/>
          <w:szCs w:val="24"/>
          <w:lang w:eastAsia="pl-PL"/>
        </w:rPr>
      </w:pPr>
      <w:r w:rsidRPr="001625A3">
        <w:rPr>
          <w:rFonts w:eastAsia="Times New Roman" w:cstheme="minorHAnsi"/>
          <w:sz w:val="24"/>
          <w:szCs w:val="24"/>
          <w:lang w:eastAsia="pl-PL"/>
        </w:rPr>
        <w:t>Najczęstszą przyczynę podejmowania szczepień u ludzi stanowiły pokąsania przez zwierzęta domowe, głównie psy i koty (85,4%).</w:t>
      </w:r>
    </w:p>
    <w:p w14:paraId="551573DC" w14:textId="77777777" w:rsidR="00EE16EC" w:rsidRPr="001625A3" w:rsidRDefault="00EE16EC" w:rsidP="00597239">
      <w:pPr>
        <w:spacing w:after="0" w:line="276" w:lineRule="auto"/>
        <w:rPr>
          <w:rFonts w:eastAsia="Times New Roman" w:cstheme="minorHAnsi"/>
          <w:sz w:val="24"/>
          <w:szCs w:val="24"/>
          <w:lang w:eastAsia="pl-PL"/>
        </w:rPr>
      </w:pPr>
    </w:p>
    <w:p w14:paraId="57521AE7" w14:textId="3B354650" w:rsidR="000B4D72" w:rsidRPr="005F194B" w:rsidRDefault="005F194B" w:rsidP="00597239">
      <w:pPr>
        <w:pStyle w:val="Legenda"/>
        <w:spacing w:after="0"/>
        <w:rPr>
          <w:i w:val="0"/>
          <w:iCs w:val="0"/>
          <w:color w:val="000000" w:themeColor="text1"/>
          <w:lang w:eastAsia="pl-PL"/>
        </w:rPr>
      </w:pPr>
      <w:bookmarkStart w:id="102" w:name="_Toc193805987"/>
      <w:bookmarkStart w:id="103" w:name="_Toc193969535"/>
      <w:bookmarkStart w:id="104" w:name="_Toc194059995"/>
      <w:r w:rsidRPr="005F194B">
        <w:rPr>
          <w:i w:val="0"/>
          <w:iCs w:val="0"/>
          <w:color w:val="000000" w:themeColor="text1"/>
        </w:rPr>
        <w:t xml:space="preserve">Tabela </w:t>
      </w:r>
      <w:r w:rsidRPr="005F194B">
        <w:rPr>
          <w:i w:val="0"/>
          <w:iCs w:val="0"/>
          <w:color w:val="000000" w:themeColor="text1"/>
        </w:rPr>
        <w:fldChar w:fldCharType="begin"/>
      </w:r>
      <w:r w:rsidRPr="005F194B">
        <w:rPr>
          <w:i w:val="0"/>
          <w:iCs w:val="0"/>
          <w:color w:val="000000" w:themeColor="text1"/>
        </w:rPr>
        <w:instrText xml:space="preserve"> SEQ Tabela \* ARABIC </w:instrText>
      </w:r>
      <w:r w:rsidRPr="005F194B">
        <w:rPr>
          <w:i w:val="0"/>
          <w:iCs w:val="0"/>
          <w:color w:val="000000" w:themeColor="text1"/>
        </w:rPr>
        <w:fldChar w:fldCharType="separate"/>
      </w:r>
      <w:r w:rsidR="00FB6F6A">
        <w:rPr>
          <w:i w:val="0"/>
          <w:iCs w:val="0"/>
          <w:noProof/>
          <w:color w:val="000000" w:themeColor="text1"/>
        </w:rPr>
        <w:t>17</w:t>
      </w:r>
      <w:r w:rsidRPr="005F194B">
        <w:rPr>
          <w:i w:val="0"/>
          <w:iCs w:val="0"/>
          <w:color w:val="000000" w:themeColor="text1"/>
        </w:rPr>
        <w:fldChar w:fldCharType="end"/>
      </w:r>
      <w:r w:rsidR="00E75D31">
        <w:rPr>
          <w:i w:val="0"/>
          <w:iCs w:val="0"/>
          <w:color w:val="000000" w:themeColor="text1"/>
        </w:rPr>
        <w:t>.</w:t>
      </w:r>
      <w:r w:rsidRPr="005F194B">
        <w:rPr>
          <w:i w:val="0"/>
          <w:iCs w:val="0"/>
          <w:color w:val="000000" w:themeColor="text1"/>
        </w:rPr>
        <w:t xml:space="preserve"> Liczba przypadków styczności i narażenia na wściekliznę zgłoszonych w Polsce i na terenie woj. zachodniopomorskiego, po których wdrożono szczepienia p\wściekliźnie w latach 2020–2024</w:t>
      </w:r>
      <w:r w:rsidR="00B84251">
        <w:rPr>
          <w:i w:val="0"/>
          <w:iCs w:val="0"/>
          <w:color w:val="000000" w:themeColor="text1"/>
        </w:rPr>
        <w:t>.</w:t>
      </w:r>
      <w:bookmarkEnd w:id="102"/>
      <w:bookmarkEnd w:id="103"/>
      <w:bookmarkEnd w:id="104"/>
    </w:p>
    <w:tbl>
      <w:tblPr>
        <w:tblStyle w:val="Tabelasiatki4akcent1"/>
        <w:tblW w:w="5000" w:type="pct"/>
        <w:tblLook w:val="01E0" w:firstRow="1" w:lastRow="1" w:firstColumn="1" w:lastColumn="1" w:noHBand="0" w:noVBand="0"/>
        <w:tblCaption w:val="Liczba przypadków styczności i narażenia na wściekliznę zgłoszonych w Polsce i na terenie woj. zachodniopomorskiego, po których wdrożono szczepienia p\wściekliźnie w latach 2020–2024."/>
        <w:tblDescription w:val="Tabela przedstawia liczbę przypadków styczności i narażenia na wściekliznę w Polsce i woj. zachodniopomorskiego, po których wdrożono szczepienia przeciw wściekliźnie w latach 2020–2024. Zauważalna jest tendencja wzrostowa zarówno na terenie całego kraju, jak i województwa. W roku 2024 w województwie zachodniopomorskim odnotowano 494 przypadki styczności i narażenia na wściekliznę."/>
      </w:tblPr>
      <w:tblGrid>
        <w:gridCol w:w="1315"/>
        <w:gridCol w:w="726"/>
        <w:gridCol w:w="787"/>
        <w:gridCol w:w="727"/>
        <w:gridCol w:w="787"/>
        <w:gridCol w:w="727"/>
        <w:gridCol w:w="787"/>
        <w:gridCol w:w="787"/>
        <w:gridCol w:w="787"/>
        <w:gridCol w:w="845"/>
        <w:gridCol w:w="787"/>
      </w:tblGrid>
      <w:tr w:rsidR="000B4D72" w:rsidRPr="00FF50CD" w14:paraId="1CAEE12F" w14:textId="77777777" w:rsidTr="00EE1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vMerge w:val="restart"/>
            <w:vAlign w:val="center"/>
            <w:hideMark/>
          </w:tcPr>
          <w:p w14:paraId="03DEFBAB" w14:textId="77777777" w:rsidR="000B4D72" w:rsidRPr="00FF50CD" w:rsidRDefault="000B4D72" w:rsidP="00597239">
            <w:pPr>
              <w:spacing w:line="276" w:lineRule="auto"/>
              <w:rPr>
                <w:rFonts w:eastAsia="Times New Roman" w:cstheme="minorHAnsi"/>
                <w:b w:val="0"/>
                <w:sz w:val="20"/>
                <w:szCs w:val="20"/>
              </w:rPr>
            </w:pPr>
          </w:p>
        </w:tc>
        <w:tc>
          <w:tcPr>
            <w:cnfStyle w:val="000010000000" w:firstRow="0" w:lastRow="0" w:firstColumn="0" w:lastColumn="0" w:oddVBand="1" w:evenVBand="0" w:oddHBand="0" w:evenHBand="0" w:firstRowFirstColumn="0" w:firstRowLastColumn="0" w:lastRowFirstColumn="0" w:lastRowLastColumn="0"/>
            <w:tcW w:w="835" w:type="pct"/>
            <w:gridSpan w:val="2"/>
            <w:vAlign w:val="center"/>
            <w:hideMark/>
          </w:tcPr>
          <w:p w14:paraId="1C698A3E"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2020</w:t>
            </w:r>
          </w:p>
        </w:tc>
        <w:tc>
          <w:tcPr>
            <w:tcW w:w="835" w:type="pct"/>
            <w:gridSpan w:val="2"/>
            <w:vAlign w:val="center"/>
            <w:hideMark/>
          </w:tcPr>
          <w:p w14:paraId="17E92C11"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rPr>
            </w:pPr>
            <w:r w:rsidRPr="00FF50CD">
              <w:rPr>
                <w:rFonts w:eastAsia="Times New Roman" w:cstheme="minorHAnsi"/>
                <w:b w:val="0"/>
                <w:sz w:val="20"/>
                <w:szCs w:val="20"/>
              </w:rPr>
              <w:t>2021</w:t>
            </w:r>
          </w:p>
        </w:tc>
        <w:tc>
          <w:tcPr>
            <w:cnfStyle w:val="000010000000" w:firstRow="0" w:lastRow="0" w:firstColumn="0" w:lastColumn="0" w:oddVBand="1" w:evenVBand="0" w:oddHBand="0" w:evenHBand="0" w:firstRowFirstColumn="0" w:firstRowLastColumn="0" w:lastRowFirstColumn="0" w:lastRowLastColumn="0"/>
            <w:tcW w:w="835" w:type="pct"/>
            <w:gridSpan w:val="2"/>
            <w:vAlign w:val="center"/>
            <w:hideMark/>
          </w:tcPr>
          <w:p w14:paraId="674C3CD9"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2022</w:t>
            </w:r>
          </w:p>
        </w:tc>
        <w:tc>
          <w:tcPr>
            <w:tcW w:w="868" w:type="pct"/>
            <w:gridSpan w:val="2"/>
            <w:vAlign w:val="center"/>
            <w:hideMark/>
          </w:tcPr>
          <w:p w14:paraId="72C74545"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rPr>
            </w:pPr>
            <w:r w:rsidRPr="00FF50CD">
              <w:rPr>
                <w:rFonts w:eastAsia="Times New Roman" w:cstheme="minorHAnsi"/>
                <w:b w:val="0"/>
                <w:sz w:val="20"/>
                <w:szCs w:val="20"/>
              </w:rPr>
              <w:t>2023</w:t>
            </w:r>
          </w:p>
        </w:tc>
        <w:tc>
          <w:tcPr>
            <w:cnfStyle w:val="000100000000" w:firstRow="0" w:lastRow="0" w:firstColumn="0" w:lastColumn="1" w:oddVBand="0" w:evenVBand="0" w:oddHBand="0" w:evenHBand="0" w:firstRowFirstColumn="0" w:firstRowLastColumn="0" w:lastRowFirstColumn="0" w:lastRowLastColumn="0"/>
            <w:tcW w:w="900" w:type="pct"/>
            <w:gridSpan w:val="2"/>
            <w:vAlign w:val="center"/>
            <w:hideMark/>
          </w:tcPr>
          <w:p w14:paraId="61B94C3E"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2024</w:t>
            </w:r>
          </w:p>
        </w:tc>
      </w:tr>
      <w:tr w:rsidR="00EE16EC" w:rsidRPr="00FF50CD" w14:paraId="755AF534" w14:textId="77777777" w:rsidTr="00EE16EC">
        <w:trPr>
          <w:cnfStyle w:val="000000100000" w:firstRow="0" w:lastRow="0" w:firstColumn="0" w:lastColumn="0" w:oddVBand="0" w:evenVBand="0" w:oddHBand="1" w:evenHBand="0" w:firstRowFirstColumn="0" w:firstRowLastColumn="0" w:lastRowFirstColumn="0" w:lastRowLastColumn="0"/>
          <w:trHeight w:val="2392"/>
        </w:trPr>
        <w:tc>
          <w:tcPr>
            <w:cnfStyle w:val="001000000000" w:firstRow="0" w:lastRow="0" w:firstColumn="1" w:lastColumn="0" w:oddVBand="0" w:evenVBand="0" w:oddHBand="0" w:evenHBand="0" w:firstRowFirstColumn="0" w:firstRowLastColumn="0" w:lastRowFirstColumn="0" w:lastRowLastColumn="0"/>
            <w:tcW w:w="726" w:type="pct"/>
            <w:vMerge/>
            <w:vAlign w:val="center"/>
            <w:hideMark/>
          </w:tcPr>
          <w:p w14:paraId="7C0188CF" w14:textId="77777777" w:rsidR="000B4D72" w:rsidRPr="00FF50CD" w:rsidRDefault="000B4D72" w:rsidP="00597239">
            <w:pPr>
              <w:rPr>
                <w:rFonts w:eastAsia="Times New Roman" w:cstheme="minorHAnsi"/>
                <w:b w:val="0"/>
                <w:sz w:val="16"/>
                <w:szCs w:val="16"/>
              </w:rPr>
            </w:pPr>
          </w:p>
        </w:tc>
        <w:tc>
          <w:tcPr>
            <w:cnfStyle w:val="000010000000" w:firstRow="0" w:lastRow="0" w:firstColumn="0" w:lastColumn="0" w:oddVBand="1" w:evenVBand="0" w:oddHBand="0" w:evenHBand="0" w:firstRowFirstColumn="0" w:firstRowLastColumn="0" w:lastRowFirstColumn="0" w:lastRowLastColumn="0"/>
            <w:tcW w:w="401" w:type="pct"/>
            <w:textDirection w:val="btLr"/>
            <w:vAlign w:val="center"/>
            <w:hideMark/>
          </w:tcPr>
          <w:p w14:paraId="61EA6B01" w14:textId="77777777" w:rsidR="000B4D72" w:rsidRPr="00FF50CD" w:rsidRDefault="000B4D72" w:rsidP="00597239">
            <w:pPr>
              <w:spacing w:line="276" w:lineRule="auto"/>
              <w:ind w:left="113" w:right="113"/>
              <w:rPr>
                <w:rFonts w:eastAsia="Times New Roman" w:cstheme="minorHAnsi"/>
                <w:bCs/>
                <w:sz w:val="20"/>
                <w:szCs w:val="20"/>
              </w:rPr>
            </w:pPr>
            <w:r w:rsidRPr="00FF50CD">
              <w:rPr>
                <w:rFonts w:eastAsia="Times New Roman" w:cstheme="minorHAnsi"/>
                <w:bCs/>
                <w:sz w:val="20"/>
                <w:szCs w:val="20"/>
              </w:rPr>
              <w:t>Liczba przypadków, po których wdrożono szczep.</w:t>
            </w:r>
          </w:p>
        </w:tc>
        <w:tc>
          <w:tcPr>
            <w:tcW w:w="434" w:type="pct"/>
            <w:textDirection w:val="btLr"/>
            <w:vAlign w:val="center"/>
            <w:hideMark/>
          </w:tcPr>
          <w:p w14:paraId="7917DE4D" w14:textId="77777777" w:rsidR="000B4D72" w:rsidRPr="00FF50CD" w:rsidRDefault="000B4D72" w:rsidP="00597239">
            <w:pPr>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Zaszczepionych na 100 tys. mieszkańców</w:t>
            </w:r>
          </w:p>
        </w:tc>
        <w:tc>
          <w:tcPr>
            <w:cnfStyle w:val="000010000000" w:firstRow="0" w:lastRow="0" w:firstColumn="0" w:lastColumn="0" w:oddVBand="1" w:evenVBand="0" w:oddHBand="0" w:evenHBand="0" w:firstRowFirstColumn="0" w:firstRowLastColumn="0" w:lastRowFirstColumn="0" w:lastRowLastColumn="0"/>
            <w:tcW w:w="401" w:type="pct"/>
            <w:textDirection w:val="btLr"/>
            <w:vAlign w:val="center"/>
            <w:hideMark/>
          </w:tcPr>
          <w:p w14:paraId="23B8211E" w14:textId="77777777" w:rsidR="000B4D72" w:rsidRPr="00FF50CD" w:rsidRDefault="000B4D72" w:rsidP="00597239">
            <w:pPr>
              <w:spacing w:line="276" w:lineRule="auto"/>
              <w:ind w:left="113" w:right="113"/>
              <w:rPr>
                <w:rFonts w:eastAsia="Times New Roman" w:cstheme="minorHAnsi"/>
                <w:bCs/>
                <w:sz w:val="20"/>
                <w:szCs w:val="20"/>
              </w:rPr>
            </w:pPr>
            <w:r w:rsidRPr="00FF50CD">
              <w:rPr>
                <w:rFonts w:eastAsia="Times New Roman" w:cstheme="minorHAnsi"/>
                <w:bCs/>
                <w:sz w:val="20"/>
                <w:szCs w:val="20"/>
              </w:rPr>
              <w:t>Liczba przypadków, po których wdrożono szczep.</w:t>
            </w:r>
          </w:p>
        </w:tc>
        <w:tc>
          <w:tcPr>
            <w:tcW w:w="434" w:type="pct"/>
            <w:textDirection w:val="btLr"/>
            <w:vAlign w:val="center"/>
            <w:hideMark/>
          </w:tcPr>
          <w:p w14:paraId="69DB3A29" w14:textId="77777777" w:rsidR="000B4D72" w:rsidRPr="00FF50CD" w:rsidRDefault="000B4D72" w:rsidP="00597239">
            <w:pPr>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Zaszczepionych na 100 tys. mieszkańców</w:t>
            </w:r>
          </w:p>
        </w:tc>
        <w:tc>
          <w:tcPr>
            <w:cnfStyle w:val="000010000000" w:firstRow="0" w:lastRow="0" w:firstColumn="0" w:lastColumn="0" w:oddVBand="1" w:evenVBand="0" w:oddHBand="0" w:evenHBand="0" w:firstRowFirstColumn="0" w:firstRowLastColumn="0" w:lastRowFirstColumn="0" w:lastRowLastColumn="0"/>
            <w:tcW w:w="401" w:type="pct"/>
            <w:textDirection w:val="btLr"/>
            <w:vAlign w:val="center"/>
            <w:hideMark/>
          </w:tcPr>
          <w:p w14:paraId="1A5334ED" w14:textId="77777777" w:rsidR="000B4D72" w:rsidRPr="00FF50CD" w:rsidRDefault="000B4D72" w:rsidP="00597239">
            <w:pPr>
              <w:spacing w:line="276" w:lineRule="auto"/>
              <w:ind w:left="113" w:right="113"/>
              <w:rPr>
                <w:rFonts w:eastAsia="Times New Roman" w:cstheme="minorHAnsi"/>
                <w:bCs/>
                <w:sz w:val="20"/>
                <w:szCs w:val="20"/>
              </w:rPr>
            </w:pPr>
            <w:r w:rsidRPr="00FF50CD">
              <w:rPr>
                <w:rFonts w:eastAsia="Times New Roman" w:cstheme="minorHAnsi"/>
                <w:bCs/>
                <w:sz w:val="20"/>
                <w:szCs w:val="20"/>
              </w:rPr>
              <w:t>Liczba przypadków, po których wdrożono szczep.</w:t>
            </w:r>
          </w:p>
        </w:tc>
        <w:tc>
          <w:tcPr>
            <w:tcW w:w="434" w:type="pct"/>
            <w:textDirection w:val="btLr"/>
            <w:vAlign w:val="center"/>
            <w:hideMark/>
          </w:tcPr>
          <w:p w14:paraId="05222F82" w14:textId="77777777" w:rsidR="000B4D72" w:rsidRPr="00FF50CD" w:rsidRDefault="000B4D72" w:rsidP="00597239">
            <w:pPr>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Zaszczepionych na 100 tys. mieszkańców</w:t>
            </w:r>
          </w:p>
        </w:tc>
        <w:tc>
          <w:tcPr>
            <w:cnfStyle w:val="000010000000" w:firstRow="0" w:lastRow="0" w:firstColumn="0" w:lastColumn="0" w:oddVBand="1" w:evenVBand="0" w:oddHBand="0" w:evenHBand="0" w:firstRowFirstColumn="0" w:firstRowLastColumn="0" w:lastRowFirstColumn="0" w:lastRowLastColumn="0"/>
            <w:tcW w:w="434" w:type="pct"/>
            <w:textDirection w:val="btLr"/>
            <w:vAlign w:val="center"/>
            <w:hideMark/>
          </w:tcPr>
          <w:p w14:paraId="0B8545AD" w14:textId="77777777" w:rsidR="000B4D72" w:rsidRPr="00FF50CD" w:rsidRDefault="000B4D72" w:rsidP="00597239">
            <w:pPr>
              <w:spacing w:line="276" w:lineRule="auto"/>
              <w:ind w:left="113" w:right="113"/>
              <w:rPr>
                <w:rFonts w:eastAsia="Times New Roman" w:cstheme="minorHAnsi"/>
                <w:bCs/>
                <w:sz w:val="20"/>
                <w:szCs w:val="20"/>
              </w:rPr>
            </w:pPr>
            <w:r w:rsidRPr="00FF50CD">
              <w:rPr>
                <w:rFonts w:eastAsia="Times New Roman" w:cstheme="minorHAnsi"/>
                <w:bCs/>
                <w:sz w:val="20"/>
                <w:szCs w:val="20"/>
              </w:rPr>
              <w:t>Liczba przypadków, po których wdrożono szczep.</w:t>
            </w:r>
          </w:p>
        </w:tc>
        <w:tc>
          <w:tcPr>
            <w:tcW w:w="434" w:type="pct"/>
            <w:textDirection w:val="btLr"/>
            <w:vAlign w:val="center"/>
            <w:hideMark/>
          </w:tcPr>
          <w:p w14:paraId="12CEC136" w14:textId="77777777" w:rsidR="000B4D72" w:rsidRPr="00FF50CD" w:rsidRDefault="000B4D72" w:rsidP="00597239">
            <w:pPr>
              <w:spacing w:line="276" w:lineRule="auto"/>
              <w:ind w:left="113" w:right="113"/>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Zaszczepionych na 100 tys. mieszkańców</w:t>
            </w:r>
          </w:p>
        </w:tc>
        <w:tc>
          <w:tcPr>
            <w:cnfStyle w:val="000010000000" w:firstRow="0" w:lastRow="0" w:firstColumn="0" w:lastColumn="0" w:oddVBand="1" w:evenVBand="0" w:oddHBand="0" w:evenHBand="0" w:firstRowFirstColumn="0" w:firstRowLastColumn="0" w:lastRowFirstColumn="0" w:lastRowLastColumn="0"/>
            <w:tcW w:w="466" w:type="pct"/>
            <w:textDirection w:val="btLr"/>
            <w:vAlign w:val="center"/>
            <w:hideMark/>
          </w:tcPr>
          <w:p w14:paraId="20D6F369" w14:textId="77777777" w:rsidR="000B4D72" w:rsidRPr="00FF50CD" w:rsidRDefault="000B4D72" w:rsidP="00597239">
            <w:pPr>
              <w:spacing w:line="276" w:lineRule="auto"/>
              <w:ind w:left="113" w:right="113"/>
              <w:rPr>
                <w:rFonts w:eastAsia="Times New Roman" w:cstheme="minorHAnsi"/>
                <w:bCs/>
                <w:sz w:val="20"/>
                <w:szCs w:val="20"/>
              </w:rPr>
            </w:pPr>
            <w:r w:rsidRPr="00FF50CD">
              <w:rPr>
                <w:rFonts w:eastAsia="Times New Roman" w:cstheme="minorHAnsi"/>
                <w:bCs/>
                <w:sz w:val="20"/>
                <w:szCs w:val="20"/>
              </w:rPr>
              <w:t>Liczba przypadków, po których wdrożono szczep.</w:t>
            </w:r>
          </w:p>
        </w:tc>
        <w:tc>
          <w:tcPr>
            <w:cnfStyle w:val="000100000000" w:firstRow="0" w:lastRow="0" w:firstColumn="0" w:lastColumn="1" w:oddVBand="0" w:evenVBand="0" w:oddHBand="0" w:evenHBand="0" w:firstRowFirstColumn="0" w:firstRowLastColumn="0" w:lastRowFirstColumn="0" w:lastRowLastColumn="0"/>
            <w:tcW w:w="434" w:type="pct"/>
            <w:textDirection w:val="btLr"/>
            <w:vAlign w:val="center"/>
            <w:hideMark/>
          </w:tcPr>
          <w:p w14:paraId="7144BEDC" w14:textId="77777777" w:rsidR="000B4D72" w:rsidRPr="00FF50CD" w:rsidRDefault="000B4D72" w:rsidP="00597239">
            <w:pPr>
              <w:spacing w:line="276" w:lineRule="auto"/>
              <w:ind w:left="113" w:right="113"/>
              <w:rPr>
                <w:rFonts w:eastAsia="Times New Roman" w:cstheme="minorHAnsi"/>
                <w:b w:val="0"/>
                <w:sz w:val="20"/>
                <w:szCs w:val="20"/>
              </w:rPr>
            </w:pPr>
            <w:r w:rsidRPr="00FF50CD">
              <w:rPr>
                <w:rFonts w:eastAsia="Times New Roman" w:cstheme="minorHAnsi"/>
                <w:b w:val="0"/>
                <w:sz w:val="20"/>
                <w:szCs w:val="20"/>
              </w:rPr>
              <w:t>Zaszczepionych na 100 tys. mieszkańców</w:t>
            </w:r>
          </w:p>
        </w:tc>
      </w:tr>
      <w:tr w:rsidR="000B4D72" w:rsidRPr="00FF50CD" w14:paraId="681AE7BF" w14:textId="77777777" w:rsidTr="00EE16EC">
        <w:trPr>
          <w:trHeight w:val="492"/>
        </w:trPr>
        <w:tc>
          <w:tcPr>
            <w:cnfStyle w:val="001000000000" w:firstRow="0" w:lastRow="0" w:firstColumn="1" w:lastColumn="0" w:oddVBand="0" w:evenVBand="0" w:oddHBand="0" w:evenHBand="0" w:firstRowFirstColumn="0" w:firstRowLastColumn="0" w:lastRowFirstColumn="0" w:lastRowLastColumn="0"/>
            <w:tcW w:w="726" w:type="pct"/>
            <w:vAlign w:val="center"/>
            <w:hideMark/>
          </w:tcPr>
          <w:p w14:paraId="3D7DD2B0"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Polska</w:t>
            </w:r>
          </w:p>
        </w:tc>
        <w:tc>
          <w:tcPr>
            <w:cnfStyle w:val="000010000000" w:firstRow="0" w:lastRow="0" w:firstColumn="0" w:lastColumn="0" w:oddVBand="1" w:evenVBand="0" w:oddHBand="0" w:evenHBand="0" w:firstRowFirstColumn="0" w:firstRowLastColumn="0" w:lastRowFirstColumn="0" w:lastRowLastColumn="0"/>
            <w:tcW w:w="401" w:type="pct"/>
            <w:vAlign w:val="center"/>
          </w:tcPr>
          <w:p w14:paraId="1F087B16" w14:textId="77777777" w:rsidR="000B4D72" w:rsidRPr="00FF50CD" w:rsidRDefault="000B4D72" w:rsidP="00597239">
            <w:pPr>
              <w:spacing w:line="276" w:lineRule="auto"/>
              <w:rPr>
                <w:rFonts w:eastAsia="Times New Roman" w:cstheme="minorHAnsi"/>
                <w:bCs/>
                <w:sz w:val="20"/>
                <w:szCs w:val="20"/>
              </w:rPr>
            </w:pPr>
            <w:r w:rsidRPr="00FF50CD">
              <w:rPr>
                <w:rFonts w:eastAsia="Times New Roman" w:cstheme="minorHAnsi"/>
                <w:bCs/>
                <w:sz w:val="20"/>
                <w:szCs w:val="20"/>
              </w:rPr>
              <w:t>4277</w:t>
            </w:r>
          </w:p>
        </w:tc>
        <w:tc>
          <w:tcPr>
            <w:tcW w:w="434" w:type="pct"/>
            <w:vAlign w:val="center"/>
          </w:tcPr>
          <w:p w14:paraId="2366C9F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11,14</w:t>
            </w:r>
          </w:p>
        </w:tc>
        <w:tc>
          <w:tcPr>
            <w:cnfStyle w:val="000010000000" w:firstRow="0" w:lastRow="0" w:firstColumn="0" w:lastColumn="0" w:oddVBand="1" w:evenVBand="0" w:oddHBand="0" w:evenHBand="0" w:firstRowFirstColumn="0" w:firstRowLastColumn="0" w:lastRowFirstColumn="0" w:lastRowLastColumn="0"/>
            <w:tcW w:w="401" w:type="pct"/>
            <w:vAlign w:val="center"/>
          </w:tcPr>
          <w:p w14:paraId="395EF3CE" w14:textId="77777777" w:rsidR="000B4D72" w:rsidRPr="00FF50CD" w:rsidRDefault="000B4D72" w:rsidP="00597239">
            <w:pPr>
              <w:spacing w:line="276" w:lineRule="auto"/>
              <w:rPr>
                <w:rFonts w:eastAsia="Times New Roman" w:cstheme="minorHAnsi"/>
                <w:bCs/>
                <w:sz w:val="20"/>
                <w:szCs w:val="20"/>
              </w:rPr>
            </w:pPr>
            <w:r w:rsidRPr="00FF50CD">
              <w:rPr>
                <w:rFonts w:eastAsia="Times New Roman" w:cstheme="minorHAnsi"/>
                <w:bCs/>
                <w:sz w:val="20"/>
                <w:szCs w:val="20"/>
              </w:rPr>
              <w:t>5235</w:t>
            </w:r>
          </w:p>
        </w:tc>
        <w:tc>
          <w:tcPr>
            <w:tcW w:w="434" w:type="pct"/>
            <w:vAlign w:val="center"/>
          </w:tcPr>
          <w:p w14:paraId="0ABBEEF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13,65</w:t>
            </w:r>
          </w:p>
        </w:tc>
        <w:tc>
          <w:tcPr>
            <w:cnfStyle w:val="000010000000" w:firstRow="0" w:lastRow="0" w:firstColumn="0" w:lastColumn="0" w:oddVBand="1" w:evenVBand="0" w:oddHBand="0" w:evenHBand="0" w:firstRowFirstColumn="0" w:firstRowLastColumn="0" w:lastRowFirstColumn="0" w:lastRowLastColumn="0"/>
            <w:tcW w:w="401" w:type="pct"/>
            <w:vAlign w:val="center"/>
          </w:tcPr>
          <w:p w14:paraId="66CB5E5B" w14:textId="77777777" w:rsidR="000B4D72" w:rsidRPr="00FF50CD" w:rsidRDefault="000B4D72" w:rsidP="00597239">
            <w:pPr>
              <w:spacing w:line="276" w:lineRule="auto"/>
              <w:rPr>
                <w:rFonts w:eastAsia="Times New Roman" w:cstheme="minorHAnsi"/>
                <w:bCs/>
                <w:sz w:val="20"/>
                <w:szCs w:val="20"/>
              </w:rPr>
            </w:pPr>
            <w:r w:rsidRPr="00FF50CD">
              <w:rPr>
                <w:rFonts w:eastAsia="Times New Roman" w:cstheme="minorHAnsi"/>
                <w:bCs/>
                <w:sz w:val="20"/>
                <w:szCs w:val="20"/>
              </w:rPr>
              <w:t>8147</w:t>
            </w:r>
          </w:p>
        </w:tc>
        <w:tc>
          <w:tcPr>
            <w:tcW w:w="434" w:type="pct"/>
            <w:vAlign w:val="center"/>
          </w:tcPr>
          <w:p w14:paraId="22EFC71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21,35</w:t>
            </w:r>
          </w:p>
        </w:tc>
        <w:tc>
          <w:tcPr>
            <w:cnfStyle w:val="000010000000" w:firstRow="0" w:lastRow="0" w:firstColumn="0" w:lastColumn="0" w:oddVBand="1" w:evenVBand="0" w:oddHBand="0" w:evenHBand="0" w:firstRowFirstColumn="0" w:firstRowLastColumn="0" w:lastRowFirstColumn="0" w:lastRowLastColumn="0"/>
            <w:tcW w:w="434" w:type="pct"/>
            <w:vAlign w:val="center"/>
          </w:tcPr>
          <w:p w14:paraId="63B584C3" w14:textId="77777777" w:rsidR="000B4D72" w:rsidRPr="00FF50CD" w:rsidRDefault="000B4D72" w:rsidP="00597239">
            <w:pPr>
              <w:spacing w:line="276" w:lineRule="auto"/>
              <w:rPr>
                <w:rFonts w:eastAsia="Times New Roman" w:cstheme="minorHAnsi"/>
                <w:bCs/>
                <w:sz w:val="18"/>
                <w:szCs w:val="18"/>
              </w:rPr>
            </w:pPr>
            <w:r w:rsidRPr="00FF50CD">
              <w:rPr>
                <w:rFonts w:eastAsia="Times New Roman" w:cstheme="minorHAnsi"/>
                <w:bCs/>
                <w:sz w:val="18"/>
                <w:szCs w:val="18"/>
              </w:rPr>
              <w:t>10009</w:t>
            </w:r>
          </w:p>
        </w:tc>
        <w:tc>
          <w:tcPr>
            <w:tcW w:w="434" w:type="pct"/>
            <w:vAlign w:val="center"/>
          </w:tcPr>
          <w:p w14:paraId="45B30AA6"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rPr>
            </w:pPr>
            <w:r w:rsidRPr="00FF50CD">
              <w:rPr>
                <w:rFonts w:eastAsia="Times New Roman" w:cstheme="minorHAnsi"/>
                <w:bCs/>
                <w:sz w:val="20"/>
                <w:szCs w:val="20"/>
              </w:rPr>
              <w:t>26,55</w:t>
            </w:r>
          </w:p>
        </w:tc>
        <w:tc>
          <w:tcPr>
            <w:cnfStyle w:val="000010000000" w:firstRow="0" w:lastRow="0" w:firstColumn="0" w:lastColumn="0" w:oddVBand="1" w:evenVBand="0" w:oddHBand="0" w:evenHBand="0" w:firstRowFirstColumn="0" w:firstRowLastColumn="0" w:lastRowFirstColumn="0" w:lastRowLastColumn="0"/>
            <w:tcW w:w="466" w:type="pct"/>
            <w:vAlign w:val="center"/>
          </w:tcPr>
          <w:p w14:paraId="00AC6C08" w14:textId="77777777" w:rsidR="000B4D72" w:rsidRPr="00FF50CD" w:rsidRDefault="000B4D72" w:rsidP="00597239">
            <w:pPr>
              <w:spacing w:line="276" w:lineRule="auto"/>
              <w:rPr>
                <w:rFonts w:eastAsia="Times New Roman" w:cstheme="minorHAnsi"/>
                <w:bCs/>
                <w:sz w:val="20"/>
                <w:szCs w:val="20"/>
              </w:rPr>
            </w:pPr>
            <w:r w:rsidRPr="00FF50CD">
              <w:rPr>
                <w:rFonts w:eastAsia="Times New Roman" w:cstheme="minorHAnsi"/>
                <w:bCs/>
                <w:sz w:val="20"/>
                <w:szCs w:val="20"/>
              </w:rPr>
              <w:t>11128</w:t>
            </w:r>
          </w:p>
        </w:tc>
        <w:tc>
          <w:tcPr>
            <w:cnfStyle w:val="000100000000" w:firstRow="0" w:lastRow="0" w:firstColumn="0" w:lastColumn="1" w:oddVBand="0" w:evenVBand="0" w:oddHBand="0" w:evenHBand="0" w:firstRowFirstColumn="0" w:firstRowLastColumn="0" w:lastRowFirstColumn="0" w:lastRowLastColumn="0"/>
            <w:tcW w:w="434" w:type="pct"/>
            <w:vAlign w:val="center"/>
          </w:tcPr>
          <w:p w14:paraId="71B92DB2"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29,62</w:t>
            </w:r>
          </w:p>
        </w:tc>
      </w:tr>
      <w:tr w:rsidR="000B4D72" w:rsidRPr="00FF50CD" w14:paraId="29E2D641" w14:textId="77777777" w:rsidTr="00EE16E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6" w:type="pct"/>
            <w:vAlign w:val="center"/>
            <w:hideMark/>
          </w:tcPr>
          <w:p w14:paraId="500FF4A0" w14:textId="70B80569"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woj.</w:t>
            </w:r>
            <w:r w:rsidR="00EE16EC" w:rsidRPr="00FF50CD">
              <w:rPr>
                <w:rFonts w:eastAsia="Times New Roman" w:cstheme="minorHAnsi"/>
                <w:b w:val="0"/>
                <w:sz w:val="20"/>
                <w:szCs w:val="20"/>
              </w:rPr>
              <w:t xml:space="preserve"> z-p.</w:t>
            </w:r>
          </w:p>
        </w:tc>
        <w:tc>
          <w:tcPr>
            <w:cnfStyle w:val="000010000000" w:firstRow="0" w:lastRow="0" w:firstColumn="0" w:lastColumn="0" w:oddVBand="1" w:evenVBand="0" w:oddHBand="0" w:evenHBand="0" w:firstRowFirstColumn="0" w:firstRowLastColumn="0" w:lastRowFirstColumn="0" w:lastRowLastColumn="0"/>
            <w:tcW w:w="401" w:type="pct"/>
            <w:vAlign w:val="center"/>
          </w:tcPr>
          <w:p w14:paraId="0F2887C7"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217</w:t>
            </w:r>
          </w:p>
        </w:tc>
        <w:tc>
          <w:tcPr>
            <w:tcW w:w="434" w:type="pct"/>
            <w:vAlign w:val="center"/>
          </w:tcPr>
          <w:p w14:paraId="20ED951E" w14:textId="77777777" w:rsidR="000B4D72" w:rsidRPr="00FF50CD" w:rsidRDefault="000B4D72" w:rsidP="00597239">
            <w:pPr>
              <w:spacing w:line="276" w:lineRule="auto"/>
              <w:cnfStyle w:val="010000000000" w:firstRow="0" w:lastRow="1" w:firstColumn="0" w:lastColumn="0" w:oddVBand="0" w:evenVBand="0" w:oddHBand="0" w:evenHBand="0" w:firstRowFirstColumn="0" w:firstRowLastColumn="0" w:lastRowFirstColumn="0" w:lastRowLastColumn="0"/>
              <w:rPr>
                <w:rFonts w:eastAsia="Times New Roman" w:cstheme="minorHAnsi"/>
                <w:b w:val="0"/>
                <w:sz w:val="20"/>
                <w:szCs w:val="20"/>
              </w:rPr>
            </w:pPr>
            <w:r w:rsidRPr="00FF50CD">
              <w:rPr>
                <w:rFonts w:eastAsia="Times New Roman" w:cstheme="minorHAnsi"/>
                <w:b w:val="0"/>
                <w:sz w:val="20"/>
                <w:szCs w:val="20"/>
              </w:rPr>
              <w:t>12,81</w:t>
            </w:r>
          </w:p>
        </w:tc>
        <w:tc>
          <w:tcPr>
            <w:cnfStyle w:val="000010000000" w:firstRow="0" w:lastRow="0" w:firstColumn="0" w:lastColumn="0" w:oddVBand="1" w:evenVBand="0" w:oddHBand="0" w:evenHBand="0" w:firstRowFirstColumn="0" w:firstRowLastColumn="0" w:lastRowFirstColumn="0" w:lastRowLastColumn="0"/>
            <w:tcW w:w="401" w:type="pct"/>
            <w:vAlign w:val="center"/>
          </w:tcPr>
          <w:p w14:paraId="557E5FBD"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259</w:t>
            </w:r>
          </w:p>
        </w:tc>
        <w:tc>
          <w:tcPr>
            <w:tcW w:w="434" w:type="pct"/>
            <w:vAlign w:val="center"/>
          </w:tcPr>
          <w:p w14:paraId="6C2BA635" w14:textId="77777777" w:rsidR="000B4D72" w:rsidRPr="00FF50CD" w:rsidRDefault="000B4D72" w:rsidP="00597239">
            <w:pPr>
              <w:spacing w:line="276" w:lineRule="auto"/>
              <w:cnfStyle w:val="010000000000" w:firstRow="0" w:lastRow="1" w:firstColumn="0" w:lastColumn="0" w:oddVBand="0" w:evenVBand="0" w:oddHBand="0" w:evenHBand="0" w:firstRowFirstColumn="0" w:firstRowLastColumn="0" w:lastRowFirstColumn="0" w:lastRowLastColumn="0"/>
              <w:rPr>
                <w:rFonts w:eastAsia="Times New Roman" w:cstheme="minorHAnsi"/>
                <w:b w:val="0"/>
                <w:sz w:val="20"/>
                <w:szCs w:val="20"/>
              </w:rPr>
            </w:pPr>
            <w:r w:rsidRPr="00FF50CD">
              <w:rPr>
                <w:rFonts w:eastAsia="Times New Roman" w:cstheme="minorHAnsi"/>
                <w:b w:val="0"/>
                <w:sz w:val="20"/>
                <w:szCs w:val="20"/>
              </w:rPr>
              <w:t>15,40</w:t>
            </w:r>
          </w:p>
        </w:tc>
        <w:tc>
          <w:tcPr>
            <w:cnfStyle w:val="000010000000" w:firstRow="0" w:lastRow="0" w:firstColumn="0" w:lastColumn="0" w:oddVBand="1" w:evenVBand="0" w:oddHBand="0" w:evenHBand="0" w:firstRowFirstColumn="0" w:firstRowLastColumn="0" w:lastRowFirstColumn="0" w:lastRowLastColumn="0"/>
            <w:tcW w:w="401" w:type="pct"/>
            <w:vAlign w:val="center"/>
          </w:tcPr>
          <w:p w14:paraId="61942335"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388</w:t>
            </w:r>
          </w:p>
        </w:tc>
        <w:tc>
          <w:tcPr>
            <w:tcW w:w="434" w:type="pct"/>
            <w:vAlign w:val="center"/>
          </w:tcPr>
          <w:p w14:paraId="0B178E16" w14:textId="77777777" w:rsidR="000B4D72" w:rsidRPr="00FF50CD" w:rsidRDefault="000B4D72" w:rsidP="00597239">
            <w:pPr>
              <w:spacing w:line="276" w:lineRule="auto"/>
              <w:cnfStyle w:val="010000000000" w:firstRow="0" w:lastRow="1" w:firstColumn="0" w:lastColumn="0" w:oddVBand="0" w:evenVBand="0" w:oddHBand="0" w:evenHBand="0" w:firstRowFirstColumn="0" w:firstRowLastColumn="0" w:lastRowFirstColumn="0" w:lastRowLastColumn="0"/>
              <w:rPr>
                <w:rFonts w:eastAsia="Times New Roman" w:cstheme="minorHAnsi"/>
                <w:b w:val="0"/>
                <w:sz w:val="20"/>
                <w:szCs w:val="20"/>
              </w:rPr>
            </w:pPr>
            <w:r w:rsidRPr="00FF50CD">
              <w:rPr>
                <w:rFonts w:eastAsia="Times New Roman" w:cstheme="minorHAnsi"/>
                <w:b w:val="0"/>
                <w:sz w:val="20"/>
                <w:szCs w:val="20"/>
                <w:lang w:eastAsia="pl-PL"/>
              </w:rPr>
              <w:t>23,59</w:t>
            </w:r>
          </w:p>
        </w:tc>
        <w:tc>
          <w:tcPr>
            <w:cnfStyle w:val="000010000000" w:firstRow="0" w:lastRow="0" w:firstColumn="0" w:lastColumn="0" w:oddVBand="1" w:evenVBand="0" w:oddHBand="0" w:evenHBand="0" w:firstRowFirstColumn="0" w:firstRowLastColumn="0" w:lastRowFirstColumn="0" w:lastRowLastColumn="0"/>
            <w:tcW w:w="434" w:type="pct"/>
            <w:vAlign w:val="center"/>
          </w:tcPr>
          <w:p w14:paraId="21B28FB3"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18"/>
                <w:szCs w:val="18"/>
              </w:rPr>
              <w:t>405</w:t>
            </w:r>
          </w:p>
        </w:tc>
        <w:tc>
          <w:tcPr>
            <w:tcW w:w="434" w:type="pct"/>
            <w:vAlign w:val="center"/>
          </w:tcPr>
          <w:p w14:paraId="5A3F9839" w14:textId="77777777" w:rsidR="000B4D72" w:rsidRPr="00FF50CD" w:rsidRDefault="000B4D72" w:rsidP="00597239">
            <w:pPr>
              <w:spacing w:line="276" w:lineRule="auto"/>
              <w:cnfStyle w:val="010000000000" w:firstRow="0" w:lastRow="1" w:firstColumn="0" w:lastColumn="0" w:oddVBand="0" w:evenVBand="0" w:oddHBand="0" w:evenHBand="0" w:firstRowFirstColumn="0" w:firstRowLastColumn="0" w:lastRowFirstColumn="0" w:lastRowLastColumn="0"/>
              <w:rPr>
                <w:rFonts w:eastAsia="Times New Roman" w:cstheme="minorHAnsi"/>
                <w:b w:val="0"/>
                <w:sz w:val="20"/>
                <w:szCs w:val="20"/>
              </w:rPr>
            </w:pPr>
            <w:r w:rsidRPr="00FF50CD">
              <w:rPr>
                <w:rFonts w:eastAsia="Times New Roman" w:cstheme="minorHAnsi"/>
                <w:b w:val="0"/>
                <w:sz w:val="20"/>
                <w:szCs w:val="20"/>
              </w:rPr>
              <w:t>24,75</w:t>
            </w:r>
          </w:p>
        </w:tc>
        <w:tc>
          <w:tcPr>
            <w:cnfStyle w:val="000010000000" w:firstRow="0" w:lastRow="0" w:firstColumn="0" w:lastColumn="0" w:oddVBand="1" w:evenVBand="0" w:oddHBand="0" w:evenHBand="0" w:firstRowFirstColumn="0" w:firstRowLastColumn="0" w:lastRowFirstColumn="0" w:lastRowLastColumn="0"/>
            <w:tcW w:w="466" w:type="pct"/>
            <w:vAlign w:val="center"/>
          </w:tcPr>
          <w:p w14:paraId="54BFA683"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494</w:t>
            </w:r>
          </w:p>
        </w:tc>
        <w:tc>
          <w:tcPr>
            <w:cnfStyle w:val="000100000000" w:firstRow="0" w:lastRow="0" w:firstColumn="0" w:lastColumn="1" w:oddVBand="0" w:evenVBand="0" w:oddHBand="0" w:evenHBand="0" w:firstRowFirstColumn="0" w:firstRowLastColumn="0" w:lastRowFirstColumn="0" w:lastRowLastColumn="0"/>
            <w:tcW w:w="434" w:type="pct"/>
            <w:vAlign w:val="center"/>
          </w:tcPr>
          <w:p w14:paraId="5763C754" w14:textId="77777777" w:rsidR="000B4D72" w:rsidRPr="00FF50CD" w:rsidRDefault="000B4D72" w:rsidP="00597239">
            <w:pPr>
              <w:spacing w:line="276" w:lineRule="auto"/>
              <w:rPr>
                <w:rFonts w:eastAsia="Times New Roman" w:cstheme="minorHAnsi"/>
                <w:b w:val="0"/>
                <w:sz w:val="20"/>
                <w:szCs w:val="20"/>
              </w:rPr>
            </w:pPr>
            <w:r w:rsidRPr="00FF50CD">
              <w:rPr>
                <w:rFonts w:eastAsia="Times New Roman" w:cstheme="minorHAnsi"/>
                <w:b w:val="0"/>
                <w:sz w:val="20"/>
                <w:szCs w:val="20"/>
              </w:rPr>
              <w:t>30,36</w:t>
            </w:r>
          </w:p>
        </w:tc>
      </w:tr>
    </w:tbl>
    <w:p w14:paraId="7E42554D" w14:textId="020B8183" w:rsidR="000B4D72" w:rsidRDefault="000B4D72" w:rsidP="00597239">
      <w:pPr>
        <w:pStyle w:val="Nagwek3"/>
        <w:numPr>
          <w:ilvl w:val="1"/>
          <w:numId w:val="18"/>
        </w:numPr>
        <w:ind w:left="568" w:hanging="284"/>
      </w:pPr>
      <w:bookmarkStart w:id="105" w:name="_Toc192678706"/>
      <w:bookmarkStart w:id="106" w:name="_Toc193694446"/>
      <w:bookmarkStart w:id="107" w:name="_Toc194059784"/>
      <w:r w:rsidRPr="00552AD2">
        <w:lastRenderedPageBreak/>
        <w:t>Choroby przenoszone drogą płciow</w:t>
      </w:r>
      <w:r>
        <w:t>ą</w:t>
      </w:r>
      <w:bookmarkEnd w:id="105"/>
      <w:bookmarkEnd w:id="106"/>
      <w:bookmarkEnd w:id="107"/>
    </w:p>
    <w:p w14:paraId="51CF5512" w14:textId="77777777" w:rsidR="000B4D72" w:rsidRPr="00BE343D" w:rsidRDefault="000B4D72" w:rsidP="00597239">
      <w:pPr>
        <w:spacing w:after="0" w:line="276" w:lineRule="auto"/>
        <w:rPr>
          <w:rFonts w:cstheme="minorHAnsi"/>
          <w:bCs/>
          <w:sz w:val="24"/>
          <w:szCs w:val="24"/>
        </w:rPr>
      </w:pPr>
      <w:r w:rsidRPr="00BE343D">
        <w:rPr>
          <w:rFonts w:cstheme="minorHAnsi"/>
          <w:bCs/>
          <w:sz w:val="24"/>
          <w:szCs w:val="24"/>
        </w:rPr>
        <w:t>Do</w:t>
      </w:r>
      <w:r w:rsidRPr="00BE343D">
        <w:rPr>
          <w:rFonts w:cstheme="minorHAnsi"/>
          <w:b/>
          <w:sz w:val="24"/>
          <w:szCs w:val="24"/>
        </w:rPr>
        <w:t xml:space="preserve"> </w:t>
      </w:r>
      <w:r w:rsidRPr="00BE343D">
        <w:rPr>
          <w:rFonts w:cstheme="minorHAnsi"/>
          <w:bCs/>
          <w:sz w:val="24"/>
          <w:szCs w:val="24"/>
        </w:rPr>
        <w:t>chorób przenoszonych drogą płciową podlegających obowiązkowej rejestracji należą: kiła, rzeżączka oraz ziarnica weneryczna wywołana przez chlamydie i inne chlamydiozy. Od lat obserwuje się niedoszacowanie w</w:t>
      </w:r>
      <w:r>
        <w:rPr>
          <w:rFonts w:cstheme="minorHAnsi"/>
          <w:bCs/>
          <w:sz w:val="24"/>
          <w:szCs w:val="24"/>
        </w:rPr>
        <w:t xml:space="preserve"> </w:t>
      </w:r>
      <w:r w:rsidRPr="00BE343D">
        <w:rPr>
          <w:rFonts w:cstheme="minorHAnsi"/>
          <w:bCs/>
          <w:sz w:val="24"/>
          <w:szCs w:val="24"/>
        </w:rPr>
        <w:t>zakresie zgłaszalności chorób przenoszonych drogą płciową.</w:t>
      </w:r>
    </w:p>
    <w:p w14:paraId="5ABD2446" w14:textId="77777777" w:rsidR="00EE16EC" w:rsidRPr="00BE343D" w:rsidRDefault="00EE16EC" w:rsidP="00597239">
      <w:pPr>
        <w:spacing w:after="0" w:line="276" w:lineRule="auto"/>
        <w:rPr>
          <w:rFonts w:eastAsia="Times New Roman" w:cstheme="minorHAnsi"/>
          <w:bCs/>
          <w:sz w:val="24"/>
          <w:szCs w:val="24"/>
          <w:lang w:eastAsia="pl-PL"/>
        </w:rPr>
      </w:pPr>
    </w:p>
    <w:p w14:paraId="783EE675" w14:textId="05D746C7" w:rsidR="000B4D72" w:rsidRPr="00896454" w:rsidRDefault="00896454" w:rsidP="00597239">
      <w:pPr>
        <w:pStyle w:val="Legenda"/>
        <w:spacing w:after="0"/>
        <w:rPr>
          <w:i w:val="0"/>
          <w:iCs w:val="0"/>
          <w:color w:val="000000" w:themeColor="text1"/>
        </w:rPr>
      </w:pPr>
      <w:bookmarkStart w:id="108" w:name="_Toc193805988"/>
      <w:bookmarkStart w:id="109" w:name="_Toc193969536"/>
      <w:bookmarkStart w:id="110" w:name="_Toc194059996"/>
      <w:r w:rsidRPr="00896454">
        <w:rPr>
          <w:i w:val="0"/>
          <w:iCs w:val="0"/>
          <w:color w:val="000000" w:themeColor="text1"/>
        </w:rPr>
        <w:t xml:space="preserve">Tabela </w:t>
      </w:r>
      <w:r w:rsidRPr="00896454">
        <w:rPr>
          <w:i w:val="0"/>
          <w:iCs w:val="0"/>
          <w:color w:val="000000" w:themeColor="text1"/>
        </w:rPr>
        <w:fldChar w:fldCharType="begin"/>
      </w:r>
      <w:r w:rsidRPr="00896454">
        <w:rPr>
          <w:i w:val="0"/>
          <w:iCs w:val="0"/>
          <w:color w:val="000000" w:themeColor="text1"/>
        </w:rPr>
        <w:instrText xml:space="preserve"> SEQ Tabela \* ARABIC </w:instrText>
      </w:r>
      <w:r w:rsidRPr="00896454">
        <w:rPr>
          <w:i w:val="0"/>
          <w:iCs w:val="0"/>
          <w:color w:val="000000" w:themeColor="text1"/>
        </w:rPr>
        <w:fldChar w:fldCharType="separate"/>
      </w:r>
      <w:r w:rsidR="00FB6F6A">
        <w:rPr>
          <w:i w:val="0"/>
          <w:iCs w:val="0"/>
          <w:noProof/>
          <w:color w:val="000000" w:themeColor="text1"/>
        </w:rPr>
        <w:t>18</w:t>
      </w:r>
      <w:r w:rsidRPr="00896454">
        <w:rPr>
          <w:i w:val="0"/>
          <w:iCs w:val="0"/>
          <w:color w:val="000000" w:themeColor="text1"/>
        </w:rPr>
        <w:fldChar w:fldCharType="end"/>
      </w:r>
      <w:r w:rsidR="00E75D31">
        <w:rPr>
          <w:i w:val="0"/>
          <w:iCs w:val="0"/>
          <w:color w:val="000000" w:themeColor="text1"/>
        </w:rPr>
        <w:t>.</w:t>
      </w:r>
      <w:r w:rsidRPr="00896454">
        <w:rPr>
          <w:i w:val="0"/>
          <w:iCs w:val="0"/>
          <w:color w:val="000000" w:themeColor="text1"/>
        </w:rPr>
        <w:t xml:space="preserve"> Liczba zachorowań i współczynnik zapadalności na kiłę w Polsce i woj. zachodniopomorskim w latach 2020-2024</w:t>
      </w:r>
      <w:r w:rsidR="00B84251">
        <w:rPr>
          <w:i w:val="0"/>
          <w:iCs w:val="0"/>
          <w:color w:val="000000" w:themeColor="text1"/>
        </w:rPr>
        <w:t>.</w:t>
      </w:r>
      <w:bookmarkEnd w:id="108"/>
      <w:bookmarkEnd w:id="109"/>
      <w:bookmarkEnd w:id="110"/>
    </w:p>
    <w:tbl>
      <w:tblPr>
        <w:tblStyle w:val="Tabelasiatki4akcent1"/>
        <w:tblW w:w="9180" w:type="dxa"/>
        <w:tblLook w:val="04A0" w:firstRow="1" w:lastRow="0" w:firstColumn="1" w:lastColumn="0" w:noHBand="0" w:noVBand="1"/>
        <w:tblCaption w:val="Liczba zachorowań i współczynnik zapadalności na kiłę w Polsce i woj. zachodniopomorskim w latach 2020-2024"/>
        <w:tblDescription w:val="Tabela przedstawia liczbę zachorowań oraz współczynnik zapadalności na kiłę w Polsce i województwie zachodniopomorskim w latach 2020-2024. W 2024 roku w województwie zachodniopomorskim odnotowano 2 przypadki kiły wrodzonej i noworodków, 51 przypadków kiły wczesnej oraz 77 przypadków kiły późnej, innej i nieokreślonej."/>
      </w:tblPr>
      <w:tblGrid>
        <w:gridCol w:w="1909"/>
        <w:gridCol w:w="612"/>
        <w:gridCol w:w="724"/>
        <w:gridCol w:w="789"/>
        <w:gridCol w:w="726"/>
        <w:gridCol w:w="639"/>
        <w:gridCol w:w="726"/>
        <w:gridCol w:w="697"/>
        <w:gridCol w:w="765"/>
        <w:gridCol w:w="722"/>
        <w:gridCol w:w="871"/>
      </w:tblGrid>
      <w:tr w:rsidR="000B4D72" w:rsidRPr="00FF50CD" w14:paraId="6F91BBA8" w14:textId="77777777" w:rsidTr="00F86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11"/>
            <w:vAlign w:val="center"/>
          </w:tcPr>
          <w:p w14:paraId="201C0FAA"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bookmarkStart w:id="111" w:name="_Hlk131670533"/>
            <w:r w:rsidRPr="00FF50CD">
              <w:rPr>
                <w:rFonts w:eastAsia="Times New Roman" w:cstheme="minorHAnsi"/>
                <w:b w:val="0"/>
                <w:bCs w:val="0"/>
                <w:sz w:val="20"/>
                <w:szCs w:val="20"/>
                <w:lang w:eastAsia="pl-PL"/>
              </w:rPr>
              <w:t>Kiła wrodzona i noworodków (A50)</w:t>
            </w:r>
          </w:p>
        </w:tc>
      </w:tr>
      <w:bookmarkEnd w:id="111"/>
      <w:tr w:rsidR="000B4D72" w:rsidRPr="00FF50CD" w14:paraId="457FB42A" w14:textId="77777777" w:rsidTr="00F8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9" w:type="dxa"/>
            <w:vMerge w:val="restart"/>
            <w:vAlign w:val="center"/>
          </w:tcPr>
          <w:p w14:paraId="44D90023"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p>
          <w:p w14:paraId="53E70BF7" w14:textId="77777777" w:rsidR="000B4D72" w:rsidRPr="00FF50CD" w:rsidRDefault="000B4D72" w:rsidP="00597239">
            <w:pPr>
              <w:tabs>
                <w:tab w:val="left" w:pos="851"/>
              </w:tabs>
              <w:spacing w:line="276" w:lineRule="auto"/>
              <w:outlineLvl w:val="3"/>
              <w:rPr>
                <w:rFonts w:ascii="Calibri" w:eastAsia="Times New Roman" w:hAnsi="Calibri" w:cs="Calibri"/>
                <w:b w:val="0"/>
                <w:bCs w:val="0"/>
                <w:sz w:val="20"/>
                <w:szCs w:val="20"/>
                <w:lang w:eastAsia="pl-PL"/>
              </w:rPr>
            </w:pPr>
          </w:p>
        </w:tc>
        <w:tc>
          <w:tcPr>
            <w:tcW w:w="1363" w:type="dxa"/>
            <w:gridSpan w:val="2"/>
            <w:vAlign w:val="center"/>
          </w:tcPr>
          <w:p w14:paraId="61C2E6FC"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2020 r.</w:t>
            </w:r>
          </w:p>
        </w:tc>
        <w:tc>
          <w:tcPr>
            <w:tcW w:w="1593" w:type="dxa"/>
            <w:gridSpan w:val="2"/>
            <w:vAlign w:val="center"/>
          </w:tcPr>
          <w:p w14:paraId="0D242CBD"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2021 r.</w:t>
            </w:r>
          </w:p>
        </w:tc>
        <w:tc>
          <w:tcPr>
            <w:tcW w:w="1370" w:type="dxa"/>
            <w:gridSpan w:val="2"/>
            <w:vAlign w:val="center"/>
          </w:tcPr>
          <w:p w14:paraId="3FD5044F"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2022 r.</w:t>
            </w:r>
          </w:p>
        </w:tc>
        <w:tc>
          <w:tcPr>
            <w:tcW w:w="1496" w:type="dxa"/>
            <w:gridSpan w:val="2"/>
            <w:vAlign w:val="center"/>
          </w:tcPr>
          <w:p w14:paraId="6A1326A2"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2023 r.</w:t>
            </w:r>
          </w:p>
        </w:tc>
        <w:tc>
          <w:tcPr>
            <w:tcW w:w="1449" w:type="dxa"/>
            <w:gridSpan w:val="2"/>
            <w:vAlign w:val="center"/>
          </w:tcPr>
          <w:p w14:paraId="7BBE102E"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2024 r.</w:t>
            </w:r>
          </w:p>
        </w:tc>
      </w:tr>
      <w:tr w:rsidR="000B4D72" w:rsidRPr="00FF50CD" w14:paraId="28888B38" w14:textId="77777777" w:rsidTr="00F865A1">
        <w:trPr>
          <w:trHeight w:val="1354"/>
        </w:trPr>
        <w:tc>
          <w:tcPr>
            <w:cnfStyle w:val="001000000000" w:firstRow="0" w:lastRow="0" w:firstColumn="1" w:lastColumn="0" w:oddVBand="0" w:evenVBand="0" w:oddHBand="0" w:evenHBand="0" w:firstRowFirstColumn="0" w:firstRowLastColumn="0" w:lastRowFirstColumn="0" w:lastRowLastColumn="0"/>
            <w:tcW w:w="1909" w:type="dxa"/>
            <w:vMerge/>
            <w:vAlign w:val="center"/>
          </w:tcPr>
          <w:p w14:paraId="4F2F880C" w14:textId="77777777" w:rsidR="000B4D72" w:rsidRPr="00FF50CD" w:rsidRDefault="000B4D72" w:rsidP="00597239">
            <w:pPr>
              <w:tabs>
                <w:tab w:val="left" w:pos="851"/>
              </w:tabs>
              <w:spacing w:line="276" w:lineRule="auto"/>
              <w:outlineLvl w:val="3"/>
              <w:rPr>
                <w:rFonts w:ascii="Calibri" w:eastAsia="Times New Roman" w:hAnsi="Calibri" w:cs="Calibri"/>
                <w:b w:val="0"/>
                <w:bCs w:val="0"/>
                <w:sz w:val="20"/>
                <w:szCs w:val="20"/>
                <w:lang w:eastAsia="pl-PL"/>
              </w:rPr>
            </w:pPr>
          </w:p>
        </w:tc>
        <w:tc>
          <w:tcPr>
            <w:tcW w:w="639" w:type="dxa"/>
            <w:textDirection w:val="btLr"/>
            <w:vAlign w:val="center"/>
          </w:tcPr>
          <w:p w14:paraId="6D831790"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4" w:type="dxa"/>
            <w:textDirection w:val="btLr"/>
            <w:vAlign w:val="center"/>
          </w:tcPr>
          <w:p w14:paraId="592BDC08"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867" w:type="dxa"/>
            <w:textDirection w:val="btLr"/>
            <w:vAlign w:val="center"/>
          </w:tcPr>
          <w:p w14:paraId="02A50E54"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6" w:type="dxa"/>
            <w:textDirection w:val="btLr"/>
            <w:vAlign w:val="center"/>
          </w:tcPr>
          <w:p w14:paraId="112363D1"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644" w:type="dxa"/>
            <w:textDirection w:val="btLr"/>
            <w:vAlign w:val="center"/>
          </w:tcPr>
          <w:p w14:paraId="15B8FE5B"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6" w:type="dxa"/>
            <w:textDirection w:val="btLr"/>
            <w:vAlign w:val="center"/>
          </w:tcPr>
          <w:p w14:paraId="7502A0BA"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719" w:type="dxa"/>
            <w:textDirection w:val="btLr"/>
            <w:vAlign w:val="center"/>
          </w:tcPr>
          <w:p w14:paraId="00DCFE34"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77" w:type="dxa"/>
            <w:textDirection w:val="btLr"/>
            <w:vAlign w:val="center"/>
          </w:tcPr>
          <w:p w14:paraId="3910C378"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722" w:type="dxa"/>
            <w:textDirection w:val="btLr"/>
            <w:vAlign w:val="center"/>
          </w:tcPr>
          <w:p w14:paraId="53279D5F"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7" w:type="dxa"/>
            <w:textDirection w:val="btLr"/>
            <w:vAlign w:val="center"/>
          </w:tcPr>
          <w:p w14:paraId="31CD3575"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r>
      <w:tr w:rsidR="000B4D72" w:rsidRPr="00FF50CD" w14:paraId="234367C4" w14:textId="77777777" w:rsidTr="00F865A1">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1951A249"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r w:rsidRPr="00FF50CD">
              <w:rPr>
                <w:rFonts w:eastAsia="Times New Roman" w:cstheme="minorHAnsi"/>
                <w:b w:val="0"/>
                <w:bCs w:val="0"/>
                <w:smallCaps/>
                <w:sz w:val="20"/>
                <w:szCs w:val="20"/>
                <w:lang w:eastAsia="pl-PL"/>
              </w:rPr>
              <w:t>Polska</w:t>
            </w:r>
          </w:p>
        </w:tc>
        <w:tc>
          <w:tcPr>
            <w:tcW w:w="639" w:type="dxa"/>
            <w:vAlign w:val="center"/>
          </w:tcPr>
          <w:p w14:paraId="6BCB942C"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w:t>
            </w:r>
          </w:p>
        </w:tc>
        <w:tc>
          <w:tcPr>
            <w:tcW w:w="724" w:type="dxa"/>
            <w:vAlign w:val="center"/>
          </w:tcPr>
          <w:p w14:paraId="7C004B0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0,84</w:t>
            </w:r>
          </w:p>
        </w:tc>
        <w:tc>
          <w:tcPr>
            <w:tcW w:w="867" w:type="dxa"/>
            <w:vAlign w:val="center"/>
          </w:tcPr>
          <w:p w14:paraId="324B2CE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726" w:type="dxa"/>
            <w:vAlign w:val="center"/>
          </w:tcPr>
          <w:p w14:paraId="0905656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0,30</w:t>
            </w:r>
          </w:p>
        </w:tc>
        <w:tc>
          <w:tcPr>
            <w:tcW w:w="644" w:type="dxa"/>
            <w:vAlign w:val="center"/>
          </w:tcPr>
          <w:p w14:paraId="2F107DC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w:t>
            </w:r>
          </w:p>
        </w:tc>
        <w:tc>
          <w:tcPr>
            <w:tcW w:w="726" w:type="dxa"/>
            <w:vAlign w:val="center"/>
          </w:tcPr>
          <w:p w14:paraId="26B544A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1,58</w:t>
            </w:r>
          </w:p>
        </w:tc>
        <w:tc>
          <w:tcPr>
            <w:tcW w:w="719" w:type="dxa"/>
            <w:vAlign w:val="center"/>
          </w:tcPr>
          <w:p w14:paraId="1318B2D0"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w:t>
            </w:r>
          </w:p>
        </w:tc>
        <w:tc>
          <w:tcPr>
            <w:tcW w:w="777" w:type="dxa"/>
            <w:vAlign w:val="center"/>
          </w:tcPr>
          <w:p w14:paraId="359082BF"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1,10</w:t>
            </w:r>
          </w:p>
        </w:tc>
        <w:tc>
          <w:tcPr>
            <w:tcW w:w="722" w:type="dxa"/>
            <w:vAlign w:val="center"/>
          </w:tcPr>
          <w:p w14:paraId="03F4A12C"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w:t>
            </w:r>
          </w:p>
        </w:tc>
        <w:tc>
          <w:tcPr>
            <w:tcW w:w="727" w:type="dxa"/>
            <w:vAlign w:val="center"/>
          </w:tcPr>
          <w:p w14:paraId="5AD7C8E9"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4,77</w:t>
            </w:r>
          </w:p>
        </w:tc>
      </w:tr>
      <w:tr w:rsidR="000B4D72" w:rsidRPr="00FF50CD" w14:paraId="1F2259C6" w14:textId="77777777" w:rsidTr="00F865A1">
        <w:trPr>
          <w:trHeight w:val="545"/>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6BF08ADD" w14:textId="77777777" w:rsidR="000B4D72" w:rsidRPr="00FF50CD" w:rsidRDefault="000B4D72" w:rsidP="00597239">
            <w:pPr>
              <w:rPr>
                <w:rFonts w:cstheme="minorHAnsi"/>
                <w:b w:val="0"/>
                <w:bCs w:val="0"/>
                <w:sz w:val="20"/>
                <w:szCs w:val="20"/>
                <w:lang w:eastAsia="pl-PL"/>
              </w:rPr>
            </w:pPr>
            <w:r w:rsidRPr="00FF50CD">
              <w:rPr>
                <w:rFonts w:cstheme="minorHAnsi"/>
                <w:b w:val="0"/>
                <w:bCs w:val="0"/>
                <w:sz w:val="20"/>
                <w:szCs w:val="20"/>
                <w:lang w:eastAsia="pl-PL"/>
              </w:rPr>
              <w:t>województwo</w:t>
            </w:r>
          </w:p>
          <w:p w14:paraId="060C3720" w14:textId="77777777" w:rsidR="000B4D72" w:rsidRPr="00FF50CD" w:rsidRDefault="000B4D72" w:rsidP="00597239">
            <w:pPr>
              <w:rPr>
                <w:rFonts w:cstheme="minorHAnsi"/>
                <w:b w:val="0"/>
                <w:bCs w:val="0"/>
                <w:lang w:eastAsia="pl-PL"/>
              </w:rPr>
            </w:pPr>
            <w:r w:rsidRPr="00FF50CD">
              <w:rPr>
                <w:rFonts w:cstheme="minorHAnsi"/>
                <w:b w:val="0"/>
                <w:bCs w:val="0"/>
                <w:sz w:val="20"/>
                <w:szCs w:val="20"/>
                <w:lang w:eastAsia="pl-PL"/>
              </w:rPr>
              <w:t>zachodniopomorskie</w:t>
            </w:r>
          </w:p>
        </w:tc>
        <w:tc>
          <w:tcPr>
            <w:tcW w:w="639" w:type="dxa"/>
            <w:vAlign w:val="center"/>
          </w:tcPr>
          <w:p w14:paraId="1DAB7D66"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724" w:type="dxa"/>
            <w:vAlign w:val="center"/>
          </w:tcPr>
          <w:p w14:paraId="56F6836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6,8</w:t>
            </w:r>
          </w:p>
        </w:tc>
        <w:tc>
          <w:tcPr>
            <w:tcW w:w="867" w:type="dxa"/>
            <w:vAlign w:val="center"/>
          </w:tcPr>
          <w:p w14:paraId="4A1CD07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w:t>
            </w:r>
          </w:p>
        </w:tc>
        <w:tc>
          <w:tcPr>
            <w:tcW w:w="726" w:type="dxa"/>
            <w:vAlign w:val="center"/>
          </w:tcPr>
          <w:p w14:paraId="4E76B70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w:t>
            </w:r>
          </w:p>
        </w:tc>
        <w:tc>
          <w:tcPr>
            <w:tcW w:w="644" w:type="dxa"/>
            <w:vAlign w:val="center"/>
          </w:tcPr>
          <w:p w14:paraId="3B587829"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726" w:type="dxa"/>
            <w:vAlign w:val="center"/>
          </w:tcPr>
          <w:p w14:paraId="4C0696F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8,21</w:t>
            </w:r>
          </w:p>
        </w:tc>
        <w:tc>
          <w:tcPr>
            <w:tcW w:w="719" w:type="dxa"/>
            <w:vAlign w:val="center"/>
          </w:tcPr>
          <w:p w14:paraId="33DA1B95"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w:t>
            </w:r>
          </w:p>
        </w:tc>
        <w:tc>
          <w:tcPr>
            <w:tcW w:w="777" w:type="dxa"/>
            <w:vAlign w:val="center"/>
          </w:tcPr>
          <w:p w14:paraId="5160F028"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w:t>
            </w:r>
          </w:p>
        </w:tc>
        <w:tc>
          <w:tcPr>
            <w:tcW w:w="722" w:type="dxa"/>
            <w:vAlign w:val="center"/>
          </w:tcPr>
          <w:p w14:paraId="0EE9FDE2"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727" w:type="dxa"/>
            <w:vAlign w:val="center"/>
          </w:tcPr>
          <w:p w14:paraId="41BD884A"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20,28**</w:t>
            </w:r>
          </w:p>
        </w:tc>
      </w:tr>
      <w:tr w:rsidR="000B4D72" w:rsidRPr="00FF50CD" w14:paraId="7A2D9598" w14:textId="77777777" w:rsidTr="00F8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11"/>
            <w:vAlign w:val="center"/>
          </w:tcPr>
          <w:p w14:paraId="03DAC113"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Kiła wczesna (A51)</w:t>
            </w:r>
          </w:p>
        </w:tc>
      </w:tr>
      <w:tr w:rsidR="000B4D72" w:rsidRPr="00FF50CD" w14:paraId="115600F4" w14:textId="77777777" w:rsidTr="00F865A1">
        <w:trPr>
          <w:trHeight w:val="491"/>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41D0E20D"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r w:rsidRPr="00FF50CD">
              <w:rPr>
                <w:rFonts w:eastAsia="Times New Roman" w:cstheme="minorHAnsi"/>
                <w:b w:val="0"/>
                <w:bCs w:val="0"/>
                <w:smallCaps/>
                <w:sz w:val="20"/>
                <w:szCs w:val="20"/>
                <w:lang w:eastAsia="pl-PL"/>
              </w:rPr>
              <w:t>Polska</w:t>
            </w:r>
          </w:p>
        </w:tc>
        <w:tc>
          <w:tcPr>
            <w:tcW w:w="639" w:type="dxa"/>
            <w:vAlign w:val="center"/>
          </w:tcPr>
          <w:p w14:paraId="057CF40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343</w:t>
            </w:r>
          </w:p>
        </w:tc>
        <w:tc>
          <w:tcPr>
            <w:tcW w:w="724" w:type="dxa"/>
            <w:vAlign w:val="center"/>
          </w:tcPr>
          <w:p w14:paraId="25AB5CB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0,89</w:t>
            </w:r>
          </w:p>
        </w:tc>
        <w:tc>
          <w:tcPr>
            <w:tcW w:w="867" w:type="dxa"/>
            <w:vAlign w:val="center"/>
          </w:tcPr>
          <w:p w14:paraId="3A10584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556</w:t>
            </w:r>
          </w:p>
        </w:tc>
        <w:tc>
          <w:tcPr>
            <w:tcW w:w="726" w:type="dxa"/>
            <w:vAlign w:val="center"/>
          </w:tcPr>
          <w:p w14:paraId="2016A0E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1,46</w:t>
            </w:r>
          </w:p>
        </w:tc>
        <w:tc>
          <w:tcPr>
            <w:tcW w:w="644" w:type="dxa"/>
            <w:vAlign w:val="center"/>
          </w:tcPr>
          <w:p w14:paraId="1F27E8AF"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833</w:t>
            </w:r>
          </w:p>
        </w:tc>
        <w:tc>
          <w:tcPr>
            <w:tcW w:w="726" w:type="dxa"/>
            <w:vAlign w:val="center"/>
          </w:tcPr>
          <w:p w14:paraId="5916337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2,20</w:t>
            </w:r>
          </w:p>
        </w:tc>
        <w:tc>
          <w:tcPr>
            <w:tcW w:w="719" w:type="dxa"/>
            <w:vAlign w:val="center"/>
          </w:tcPr>
          <w:p w14:paraId="43C1A81C"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1073</w:t>
            </w:r>
          </w:p>
        </w:tc>
        <w:tc>
          <w:tcPr>
            <w:tcW w:w="777" w:type="dxa"/>
            <w:vAlign w:val="center"/>
          </w:tcPr>
          <w:p w14:paraId="775B1D60"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2,85</w:t>
            </w:r>
          </w:p>
        </w:tc>
        <w:tc>
          <w:tcPr>
            <w:tcW w:w="722" w:type="dxa"/>
            <w:vAlign w:val="center"/>
          </w:tcPr>
          <w:p w14:paraId="7D82D898"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1190*</w:t>
            </w:r>
          </w:p>
        </w:tc>
        <w:tc>
          <w:tcPr>
            <w:tcW w:w="727" w:type="dxa"/>
            <w:vAlign w:val="center"/>
          </w:tcPr>
          <w:p w14:paraId="1FBC2EA4"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3,17</w:t>
            </w:r>
          </w:p>
        </w:tc>
      </w:tr>
      <w:tr w:rsidR="000B4D72" w:rsidRPr="00FF50CD" w14:paraId="00B21D97" w14:textId="77777777" w:rsidTr="00F865A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2B6F4D09" w14:textId="77777777" w:rsidR="000B4D72" w:rsidRPr="00FF50CD" w:rsidRDefault="000B4D72" w:rsidP="00597239">
            <w:pPr>
              <w:rPr>
                <w:rFonts w:cstheme="minorHAnsi"/>
                <w:b w:val="0"/>
                <w:bCs w:val="0"/>
                <w:sz w:val="20"/>
                <w:szCs w:val="20"/>
                <w:lang w:eastAsia="pl-PL"/>
              </w:rPr>
            </w:pPr>
            <w:r w:rsidRPr="00FF50CD">
              <w:rPr>
                <w:rFonts w:cstheme="minorHAnsi"/>
                <w:b w:val="0"/>
                <w:bCs w:val="0"/>
                <w:sz w:val="20"/>
                <w:szCs w:val="20"/>
                <w:lang w:eastAsia="pl-PL"/>
              </w:rPr>
              <w:t>województwo</w:t>
            </w:r>
          </w:p>
          <w:p w14:paraId="67EB152E" w14:textId="77777777" w:rsidR="000B4D72" w:rsidRPr="00FF50CD" w:rsidRDefault="000B4D72" w:rsidP="00597239">
            <w:pPr>
              <w:rPr>
                <w:rFonts w:cstheme="minorHAnsi"/>
                <w:b w:val="0"/>
                <w:bCs w:val="0"/>
                <w:lang w:eastAsia="pl-PL"/>
              </w:rPr>
            </w:pPr>
            <w:r w:rsidRPr="00FF50CD">
              <w:rPr>
                <w:rFonts w:cstheme="minorHAnsi"/>
                <w:b w:val="0"/>
                <w:bCs w:val="0"/>
                <w:sz w:val="20"/>
                <w:szCs w:val="20"/>
                <w:lang w:eastAsia="pl-PL"/>
              </w:rPr>
              <w:t>zachodniopomorskie</w:t>
            </w:r>
          </w:p>
        </w:tc>
        <w:tc>
          <w:tcPr>
            <w:tcW w:w="639" w:type="dxa"/>
            <w:vAlign w:val="center"/>
          </w:tcPr>
          <w:p w14:paraId="4098676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24</w:t>
            </w:r>
          </w:p>
        </w:tc>
        <w:tc>
          <w:tcPr>
            <w:tcW w:w="724" w:type="dxa"/>
            <w:vAlign w:val="center"/>
          </w:tcPr>
          <w:p w14:paraId="31C4485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1,41</w:t>
            </w:r>
          </w:p>
        </w:tc>
        <w:tc>
          <w:tcPr>
            <w:tcW w:w="867" w:type="dxa"/>
            <w:vAlign w:val="center"/>
          </w:tcPr>
          <w:p w14:paraId="52171A1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26</w:t>
            </w:r>
          </w:p>
        </w:tc>
        <w:tc>
          <w:tcPr>
            <w:tcW w:w="726" w:type="dxa"/>
            <w:vAlign w:val="center"/>
          </w:tcPr>
          <w:p w14:paraId="5B5126A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1,54</w:t>
            </w:r>
          </w:p>
        </w:tc>
        <w:tc>
          <w:tcPr>
            <w:tcW w:w="644" w:type="dxa"/>
            <w:vAlign w:val="center"/>
          </w:tcPr>
          <w:p w14:paraId="5344618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48</w:t>
            </w:r>
          </w:p>
        </w:tc>
        <w:tc>
          <w:tcPr>
            <w:tcW w:w="726" w:type="dxa"/>
            <w:vAlign w:val="center"/>
          </w:tcPr>
          <w:p w14:paraId="015F67B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2,9</w:t>
            </w:r>
          </w:p>
        </w:tc>
        <w:tc>
          <w:tcPr>
            <w:tcW w:w="719" w:type="dxa"/>
            <w:vAlign w:val="center"/>
          </w:tcPr>
          <w:p w14:paraId="441ABD3C"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39</w:t>
            </w:r>
          </w:p>
        </w:tc>
        <w:tc>
          <w:tcPr>
            <w:tcW w:w="777" w:type="dxa"/>
            <w:vAlign w:val="center"/>
          </w:tcPr>
          <w:p w14:paraId="50DA73E6"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2,38</w:t>
            </w:r>
          </w:p>
        </w:tc>
        <w:tc>
          <w:tcPr>
            <w:tcW w:w="722" w:type="dxa"/>
            <w:vAlign w:val="center"/>
          </w:tcPr>
          <w:p w14:paraId="679D2056"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51</w:t>
            </w:r>
          </w:p>
        </w:tc>
        <w:tc>
          <w:tcPr>
            <w:tcW w:w="727" w:type="dxa"/>
            <w:vAlign w:val="center"/>
          </w:tcPr>
          <w:p w14:paraId="11EE5EA8"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3,13</w:t>
            </w:r>
          </w:p>
        </w:tc>
      </w:tr>
      <w:tr w:rsidR="000B4D72" w:rsidRPr="00FF50CD" w14:paraId="621F0945" w14:textId="77777777" w:rsidTr="00F865A1">
        <w:tc>
          <w:tcPr>
            <w:cnfStyle w:val="001000000000" w:firstRow="0" w:lastRow="0" w:firstColumn="1" w:lastColumn="0" w:oddVBand="0" w:evenVBand="0" w:oddHBand="0" w:evenHBand="0" w:firstRowFirstColumn="0" w:firstRowLastColumn="0" w:lastRowFirstColumn="0" w:lastRowLastColumn="0"/>
            <w:tcW w:w="9180" w:type="dxa"/>
            <w:gridSpan w:val="11"/>
            <w:vAlign w:val="center"/>
          </w:tcPr>
          <w:p w14:paraId="4C25D311"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Kiła późna, inna i nieokreślona (A53), (A52)</w:t>
            </w:r>
          </w:p>
        </w:tc>
      </w:tr>
      <w:tr w:rsidR="000B4D72" w:rsidRPr="00FF50CD" w14:paraId="6E1E2268" w14:textId="77777777" w:rsidTr="00F865A1">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5BB3760E"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r w:rsidRPr="00FF50CD">
              <w:rPr>
                <w:rFonts w:eastAsia="Times New Roman" w:cstheme="minorHAnsi"/>
                <w:b w:val="0"/>
                <w:bCs w:val="0"/>
                <w:smallCaps/>
                <w:sz w:val="20"/>
                <w:szCs w:val="20"/>
                <w:lang w:eastAsia="pl-PL"/>
              </w:rPr>
              <w:t>Polska</w:t>
            </w:r>
          </w:p>
        </w:tc>
        <w:tc>
          <w:tcPr>
            <w:tcW w:w="639" w:type="dxa"/>
            <w:vAlign w:val="center"/>
          </w:tcPr>
          <w:p w14:paraId="0EC4D6B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367</w:t>
            </w:r>
          </w:p>
        </w:tc>
        <w:tc>
          <w:tcPr>
            <w:tcW w:w="724" w:type="dxa"/>
            <w:vAlign w:val="center"/>
          </w:tcPr>
          <w:p w14:paraId="306D3BD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0,48</w:t>
            </w:r>
          </w:p>
        </w:tc>
        <w:tc>
          <w:tcPr>
            <w:tcW w:w="867" w:type="dxa"/>
            <w:vAlign w:val="center"/>
          </w:tcPr>
          <w:p w14:paraId="699C6989"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571</w:t>
            </w:r>
          </w:p>
        </w:tc>
        <w:tc>
          <w:tcPr>
            <w:tcW w:w="726" w:type="dxa"/>
            <w:vAlign w:val="center"/>
          </w:tcPr>
          <w:p w14:paraId="308997D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w:t>
            </w:r>
          </w:p>
        </w:tc>
        <w:tc>
          <w:tcPr>
            <w:tcW w:w="644" w:type="dxa"/>
            <w:vAlign w:val="center"/>
          </w:tcPr>
          <w:p w14:paraId="2993029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1159</w:t>
            </w:r>
          </w:p>
        </w:tc>
        <w:tc>
          <w:tcPr>
            <w:tcW w:w="726" w:type="dxa"/>
            <w:vAlign w:val="center"/>
          </w:tcPr>
          <w:p w14:paraId="07D78C3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3.07</w:t>
            </w:r>
          </w:p>
        </w:tc>
        <w:tc>
          <w:tcPr>
            <w:tcW w:w="719" w:type="dxa"/>
            <w:vAlign w:val="center"/>
          </w:tcPr>
          <w:p w14:paraId="732ACB48"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1913</w:t>
            </w:r>
          </w:p>
        </w:tc>
        <w:tc>
          <w:tcPr>
            <w:tcW w:w="777" w:type="dxa"/>
            <w:vAlign w:val="center"/>
          </w:tcPr>
          <w:p w14:paraId="4BC576ED"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5,07</w:t>
            </w:r>
          </w:p>
        </w:tc>
        <w:tc>
          <w:tcPr>
            <w:tcW w:w="722" w:type="dxa"/>
            <w:vAlign w:val="center"/>
          </w:tcPr>
          <w:p w14:paraId="71703FFB"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1838*</w:t>
            </w:r>
          </w:p>
        </w:tc>
        <w:tc>
          <w:tcPr>
            <w:tcW w:w="727" w:type="dxa"/>
            <w:vAlign w:val="center"/>
          </w:tcPr>
          <w:p w14:paraId="7A5370DF"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4,89</w:t>
            </w:r>
          </w:p>
        </w:tc>
      </w:tr>
      <w:tr w:rsidR="000B4D72" w:rsidRPr="00FF50CD" w14:paraId="1A4A20DB" w14:textId="77777777" w:rsidTr="00F865A1">
        <w:trPr>
          <w:trHeight w:val="545"/>
        </w:trPr>
        <w:tc>
          <w:tcPr>
            <w:cnfStyle w:val="001000000000" w:firstRow="0" w:lastRow="0" w:firstColumn="1" w:lastColumn="0" w:oddVBand="0" w:evenVBand="0" w:oddHBand="0" w:evenHBand="0" w:firstRowFirstColumn="0" w:firstRowLastColumn="0" w:lastRowFirstColumn="0" w:lastRowLastColumn="0"/>
            <w:tcW w:w="1909" w:type="dxa"/>
            <w:vAlign w:val="center"/>
          </w:tcPr>
          <w:p w14:paraId="151AD251" w14:textId="77777777" w:rsidR="000B4D72" w:rsidRPr="00FF50CD" w:rsidRDefault="000B4D72" w:rsidP="00597239">
            <w:pPr>
              <w:rPr>
                <w:rFonts w:cstheme="minorHAnsi"/>
                <w:b w:val="0"/>
                <w:bCs w:val="0"/>
                <w:sz w:val="20"/>
                <w:szCs w:val="20"/>
                <w:lang w:eastAsia="pl-PL"/>
              </w:rPr>
            </w:pPr>
            <w:r w:rsidRPr="00FF50CD">
              <w:rPr>
                <w:rFonts w:cstheme="minorHAnsi"/>
                <w:b w:val="0"/>
                <w:bCs w:val="0"/>
                <w:sz w:val="20"/>
                <w:szCs w:val="20"/>
                <w:lang w:eastAsia="pl-PL"/>
              </w:rPr>
              <w:t>województwo</w:t>
            </w:r>
          </w:p>
          <w:p w14:paraId="41031B82" w14:textId="77777777" w:rsidR="000B4D72" w:rsidRPr="00FF50CD" w:rsidRDefault="000B4D72" w:rsidP="00597239">
            <w:pPr>
              <w:rPr>
                <w:rFonts w:cstheme="minorHAnsi"/>
                <w:b w:val="0"/>
                <w:bCs w:val="0"/>
                <w:lang w:eastAsia="pl-PL"/>
              </w:rPr>
            </w:pPr>
            <w:r w:rsidRPr="00FF50CD">
              <w:rPr>
                <w:rFonts w:cstheme="minorHAnsi"/>
                <w:b w:val="0"/>
                <w:bCs w:val="0"/>
                <w:sz w:val="20"/>
                <w:szCs w:val="20"/>
                <w:lang w:eastAsia="pl-PL"/>
              </w:rPr>
              <w:t>zachodniopomorskie</w:t>
            </w:r>
          </w:p>
        </w:tc>
        <w:tc>
          <w:tcPr>
            <w:tcW w:w="639" w:type="dxa"/>
            <w:vAlign w:val="center"/>
          </w:tcPr>
          <w:p w14:paraId="2F4318E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w:t>
            </w:r>
          </w:p>
        </w:tc>
        <w:tc>
          <w:tcPr>
            <w:tcW w:w="724" w:type="dxa"/>
            <w:vAlign w:val="center"/>
          </w:tcPr>
          <w:p w14:paraId="3C1F251E"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0,89</w:t>
            </w:r>
          </w:p>
        </w:tc>
        <w:tc>
          <w:tcPr>
            <w:tcW w:w="867" w:type="dxa"/>
            <w:vAlign w:val="center"/>
          </w:tcPr>
          <w:p w14:paraId="11DFC98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40</w:t>
            </w:r>
          </w:p>
        </w:tc>
        <w:tc>
          <w:tcPr>
            <w:tcW w:w="726" w:type="dxa"/>
            <w:vAlign w:val="center"/>
          </w:tcPr>
          <w:p w14:paraId="514289B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2,38</w:t>
            </w:r>
          </w:p>
        </w:tc>
        <w:tc>
          <w:tcPr>
            <w:tcW w:w="644" w:type="dxa"/>
            <w:vAlign w:val="center"/>
          </w:tcPr>
          <w:p w14:paraId="00AA3D9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67</w:t>
            </w:r>
          </w:p>
        </w:tc>
        <w:tc>
          <w:tcPr>
            <w:tcW w:w="726" w:type="dxa"/>
            <w:vAlign w:val="center"/>
          </w:tcPr>
          <w:p w14:paraId="1E09E3B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4,0</w:t>
            </w:r>
          </w:p>
        </w:tc>
        <w:tc>
          <w:tcPr>
            <w:tcW w:w="719" w:type="dxa"/>
            <w:vAlign w:val="center"/>
          </w:tcPr>
          <w:p w14:paraId="7C7086E4"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90</w:t>
            </w:r>
          </w:p>
        </w:tc>
        <w:tc>
          <w:tcPr>
            <w:tcW w:w="777" w:type="dxa"/>
            <w:vAlign w:val="center"/>
          </w:tcPr>
          <w:p w14:paraId="03F3C7C3"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5,5</w:t>
            </w:r>
          </w:p>
        </w:tc>
        <w:tc>
          <w:tcPr>
            <w:tcW w:w="722" w:type="dxa"/>
            <w:vAlign w:val="center"/>
          </w:tcPr>
          <w:p w14:paraId="3A434780"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77</w:t>
            </w:r>
          </w:p>
        </w:tc>
        <w:tc>
          <w:tcPr>
            <w:tcW w:w="727" w:type="dxa"/>
            <w:vAlign w:val="center"/>
          </w:tcPr>
          <w:p w14:paraId="421AD42A"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4,73</w:t>
            </w:r>
          </w:p>
        </w:tc>
      </w:tr>
    </w:tbl>
    <w:p w14:paraId="28DB43FB" w14:textId="77777777" w:rsidR="000B4D72" w:rsidRDefault="000B4D72" w:rsidP="00597239">
      <w:pPr>
        <w:spacing w:after="0" w:line="240" w:lineRule="auto"/>
        <w:rPr>
          <w:rFonts w:cstheme="minorHAnsi"/>
          <w:bCs/>
          <w:sz w:val="18"/>
          <w:szCs w:val="18"/>
        </w:rPr>
      </w:pPr>
      <w:r w:rsidRPr="00F7388E">
        <w:rPr>
          <w:rFonts w:cstheme="minorHAnsi"/>
          <w:bCs/>
          <w:sz w:val="18"/>
          <w:szCs w:val="18"/>
        </w:rPr>
        <w:t>*dane wstępne</w:t>
      </w:r>
    </w:p>
    <w:p w14:paraId="087E8657" w14:textId="5EB49104" w:rsidR="00EE16EC" w:rsidRPr="00EE16EC" w:rsidRDefault="000B4D72" w:rsidP="00597239">
      <w:pPr>
        <w:spacing w:after="120" w:line="240" w:lineRule="auto"/>
        <w:rPr>
          <w:rFonts w:cstheme="minorHAnsi"/>
          <w:bCs/>
          <w:sz w:val="18"/>
          <w:szCs w:val="18"/>
        </w:rPr>
      </w:pPr>
      <w:r>
        <w:rPr>
          <w:rFonts w:cstheme="minorHAnsi"/>
          <w:bCs/>
          <w:sz w:val="18"/>
          <w:szCs w:val="18"/>
        </w:rPr>
        <w:t xml:space="preserve">** zapadalność obliczono na 100 tys. żywych urodzeń </w:t>
      </w:r>
      <w:bookmarkStart w:id="112" w:name="_Toc193805989"/>
    </w:p>
    <w:p w14:paraId="54580F51" w14:textId="77777777" w:rsidR="00EE16EC" w:rsidRDefault="00EE16EC" w:rsidP="00597239">
      <w:pPr>
        <w:pStyle w:val="Legenda"/>
        <w:rPr>
          <w:i w:val="0"/>
          <w:iCs w:val="0"/>
          <w:color w:val="000000" w:themeColor="text1"/>
        </w:rPr>
      </w:pPr>
    </w:p>
    <w:p w14:paraId="6A8C1AC8" w14:textId="2EC3005C" w:rsidR="000B4D72" w:rsidRPr="00821817" w:rsidRDefault="00821817" w:rsidP="00597239">
      <w:pPr>
        <w:pStyle w:val="Legenda"/>
        <w:spacing w:after="0"/>
        <w:rPr>
          <w:bCs/>
          <w:i w:val="0"/>
          <w:iCs w:val="0"/>
          <w:color w:val="000000" w:themeColor="text1"/>
        </w:rPr>
      </w:pPr>
      <w:bookmarkStart w:id="113" w:name="_Toc193969537"/>
      <w:bookmarkStart w:id="114" w:name="_Toc194059997"/>
      <w:r w:rsidRPr="00821817">
        <w:rPr>
          <w:i w:val="0"/>
          <w:iCs w:val="0"/>
          <w:color w:val="000000" w:themeColor="text1"/>
        </w:rPr>
        <w:t xml:space="preserve">Tabela </w:t>
      </w:r>
      <w:r w:rsidRPr="00821817">
        <w:rPr>
          <w:i w:val="0"/>
          <w:iCs w:val="0"/>
          <w:color w:val="000000" w:themeColor="text1"/>
        </w:rPr>
        <w:fldChar w:fldCharType="begin"/>
      </w:r>
      <w:r w:rsidRPr="00821817">
        <w:rPr>
          <w:i w:val="0"/>
          <w:iCs w:val="0"/>
          <w:color w:val="000000" w:themeColor="text1"/>
        </w:rPr>
        <w:instrText xml:space="preserve"> SEQ Tabela \* ARABIC </w:instrText>
      </w:r>
      <w:r w:rsidRPr="00821817">
        <w:rPr>
          <w:i w:val="0"/>
          <w:iCs w:val="0"/>
          <w:color w:val="000000" w:themeColor="text1"/>
        </w:rPr>
        <w:fldChar w:fldCharType="separate"/>
      </w:r>
      <w:r w:rsidR="00FB6F6A">
        <w:rPr>
          <w:i w:val="0"/>
          <w:iCs w:val="0"/>
          <w:noProof/>
          <w:color w:val="000000" w:themeColor="text1"/>
        </w:rPr>
        <w:t>19</w:t>
      </w:r>
      <w:r w:rsidRPr="00821817">
        <w:rPr>
          <w:i w:val="0"/>
          <w:iCs w:val="0"/>
          <w:color w:val="000000" w:themeColor="text1"/>
        </w:rPr>
        <w:fldChar w:fldCharType="end"/>
      </w:r>
      <w:r w:rsidR="00E75D31">
        <w:rPr>
          <w:i w:val="0"/>
          <w:iCs w:val="0"/>
          <w:color w:val="000000" w:themeColor="text1"/>
        </w:rPr>
        <w:t>.</w:t>
      </w:r>
      <w:r w:rsidRPr="00821817">
        <w:rPr>
          <w:i w:val="0"/>
          <w:iCs w:val="0"/>
          <w:color w:val="000000" w:themeColor="text1"/>
        </w:rPr>
        <w:t xml:space="preserve"> Liczba zachorowań i współczynnik zapadalności na inne choroby przenoszone drogą płciową w Polsce i woj. zachodniopomorskim w latach 2020-2024</w:t>
      </w:r>
      <w:bookmarkEnd w:id="112"/>
      <w:bookmarkEnd w:id="113"/>
      <w:bookmarkEnd w:id="114"/>
    </w:p>
    <w:tbl>
      <w:tblPr>
        <w:tblStyle w:val="Tabelasiatki4akcent1"/>
        <w:tblW w:w="9180" w:type="dxa"/>
        <w:tblLook w:val="04A0" w:firstRow="1" w:lastRow="0" w:firstColumn="1" w:lastColumn="0" w:noHBand="0" w:noVBand="1"/>
        <w:tblCaption w:val="Liczba zachorowań i współczynnik zapadalności na inne choroby przenoszone drogą płciową w Polsce i woj. zachodniopomorskim w latach 2020-2024"/>
        <w:tblDescription w:val="Tabela przedstawia liczbę zachorowań oraz współczynnik zapadalności na inne choroby przenoszone drogą płciową w Polsce i województwie zachodniopomorskim w latach 2020-2024. W 2024 roku w województwie zachodniopomorskim odnotowano 34 przypadki zachorowań na rzeżączkę oraz 48 przypadków zachorowań na inne choroby przenoszone drogą płciową wywołane przez Chlamydiae."/>
      </w:tblPr>
      <w:tblGrid>
        <w:gridCol w:w="1908"/>
        <w:gridCol w:w="727"/>
        <w:gridCol w:w="727"/>
        <w:gridCol w:w="727"/>
        <w:gridCol w:w="727"/>
        <w:gridCol w:w="728"/>
        <w:gridCol w:w="727"/>
        <w:gridCol w:w="727"/>
        <w:gridCol w:w="727"/>
        <w:gridCol w:w="727"/>
        <w:gridCol w:w="728"/>
      </w:tblGrid>
      <w:tr w:rsidR="000B4D72" w:rsidRPr="00FF50CD" w14:paraId="56455D2E" w14:textId="77777777" w:rsidTr="00F86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11"/>
            <w:vAlign w:val="center"/>
          </w:tcPr>
          <w:p w14:paraId="1BEC60AC"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Rzeżączka (A54)</w:t>
            </w:r>
          </w:p>
        </w:tc>
      </w:tr>
      <w:tr w:rsidR="000B4D72" w:rsidRPr="00FF50CD" w14:paraId="2D925836" w14:textId="77777777" w:rsidTr="00F8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vMerge w:val="restart"/>
            <w:vAlign w:val="center"/>
          </w:tcPr>
          <w:p w14:paraId="3E149E7A" w14:textId="77777777" w:rsidR="000B4D72" w:rsidRPr="00FF50CD" w:rsidRDefault="000B4D72" w:rsidP="00597239">
            <w:pPr>
              <w:tabs>
                <w:tab w:val="left" w:pos="851"/>
              </w:tabs>
              <w:spacing w:line="276" w:lineRule="auto"/>
              <w:outlineLvl w:val="3"/>
              <w:rPr>
                <w:rFonts w:ascii="Calibri" w:eastAsia="Times New Roman" w:hAnsi="Calibri" w:cs="Calibri"/>
                <w:b w:val="0"/>
                <w:bCs w:val="0"/>
                <w:sz w:val="20"/>
                <w:szCs w:val="20"/>
                <w:lang w:eastAsia="pl-PL"/>
              </w:rPr>
            </w:pPr>
          </w:p>
        </w:tc>
        <w:tc>
          <w:tcPr>
            <w:tcW w:w="1454" w:type="dxa"/>
            <w:gridSpan w:val="2"/>
            <w:vAlign w:val="center"/>
          </w:tcPr>
          <w:p w14:paraId="38109652"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2020 r.</w:t>
            </w:r>
          </w:p>
        </w:tc>
        <w:tc>
          <w:tcPr>
            <w:tcW w:w="1454" w:type="dxa"/>
            <w:gridSpan w:val="2"/>
            <w:vAlign w:val="center"/>
          </w:tcPr>
          <w:p w14:paraId="6F63A61F"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2021 r.</w:t>
            </w:r>
          </w:p>
        </w:tc>
        <w:tc>
          <w:tcPr>
            <w:tcW w:w="1455" w:type="dxa"/>
            <w:gridSpan w:val="2"/>
            <w:vAlign w:val="center"/>
          </w:tcPr>
          <w:p w14:paraId="5CE8E766"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2022 r.</w:t>
            </w:r>
          </w:p>
        </w:tc>
        <w:tc>
          <w:tcPr>
            <w:tcW w:w="1454" w:type="dxa"/>
            <w:gridSpan w:val="2"/>
            <w:vAlign w:val="center"/>
          </w:tcPr>
          <w:p w14:paraId="6E0222DF"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2023 r.</w:t>
            </w:r>
          </w:p>
        </w:tc>
        <w:tc>
          <w:tcPr>
            <w:tcW w:w="1455" w:type="dxa"/>
            <w:gridSpan w:val="2"/>
            <w:vAlign w:val="center"/>
          </w:tcPr>
          <w:p w14:paraId="6300B7A6"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2024 r.</w:t>
            </w:r>
          </w:p>
        </w:tc>
      </w:tr>
      <w:tr w:rsidR="000B4D72" w:rsidRPr="00FF50CD" w14:paraId="758E2675" w14:textId="77777777" w:rsidTr="00F865A1">
        <w:trPr>
          <w:trHeight w:val="1354"/>
        </w:trPr>
        <w:tc>
          <w:tcPr>
            <w:cnfStyle w:val="001000000000" w:firstRow="0" w:lastRow="0" w:firstColumn="1" w:lastColumn="0" w:oddVBand="0" w:evenVBand="0" w:oddHBand="0" w:evenHBand="0" w:firstRowFirstColumn="0" w:firstRowLastColumn="0" w:lastRowFirstColumn="0" w:lastRowLastColumn="0"/>
            <w:tcW w:w="1908" w:type="dxa"/>
            <w:vMerge/>
            <w:vAlign w:val="center"/>
          </w:tcPr>
          <w:p w14:paraId="624EE196" w14:textId="77777777" w:rsidR="000B4D72" w:rsidRPr="00FF50CD" w:rsidRDefault="000B4D72" w:rsidP="00597239">
            <w:pPr>
              <w:tabs>
                <w:tab w:val="left" w:pos="851"/>
              </w:tabs>
              <w:spacing w:line="276" w:lineRule="auto"/>
              <w:outlineLvl w:val="3"/>
              <w:rPr>
                <w:rFonts w:ascii="Calibri" w:eastAsia="Times New Roman" w:hAnsi="Calibri" w:cs="Calibri"/>
                <w:b w:val="0"/>
                <w:bCs w:val="0"/>
                <w:sz w:val="20"/>
                <w:szCs w:val="20"/>
                <w:lang w:eastAsia="pl-PL"/>
              </w:rPr>
            </w:pPr>
          </w:p>
        </w:tc>
        <w:tc>
          <w:tcPr>
            <w:tcW w:w="727" w:type="dxa"/>
            <w:textDirection w:val="btLr"/>
            <w:vAlign w:val="center"/>
          </w:tcPr>
          <w:p w14:paraId="07312CC2"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7" w:type="dxa"/>
            <w:textDirection w:val="btLr"/>
            <w:vAlign w:val="center"/>
          </w:tcPr>
          <w:p w14:paraId="048ECC39"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727" w:type="dxa"/>
            <w:textDirection w:val="btLr"/>
            <w:vAlign w:val="center"/>
          </w:tcPr>
          <w:p w14:paraId="753D4D98"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7" w:type="dxa"/>
            <w:textDirection w:val="btLr"/>
            <w:vAlign w:val="center"/>
          </w:tcPr>
          <w:p w14:paraId="4BD6A479"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728" w:type="dxa"/>
            <w:textDirection w:val="btLr"/>
            <w:vAlign w:val="center"/>
          </w:tcPr>
          <w:p w14:paraId="0470914C"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7" w:type="dxa"/>
            <w:textDirection w:val="btLr"/>
            <w:vAlign w:val="center"/>
          </w:tcPr>
          <w:p w14:paraId="6D82D431"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727" w:type="dxa"/>
            <w:textDirection w:val="btLr"/>
            <w:vAlign w:val="center"/>
          </w:tcPr>
          <w:p w14:paraId="4F1355DC"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7" w:type="dxa"/>
            <w:textDirection w:val="btLr"/>
            <w:vAlign w:val="center"/>
          </w:tcPr>
          <w:p w14:paraId="33D1AEB7"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c>
          <w:tcPr>
            <w:tcW w:w="727" w:type="dxa"/>
            <w:textDirection w:val="btLr"/>
            <w:vAlign w:val="center"/>
          </w:tcPr>
          <w:p w14:paraId="0E287B80"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zachorowań</w:t>
            </w:r>
          </w:p>
        </w:tc>
        <w:tc>
          <w:tcPr>
            <w:tcW w:w="728" w:type="dxa"/>
            <w:textDirection w:val="btLr"/>
            <w:vAlign w:val="center"/>
          </w:tcPr>
          <w:p w14:paraId="421688E2" w14:textId="77777777" w:rsidR="000B4D72" w:rsidRPr="00FF50CD" w:rsidRDefault="000B4D72" w:rsidP="00597239">
            <w:pPr>
              <w:tabs>
                <w:tab w:val="left" w:pos="851"/>
              </w:tabs>
              <w:ind w:left="113" w:right="113"/>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r w:rsidRPr="00FF50CD">
              <w:rPr>
                <w:rFonts w:eastAsia="Times New Roman" w:cstheme="minorHAnsi"/>
                <w:sz w:val="20"/>
                <w:szCs w:val="20"/>
                <w:lang w:eastAsia="pl-PL"/>
              </w:rPr>
              <w:br/>
              <w:t>na 100 tys.</w:t>
            </w:r>
          </w:p>
        </w:tc>
      </w:tr>
      <w:tr w:rsidR="000B4D72" w:rsidRPr="00FF50CD" w14:paraId="4F987EC3" w14:textId="77777777" w:rsidTr="00F865A1">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696646F8"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r w:rsidRPr="00FF50CD">
              <w:rPr>
                <w:rFonts w:eastAsia="Times New Roman" w:cstheme="minorHAnsi"/>
                <w:b w:val="0"/>
                <w:bCs w:val="0"/>
                <w:smallCaps/>
                <w:sz w:val="20"/>
                <w:szCs w:val="20"/>
                <w:lang w:eastAsia="pl-PL"/>
              </w:rPr>
              <w:t>Polska</w:t>
            </w:r>
          </w:p>
        </w:tc>
        <w:tc>
          <w:tcPr>
            <w:tcW w:w="727" w:type="dxa"/>
            <w:vAlign w:val="center"/>
          </w:tcPr>
          <w:p w14:paraId="13BD8AA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246</w:t>
            </w:r>
          </w:p>
        </w:tc>
        <w:tc>
          <w:tcPr>
            <w:tcW w:w="727" w:type="dxa"/>
            <w:vAlign w:val="center"/>
          </w:tcPr>
          <w:p w14:paraId="697D44D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0,64</w:t>
            </w:r>
          </w:p>
        </w:tc>
        <w:tc>
          <w:tcPr>
            <w:tcW w:w="727" w:type="dxa"/>
            <w:vAlign w:val="center"/>
          </w:tcPr>
          <w:p w14:paraId="05C5F47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287</w:t>
            </w:r>
          </w:p>
        </w:tc>
        <w:tc>
          <w:tcPr>
            <w:tcW w:w="727" w:type="dxa"/>
            <w:vAlign w:val="center"/>
          </w:tcPr>
          <w:p w14:paraId="163F902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0,75</w:t>
            </w:r>
          </w:p>
        </w:tc>
        <w:tc>
          <w:tcPr>
            <w:tcW w:w="728" w:type="dxa"/>
            <w:vAlign w:val="center"/>
          </w:tcPr>
          <w:p w14:paraId="1F8B1B9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630</w:t>
            </w:r>
          </w:p>
        </w:tc>
        <w:tc>
          <w:tcPr>
            <w:tcW w:w="727" w:type="dxa"/>
            <w:vAlign w:val="center"/>
          </w:tcPr>
          <w:p w14:paraId="36AE326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1,67</w:t>
            </w:r>
          </w:p>
        </w:tc>
        <w:tc>
          <w:tcPr>
            <w:tcW w:w="727" w:type="dxa"/>
            <w:vAlign w:val="center"/>
          </w:tcPr>
          <w:p w14:paraId="53D00B8E"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1322</w:t>
            </w:r>
          </w:p>
        </w:tc>
        <w:tc>
          <w:tcPr>
            <w:tcW w:w="727" w:type="dxa"/>
            <w:vAlign w:val="center"/>
          </w:tcPr>
          <w:p w14:paraId="6F582FA2"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3,51</w:t>
            </w:r>
          </w:p>
        </w:tc>
        <w:tc>
          <w:tcPr>
            <w:tcW w:w="727" w:type="dxa"/>
            <w:vAlign w:val="center"/>
          </w:tcPr>
          <w:p w14:paraId="25284D05"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1191*</w:t>
            </w:r>
          </w:p>
        </w:tc>
        <w:tc>
          <w:tcPr>
            <w:tcW w:w="728" w:type="dxa"/>
            <w:vAlign w:val="center"/>
          </w:tcPr>
          <w:p w14:paraId="161F7357"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3,17</w:t>
            </w:r>
          </w:p>
        </w:tc>
      </w:tr>
      <w:tr w:rsidR="000B4D72" w:rsidRPr="00FF50CD" w14:paraId="38C043A8" w14:textId="77777777" w:rsidTr="00F865A1">
        <w:trPr>
          <w:trHeight w:val="545"/>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2843D47C" w14:textId="77777777" w:rsidR="000B4D72" w:rsidRPr="00FF50CD" w:rsidRDefault="000B4D72" w:rsidP="00597239">
            <w:pPr>
              <w:rPr>
                <w:rFonts w:cstheme="minorHAnsi"/>
                <w:b w:val="0"/>
                <w:bCs w:val="0"/>
                <w:sz w:val="20"/>
                <w:szCs w:val="20"/>
                <w:lang w:eastAsia="pl-PL"/>
              </w:rPr>
            </w:pPr>
            <w:r w:rsidRPr="00FF50CD">
              <w:rPr>
                <w:rFonts w:cstheme="minorHAnsi"/>
                <w:b w:val="0"/>
                <w:bCs w:val="0"/>
                <w:sz w:val="20"/>
                <w:szCs w:val="20"/>
                <w:lang w:eastAsia="pl-PL"/>
              </w:rPr>
              <w:t>województwo</w:t>
            </w:r>
          </w:p>
          <w:p w14:paraId="4D3B6420" w14:textId="77777777" w:rsidR="000B4D72" w:rsidRPr="00FF50CD" w:rsidRDefault="000B4D72" w:rsidP="00597239">
            <w:pPr>
              <w:rPr>
                <w:rFonts w:cstheme="minorHAnsi"/>
                <w:b w:val="0"/>
                <w:bCs w:val="0"/>
                <w:lang w:eastAsia="pl-PL"/>
              </w:rPr>
            </w:pPr>
            <w:r w:rsidRPr="00FF50CD">
              <w:rPr>
                <w:rFonts w:cstheme="minorHAnsi"/>
                <w:b w:val="0"/>
                <w:bCs w:val="0"/>
                <w:sz w:val="20"/>
                <w:szCs w:val="20"/>
                <w:lang w:eastAsia="pl-PL"/>
              </w:rPr>
              <w:t>zachodniopomorskie</w:t>
            </w:r>
          </w:p>
        </w:tc>
        <w:tc>
          <w:tcPr>
            <w:tcW w:w="727" w:type="dxa"/>
            <w:vAlign w:val="center"/>
          </w:tcPr>
          <w:p w14:paraId="7A7CF99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8</w:t>
            </w:r>
          </w:p>
        </w:tc>
        <w:tc>
          <w:tcPr>
            <w:tcW w:w="727" w:type="dxa"/>
            <w:vAlign w:val="center"/>
          </w:tcPr>
          <w:p w14:paraId="2780DBA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0,47</w:t>
            </w:r>
          </w:p>
        </w:tc>
        <w:tc>
          <w:tcPr>
            <w:tcW w:w="727" w:type="dxa"/>
            <w:vAlign w:val="center"/>
          </w:tcPr>
          <w:p w14:paraId="15771A1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w:t>
            </w:r>
          </w:p>
        </w:tc>
        <w:tc>
          <w:tcPr>
            <w:tcW w:w="727" w:type="dxa"/>
            <w:vAlign w:val="center"/>
          </w:tcPr>
          <w:p w14:paraId="1530B35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0,89</w:t>
            </w:r>
          </w:p>
        </w:tc>
        <w:tc>
          <w:tcPr>
            <w:tcW w:w="728" w:type="dxa"/>
            <w:vAlign w:val="center"/>
          </w:tcPr>
          <w:p w14:paraId="085C889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24</w:t>
            </w:r>
          </w:p>
        </w:tc>
        <w:tc>
          <w:tcPr>
            <w:tcW w:w="727" w:type="dxa"/>
            <w:vAlign w:val="center"/>
          </w:tcPr>
          <w:p w14:paraId="60F0D1F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1,46</w:t>
            </w:r>
          </w:p>
        </w:tc>
        <w:tc>
          <w:tcPr>
            <w:tcW w:w="727" w:type="dxa"/>
            <w:vAlign w:val="center"/>
          </w:tcPr>
          <w:p w14:paraId="11B4952E"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30</w:t>
            </w:r>
          </w:p>
        </w:tc>
        <w:tc>
          <w:tcPr>
            <w:tcW w:w="727" w:type="dxa"/>
            <w:vAlign w:val="center"/>
          </w:tcPr>
          <w:p w14:paraId="57CBB703"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1,8</w:t>
            </w:r>
          </w:p>
        </w:tc>
        <w:tc>
          <w:tcPr>
            <w:tcW w:w="727" w:type="dxa"/>
            <w:vAlign w:val="center"/>
          </w:tcPr>
          <w:p w14:paraId="3D38DBDC"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34</w:t>
            </w:r>
          </w:p>
        </w:tc>
        <w:tc>
          <w:tcPr>
            <w:tcW w:w="728" w:type="dxa"/>
            <w:vAlign w:val="center"/>
          </w:tcPr>
          <w:p w14:paraId="495764BB"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2,09</w:t>
            </w:r>
          </w:p>
        </w:tc>
      </w:tr>
      <w:tr w:rsidR="000B4D72" w:rsidRPr="00FF50CD" w14:paraId="1C001228" w14:textId="77777777" w:rsidTr="00F8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11"/>
            <w:vAlign w:val="center"/>
          </w:tcPr>
          <w:p w14:paraId="42F0692F"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Inne choroby przenoszone drogą płciową wywołane przez Chlamydie (A56)</w:t>
            </w:r>
          </w:p>
        </w:tc>
      </w:tr>
      <w:tr w:rsidR="000B4D72" w:rsidRPr="00FF50CD" w14:paraId="545D0867" w14:textId="77777777" w:rsidTr="00F865A1">
        <w:trPr>
          <w:trHeight w:val="491"/>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49C55974" w14:textId="77777777" w:rsidR="000B4D72" w:rsidRPr="00FF50CD" w:rsidRDefault="000B4D72" w:rsidP="00597239">
            <w:pPr>
              <w:tabs>
                <w:tab w:val="left" w:pos="851"/>
              </w:tabs>
              <w:spacing w:line="276" w:lineRule="auto"/>
              <w:outlineLvl w:val="3"/>
              <w:rPr>
                <w:rFonts w:eastAsia="Times New Roman" w:cstheme="minorHAnsi"/>
                <w:b w:val="0"/>
                <w:bCs w:val="0"/>
                <w:sz w:val="20"/>
                <w:szCs w:val="20"/>
                <w:lang w:eastAsia="pl-PL"/>
              </w:rPr>
            </w:pPr>
            <w:r w:rsidRPr="00FF50CD">
              <w:rPr>
                <w:rFonts w:eastAsia="Times New Roman" w:cstheme="minorHAnsi"/>
                <w:b w:val="0"/>
                <w:bCs w:val="0"/>
                <w:smallCaps/>
                <w:sz w:val="20"/>
                <w:szCs w:val="20"/>
                <w:lang w:eastAsia="pl-PL"/>
              </w:rPr>
              <w:t>Polska</w:t>
            </w:r>
          </w:p>
        </w:tc>
        <w:tc>
          <w:tcPr>
            <w:tcW w:w="727" w:type="dxa"/>
            <w:vAlign w:val="center"/>
          </w:tcPr>
          <w:p w14:paraId="3305979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169</w:t>
            </w:r>
          </w:p>
        </w:tc>
        <w:tc>
          <w:tcPr>
            <w:tcW w:w="727" w:type="dxa"/>
            <w:vAlign w:val="center"/>
          </w:tcPr>
          <w:p w14:paraId="7894B379"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0,44</w:t>
            </w:r>
          </w:p>
        </w:tc>
        <w:tc>
          <w:tcPr>
            <w:tcW w:w="727" w:type="dxa"/>
            <w:vAlign w:val="center"/>
          </w:tcPr>
          <w:p w14:paraId="7BB6175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283</w:t>
            </w:r>
          </w:p>
        </w:tc>
        <w:tc>
          <w:tcPr>
            <w:tcW w:w="727" w:type="dxa"/>
            <w:vAlign w:val="center"/>
          </w:tcPr>
          <w:p w14:paraId="13A9BA6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0,74</w:t>
            </w:r>
          </w:p>
        </w:tc>
        <w:tc>
          <w:tcPr>
            <w:tcW w:w="728" w:type="dxa"/>
            <w:vAlign w:val="center"/>
          </w:tcPr>
          <w:p w14:paraId="7161910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517</w:t>
            </w:r>
          </w:p>
        </w:tc>
        <w:tc>
          <w:tcPr>
            <w:tcW w:w="727" w:type="dxa"/>
            <w:vAlign w:val="center"/>
          </w:tcPr>
          <w:p w14:paraId="4705CAE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1,37</w:t>
            </w:r>
          </w:p>
        </w:tc>
        <w:tc>
          <w:tcPr>
            <w:tcW w:w="727" w:type="dxa"/>
            <w:vAlign w:val="center"/>
          </w:tcPr>
          <w:p w14:paraId="4445E871"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977</w:t>
            </w:r>
          </w:p>
        </w:tc>
        <w:tc>
          <w:tcPr>
            <w:tcW w:w="727" w:type="dxa"/>
            <w:vAlign w:val="center"/>
          </w:tcPr>
          <w:p w14:paraId="48F31FCD"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2,59</w:t>
            </w:r>
          </w:p>
        </w:tc>
        <w:tc>
          <w:tcPr>
            <w:tcW w:w="727" w:type="dxa"/>
            <w:vAlign w:val="center"/>
          </w:tcPr>
          <w:p w14:paraId="3217D2C4"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1165*</w:t>
            </w:r>
          </w:p>
        </w:tc>
        <w:tc>
          <w:tcPr>
            <w:tcW w:w="728" w:type="dxa"/>
            <w:vAlign w:val="center"/>
          </w:tcPr>
          <w:p w14:paraId="56FD7421" w14:textId="77777777" w:rsidR="000B4D72" w:rsidRPr="00FF50CD" w:rsidRDefault="000B4D72" w:rsidP="00597239">
            <w:pPr>
              <w:tabs>
                <w:tab w:val="left" w:pos="851"/>
              </w:tabs>
              <w:spacing w:line="276" w:lineRule="auto"/>
              <w:outlineLvl w:val="3"/>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3,10</w:t>
            </w:r>
          </w:p>
        </w:tc>
      </w:tr>
      <w:tr w:rsidR="000B4D72" w:rsidRPr="00FF50CD" w14:paraId="5498CBB4" w14:textId="77777777" w:rsidTr="00F865A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908" w:type="dxa"/>
            <w:vAlign w:val="center"/>
          </w:tcPr>
          <w:p w14:paraId="10183F46" w14:textId="77777777" w:rsidR="000B4D72" w:rsidRPr="00FF50CD" w:rsidRDefault="000B4D72" w:rsidP="00597239">
            <w:pPr>
              <w:rPr>
                <w:rFonts w:cstheme="minorHAnsi"/>
                <w:b w:val="0"/>
                <w:bCs w:val="0"/>
                <w:sz w:val="20"/>
                <w:szCs w:val="20"/>
                <w:lang w:eastAsia="pl-PL"/>
              </w:rPr>
            </w:pPr>
            <w:r w:rsidRPr="00FF50CD">
              <w:rPr>
                <w:rFonts w:cstheme="minorHAnsi"/>
                <w:b w:val="0"/>
                <w:bCs w:val="0"/>
                <w:sz w:val="20"/>
                <w:szCs w:val="20"/>
                <w:lang w:eastAsia="pl-PL"/>
              </w:rPr>
              <w:t>województwo</w:t>
            </w:r>
          </w:p>
          <w:p w14:paraId="0D400A78" w14:textId="77777777" w:rsidR="000B4D72" w:rsidRPr="00FF50CD" w:rsidRDefault="000B4D72" w:rsidP="00597239">
            <w:pPr>
              <w:rPr>
                <w:rFonts w:cstheme="minorHAnsi"/>
                <w:b w:val="0"/>
                <w:bCs w:val="0"/>
                <w:lang w:eastAsia="pl-PL"/>
              </w:rPr>
            </w:pPr>
            <w:r w:rsidRPr="00FF50CD">
              <w:rPr>
                <w:rFonts w:cstheme="minorHAnsi"/>
                <w:b w:val="0"/>
                <w:bCs w:val="0"/>
                <w:sz w:val="20"/>
                <w:szCs w:val="20"/>
                <w:lang w:eastAsia="pl-PL"/>
              </w:rPr>
              <w:t>zachodniopomorskie</w:t>
            </w:r>
          </w:p>
        </w:tc>
        <w:tc>
          <w:tcPr>
            <w:tcW w:w="727" w:type="dxa"/>
            <w:vAlign w:val="center"/>
          </w:tcPr>
          <w:p w14:paraId="6CDE4D3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17</w:t>
            </w:r>
          </w:p>
        </w:tc>
        <w:tc>
          <w:tcPr>
            <w:tcW w:w="727" w:type="dxa"/>
            <w:vAlign w:val="center"/>
          </w:tcPr>
          <w:p w14:paraId="274657C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1,00</w:t>
            </w:r>
          </w:p>
        </w:tc>
        <w:tc>
          <w:tcPr>
            <w:tcW w:w="727" w:type="dxa"/>
            <w:vAlign w:val="center"/>
          </w:tcPr>
          <w:p w14:paraId="50A365A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w:t>
            </w:r>
          </w:p>
        </w:tc>
        <w:tc>
          <w:tcPr>
            <w:tcW w:w="727" w:type="dxa"/>
            <w:vAlign w:val="center"/>
          </w:tcPr>
          <w:p w14:paraId="277FC67C"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0,53</w:t>
            </w:r>
          </w:p>
        </w:tc>
        <w:tc>
          <w:tcPr>
            <w:tcW w:w="728" w:type="dxa"/>
            <w:vAlign w:val="center"/>
          </w:tcPr>
          <w:p w14:paraId="6BEE3E7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w:t>
            </w:r>
          </w:p>
        </w:tc>
        <w:tc>
          <w:tcPr>
            <w:tcW w:w="727" w:type="dxa"/>
            <w:vAlign w:val="center"/>
          </w:tcPr>
          <w:p w14:paraId="2DDF36A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w:t>
            </w:r>
          </w:p>
        </w:tc>
        <w:tc>
          <w:tcPr>
            <w:tcW w:w="727" w:type="dxa"/>
            <w:vAlign w:val="center"/>
          </w:tcPr>
          <w:p w14:paraId="6740227E"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36</w:t>
            </w:r>
          </w:p>
        </w:tc>
        <w:tc>
          <w:tcPr>
            <w:tcW w:w="727" w:type="dxa"/>
            <w:vAlign w:val="center"/>
          </w:tcPr>
          <w:p w14:paraId="227831B6"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2,2</w:t>
            </w:r>
          </w:p>
        </w:tc>
        <w:tc>
          <w:tcPr>
            <w:tcW w:w="727" w:type="dxa"/>
            <w:vAlign w:val="center"/>
          </w:tcPr>
          <w:p w14:paraId="7817E935"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48</w:t>
            </w:r>
          </w:p>
        </w:tc>
        <w:tc>
          <w:tcPr>
            <w:tcW w:w="728" w:type="dxa"/>
            <w:vAlign w:val="center"/>
          </w:tcPr>
          <w:p w14:paraId="485A8B24" w14:textId="77777777" w:rsidR="000B4D72" w:rsidRPr="00FF50CD" w:rsidRDefault="000B4D72" w:rsidP="00597239">
            <w:pPr>
              <w:tabs>
                <w:tab w:val="left" w:pos="851"/>
              </w:tabs>
              <w:spacing w:line="276" w:lineRule="auto"/>
              <w:outlineLvl w:val="3"/>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2,95</w:t>
            </w:r>
          </w:p>
        </w:tc>
      </w:tr>
    </w:tbl>
    <w:p w14:paraId="04CB9A40" w14:textId="77777777" w:rsidR="000B4D72" w:rsidRDefault="000B4D72" w:rsidP="00597239">
      <w:pPr>
        <w:spacing w:after="0" w:line="276" w:lineRule="auto"/>
        <w:rPr>
          <w:rFonts w:cstheme="minorHAnsi"/>
          <w:bCs/>
          <w:sz w:val="18"/>
          <w:szCs w:val="18"/>
        </w:rPr>
      </w:pPr>
      <w:r w:rsidRPr="000F387E">
        <w:rPr>
          <w:rFonts w:cstheme="minorHAnsi"/>
          <w:bCs/>
          <w:sz w:val="18"/>
          <w:szCs w:val="18"/>
        </w:rPr>
        <w:lastRenderedPageBreak/>
        <w:t>* dane wstępne</w:t>
      </w:r>
    </w:p>
    <w:p w14:paraId="0C6D0163" w14:textId="77777777" w:rsidR="00FF50CD" w:rsidRDefault="00FF50CD" w:rsidP="00597239">
      <w:pPr>
        <w:spacing w:after="0" w:line="276" w:lineRule="auto"/>
        <w:rPr>
          <w:rFonts w:eastAsia="Times New Roman" w:cstheme="minorHAnsi"/>
          <w:bCs/>
          <w:sz w:val="24"/>
          <w:szCs w:val="24"/>
          <w:lang w:eastAsia="pl-PL"/>
        </w:rPr>
      </w:pPr>
      <w:r w:rsidRPr="00BE343D">
        <w:rPr>
          <w:rFonts w:cstheme="minorHAnsi"/>
          <w:bCs/>
          <w:sz w:val="24"/>
          <w:szCs w:val="24"/>
        </w:rPr>
        <w:t xml:space="preserve">W tabelach </w:t>
      </w:r>
      <w:r>
        <w:rPr>
          <w:rFonts w:cstheme="minorHAnsi"/>
          <w:bCs/>
          <w:sz w:val="24"/>
          <w:szCs w:val="24"/>
        </w:rPr>
        <w:t>18</w:t>
      </w:r>
      <w:r w:rsidRPr="000E083B">
        <w:rPr>
          <w:rFonts w:cstheme="minorHAnsi"/>
          <w:bCs/>
          <w:sz w:val="24"/>
          <w:szCs w:val="24"/>
        </w:rPr>
        <w:t xml:space="preserve"> i </w:t>
      </w:r>
      <w:r>
        <w:rPr>
          <w:rFonts w:cstheme="minorHAnsi"/>
          <w:bCs/>
          <w:sz w:val="24"/>
          <w:szCs w:val="24"/>
        </w:rPr>
        <w:t>19</w:t>
      </w:r>
      <w:r w:rsidRPr="000E083B">
        <w:rPr>
          <w:rFonts w:cstheme="minorHAnsi"/>
          <w:bCs/>
          <w:sz w:val="24"/>
          <w:szCs w:val="24"/>
        </w:rPr>
        <w:t xml:space="preserve"> </w:t>
      </w:r>
      <w:r w:rsidRPr="000E083B">
        <w:rPr>
          <w:rFonts w:eastAsia="Times New Roman" w:cstheme="minorHAnsi"/>
          <w:bCs/>
          <w:sz w:val="24"/>
          <w:szCs w:val="24"/>
          <w:lang w:eastAsia="pl-PL"/>
        </w:rPr>
        <w:t>przedstawion</w:t>
      </w:r>
      <w:r>
        <w:rPr>
          <w:rFonts w:eastAsia="Times New Roman" w:cstheme="minorHAnsi"/>
          <w:bCs/>
          <w:sz w:val="24"/>
          <w:szCs w:val="24"/>
          <w:lang w:eastAsia="pl-PL"/>
        </w:rPr>
        <w:t>a</w:t>
      </w:r>
      <w:r w:rsidRPr="00BE343D">
        <w:rPr>
          <w:rFonts w:eastAsia="Times New Roman" w:cstheme="minorHAnsi"/>
          <w:bCs/>
          <w:sz w:val="24"/>
          <w:szCs w:val="24"/>
          <w:lang w:eastAsia="pl-PL"/>
        </w:rPr>
        <w:t xml:space="preserve"> został</w:t>
      </w:r>
      <w:r>
        <w:rPr>
          <w:rFonts w:eastAsia="Times New Roman" w:cstheme="minorHAnsi"/>
          <w:bCs/>
          <w:sz w:val="24"/>
          <w:szCs w:val="24"/>
          <w:lang w:eastAsia="pl-PL"/>
        </w:rPr>
        <w:t>a liczba</w:t>
      </w:r>
      <w:r w:rsidRPr="00BE343D">
        <w:rPr>
          <w:rFonts w:eastAsia="Times New Roman" w:cstheme="minorHAnsi"/>
          <w:bCs/>
          <w:sz w:val="24"/>
          <w:szCs w:val="24"/>
          <w:lang w:eastAsia="pl-PL"/>
        </w:rPr>
        <w:t xml:space="preserve"> zachorowa</w:t>
      </w:r>
      <w:r>
        <w:rPr>
          <w:rFonts w:eastAsia="Times New Roman" w:cstheme="minorHAnsi"/>
          <w:bCs/>
          <w:sz w:val="24"/>
          <w:szCs w:val="24"/>
          <w:lang w:eastAsia="pl-PL"/>
        </w:rPr>
        <w:t>ń</w:t>
      </w:r>
      <w:r w:rsidRPr="00BE343D">
        <w:rPr>
          <w:rFonts w:eastAsia="Times New Roman" w:cstheme="minorHAnsi"/>
          <w:bCs/>
          <w:sz w:val="24"/>
          <w:szCs w:val="24"/>
          <w:lang w:eastAsia="pl-PL"/>
        </w:rPr>
        <w:t xml:space="preserve"> na choroby przenoszone drogą </w:t>
      </w:r>
      <w:r w:rsidRPr="00BE343D">
        <w:rPr>
          <w:rFonts w:eastAsia="Times New Roman" w:cstheme="minorHAnsi"/>
          <w:bCs/>
          <w:spacing w:val="-4"/>
          <w:sz w:val="24"/>
          <w:szCs w:val="24"/>
          <w:lang w:eastAsia="pl-PL"/>
        </w:rPr>
        <w:t xml:space="preserve">płciową </w:t>
      </w:r>
      <w:r w:rsidRPr="00BE343D">
        <w:rPr>
          <w:rFonts w:eastAsia="Times New Roman" w:cstheme="minorHAnsi"/>
          <w:spacing w:val="-4"/>
          <w:sz w:val="24"/>
          <w:szCs w:val="24"/>
          <w:lang w:eastAsia="pl-PL"/>
        </w:rPr>
        <w:t xml:space="preserve">w woj. zachodniopomorskim oraz dane porównawcze z Polski </w:t>
      </w:r>
      <w:r>
        <w:rPr>
          <w:rFonts w:eastAsia="Times New Roman" w:cstheme="minorHAnsi"/>
          <w:spacing w:val="-4"/>
          <w:sz w:val="24"/>
          <w:szCs w:val="24"/>
          <w:lang w:eastAsia="pl-PL"/>
        </w:rPr>
        <w:t>za okres</w:t>
      </w:r>
      <w:r w:rsidRPr="00BE343D">
        <w:rPr>
          <w:rFonts w:eastAsia="Times New Roman" w:cstheme="minorHAnsi"/>
          <w:spacing w:val="-4"/>
          <w:sz w:val="24"/>
          <w:szCs w:val="24"/>
          <w:lang w:eastAsia="pl-PL"/>
        </w:rPr>
        <w:t xml:space="preserve"> ostatnich pięciu lat</w:t>
      </w:r>
      <w:r w:rsidRPr="00BE343D">
        <w:rPr>
          <w:rFonts w:eastAsia="Times New Roman" w:cstheme="minorHAnsi"/>
          <w:bCs/>
          <w:sz w:val="24"/>
          <w:szCs w:val="24"/>
          <w:lang w:eastAsia="pl-PL"/>
        </w:rPr>
        <w:t>.</w:t>
      </w:r>
    </w:p>
    <w:p w14:paraId="0068D301" w14:textId="77777777" w:rsidR="00EE16EC" w:rsidRPr="004E2D5C" w:rsidRDefault="00EE16EC" w:rsidP="00597239">
      <w:pPr>
        <w:spacing w:after="0" w:line="276" w:lineRule="auto"/>
        <w:rPr>
          <w:rFonts w:cstheme="minorHAnsi"/>
          <w:bCs/>
          <w:sz w:val="18"/>
          <w:szCs w:val="18"/>
        </w:rPr>
      </w:pPr>
    </w:p>
    <w:p w14:paraId="597817F0" w14:textId="02DCBCEE" w:rsidR="00F865A1" w:rsidRDefault="00F865A1" w:rsidP="00597239">
      <w:pPr>
        <w:pStyle w:val="Nagwek3"/>
        <w:numPr>
          <w:ilvl w:val="1"/>
          <w:numId w:val="18"/>
        </w:numPr>
        <w:spacing w:before="0" w:after="0"/>
      </w:pPr>
      <w:bookmarkStart w:id="115" w:name="_Toc194059785"/>
      <w:bookmarkStart w:id="116" w:name="_Hlk130885973"/>
      <w:r>
        <w:t>Gruźlica</w:t>
      </w:r>
      <w:bookmarkEnd w:id="115"/>
    </w:p>
    <w:p w14:paraId="3D132E80" w14:textId="6DBFD5EC" w:rsidR="000B4D72" w:rsidRPr="00CB6C55" w:rsidRDefault="000B4D72" w:rsidP="00597239">
      <w:pPr>
        <w:spacing w:after="0"/>
      </w:pPr>
      <w:r w:rsidRPr="00CB6C55">
        <w:rPr>
          <w:sz w:val="24"/>
          <w:szCs w:val="24"/>
        </w:rPr>
        <w:t>W 2024 r. w woj. zachodniopomorskim odnotowano 197 przypadków zachorowań na</w:t>
      </w:r>
      <w:r w:rsidR="007B1BEB">
        <w:rPr>
          <w:sz w:val="24"/>
          <w:szCs w:val="24"/>
        </w:rPr>
        <w:t> </w:t>
      </w:r>
      <w:r w:rsidRPr="00CB6C55">
        <w:rPr>
          <w:sz w:val="24"/>
          <w:szCs w:val="24"/>
        </w:rPr>
        <w:t>gruźlicę (o 3 przypadki więcej niż w roku 2023). Sytuacja epidemiologiczna w zakresie gruźlicy w</w:t>
      </w:r>
      <w:r w:rsidR="00C719C9">
        <w:rPr>
          <w:sz w:val="24"/>
          <w:szCs w:val="24"/>
        </w:rPr>
        <w:t> </w:t>
      </w:r>
      <w:r w:rsidRPr="00CB6C55">
        <w:rPr>
          <w:sz w:val="24"/>
          <w:szCs w:val="24"/>
        </w:rPr>
        <w:t>województwie jest zbliżona do sytuacji sprzed okresu pandemii SARS-CoV-2 (</w:t>
      </w:r>
      <w:r w:rsidR="00B74BBF">
        <w:rPr>
          <w:sz w:val="24"/>
          <w:szCs w:val="24"/>
        </w:rPr>
        <w:t>wykres</w:t>
      </w:r>
      <w:r w:rsidRPr="009D4B5E">
        <w:rPr>
          <w:sz w:val="24"/>
          <w:szCs w:val="24"/>
        </w:rPr>
        <w:t xml:space="preserve"> </w:t>
      </w:r>
      <w:r>
        <w:rPr>
          <w:sz w:val="24"/>
          <w:szCs w:val="24"/>
        </w:rPr>
        <w:t>5</w:t>
      </w:r>
      <w:r w:rsidRPr="009D4B5E">
        <w:rPr>
          <w:sz w:val="24"/>
          <w:szCs w:val="24"/>
        </w:rPr>
        <w:t>).</w:t>
      </w:r>
      <w:r w:rsidRPr="00CB6C55">
        <w:rPr>
          <w:sz w:val="24"/>
          <w:szCs w:val="24"/>
        </w:rPr>
        <w:t xml:space="preserve"> </w:t>
      </w:r>
      <w:r w:rsidRPr="00CB6C55">
        <w:t>W</w:t>
      </w:r>
      <w:r w:rsidR="00C719C9">
        <w:t> </w:t>
      </w:r>
      <w:r w:rsidRPr="00CB6C55">
        <w:t>analizowanym okresie n</w:t>
      </w:r>
      <w:r w:rsidRPr="00CB6C55">
        <w:rPr>
          <w:sz w:val="24"/>
          <w:szCs w:val="24"/>
        </w:rPr>
        <w:t>adzorem Państwowej Inspekcji Sanitarnej w regionie objęto 432 osoby z</w:t>
      </w:r>
      <w:r>
        <w:rPr>
          <w:sz w:val="24"/>
          <w:szCs w:val="24"/>
        </w:rPr>
        <w:t xml:space="preserve"> najbliższego </w:t>
      </w:r>
      <w:r w:rsidRPr="00CB6C55">
        <w:rPr>
          <w:sz w:val="24"/>
          <w:szCs w:val="24"/>
        </w:rPr>
        <w:t>otoczenia chorych na gruźlicę</w:t>
      </w:r>
      <w:r>
        <w:rPr>
          <w:sz w:val="24"/>
          <w:szCs w:val="24"/>
        </w:rPr>
        <w:t>.</w:t>
      </w:r>
      <w:r w:rsidRPr="00CB6C55">
        <w:rPr>
          <w:sz w:val="24"/>
          <w:szCs w:val="24"/>
        </w:rPr>
        <w:t xml:space="preserve"> </w:t>
      </w:r>
    </w:p>
    <w:p w14:paraId="7725EC2D" w14:textId="77777777" w:rsidR="00EE16EC" w:rsidRDefault="00EE16EC" w:rsidP="00597239">
      <w:pPr>
        <w:spacing w:after="0" w:line="276" w:lineRule="auto"/>
        <w:rPr>
          <w:sz w:val="24"/>
          <w:szCs w:val="24"/>
        </w:rPr>
      </w:pPr>
    </w:p>
    <w:p w14:paraId="23EBB473" w14:textId="50736CE8" w:rsidR="000B4D72" w:rsidRDefault="000B4D72" w:rsidP="00597239">
      <w:pPr>
        <w:spacing w:after="0" w:line="276" w:lineRule="auto"/>
        <w:rPr>
          <w:sz w:val="24"/>
          <w:szCs w:val="24"/>
        </w:rPr>
      </w:pPr>
      <w:r w:rsidRPr="00CB6C55">
        <w:rPr>
          <w:sz w:val="24"/>
          <w:szCs w:val="24"/>
        </w:rPr>
        <w:t>Największą liczbę przypadków gruźlicy w 2024 roku</w:t>
      </w:r>
      <w:r>
        <w:rPr>
          <w:sz w:val="24"/>
          <w:szCs w:val="24"/>
        </w:rPr>
        <w:t>,</w:t>
      </w:r>
      <w:r w:rsidRPr="00CB6C55">
        <w:rPr>
          <w:sz w:val="24"/>
          <w:szCs w:val="24"/>
        </w:rPr>
        <w:t xml:space="preserve"> </w:t>
      </w:r>
      <w:r>
        <w:rPr>
          <w:sz w:val="24"/>
          <w:szCs w:val="24"/>
        </w:rPr>
        <w:t>tak jak w poprzednich latach</w:t>
      </w:r>
      <w:r w:rsidRPr="00CB6C55">
        <w:rPr>
          <w:sz w:val="24"/>
          <w:szCs w:val="24"/>
        </w:rPr>
        <w:t xml:space="preserve"> odnotowano w</w:t>
      </w:r>
      <w:r>
        <w:rPr>
          <w:sz w:val="24"/>
          <w:szCs w:val="24"/>
        </w:rPr>
        <w:t xml:space="preserve"> </w:t>
      </w:r>
      <w:r w:rsidRPr="00CB6C55">
        <w:rPr>
          <w:sz w:val="24"/>
          <w:szCs w:val="24"/>
        </w:rPr>
        <w:t>grupie wiekowej 45-64 lata</w:t>
      </w:r>
      <w:r w:rsidR="00F865A1">
        <w:rPr>
          <w:sz w:val="24"/>
          <w:szCs w:val="24"/>
        </w:rPr>
        <w:t xml:space="preserve"> </w:t>
      </w:r>
      <w:r>
        <w:rPr>
          <w:sz w:val="24"/>
          <w:szCs w:val="24"/>
        </w:rPr>
        <w:t>- ponad 42% zachorowań. Częściej na gruźlicę chorowali mężczyźni (blisko 72%) -</w:t>
      </w:r>
      <w:r w:rsidR="00F865A1">
        <w:rPr>
          <w:sz w:val="24"/>
          <w:szCs w:val="24"/>
        </w:rPr>
        <w:t xml:space="preserve"> </w:t>
      </w:r>
      <w:r w:rsidRPr="009D4B5E">
        <w:rPr>
          <w:sz w:val="24"/>
          <w:szCs w:val="24"/>
        </w:rPr>
        <w:t>tabela 2</w:t>
      </w:r>
      <w:r>
        <w:rPr>
          <w:sz w:val="24"/>
          <w:szCs w:val="24"/>
        </w:rPr>
        <w:t>0</w:t>
      </w:r>
      <w:r w:rsidRPr="009D4B5E">
        <w:rPr>
          <w:sz w:val="24"/>
          <w:szCs w:val="24"/>
        </w:rPr>
        <w:t>.</w:t>
      </w:r>
      <w:r w:rsidRPr="00CB6C55">
        <w:rPr>
          <w:sz w:val="24"/>
          <w:szCs w:val="24"/>
        </w:rPr>
        <w:t xml:space="preserve"> </w:t>
      </w:r>
    </w:p>
    <w:p w14:paraId="7FDFADE2" w14:textId="77777777" w:rsidR="00EE16EC" w:rsidRPr="00CB6C55" w:rsidRDefault="00EE16EC" w:rsidP="00597239">
      <w:pPr>
        <w:spacing w:after="0" w:line="276" w:lineRule="auto"/>
        <w:rPr>
          <w:sz w:val="24"/>
          <w:szCs w:val="24"/>
        </w:rPr>
      </w:pPr>
    </w:p>
    <w:p w14:paraId="1B1A7C49" w14:textId="5FE18883" w:rsidR="00D50C34" w:rsidRPr="00D50C34" w:rsidRDefault="00D50C34" w:rsidP="00597239">
      <w:pPr>
        <w:pStyle w:val="Legenda"/>
        <w:spacing w:after="0"/>
        <w:rPr>
          <w:i w:val="0"/>
          <w:iCs w:val="0"/>
          <w:color w:val="000000" w:themeColor="text1"/>
        </w:rPr>
      </w:pPr>
      <w:bookmarkStart w:id="117" w:name="_Toc193969462"/>
      <w:bookmarkStart w:id="118" w:name="_Toc194059922"/>
      <w:r w:rsidRPr="00D50C34">
        <w:rPr>
          <w:i w:val="0"/>
          <w:iCs w:val="0"/>
          <w:color w:val="000000" w:themeColor="text1"/>
        </w:rPr>
        <w:t xml:space="preserve">Wykres </w:t>
      </w:r>
      <w:r w:rsidRPr="00D50C34">
        <w:rPr>
          <w:i w:val="0"/>
          <w:iCs w:val="0"/>
          <w:color w:val="000000" w:themeColor="text1"/>
        </w:rPr>
        <w:fldChar w:fldCharType="begin"/>
      </w:r>
      <w:r w:rsidRPr="00D50C34">
        <w:rPr>
          <w:i w:val="0"/>
          <w:iCs w:val="0"/>
          <w:color w:val="000000" w:themeColor="text1"/>
        </w:rPr>
        <w:instrText xml:space="preserve"> SEQ Wykres \* ARABIC </w:instrText>
      </w:r>
      <w:r w:rsidRPr="00D50C34">
        <w:rPr>
          <w:i w:val="0"/>
          <w:iCs w:val="0"/>
          <w:color w:val="000000" w:themeColor="text1"/>
        </w:rPr>
        <w:fldChar w:fldCharType="separate"/>
      </w:r>
      <w:r w:rsidR="00FB6F6A">
        <w:rPr>
          <w:i w:val="0"/>
          <w:iCs w:val="0"/>
          <w:noProof/>
          <w:color w:val="000000" w:themeColor="text1"/>
        </w:rPr>
        <w:t>5</w:t>
      </w:r>
      <w:r w:rsidRPr="00D50C34">
        <w:rPr>
          <w:i w:val="0"/>
          <w:iCs w:val="0"/>
          <w:color w:val="000000" w:themeColor="text1"/>
        </w:rPr>
        <w:fldChar w:fldCharType="end"/>
      </w:r>
      <w:r w:rsidR="00E75D31">
        <w:rPr>
          <w:i w:val="0"/>
          <w:iCs w:val="0"/>
          <w:color w:val="000000" w:themeColor="text1"/>
        </w:rPr>
        <w:t>.</w:t>
      </w:r>
      <w:r w:rsidRPr="00D50C34">
        <w:rPr>
          <w:i w:val="0"/>
          <w:iCs w:val="0"/>
          <w:color w:val="000000" w:themeColor="text1"/>
        </w:rPr>
        <w:t xml:space="preserve"> Współczynnik zapadalności na gruźlicę w Polsce i woj. zachodniopomorskim w latach 2019-2024</w:t>
      </w:r>
      <w:r w:rsidR="00B84251">
        <w:rPr>
          <w:i w:val="0"/>
          <w:iCs w:val="0"/>
          <w:color w:val="000000" w:themeColor="text1"/>
        </w:rPr>
        <w:t>.</w:t>
      </w:r>
      <w:bookmarkEnd w:id="117"/>
      <w:bookmarkEnd w:id="118"/>
    </w:p>
    <w:p w14:paraId="78D79088" w14:textId="77777777" w:rsidR="000B4D72" w:rsidRDefault="000B4D72" w:rsidP="00597239">
      <w:pPr>
        <w:spacing w:after="0"/>
        <w:rPr>
          <w:color w:val="FF0000"/>
        </w:rPr>
      </w:pPr>
      <w:r w:rsidRPr="003A793F">
        <w:rPr>
          <w:noProof/>
          <w:color w:val="FF0000"/>
        </w:rPr>
        <w:drawing>
          <wp:inline distT="0" distB="0" distL="0" distR="0" wp14:anchorId="3D099364" wp14:editId="70BE0B94">
            <wp:extent cx="5760720" cy="2684780"/>
            <wp:effectExtent l="0" t="0" r="11430" b="1270"/>
            <wp:docPr id="410654646" name="Wykres 1" descr="Wykres przedstawia współczynnik zapadalności na gruźlicę w Polsce i woj. zachodniopomorskim w latach 2019-2024. W roku 2024 współczynnik zapadalności w województwie dla gruźlicy (ogółem) wynosił 12,11 oraz 11.92 dla gruźlicy płuc.">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D0A806" w14:textId="77777777" w:rsidR="000B4D72" w:rsidRDefault="000B4D72" w:rsidP="00597239">
      <w:pPr>
        <w:pStyle w:val="Akapitzlist"/>
        <w:spacing w:after="0" w:line="276" w:lineRule="auto"/>
        <w:ind w:left="357"/>
        <w:contextualSpacing w:val="0"/>
        <w:rPr>
          <w:rFonts w:cstheme="minorHAnsi"/>
          <w:bCs/>
          <w:sz w:val="18"/>
          <w:szCs w:val="18"/>
        </w:rPr>
      </w:pPr>
      <w:r>
        <w:rPr>
          <w:rFonts w:cstheme="minorHAnsi"/>
          <w:bCs/>
          <w:sz w:val="18"/>
          <w:szCs w:val="18"/>
        </w:rPr>
        <w:t>*</w:t>
      </w:r>
      <w:r w:rsidRPr="00DE7C96">
        <w:rPr>
          <w:rFonts w:cstheme="minorHAnsi"/>
          <w:bCs/>
          <w:sz w:val="18"/>
          <w:szCs w:val="18"/>
        </w:rPr>
        <w:t>brak danych z Polski za 2024 r. do dnia zamknięcia sprawozdań</w:t>
      </w:r>
    </w:p>
    <w:p w14:paraId="7F28491B" w14:textId="77777777" w:rsidR="00EE16EC" w:rsidRPr="008819D1" w:rsidRDefault="00EE16EC" w:rsidP="00597239">
      <w:pPr>
        <w:pStyle w:val="Akapitzlist"/>
        <w:spacing w:after="0" w:line="276" w:lineRule="auto"/>
        <w:ind w:left="357"/>
        <w:contextualSpacing w:val="0"/>
        <w:rPr>
          <w:rFonts w:cstheme="minorHAnsi"/>
          <w:bCs/>
          <w:sz w:val="18"/>
          <w:szCs w:val="18"/>
        </w:rPr>
      </w:pPr>
    </w:p>
    <w:p w14:paraId="5FCA8FF9" w14:textId="6A3EEB85" w:rsidR="000B4D72" w:rsidRPr="00947816" w:rsidRDefault="00947816" w:rsidP="00597239">
      <w:pPr>
        <w:pStyle w:val="Legenda"/>
        <w:spacing w:after="0"/>
        <w:rPr>
          <w:bCs/>
          <w:i w:val="0"/>
          <w:iCs w:val="0"/>
          <w:color w:val="000000" w:themeColor="text1"/>
        </w:rPr>
      </w:pPr>
      <w:bookmarkStart w:id="119" w:name="_Toc193805990"/>
      <w:bookmarkStart w:id="120" w:name="_Toc193969538"/>
      <w:bookmarkStart w:id="121" w:name="_Toc194059998"/>
      <w:r w:rsidRPr="00947816">
        <w:rPr>
          <w:i w:val="0"/>
          <w:iCs w:val="0"/>
          <w:color w:val="000000" w:themeColor="text1"/>
        </w:rPr>
        <w:t xml:space="preserve">Tabela </w:t>
      </w:r>
      <w:r w:rsidRPr="00947816">
        <w:rPr>
          <w:i w:val="0"/>
          <w:iCs w:val="0"/>
          <w:color w:val="000000" w:themeColor="text1"/>
        </w:rPr>
        <w:fldChar w:fldCharType="begin"/>
      </w:r>
      <w:r w:rsidRPr="00947816">
        <w:rPr>
          <w:i w:val="0"/>
          <w:iCs w:val="0"/>
          <w:color w:val="000000" w:themeColor="text1"/>
        </w:rPr>
        <w:instrText xml:space="preserve"> SEQ Tabela \* ARABIC </w:instrText>
      </w:r>
      <w:r w:rsidRPr="00947816">
        <w:rPr>
          <w:i w:val="0"/>
          <w:iCs w:val="0"/>
          <w:color w:val="000000" w:themeColor="text1"/>
        </w:rPr>
        <w:fldChar w:fldCharType="separate"/>
      </w:r>
      <w:r w:rsidR="00FB6F6A">
        <w:rPr>
          <w:i w:val="0"/>
          <w:iCs w:val="0"/>
          <w:noProof/>
          <w:color w:val="000000" w:themeColor="text1"/>
        </w:rPr>
        <w:t>20</w:t>
      </w:r>
      <w:r w:rsidRPr="00947816">
        <w:rPr>
          <w:i w:val="0"/>
          <w:iCs w:val="0"/>
          <w:color w:val="000000" w:themeColor="text1"/>
        </w:rPr>
        <w:fldChar w:fldCharType="end"/>
      </w:r>
      <w:r w:rsidR="00E75D31">
        <w:rPr>
          <w:i w:val="0"/>
          <w:iCs w:val="0"/>
          <w:color w:val="000000" w:themeColor="text1"/>
        </w:rPr>
        <w:t>.</w:t>
      </w:r>
      <w:r>
        <w:rPr>
          <w:i w:val="0"/>
          <w:iCs w:val="0"/>
          <w:color w:val="000000" w:themeColor="text1"/>
        </w:rPr>
        <w:t xml:space="preserve"> </w:t>
      </w:r>
      <w:r w:rsidRPr="00947816">
        <w:rPr>
          <w:i w:val="0"/>
          <w:iCs w:val="0"/>
          <w:color w:val="000000" w:themeColor="text1"/>
        </w:rPr>
        <w:t>Liczba zachorowań na gruźlicę w woj. zachodniopomorskim w 2024 r. wg płci, grupy wiekowej oraz miejsca zamieszkania</w:t>
      </w:r>
      <w:r w:rsidR="00B84251">
        <w:rPr>
          <w:i w:val="0"/>
          <w:iCs w:val="0"/>
          <w:color w:val="000000" w:themeColor="text1"/>
        </w:rPr>
        <w:t>.</w:t>
      </w:r>
      <w:bookmarkEnd w:id="119"/>
      <w:bookmarkEnd w:id="120"/>
      <w:bookmarkEnd w:id="121"/>
    </w:p>
    <w:tbl>
      <w:tblPr>
        <w:tblStyle w:val="Tabelasiatki4akcent1"/>
        <w:tblW w:w="9533" w:type="dxa"/>
        <w:tblLook w:val="04A0" w:firstRow="1" w:lastRow="0" w:firstColumn="1" w:lastColumn="0" w:noHBand="0" w:noVBand="1"/>
        <w:tblCaption w:val="Liczba zachorowań na gruźlicę w woj. zachodniopomorskim w 2024 r. wg płci, grupy wiekowej oraz miejsca zamieszkania"/>
        <w:tblDescription w:val="Tabela przedstawia liczbę zachorowań na gruźlicę w województwie zachodniopomorskim w roku 2024 z podziałem na płeć, grupy wiekowe oraz miejsce zamieszkania. Najwięcej przypadków odnotowano wśród osób zamieszkujących miasta (158 przypadków). Uwzględniając podział według płci, najwięcej przypadków odnotowano wśród mężczyzn (141 przypadków). Uwzględniając podział według grup wiekowych najwiekszą ilość przypadków odnotowano w grupie wiekowej 45-64 lata."/>
      </w:tblPr>
      <w:tblGrid>
        <w:gridCol w:w="3704"/>
        <w:gridCol w:w="1284"/>
        <w:gridCol w:w="757"/>
        <w:gridCol w:w="707"/>
        <w:gridCol w:w="773"/>
        <w:gridCol w:w="850"/>
        <w:gridCol w:w="709"/>
        <w:gridCol w:w="749"/>
      </w:tblGrid>
      <w:tr w:rsidR="000B4D72" w:rsidRPr="00FF50CD" w14:paraId="60B4EF0C" w14:textId="77777777" w:rsidTr="00F865A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533" w:type="dxa"/>
            <w:gridSpan w:val="8"/>
            <w:noWrap/>
            <w:vAlign w:val="center"/>
            <w:hideMark/>
          </w:tcPr>
          <w:p w14:paraId="79021A39"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Nowe zachorowania na gruźlicę w 2024</w:t>
            </w:r>
          </w:p>
        </w:tc>
      </w:tr>
      <w:tr w:rsidR="000B4D72" w:rsidRPr="00FF50CD" w14:paraId="0BD58524" w14:textId="77777777" w:rsidTr="00F865A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704" w:type="dxa"/>
            <w:vMerge w:val="restart"/>
            <w:vAlign w:val="center"/>
            <w:hideMark/>
          </w:tcPr>
          <w:p w14:paraId="18438065"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Wyszczególnienie</w:t>
            </w:r>
          </w:p>
        </w:tc>
        <w:tc>
          <w:tcPr>
            <w:tcW w:w="1284" w:type="dxa"/>
            <w:vMerge w:val="restart"/>
            <w:vAlign w:val="center"/>
            <w:hideMark/>
          </w:tcPr>
          <w:p w14:paraId="70A15EC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Wszystkie postacie</w:t>
            </w:r>
          </w:p>
        </w:tc>
        <w:tc>
          <w:tcPr>
            <w:tcW w:w="4545" w:type="dxa"/>
            <w:gridSpan w:val="6"/>
            <w:noWrap/>
            <w:vAlign w:val="center"/>
            <w:hideMark/>
          </w:tcPr>
          <w:p w14:paraId="79BE126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w:t>
            </w:r>
          </w:p>
        </w:tc>
      </w:tr>
      <w:tr w:rsidR="000B4D72" w:rsidRPr="00FF50CD" w14:paraId="60554C5D" w14:textId="77777777" w:rsidTr="00F865A1">
        <w:trPr>
          <w:trHeight w:val="518"/>
        </w:trPr>
        <w:tc>
          <w:tcPr>
            <w:cnfStyle w:val="001000000000" w:firstRow="0" w:lastRow="0" w:firstColumn="1" w:lastColumn="0" w:oddVBand="0" w:evenVBand="0" w:oddHBand="0" w:evenHBand="0" w:firstRowFirstColumn="0" w:firstRowLastColumn="0" w:lastRowFirstColumn="0" w:lastRowLastColumn="0"/>
            <w:tcW w:w="3704" w:type="dxa"/>
            <w:vMerge/>
            <w:vAlign w:val="center"/>
            <w:hideMark/>
          </w:tcPr>
          <w:p w14:paraId="196169B5" w14:textId="77777777" w:rsidR="000B4D72" w:rsidRPr="00FF50CD" w:rsidRDefault="000B4D72" w:rsidP="00597239">
            <w:pPr>
              <w:spacing w:line="276" w:lineRule="auto"/>
              <w:rPr>
                <w:rFonts w:eastAsia="Times New Roman" w:cstheme="minorHAnsi"/>
                <w:b w:val="0"/>
                <w:bCs w:val="0"/>
                <w:sz w:val="20"/>
                <w:szCs w:val="20"/>
                <w:lang w:eastAsia="pl-PL"/>
              </w:rPr>
            </w:pPr>
          </w:p>
        </w:tc>
        <w:tc>
          <w:tcPr>
            <w:tcW w:w="1284" w:type="dxa"/>
            <w:vMerge/>
            <w:vAlign w:val="center"/>
            <w:hideMark/>
          </w:tcPr>
          <w:p w14:paraId="4920FE0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237" w:type="dxa"/>
            <w:gridSpan w:val="3"/>
            <w:noWrap/>
            <w:vAlign w:val="center"/>
            <w:hideMark/>
          </w:tcPr>
          <w:p w14:paraId="11BD172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płucna</w:t>
            </w:r>
          </w:p>
        </w:tc>
        <w:tc>
          <w:tcPr>
            <w:tcW w:w="2308" w:type="dxa"/>
            <w:gridSpan w:val="3"/>
            <w:vAlign w:val="center"/>
            <w:hideMark/>
          </w:tcPr>
          <w:p w14:paraId="1E2DDBC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innych narządów/pozapłucna</w:t>
            </w:r>
          </w:p>
        </w:tc>
      </w:tr>
      <w:tr w:rsidR="000B4D72" w:rsidRPr="00FF50CD" w14:paraId="03BA91ED"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vMerge/>
            <w:vAlign w:val="center"/>
            <w:hideMark/>
          </w:tcPr>
          <w:p w14:paraId="435F7B47" w14:textId="77777777" w:rsidR="000B4D72" w:rsidRPr="00FF50CD" w:rsidRDefault="000B4D72" w:rsidP="00597239">
            <w:pPr>
              <w:spacing w:line="276" w:lineRule="auto"/>
              <w:rPr>
                <w:rFonts w:eastAsia="Times New Roman" w:cstheme="minorHAnsi"/>
                <w:b w:val="0"/>
                <w:bCs w:val="0"/>
                <w:sz w:val="20"/>
                <w:szCs w:val="20"/>
                <w:lang w:eastAsia="pl-PL"/>
              </w:rPr>
            </w:pPr>
          </w:p>
        </w:tc>
        <w:tc>
          <w:tcPr>
            <w:tcW w:w="1284" w:type="dxa"/>
            <w:vMerge/>
            <w:vAlign w:val="center"/>
            <w:hideMark/>
          </w:tcPr>
          <w:p w14:paraId="4109376C"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757" w:type="dxa"/>
            <w:noWrap/>
            <w:vAlign w:val="center"/>
            <w:hideMark/>
          </w:tcPr>
          <w:p w14:paraId="19A001E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razem</w:t>
            </w:r>
          </w:p>
        </w:tc>
        <w:tc>
          <w:tcPr>
            <w:tcW w:w="707" w:type="dxa"/>
            <w:noWrap/>
            <w:vAlign w:val="center"/>
            <w:hideMark/>
          </w:tcPr>
          <w:p w14:paraId="2A75C254"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BK (+)</w:t>
            </w:r>
          </w:p>
        </w:tc>
        <w:tc>
          <w:tcPr>
            <w:tcW w:w="773" w:type="dxa"/>
            <w:noWrap/>
            <w:vAlign w:val="center"/>
            <w:hideMark/>
          </w:tcPr>
          <w:p w14:paraId="02ACC7F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BK (-)</w:t>
            </w:r>
          </w:p>
        </w:tc>
        <w:tc>
          <w:tcPr>
            <w:tcW w:w="850" w:type="dxa"/>
            <w:noWrap/>
            <w:vAlign w:val="center"/>
            <w:hideMark/>
          </w:tcPr>
          <w:p w14:paraId="3980121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BK (+)</w:t>
            </w:r>
          </w:p>
        </w:tc>
        <w:tc>
          <w:tcPr>
            <w:tcW w:w="709" w:type="dxa"/>
            <w:noWrap/>
            <w:vAlign w:val="center"/>
            <w:hideMark/>
          </w:tcPr>
          <w:p w14:paraId="0142E184"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BK (-)</w:t>
            </w:r>
          </w:p>
        </w:tc>
        <w:tc>
          <w:tcPr>
            <w:tcW w:w="749" w:type="dxa"/>
            <w:noWrap/>
            <w:vAlign w:val="center"/>
            <w:hideMark/>
          </w:tcPr>
          <w:p w14:paraId="7DD2314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razem</w:t>
            </w:r>
          </w:p>
        </w:tc>
      </w:tr>
      <w:tr w:rsidR="000B4D72" w:rsidRPr="00FF50CD" w14:paraId="235437F1"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277CD13E"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WOJEWÓDZTWO</w:t>
            </w:r>
          </w:p>
        </w:tc>
        <w:tc>
          <w:tcPr>
            <w:tcW w:w="1284" w:type="dxa"/>
            <w:noWrap/>
            <w:vAlign w:val="center"/>
          </w:tcPr>
          <w:p w14:paraId="7A740E7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eastAsia="Times New Roman" w:cstheme="minorHAnsi"/>
                <w:sz w:val="20"/>
                <w:szCs w:val="20"/>
                <w:lang w:eastAsia="pl-PL"/>
              </w:rPr>
              <w:t>197</w:t>
            </w:r>
          </w:p>
        </w:tc>
        <w:tc>
          <w:tcPr>
            <w:tcW w:w="757" w:type="dxa"/>
            <w:noWrap/>
            <w:vAlign w:val="center"/>
          </w:tcPr>
          <w:p w14:paraId="515AD38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194</w:t>
            </w:r>
          </w:p>
        </w:tc>
        <w:tc>
          <w:tcPr>
            <w:tcW w:w="707" w:type="dxa"/>
            <w:noWrap/>
            <w:vAlign w:val="center"/>
          </w:tcPr>
          <w:p w14:paraId="2470B63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174</w:t>
            </w:r>
          </w:p>
        </w:tc>
        <w:tc>
          <w:tcPr>
            <w:tcW w:w="773" w:type="dxa"/>
            <w:noWrap/>
            <w:vAlign w:val="center"/>
          </w:tcPr>
          <w:p w14:paraId="130BE26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20</w:t>
            </w:r>
          </w:p>
        </w:tc>
        <w:tc>
          <w:tcPr>
            <w:tcW w:w="850" w:type="dxa"/>
            <w:noWrap/>
            <w:vAlign w:val="center"/>
          </w:tcPr>
          <w:p w14:paraId="49F8812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2</w:t>
            </w:r>
          </w:p>
        </w:tc>
        <w:tc>
          <w:tcPr>
            <w:tcW w:w="709" w:type="dxa"/>
            <w:noWrap/>
            <w:vAlign w:val="center"/>
          </w:tcPr>
          <w:p w14:paraId="5D7E72F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49" w:type="dxa"/>
            <w:noWrap/>
            <w:vAlign w:val="center"/>
          </w:tcPr>
          <w:p w14:paraId="570CDBA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w:t>
            </w:r>
          </w:p>
        </w:tc>
      </w:tr>
      <w:tr w:rsidR="000B4D72" w:rsidRPr="00FF50CD" w14:paraId="07E092E1"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70F2E5F3"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 tym:</w:t>
            </w:r>
          </w:p>
        </w:tc>
        <w:tc>
          <w:tcPr>
            <w:tcW w:w="1284" w:type="dxa"/>
            <w:noWrap/>
            <w:vAlign w:val="center"/>
          </w:tcPr>
          <w:p w14:paraId="316C8D7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c>
          <w:tcPr>
            <w:tcW w:w="757" w:type="dxa"/>
            <w:noWrap/>
            <w:vAlign w:val="center"/>
          </w:tcPr>
          <w:p w14:paraId="2C7C078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c>
          <w:tcPr>
            <w:tcW w:w="707" w:type="dxa"/>
            <w:noWrap/>
            <w:vAlign w:val="center"/>
          </w:tcPr>
          <w:p w14:paraId="2D3A15E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c>
          <w:tcPr>
            <w:tcW w:w="773" w:type="dxa"/>
            <w:noWrap/>
            <w:vAlign w:val="center"/>
          </w:tcPr>
          <w:p w14:paraId="2866C71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c>
          <w:tcPr>
            <w:tcW w:w="850" w:type="dxa"/>
            <w:noWrap/>
            <w:vAlign w:val="center"/>
          </w:tcPr>
          <w:p w14:paraId="09F0691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c>
          <w:tcPr>
            <w:tcW w:w="709" w:type="dxa"/>
            <w:noWrap/>
            <w:vAlign w:val="center"/>
          </w:tcPr>
          <w:p w14:paraId="66FD5A5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c>
          <w:tcPr>
            <w:tcW w:w="749" w:type="dxa"/>
            <w:noWrap/>
            <w:vAlign w:val="center"/>
          </w:tcPr>
          <w:p w14:paraId="2080CA6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p>
        </w:tc>
      </w:tr>
      <w:tr w:rsidR="000B4D72" w:rsidRPr="00FF50CD" w14:paraId="5D7D48EA"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4D6F7896"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Miasto</w:t>
            </w:r>
          </w:p>
        </w:tc>
        <w:tc>
          <w:tcPr>
            <w:tcW w:w="1284" w:type="dxa"/>
            <w:noWrap/>
            <w:vAlign w:val="center"/>
          </w:tcPr>
          <w:p w14:paraId="4871EAD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158</w:t>
            </w:r>
          </w:p>
        </w:tc>
        <w:tc>
          <w:tcPr>
            <w:tcW w:w="757" w:type="dxa"/>
            <w:noWrap/>
            <w:vAlign w:val="center"/>
          </w:tcPr>
          <w:p w14:paraId="554ACD2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156</w:t>
            </w:r>
          </w:p>
        </w:tc>
        <w:tc>
          <w:tcPr>
            <w:tcW w:w="707" w:type="dxa"/>
            <w:noWrap/>
            <w:vAlign w:val="center"/>
          </w:tcPr>
          <w:p w14:paraId="31AC96C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140</w:t>
            </w:r>
          </w:p>
        </w:tc>
        <w:tc>
          <w:tcPr>
            <w:tcW w:w="773" w:type="dxa"/>
            <w:noWrap/>
            <w:vAlign w:val="center"/>
          </w:tcPr>
          <w:p w14:paraId="4521FD3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16</w:t>
            </w:r>
          </w:p>
        </w:tc>
        <w:tc>
          <w:tcPr>
            <w:tcW w:w="850" w:type="dxa"/>
            <w:noWrap/>
            <w:vAlign w:val="center"/>
          </w:tcPr>
          <w:p w14:paraId="43FB9FB6"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09" w:type="dxa"/>
            <w:noWrap/>
            <w:vAlign w:val="center"/>
          </w:tcPr>
          <w:p w14:paraId="272AF19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49" w:type="dxa"/>
            <w:noWrap/>
            <w:vAlign w:val="center"/>
          </w:tcPr>
          <w:p w14:paraId="3582297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2</w:t>
            </w:r>
          </w:p>
        </w:tc>
      </w:tr>
      <w:tr w:rsidR="000B4D72" w:rsidRPr="00FF50CD" w14:paraId="527630A1"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2A6329ED"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Wieś</w:t>
            </w:r>
          </w:p>
        </w:tc>
        <w:tc>
          <w:tcPr>
            <w:tcW w:w="1284" w:type="dxa"/>
            <w:noWrap/>
            <w:vAlign w:val="center"/>
          </w:tcPr>
          <w:p w14:paraId="394C38AC"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39</w:t>
            </w:r>
          </w:p>
        </w:tc>
        <w:tc>
          <w:tcPr>
            <w:tcW w:w="757" w:type="dxa"/>
            <w:noWrap/>
            <w:vAlign w:val="center"/>
          </w:tcPr>
          <w:p w14:paraId="3C26F494"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38</w:t>
            </w:r>
          </w:p>
        </w:tc>
        <w:tc>
          <w:tcPr>
            <w:tcW w:w="707" w:type="dxa"/>
            <w:noWrap/>
            <w:vAlign w:val="center"/>
          </w:tcPr>
          <w:p w14:paraId="3D81A04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33</w:t>
            </w:r>
          </w:p>
        </w:tc>
        <w:tc>
          <w:tcPr>
            <w:tcW w:w="773" w:type="dxa"/>
            <w:noWrap/>
            <w:vAlign w:val="center"/>
          </w:tcPr>
          <w:p w14:paraId="30EF1E8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5</w:t>
            </w:r>
          </w:p>
        </w:tc>
        <w:tc>
          <w:tcPr>
            <w:tcW w:w="850" w:type="dxa"/>
            <w:noWrap/>
            <w:vAlign w:val="center"/>
          </w:tcPr>
          <w:p w14:paraId="6072431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09" w:type="dxa"/>
            <w:noWrap/>
            <w:vAlign w:val="center"/>
          </w:tcPr>
          <w:p w14:paraId="1A845F0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633DBC8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r>
      <w:tr w:rsidR="000B4D72" w:rsidRPr="00FF50CD" w14:paraId="2BB970F1"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1B346310"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Mężczyźni</w:t>
            </w:r>
          </w:p>
        </w:tc>
        <w:tc>
          <w:tcPr>
            <w:tcW w:w="1284" w:type="dxa"/>
            <w:noWrap/>
            <w:vAlign w:val="center"/>
          </w:tcPr>
          <w:p w14:paraId="43C916B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141</w:t>
            </w:r>
          </w:p>
        </w:tc>
        <w:tc>
          <w:tcPr>
            <w:tcW w:w="757" w:type="dxa"/>
            <w:noWrap/>
            <w:vAlign w:val="center"/>
          </w:tcPr>
          <w:p w14:paraId="1479ED7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141</w:t>
            </w:r>
          </w:p>
        </w:tc>
        <w:tc>
          <w:tcPr>
            <w:tcW w:w="707" w:type="dxa"/>
            <w:noWrap/>
            <w:vAlign w:val="center"/>
          </w:tcPr>
          <w:p w14:paraId="24968B9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130</w:t>
            </w:r>
          </w:p>
        </w:tc>
        <w:tc>
          <w:tcPr>
            <w:tcW w:w="773" w:type="dxa"/>
            <w:noWrap/>
            <w:vAlign w:val="center"/>
          </w:tcPr>
          <w:p w14:paraId="3E754E7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11</w:t>
            </w:r>
          </w:p>
        </w:tc>
        <w:tc>
          <w:tcPr>
            <w:tcW w:w="850" w:type="dxa"/>
            <w:noWrap/>
            <w:vAlign w:val="center"/>
          </w:tcPr>
          <w:p w14:paraId="3550BAD9"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09" w:type="dxa"/>
            <w:noWrap/>
            <w:vAlign w:val="center"/>
          </w:tcPr>
          <w:p w14:paraId="751CDB7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6F1C4CC1"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r>
      <w:tr w:rsidR="000B4D72" w:rsidRPr="00FF50CD" w14:paraId="365CADB3"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042E8587"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Kobiety</w:t>
            </w:r>
          </w:p>
        </w:tc>
        <w:tc>
          <w:tcPr>
            <w:tcW w:w="1284" w:type="dxa"/>
            <w:noWrap/>
            <w:vAlign w:val="center"/>
          </w:tcPr>
          <w:p w14:paraId="07C5337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56</w:t>
            </w:r>
          </w:p>
        </w:tc>
        <w:tc>
          <w:tcPr>
            <w:tcW w:w="757" w:type="dxa"/>
            <w:noWrap/>
            <w:vAlign w:val="center"/>
          </w:tcPr>
          <w:p w14:paraId="3353D7D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53</w:t>
            </w:r>
          </w:p>
        </w:tc>
        <w:tc>
          <w:tcPr>
            <w:tcW w:w="707" w:type="dxa"/>
            <w:noWrap/>
            <w:vAlign w:val="center"/>
          </w:tcPr>
          <w:p w14:paraId="328B04E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44</w:t>
            </w:r>
          </w:p>
        </w:tc>
        <w:tc>
          <w:tcPr>
            <w:tcW w:w="773" w:type="dxa"/>
            <w:noWrap/>
            <w:vAlign w:val="center"/>
          </w:tcPr>
          <w:p w14:paraId="1A47F08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9</w:t>
            </w:r>
          </w:p>
        </w:tc>
        <w:tc>
          <w:tcPr>
            <w:tcW w:w="850" w:type="dxa"/>
            <w:noWrap/>
            <w:vAlign w:val="center"/>
          </w:tcPr>
          <w:p w14:paraId="54E43AD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2</w:t>
            </w:r>
          </w:p>
        </w:tc>
        <w:tc>
          <w:tcPr>
            <w:tcW w:w="709" w:type="dxa"/>
            <w:noWrap/>
            <w:vAlign w:val="center"/>
          </w:tcPr>
          <w:p w14:paraId="52B35B3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49" w:type="dxa"/>
            <w:noWrap/>
            <w:vAlign w:val="center"/>
          </w:tcPr>
          <w:p w14:paraId="45BE735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w:t>
            </w:r>
          </w:p>
        </w:tc>
      </w:tr>
      <w:tr w:rsidR="000B4D72" w:rsidRPr="00FF50CD" w14:paraId="5731DB42"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1C80699F"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lastRenderedPageBreak/>
              <w:t>Wg grup wiekowych</w:t>
            </w:r>
          </w:p>
        </w:tc>
        <w:tc>
          <w:tcPr>
            <w:tcW w:w="1284" w:type="dxa"/>
            <w:noWrap/>
            <w:vAlign w:val="center"/>
          </w:tcPr>
          <w:p w14:paraId="0560B81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c>
          <w:tcPr>
            <w:tcW w:w="757" w:type="dxa"/>
            <w:noWrap/>
            <w:vAlign w:val="center"/>
          </w:tcPr>
          <w:p w14:paraId="6A829D6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c>
          <w:tcPr>
            <w:tcW w:w="707" w:type="dxa"/>
            <w:noWrap/>
            <w:vAlign w:val="center"/>
          </w:tcPr>
          <w:p w14:paraId="2FDD2C7F"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c>
          <w:tcPr>
            <w:tcW w:w="773" w:type="dxa"/>
            <w:noWrap/>
            <w:vAlign w:val="center"/>
          </w:tcPr>
          <w:p w14:paraId="5300C0D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c>
          <w:tcPr>
            <w:tcW w:w="850" w:type="dxa"/>
            <w:noWrap/>
            <w:vAlign w:val="center"/>
          </w:tcPr>
          <w:p w14:paraId="5EF263C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c>
          <w:tcPr>
            <w:tcW w:w="709" w:type="dxa"/>
            <w:noWrap/>
            <w:vAlign w:val="center"/>
          </w:tcPr>
          <w:p w14:paraId="13EB80B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c>
          <w:tcPr>
            <w:tcW w:w="749" w:type="dxa"/>
            <w:noWrap/>
            <w:vAlign w:val="center"/>
          </w:tcPr>
          <w:p w14:paraId="4CB5029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p>
        </w:tc>
      </w:tr>
      <w:tr w:rsidR="000B4D72" w:rsidRPr="00FF50CD" w14:paraId="7BE60139"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2EB562D9"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0-14</w:t>
            </w:r>
          </w:p>
        </w:tc>
        <w:tc>
          <w:tcPr>
            <w:tcW w:w="1284" w:type="dxa"/>
            <w:noWrap/>
            <w:vAlign w:val="center"/>
          </w:tcPr>
          <w:p w14:paraId="7F9DD99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2</w:t>
            </w:r>
          </w:p>
        </w:tc>
        <w:tc>
          <w:tcPr>
            <w:tcW w:w="757" w:type="dxa"/>
            <w:noWrap/>
            <w:vAlign w:val="center"/>
          </w:tcPr>
          <w:p w14:paraId="65B0C5D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2</w:t>
            </w:r>
          </w:p>
        </w:tc>
        <w:tc>
          <w:tcPr>
            <w:tcW w:w="707" w:type="dxa"/>
            <w:noWrap/>
            <w:vAlign w:val="center"/>
          </w:tcPr>
          <w:p w14:paraId="49A21F5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73" w:type="dxa"/>
            <w:noWrap/>
            <w:vAlign w:val="center"/>
          </w:tcPr>
          <w:p w14:paraId="6B9A52A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850" w:type="dxa"/>
            <w:noWrap/>
            <w:vAlign w:val="center"/>
          </w:tcPr>
          <w:p w14:paraId="1A62CEE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09" w:type="dxa"/>
            <w:noWrap/>
            <w:vAlign w:val="center"/>
          </w:tcPr>
          <w:p w14:paraId="5BA7565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3DA8482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r>
      <w:tr w:rsidR="000B4D72" w:rsidRPr="00FF50CD" w14:paraId="69A6D86D"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41C9D2DB"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15-19</w:t>
            </w:r>
          </w:p>
        </w:tc>
        <w:tc>
          <w:tcPr>
            <w:tcW w:w="1284" w:type="dxa"/>
            <w:noWrap/>
            <w:vAlign w:val="center"/>
          </w:tcPr>
          <w:p w14:paraId="76AAEBCE"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7</w:t>
            </w:r>
          </w:p>
        </w:tc>
        <w:tc>
          <w:tcPr>
            <w:tcW w:w="757" w:type="dxa"/>
            <w:noWrap/>
            <w:vAlign w:val="center"/>
          </w:tcPr>
          <w:p w14:paraId="16252C4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6</w:t>
            </w:r>
          </w:p>
        </w:tc>
        <w:tc>
          <w:tcPr>
            <w:tcW w:w="707" w:type="dxa"/>
            <w:noWrap/>
            <w:vAlign w:val="center"/>
          </w:tcPr>
          <w:p w14:paraId="2B20961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6</w:t>
            </w:r>
          </w:p>
        </w:tc>
        <w:tc>
          <w:tcPr>
            <w:tcW w:w="773" w:type="dxa"/>
            <w:noWrap/>
            <w:vAlign w:val="center"/>
          </w:tcPr>
          <w:p w14:paraId="1C2B5C6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850" w:type="dxa"/>
            <w:noWrap/>
            <w:vAlign w:val="center"/>
          </w:tcPr>
          <w:p w14:paraId="4683D58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09" w:type="dxa"/>
            <w:noWrap/>
            <w:vAlign w:val="center"/>
          </w:tcPr>
          <w:p w14:paraId="4AA338D1"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72C77A2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r>
      <w:tr w:rsidR="000B4D72" w:rsidRPr="00FF50CD" w14:paraId="41F8AD09"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40C9C3E9"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20-29</w:t>
            </w:r>
          </w:p>
        </w:tc>
        <w:tc>
          <w:tcPr>
            <w:tcW w:w="1284" w:type="dxa"/>
            <w:noWrap/>
            <w:vAlign w:val="center"/>
          </w:tcPr>
          <w:p w14:paraId="176D943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17</w:t>
            </w:r>
          </w:p>
        </w:tc>
        <w:tc>
          <w:tcPr>
            <w:tcW w:w="757" w:type="dxa"/>
            <w:noWrap/>
            <w:vAlign w:val="center"/>
          </w:tcPr>
          <w:p w14:paraId="61DBE24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17</w:t>
            </w:r>
          </w:p>
        </w:tc>
        <w:tc>
          <w:tcPr>
            <w:tcW w:w="707" w:type="dxa"/>
            <w:noWrap/>
            <w:vAlign w:val="center"/>
          </w:tcPr>
          <w:p w14:paraId="4B840DD7"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14</w:t>
            </w:r>
          </w:p>
        </w:tc>
        <w:tc>
          <w:tcPr>
            <w:tcW w:w="773" w:type="dxa"/>
            <w:noWrap/>
            <w:vAlign w:val="center"/>
          </w:tcPr>
          <w:p w14:paraId="2413C15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w:t>
            </w:r>
          </w:p>
        </w:tc>
        <w:tc>
          <w:tcPr>
            <w:tcW w:w="850" w:type="dxa"/>
            <w:noWrap/>
            <w:vAlign w:val="center"/>
          </w:tcPr>
          <w:p w14:paraId="24ED8824"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09" w:type="dxa"/>
            <w:noWrap/>
            <w:vAlign w:val="center"/>
          </w:tcPr>
          <w:p w14:paraId="478C9CE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786B285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r>
      <w:tr w:rsidR="000B4D72" w:rsidRPr="00FF50CD" w14:paraId="5F270657"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7C131B17"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30-44</w:t>
            </w:r>
          </w:p>
        </w:tc>
        <w:tc>
          <w:tcPr>
            <w:tcW w:w="1284" w:type="dxa"/>
            <w:noWrap/>
            <w:vAlign w:val="center"/>
          </w:tcPr>
          <w:p w14:paraId="040345F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51</w:t>
            </w:r>
          </w:p>
        </w:tc>
        <w:tc>
          <w:tcPr>
            <w:tcW w:w="757" w:type="dxa"/>
            <w:noWrap/>
            <w:vAlign w:val="center"/>
          </w:tcPr>
          <w:p w14:paraId="0CA07525"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50</w:t>
            </w:r>
          </w:p>
        </w:tc>
        <w:tc>
          <w:tcPr>
            <w:tcW w:w="707" w:type="dxa"/>
            <w:noWrap/>
            <w:vAlign w:val="center"/>
          </w:tcPr>
          <w:p w14:paraId="02BAC072"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47</w:t>
            </w:r>
          </w:p>
        </w:tc>
        <w:tc>
          <w:tcPr>
            <w:tcW w:w="773" w:type="dxa"/>
            <w:noWrap/>
            <w:vAlign w:val="center"/>
          </w:tcPr>
          <w:p w14:paraId="51758B2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w:t>
            </w:r>
          </w:p>
        </w:tc>
        <w:tc>
          <w:tcPr>
            <w:tcW w:w="850" w:type="dxa"/>
            <w:noWrap/>
            <w:vAlign w:val="center"/>
          </w:tcPr>
          <w:p w14:paraId="2567A0A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09" w:type="dxa"/>
            <w:noWrap/>
            <w:vAlign w:val="center"/>
          </w:tcPr>
          <w:p w14:paraId="1389DB9E"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2ABAE66F"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r>
      <w:tr w:rsidR="000B4D72" w:rsidRPr="00FF50CD" w14:paraId="10314F74" w14:textId="77777777" w:rsidTr="00F865A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772B2586"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45-64</w:t>
            </w:r>
          </w:p>
        </w:tc>
        <w:tc>
          <w:tcPr>
            <w:tcW w:w="1284" w:type="dxa"/>
            <w:noWrap/>
            <w:vAlign w:val="center"/>
          </w:tcPr>
          <w:p w14:paraId="4D4B716D"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83</w:t>
            </w:r>
          </w:p>
        </w:tc>
        <w:tc>
          <w:tcPr>
            <w:tcW w:w="757" w:type="dxa"/>
            <w:noWrap/>
            <w:vAlign w:val="center"/>
          </w:tcPr>
          <w:p w14:paraId="624B443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82</w:t>
            </w:r>
          </w:p>
        </w:tc>
        <w:tc>
          <w:tcPr>
            <w:tcW w:w="707" w:type="dxa"/>
            <w:noWrap/>
            <w:vAlign w:val="center"/>
          </w:tcPr>
          <w:p w14:paraId="7C8558E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71</w:t>
            </w:r>
          </w:p>
        </w:tc>
        <w:tc>
          <w:tcPr>
            <w:tcW w:w="773" w:type="dxa"/>
            <w:noWrap/>
            <w:vAlign w:val="center"/>
          </w:tcPr>
          <w:p w14:paraId="22B0B57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11</w:t>
            </w:r>
          </w:p>
        </w:tc>
        <w:tc>
          <w:tcPr>
            <w:tcW w:w="850" w:type="dxa"/>
            <w:noWrap/>
            <w:vAlign w:val="center"/>
          </w:tcPr>
          <w:p w14:paraId="702D7EF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09" w:type="dxa"/>
            <w:noWrap/>
            <w:vAlign w:val="center"/>
          </w:tcPr>
          <w:p w14:paraId="1C6C146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c>
          <w:tcPr>
            <w:tcW w:w="749" w:type="dxa"/>
            <w:noWrap/>
            <w:vAlign w:val="center"/>
          </w:tcPr>
          <w:p w14:paraId="7956C0D9"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1</w:t>
            </w:r>
          </w:p>
        </w:tc>
      </w:tr>
      <w:tr w:rsidR="000B4D72" w:rsidRPr="00FF50CD" w14:paraId="07C576A9" w14:textId="77777777" w:rsidTr="00F865A1">
        <w:trPr>
          <w:trHeight w:val="285"/>
        </w:trPr>
        <w:tc>
          <w:tcPr>
            <w:cnfStyle w:val="001000000000" w:firstRow="0" w:lastRow="0" w:firstColumn="1" w:lastColumn="0" w:oddVBand="0" w:evenVBand="0" w:oddHBand="0" w:evenHBand="0" w:firstRowFirstColumn="0" w:firstRowLastColumn="0" w:lastRowFirstColumn="0" w:lastRowLastColumn="0"/>
            <w:tcW w:w="3704" w:type="dxa"/>
            <w:noWrap/>
            <w:vAlign w:val="center"/>
            <w:hideMark/>
          </w:tcPr>
          <w:p w14:paraId="4EC1CA1D"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65 i więcej</w:t>
            </w:r>
          </w:p>
        </w:tc>
        <w:tc>
          <w:tcPr>
            <w:tcW w:w="1284" w:type="dxa"/>
            <w:noWrap/>
            <w:vAlign w:val="center"/>
          </w:tcPr>
          <w:p w14:paraId="7B73A47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37</w:t>
            </w:r>
          </w:p>
        </w:tc>
        <w:tc>
          <w:tcPr>
            <w:tcW w:w="757" w:type="dxa"/>
            <w:noWrap/>
            <w:vAlign w:val="center"/>
          </w:tcPr>
          <w:p w14:paraId="1E79FCBF"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37</w:t>
            </w:r>
          </w:p>
        </w:tc>
        <w:tc>
          <w:tcPr>
            <w:tcW w:w="707" w:type="dxa"/>
            <w:noWrap/>
            <w:vAlign w:val="center"/>
          </w:tcPr>
          <w:p w14:paraId="48E1DAD1"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34</w:t>
            </w:r>
          </w:p>
        </w:tc>
        <w:tc>
          <w:tcPr>
            <w:tcW w:w="773" w:type="dxa"/>
            <w:noWrap/>
            <w:vAlign w:val="center"/>
          </w:tcPr>
          <w:p w14:paraId="1B945CF1"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3</w:t>
            </w:r>
          </w:p>
        </w:tc>
        <w:tc>
          <w:tcPr>
            <w:tcW w:w="850" w:type="dxa"/>
            <w:noWrap/>
            <w:vAlign w:val="center"/>
          </w:tcPr>
          <w:p w14:paraId="25BE5B4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09" w:type="dxa"/>
            <w:noWrap/>
            <w:vAlign w:val="center"/>
          </w:tcPr>
          <w:p w14:paraId="12C152F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c>
          <w:tcPr>
            <w:tcW w:w="749" w:type="dxa"/>
            <w:noWrap/>
            <w:vAlign w:val="center"/>
          </w:tcPr>
          <w:p w14:paraId="1D98BE3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cstheme="minorHAnsi"/>
                <w:sz w:val="20"/>
                <w:szCs w:val="20"/>
              </w:rPr>
              <w:t>0</w:t>
            </w:r>
          </w:p>
        </w:tc>
      </w:tr>
    </w:tbl>
    <w:p w14:paraId="7E3A9193" w14:textId="77777777" w:rsidR="00EE16EC" w:rsidRDefault="00EE16EC" w:rsidP="00597239">
      <w:pPr>
        <w:pStyle w:val="Nagwek3"/>
        <w:spacing w:before="0" w:after="0"/>
        <w:ind w:left="0" w:firstLine="0"/>
      </w:pPr>
      <w:bookmarkStart w:id="122" w:name="_Toc192678708"/>
      <w:bookmarkStart w:id="123" w:name="_Toc193694448"/>
    </w:p>
    <w:p w14:paraId="3D65D37D" w14:textId="27EE5B8A" w:rsidR="000B4D72" w:rsidRPr="00CB6C55" w:rsidRDefault="000B4D72" w:rsidP="00597239">
      <w:pPr>
        <w:pStyle w:val="Nagwek3"/>
        <w:numPr>
          <w:ilvl w:val="1"/>
          <w:numId w:val="37"/>
        </w:numPr>
        <w:spacing w:before="0" w:after="0"/>
        <w:ind w:left="568" w:hanging="284"/>
      </w:pPr>
      <w:bookmarkStart w:id="124" w:name="_Toc194059786"/>
      <w:r w:rsidRPr="00CB6C55">
        <w:t>Zakażenie wirusem HIV, choroba AIDS</w:t>
      </w:r>
      <w:bookmarkEnd w:id="122"/>
      <w:bookmarkEnd w:id="123"/>
      <w:bookmarkEnd w:id="124"/>
    </w:p>
    <w:bookmarkEnd w:id="116"/>
    <w:p w14:paraId="066F2EB1" w14:textId="244243B0" w:rsidR="000B4D72" w:rsidRPr="00CB6C55" w:rsidRDefault="000B4D72" w:rsidP="00597239">
      <w:pPr>
        <w:spacing w:after="0" w:line="276" w:lineRule="auto"/>
        <w:rPr>
          <w:rFonts w:eastAsia="Calibri" w:cstheme="minorHAnsi"/>
          <w:sz w:val="24"/>
          <w:szCs w:val="24"/>
        </w:rPr>
      </w:pPr>
      <w:r w:rsidRPr="00CB6C55">
        <w:rPr>
          <w:rFonts w:eastAsia="Calibri" w:cstheme="minorHAnsi"/>
          <w:sz w:val="24"/>
          <w:szCs w:val="24"/>
        </w:rPr>
        <w:t>W 2024 r. w woj. zachodniopomorskim odnotowano ogółem 107 nowych przypadków zakażenia HIV u obywateli Polski oraz u osób innego obywatelstwa przebywających na terenie województwa</w:t>
      </w:r>
      <w:r>
        <w:rPr>
          <w:rFonts w:eastAsia="Calibri" w:cstheme="minorHAnsi"/>
          <w:sz w:val="24"/>
          <w:szCs w:val="24"/>
        </w:rPr>
        <w:t>, blisko 70 % to mężczyźni. Po wzroście zgłoszonych zakażeń w 2022 r. obserwowany jest stopniowy spadek ich liczby.</w:t>
      </w:r>
    </w:p>
    <w:p w14:paraId="30442367" w14:textId="77777777" w:rsidR="00EE16EC" w:rsidRDefault="00EE16EC" w:rsidP="00597239">
      <w:pPr>
        <w:spacing w:after="0" w:line="276" w:lineRule="auto"/>
        <w:rPr>
          <w:rFonts w:cstheme="minorHAnsi"/>
          <w:sz w:val="24"/>
          <w:szCs w:val="24"/>
        </w:rPr>
      </w:pPr>
    </w:p>
    <w:p w14:paraId="725EEC54" w14:textId="27EFA971" w:rsidR="000B4D72" w:rsidRPr="00AD455B" w:rsidRDefault="000B4D72" w:rsidP="00597239">
      <w:pPr>
        <w:spacing w:after="0" w:line="276" w:lineRule="auto"/>
        <w:rPr>
          <w:rFonts w:eastAsia="Calibri" w:cstheme="minorHAnsi"/>
          <w:sz w:val="24"/>
          <w:szCs w:val="24"/>
        </w:rPr>
      </w:pPr>
      <w:r>
        <w:rPr>
          <w:rFonts w:cstheme="minorHAnsi"/>
          <w:sz w:val="24"/>
          <w:szCs w:val="24"/>
        </w:rPr>
        <w:t>Rozkład zakażeń z podziałem</w:t>
      </w:r>
      <w:r w:rsidRPr="00AD455B">
        <w:rPr>
          <w:rFonts w:eastAsia="Calibri" w:cstheme="minorHAnsi"/>
          <w:sz w:val="24"/>
          <w:szCs w:val="24"/>
        </w:rPr>
        <w:t xml:space="preserve"> </w:t>
      </w:r>
      <w:r>
        <w:rPr>
          <w:rFonts w:eastAsia="Calibri" w:cstheme="minorHAnsi"/>
          <w:sz w:val="24"/>
          <w:szCs w:val="24"/>
        </w:rPr>
        <w:t>na grupy wiekowe:</w:t>
      </w:r>
      <w:r w:rsidRPr="00AD455B">
        <w:rPr>
          <w:rFonts w:eastAsia="Calibri" w:cstheme="minorHAnsi"/>
          <w:sz w:val="24"/>
          <w:szCs w:val="24"/>
        </w:rPr>
        <w:t xml:space="preserve"> </w:t>
      </w:r>
    </w:p>
    <w:p w14:paraId="3E9D3CEA" w14:textId="77777777" w:rsidR="000B4D72" w:rsidRPr="00AD455B" w:rsidRDefault="000B4D72" w:rsidP="00597239">
      <w:pPr>
        <w:numPr>
          <w:ilvl w:val="0"/>
          <w:numId w:val="32"/>
        </w:numPr>
        <w:spacing w:after="0" w:line="276" w:lineRule="auto"/>
        <w:ind w:left="714" w:hanging="357"/>
        <w:rPr>
          <w:rFonts w:eastAsia="Calibri" w:cstheme="minorHAnsi"/>
          <w:sz w:val="24"/>
          <w:szCs w:val="24"/>
        </w:rPr>
      </w:pPr>
      <w:r w:rsidRPr="00AD455B">
        <w:rPr>
          <w:rFonts w:eastAsia="Calibri" w:cstheme="minorHAnsi"/>
          <w:sz w:val="24"/>
          <w:szCs w:val="24"/>
        </w:rPr>
        <w:t>poniżej 20 r.ż. - 2 osoby</w:t>
      </w:r>
      <w:r>
        <w:rPr>
          <w:rFonts w:eastAsia="Calibri" w:cstheme="minorHAnsi"/>
          <w:sz w:val="24"/>
          <w:szCs w:val="24"/>
        </w:rPr>
        <w:t>,</w:t>
      </w:r>
    </w:p>
    <w:p w14:paraId="3136B427" w14:textId="77777777" w:rsidR="000B4D72" w:rsidRPr="00AD455B" w:rsidRDefault="000B4D72" w:rsidP="00597239">
      <w:pPr>
        <w:numPr>
          <w:ilvl w:val="0"/>
          <w:numId w:val="32"/>
        </w:numPr>
        <w:spacing w:after="0" w:line="276" w:lineRule="auto"/>
        <w:ind w:left="714" w:hanging="357"/>
        <w:rPr>
          <w:rFonts w:eastAsia="Calibri" w:cstheme="minorHAnsi"/>
          <w:sz w:val="24"/>
          <w:szCs w:val="24"/>
        </w:rPr>
      </w:pPr>
      <w:r w:rsidRPr="00AD455B">
        <w:rPr>
          <w:rFonts w:eastAsia="Calibri" w:cstheme="minorHAnsi"/>
          <w:sz w:val="24"/>
          <w:szCs w:val="24"/>
        </w:rPr>
        <w:t>w przedziale wiekowym 20-29 lat - 21 os</w:t>
      </w:r>
      <w:r>
        <w:rPr>
          <w:rFonts w:eastAsia="Calibri" w:cstheme="minorHAnsi"/>
          <w:sz w:val="24"/>
          <w:szCs w:val="24"/>
        </w:rPr>
        <w:t>ób,</w:t>
      </w:r>
    </w:p>
    <w:p w14:paraId="1AA9F92A" w14:textId="77777777" w:rsidR="000B4D72" w:rsidRPr="00AD455B" w:rsidRDefault="000B4D72" w:rsidP="00597239">
      <w:pPr>
        <w:numPr>
          <w:ilvl w:val="0"/>
          <w:numId w:val="32"/>
        </w:numPr>
        <w:spacing w:after="0" w:line="276" w:lineRule="auto"/>
        <w:ind w:left="714" w:hanging="357"/>
        <w:rPr>
          <w:rFonts w:eastAsia="Calibri" w:cstheme="minorHAnsi"/>
          <w:sz w:val="24"/>
          <w:szCs w:val="24"/>
        </w:rPr>
      </w:pPr>
      <w:r w:rsidRPr="00AD455B">
        <w:rPr>
          <w:rFonts w:eastAsia="Calibri" w:cstheme="minorHAnsi"/>
          <w:sz w:val="24"/>
          <w:szCs w:val="24"/>
        </w:rPr>
        <w:t>w przedziale wiekowym 30-39 lat - 35 osób</w:t>
      </w:r>
      <w:r>
        <w:rPr>
          <w:rFonts w:eastAsia="Calibri" w:cstheme="minorHAnsi"/>
          <w:sz w:val="24"/>
          <w:szCs w:val="24"/>
        </w:rPr>
        <w:t>,</w:t>
      </w:r>
    </w:p>
    <w:p w14:paraId="05C86E31" w14:textId="77777777" w:rsidR="000B4D72" w:rsidRPr="00AD455B" w:rsidRDefault="000B4D72" w:rsidP="00597239">
      <w:pPr>
        <w:numPr>
          <w:ilvl w:val="0"/>
          <w:numId w:val="32"/>
        </w:numPr>
        <w:spacing w:after="0" w:line="276" w:lineRule="auto"/>
        <w:ind w:left="714" w:hanging="357"/>
        <w:rPr>
          <w:rFonts w:eastAsia="Calibri" w:cstheme="minorHAnsi"/>
          <w:sz w:val="24"/>
          <w:szCs w:val="24"/>
        </w:rPr>
      </w:pPr>
      <w:r w:rsidRPr="00AD455B">
        <w:rPr>
          <w:rFonts w:eastAsia="Calibri" w:cstheme="minorHAnsi"/>
          <w:sz w:val="24"/>
          <w:szCs w:val="24"/>
        </w:rPr>
        <w:t>w przedziale wiekowym 40-49 lat - 34 os</w:t>
      </w:r>
      <w:r>
        <w:rPr>
          <w:rFonts w:eastAsia="Calibri" w:cstheme="minorHAnsi"/>
          <w:sz w:val="24"/>
          <w:szCs w:val="24"/>
        </w:rPr>
        <w:t>oby,</w:t>
      </w:r>
    </w:p>
    <w:p w14:paraId="75380E89" w14:textId="77777777" w:rsidR="000B4D72" w:rsidRPr="00AD455B" w:rsidRDefault="000B4D72" w:rsidP="00597239">
      <w:pPr>
        <w:numPr>
          <w:ilvl w:val="0"/>
          <w:numId w:val="32"/>
        </w:numPr>
        <w:spacing w:after="0" w:line="276" w:lineRule="auto"/>
        <w:ind w:left="714" w:hanging="357"/>
        <w:rPr>
          <w:rFonts w:eastAsia="Calibri" w:cstheme="minorHAnsi"/>
          <w:sz w:val="24"/>
          <w:szCs w:val="24"/>
        </w:rPr>
      </w:pPr>
      <w:r w:rsidRPr="00AD455B">
        <w:rPr>
          <w:rFonts w:eastAsia="Calibri" w:cstheme="minorHAnsi"/>
          <w:sz w:val="24"/>
          <w:szCs w:val="24"/>
        </w:rPr>
        <w:t>w przedziale wiekowym 50-59 lat – 13 osób</w:t>
      </w:r>
      <w:r>
        <w:rPr>
          <w:rFonts w:eastAsia="Calibri" w:cstheme="minorHAnsi"/>
          <w:sz w:val="24"/>
          <w:szCs w:val="24"/>
        </w:rPr>
        <w:t>,</w:t>
      </w:r>
    </w:p>
    <w:p w14:paraId="02929B94" w14:textId="77777777" w:rsidR="000B4D72" w:rsidRPr="00AD455B" w:rsidRDefault="000B4D72" w:rsidP="00597239">
      <w:pPr>
        <w:numPr>
          <w:ilvl w:val="0"/>
          <w:numId w:val="32"/>
        </w:numPr>
        <w:spacing w:after="0" w:line="276" w:lineRule="auto"/>
        <w:ind w:left="714" w:hanging="357"/>
        <w:rPr>
          <w:rFonts w:eastAsia="Calibri" w:cstheme="minorHAnsi"/>
          <w:sz w:val="24"/>
          <w:szCs w:val="24"/>
        </w:rPr>
      </w:pPr>
      <w:r w:rsidRPr="00AD455B">
        <w:rPr>
          <w:rFonts w:eastAsia="Calibri" w:cstheme="minorHAnsi"/>
          <w:sz w:val="24"/>
          <w:szCs w:val="24"/>
        </w:rPr>
        <w:t>w przedziale wiekowym 60-69 lat - 1 osoba</w:t>
      </w:r>
      <w:r>
        <w:rPr>
          <w:rFonts w:eastAsia="Calibri" w:cstheme="minorHAnsi"/>
          <w:sz w:val="24"/>
          <w:szCs w:val="24"/>
        </w:rPr>
        <w:t>,</w:t>
      </w:r>
    </w:p>
    <w:p w14:paraId="4D672F57" w14:textId="77777777" w:rsidR="000B4D72" w:rsidRDefault="000B4D72" w:rsidP="00597239">
      <w:pPr>
        <w:numPr>
          <w:ilvl w:val="0"/>
          <w:numId w:val="32"/>
        </w:numPr>
        <w:spacing w:after="0" w:line="276" w:lineRule="auto"/>
        <w:ind w:left="714" w:hanging="357"/>
        <w:rPr>
          <w:rFonts w:eastAsia="Calibri" w:cstheme="minorHAnsi"/>
          <w:sz w:val="24"/>
          <w:szCs w:val="24"/>
        </w:rPr>
      </w:pPr>
      <w:r w:rsidRPr="002C05AB">
        <w:rPr>
          <w:rFonts w:eastAsia="Calibri" w:cstheme="minorHAnsi"/>
          <w:sz w:val="24"/>
          <w:szCs w:val="24"/>
        </w:rPr>
        <w:t xml:space="preserve">1 osoba </w:t>
      </w:r>
      <w:r>
        <w:rPr>
          <w:rFonts w:eastAsia="Calibri" w:cstheme="minorHAnsi"/>
          <w:sz w:val="24"/>
          <w:szCs w:val="24"/>
        </w:rPr>
        <w:t>–</w:t>
      </w:r>
      <w:r w:rsidRPr="002C05AB">
        <w:rPr>
          <w:rFonts w:eastAsia="Calibri" w:cstheme="minorHAnsi"/>
          <w:sz w:val="24"/>
          <w:szCs w:val="24"/>
        </w:rPr>
        <w:t xml:space="preserve"> b</w:t>
      </w:r>
      <w:r>
        <w:rPr>
          <w:rFonts w:eastAsia="Calibri" w:cstheme="minorHAnsi"/>
          <w:sz w:val="24"/>
          <w:szCs w:val="24"/>
        </w:rPr>
        <w:t xml:space="preserve">rak </w:t>
      </w:r>
      <w:r w:rsidRPr="002C05AB">
        <w:rPr>
          <w:rFonts w:eastAsia="Calibri" w:cstheme="minorHAnsi"/>
          <w:sz w:val="24"/>
          <w:szCs w:val="24"/>
        </w:rPr>
        <w:t>d</w:t>
      </w:r>
      <w:r>
        <w:rPr>
          <w:rFonts w:eastAsia="Calibri" w:cstheme="minorHAnsi"/>
          <w:sz w:val="24"/>
          <w:szCs w:val="24"/>
        </w:rPr>
        <w:t>anych</w:t>
      </w:r>
      <w:r w:rsidRPr="002C05AB">
        <w:rPr>
          <w:rFonts w:eastAsia="Calibri" w:cstheme="minorHAnsi"/>
          <w:sz w:val="24"/>
          <w:szCs w:val="24"/>
        </w:rPr>
        <w:t>.</w:t>
      </w:r>
    </w:p>
    <w:p w14:paraId="73D80032" w14:textId="77777777" w:rsidR="00EE16EC" w:rsidRPr="002C05AB" w:rsidRDefault="00EE16EC" w:rsidP="00597239">
      <w:pPr>
        <w:spacing w:after="0" w:line="276" w:lineRule="auto"/>
        <w:ind w:left="360"/>
        <w:rPr>
          <w:rFonts w:eastAsia="Calibri" w:cstheme="minorHAnsi"/>
          <w:sz w:val="24"/>
          <w:szCs w:val="24"/>
        </w:rPr>
      </w:pPr>
    </w:p>
    <w:p w14:paraId="0A900DC1" w14:textId="77777777" w:rsidR="000B4D72" w:rsidRPr="009D4B5E" w:rsidRDefault="000B4D72" w:rsidP="00597239">
      <w:pPr>
        <w:spacing w:after="0" w:line="276" w:lineRule="auto"/>
        <w:rPr>
          <w:rFonts w:eastAsia="Calibri" w:cstheme="minorHAnsi"/>
          <w:sz w:val="24"/>
          <w:szCs w:val="24"/>
        </w:rPr>
      </w:pPr>
      <w:r w:rsidRPr="009D4B5E">
        <w:rPr>
          <w:rFonts w:eastAsia="Calibri" w:cstheme="minorHAnsi"/>
          <w:sz w:val="24"/>
          <w:szCs w:val="24"/>
        </w:rPr>
        <w:t xml:space="preserve">Deklarowaną drogą zakażenia przez nowo zarejestrowane osoby były najczęściej kontakty seksualne (u 26 osób, </w:t>
      </w:r>
      <w:r>
        <w:rPr>
          <w:rFonts w:eastAsia="Calibri" w:cstheme="minorHAnsi"/>
          <w:sz w:val="24"/>
          <w:szCs w:val="24"/>
        </w:rPr>
        <w:t>dwie</w:t>
      </w:r>
      <w:r w:rsidRPr="009D4B5E">
        <w:rPr>
          <w:rFonts w:eastAsia="Calibri" w:cstheme="minorHAnsi"/>
          <w:sz w:val="24"/>
          <w:szCs w:val="24"/>
        </w:rPr>
        <w:t xml:space="preserve"> osoby podały również jako drogę zakażenia wstrzyknięcie narkotyku). Odnotowano </w:t>
      </w:r>
      <w:r>
        <w:rPr>
          <w:rFonts w:eastAsia="Calibri" w:cstheme="minorHAnsi"/>
          <w:sz w:val="24"/>
          <w:szCs w:val="24"/>
        </w:rPr>
        <w:t xml:space="preserve">ponadto </w:t>
      </w:r>
      <w:r w:rsidRPr="009D4B5E">
        <w:rPr>
          <w:rFonts w:eastAsia="Calibri" w:cstheme="minorHAnsi"/>
          <w:sz w:val="24"/>
          <w:szCs w:val="24"/>
        </w:rPr>
        <w:t xml:space="preserve">1 zakażenie poprzez kontakt z krwią (ekspozycja pozazawodowa). </w:t>
      </w:r>
    </w:p>
    <w:p w14:paraId="64FEBA2D" w14:textId="77777777" w:rsidR="00EE16EC" w:rsidRDefault="00EE16EC" w:rsidP="00597239">
      <w:pPr>
        <w:spacing w:after="0" w:line="276" w:lineRule="auto"/>
        <w:rPr>
          <w:rFonts w:eastAsia="Calibri" w:cstheme="minorHAnsi"/>
          <w:sz w:val="24"/>
          <w:szCs w:val="24"/>
        </w:rPr>
      </w:pPr>
    </w:p>
    <w:p w14:paraId="536C53DE" w14:textId="408C64AB" w:rsidR="000B4D72" w:rsidRDefault="000B4D72" w:rsidP="00597239">
      <w:pPr>
        <w:spacing w:after="0" w:line="276" w:lineRule="auto"/>
        <w:rPr>
          <w:rFonts w:eastAsia="Calibri" w:cstheme="minorHAnsi"/>
          <w:sz w:val="24"/>
          <w:szCs w:val="24"/>
        </w:rPr>
      </w:pPr>
      <w:r>
        <w:rPr>
          <w:rFonts w:eastAsia="Calibri" w:cstheme="minorHAnsi"/>
          <w:sz w:val="24"/>
          <w:szCs w:val="24"/>
        </w:rPr>
        <w:t xml:space="preserve">Liczba zarejestrowanych przypadków HIV/AIDS oraz zgonów w woj. zachodniopomorskim przedstawiona została w </w:t>
      </w:r>
      <w:r w:rsidRPr="009D4B5E">
        <w:rPr>
          <w:rFonts w:eastAsia="Calibri" w:cstheme="minorHAnsi"/>
          <w:sz w:val="24"/>
          <w:szCs w:val="24"/>
        </w:rPr>
        <w:t>tabel</w:t>
      </w:r>
      <w:r>
        <w:rPr>
          <w:rFonts w:eastAsia="Calibri" w:cstheme="minorHAnsi"/>
          <w:sz w:val="24"/>
          <w:szCs w:val="24"/>
        </w:rPr>
        <w:t>i</w:t>
      </w:r>
      <w:r w:rsidRPr="009D4B5E">
        <w:rPr>
          <w:rFonts w:eastAsia="Calibri" w:cstheme="minorHAnsi"/>
          <w:sz w:val="24"/>
          <w:szCs w:val="24"/>
        </w:rPr>
        <w:t xml:space="preserve"> 2</w:t>
      </w:r>
      <w:r>
        <w:rPr>
          <w:rFonts w:eastAsia="Calibri" w:cstheme="minorHAnsi"/>
          <w:sz w:val="24"/>
          <w:szCs w:val="24"/>
        </w:rPr>
        <w:t>1</w:t>
      </w:r>
      <w:r w:rsidRPr="009D4B5E">
        <w:rPr>
          <w:rFonts w:eastAsia="Calibri" w:cstheme="minorHAnsi"/>
          <w:sz w:val="24"/>
          <w:szCs w:val="24"/>
        </w:rPr>
        <w:t>.</w:t>
      </w:r>
    </w:p>
    <w:p w14:paraId="2A48B2DB" w14:textId="77777777" w:rsidR="00EE16EC" w:rsidRPr="00447CD5" w:rsidRDefault="00EE16EC" w:rsidP="00597239">
      <w:pPr>
        <w:spacing w:after="0" w:line="276" w:lineRule="auto"/>
        <w:rPr>
          <w:rFonts w:eastAsia="Calibri" w:cstheme="minorHAnsi"/>
          <w:sz w:val="24"/>
          <w:szCs w:val="24"/>
        </w:rPr>
      </w:pPr>
    </w:p>
    <w:p w14:paraId="7DDA52AC" w14:textId="0ADE36AB" w:rsidR="000B4D72" w:rsidRPr="00F73265" w:rsidRDefault="00F73265" w:rsidP="00597239">
      <w:pPr>
        <w:pStyle w:val="Legenda"/>
        <w:spacing w:after="0"/>
        <w:rPr>
          <w:i w:val="0"/>
          <w:iCs w:val="0"/>
          <w:color w:val="000000" w:themeColor="text1"/>
        </w:rPr>
      </w:pPr>
      <w:bookmarkStart w:id="125" w:name="_Toc193805991"/>
      <w:bookmarkStart w:id="126" w:name="_Toc193969539"/>
      <w:bookmarkStart w:id="127" w:name="_Toc194059999"/>
      <w:r w:rsidRPr="00F73265">
        <w:rPr>
          <w:i w:val="0"/>
          <w:iCs w:val="0"/>
          <w:color w:val="000000" w:themeColor="text1"/>
        </w:rPr>
        <w:t xml:space="preserve">Tabela </w:t>
      </w:r>
      <w:r w:rsidRPr="00F73265">
        <w:rPr>
          <w:i w:val="0"/>
          <w:iCs w:val="0"/>
          <w:color w:val="000000" w:themeColor="text1"/>
        </w:rPr>
        <w:fldChar w:fldCharType="begin"/>
      </w:r>
      <w:r w:rsidRPr="00F73265">
        <w:rPr>
          <w:i w:val="0"/>
          <w:iCs w:val="0"/>
          <w:color w:val="000000" w:themeColor="text1"/>
        </w:rPr>
        <w:instrText xml:space="preserve"> SEQ Tabela \* ARABIC </w:instrText>
      </w:r>
      <w:r w:rsidRPr="00F73265">
        <w:rPr>
          <w:i w:val="0"/>
          <w:iCs w:val="0"/>
          <w:color w:val="000000" w:themeColor="text1"/>
        </w:rPr>
        <w:fldChar w:fldCharType="separate"/>
      </w:r>
      <w:r w:rsidR="00FB6F6A">
        <w:rPr>
          <w:i w:val="0"/>
          <w:iCs w:val="0"/>
          <w:noProof/>
          <w:color w:val="000000" w:themeColor="text1"/>
        </w:rPr>
        <w:t>21</w:t>
      </w:r>
      <w:r w:rsidRPr="00F73265">
        <w:rPr>
          <w:i w:val="0"/>
          <w:iCs w:val="0"/>
          <w:color w:val="000000" w:themeColor="text1"/>
        </w:rPr>
        <w:fldChar w:fldCharType="end"/>
      </w:r>
      <w:r w:rsidR="00E75D31">
        <w:rPr>
          <w:i w:val="0"/>
          <w:iCs w:val="0"/>
          <w:color w:val="000000" w:themeColor="text1"/>
        </w:rPr>
        <w:t>.</w:t>
      </w:r>
      <w:r w:rsidRPr="00F73265">
        <w:rPr>
          <w:i w:val="0"/>
          <w:iCs w:val="0"/>
          <w:color w:val="000000" w:themeColor="text1"/>
        </w:rPr>
        <w:t xml:space="preserve"> Liczba zakażeń HIV, zachorowań na AIDS i zgonów w woj. zachodniopomorskim w latach 1985-2024</w:t>
      </w:r>
      <w:r w:rsidR="00B84251">
        <w:rPr>
          <w:i w:val="0"/>
          <w:iCs w:val="0"/>
          <w:color w:val="000000" w:themeColor="text1"/>
        </w:rPr>
        <w:t>.</w:t>
      </w:r>
      <w:bookmarkEnd w:id="125"/>
      <w:bookmarkEnd w:id="126"/>
      <w:bookmarkEnd w:id="127"/>
    </w:p>
    <w:tbl>
      <w:tblPr>
        <w:tblStyle w:val="Tabelasiatki4akcent1"/>
        <w:tblW w:w="9019" w:type="dxa"/>
        <w:tblLayout w:type="fixed"/>
        <w:tblLook w:val="04A0" w:firstRow="1" w:lastRow="0" w:firstColumn="1" w:lastColumn="0" w:noHBand="0" w:noVBand="1"/>
        <w:tblCaption w:val="Liczba zakażeń HIV, zachorowań na AIDS i zgonów w woj. zachodniopomorskim w latach 1985-2024"/>
        <w:tblDescription w:val="W 2024 roku w województwie zachodniopomorskim zarejestrowano 107 przypadków zakażeń HIV, 10 zachorowań na AIDS oraz 4 zgony z powodu AIDS."/>
      </w:tblPr>
      <w:tblGrid>
        <w:gridCol w:w="846"/>
        <w:gridCol w:w="1134"/>
        <w:gridCol w:w="984"/>
        <w:gridCol w:w="792"/>
        <w:gridCol w:w="938"/>
        <w:gridCol w:w="865"/>
        <w:gridCol w:w="748"/>
        <w:gridCol w:w="982"/>
        <w:gridCol w:w="865"/>
        <w:gridCol w:w="865"/>
      </w:tblGrid>
      <w:tr w:rsidR="000B4D72" w:rsidRPr="00FF50CD" w14:paraId="7052B5AA" w14:textId="77777777" w:rsidTr="00A36A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3BA28752"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Lata</w:t>
            </w:r>
          </w:p>
        </w:tc>
        <w:tc>
          <w:tcPr>
            <w:tcW w:w="2910" w:type="dxa"/>
            <w:gridSpan w:val="3"/>
            <w:vAlign w:val="center"/>
          </w:tcPr>
          <w:p w14:paraId="652E31EC" w14:textId="77777777" w:rsidR="000B4D72" w:rsidRPr="00FF50CD" w:rsidRDefault="000B4D72" w:rsidP="00597239">
            <w:pPr>
              <w:tabs>
                <w:tab w:val="left" w:pos="851"/>
              </w:tabs>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zakażenia HIV</w:t>
            </w:r>
          </w:p>
        </w:tc>
        <w:tc>
          <w:tcPr>
            <w:tcW w:w="2551" w:type="dxa"/>
            <w:gridSpan w:val="3"/>
            <w:vAlign w:val="center"/>
          </w:tcPr>
          <w:p w14:paraId="383E2278" w14:textId="77777777" w:rsidR="000B4D72" w:rsidRPr="00FF50CD" w:rsidRDefault="000B4D72" w:rsidP="00597239">
            <w:pPr>
              <w:tabs>
                <w:tab w:val="left" w:pos="851"/>
              </w:tabs>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AIDS</w:t>
            </w:r>
          </w:p>
        </w:tc>
        <w:tc>
          <w:tcPr>
            <w:tcW w:w="2712" w:type="dxa"/>
            <w:gridSpan w:val="3"/>
            <w:vAlign w:val="center"/>
          </w:tcPr>
          <w:p w14:paraId="42BD3979" w14:textId="77777777" w:rsidR="000B4D72" w:rsidRPr="00FF50CD" w:rsidRDefault="000B4D72" w:rsidP="00597239">
            <w:pPr>
              <w:tabs>
                <w:tab w:val="left" w:pos="851"/>
              </w:tabs>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Zgony</w:t>
            </w:r>
          </w:p>
        </w:tc>
      </w:tr>
      <w:tr w:rsidR="000B4D72" w:rsidRPr="00FF50CD" w14:paraId="3E36A826" w14:textId="77777777" w:rsidTr="00A36A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30102B60" w14:textId="77777777" w:rsidR="000B4D72" w:rsidRPr="00FF50CD" w:rsidRDefault="000B4D72" w:rsidP="00597239">
            <w:pPr>
              <w:tabs>
                <w:tab w:val="left" w:pos="851"/>
              </w:tabs>
              <w:rPr>
                <w:rFonts w:eastAsia="Times New Roman" w:cstheme="minorHAnsi"/>
                <w:b w:val="0"/>
                <w:bCs w:val="0"/>
                <w:sz w:val="20"/>
                <w:szCs w:val="20"/>
                <w:lang w:eastAsia="pl-PL"/>
              </w:rPr>
            </w:pPr>
          </w:p>
        </w:tc>
        <w:tc>
          <w:tcPr>
            <w:tcW w:w="1134" w:type="dxa"/>
            <w:vAlign w:val="center"/>
          </w:tcPr>
          <w:p w14:paraId="775CDC03"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zakażeń</w:t>
            </w:r>
          </w:p>
        </w:tc>
        <w:tc>
          <w:tcPr>
            <w:tcW w:w="984" w:type="dxa"/>
            <w:vAlign w:val="center"/>
          </w:tcPr>
          <w:p w14:paraId="40714CA3"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p>
        </w:tc>
        <w:tc>
          <w:tcPr>
            <w:tcW w:w="792" w:type="dxa"/>
            <w:vAlign w:val="center"/>
          </w:tcPr>
          <w:p w14:paraId="5595D245"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dane skumulowane</w:t>
            </w:r>
          </w:p>
        </w:tc>
        <w:tc>
          <w:tcPr>
            <w:tcW w:w="938" w:type="dxa"/>
            <w:vAlign w:val="center"/>
          </w:tcPr>
          <w:p w14:paraId="6FB07EB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zakażeń</w:t>
            </w:r>
          </w:p>
        </w:tc>
        <w:tc>
          <w:tcPr>
            <w:tcW w:w="865" w:type="dxa"/>
            <w:vAlign w:val="center"/>
          </w:tcPr>
          <w:p w14:paraId="60FA815B"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zapadalność</w:t>
            </w:r>
          </w:p>
        </w:tc>
        <w:tc>
          <w:tcPr>
            <w:tcW w:w="748" w:type="dxa"/>
            <w:vAlign w:val="center"/>
          </w:tcPr>
          <w:p w14:paraId="05416D88"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dane skumulowane</w:t>
            </w:r>
          </w:p>
        </w:tc>
        <w:tc>
          <w:tcPr>
            <w:tcW w:w="982" w:type="dxa"/>
            <w:vAlign w:val="center"/>
          </w:tcPr>
          <w:p w14:paraId="3A13BC58"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liczba zakażeń</w:t>
            </w:r>
          </w:p>
        </w:tc>
        <w:tc>
          <w:tcPr>
            <w:tcW w:w="865" w:type="dxa"/>
            <w:vAlign w:val="center"/>
          </w:tcPr>
          <w:p w14:paraId="222D4FD1"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umieralność</w:t>
            </w:r>
          </w:p>
        </w:tc>
        <w:tc>
          <w:tcPr>
            <w:tcW w:w="865" w:type="dxa"/>
            <w:vAlign w:val="center"/>
          </w:tcPr>
          <w:p w14:paraId="3F5BC238"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dane skumulowane</w:t>
            </w:r>
          </w:p>
        </w:tc>
      </w:tr>
      <w:tr w:rsidR="000B4D72" w:rsidRPr="00FF50CD" w14:paraId="519B25A7" w14:textId="77777777" w:rsidTr="00A36A91">
        <w:trPr>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1DD906C"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1985 - 2017</w:t>
            </w:r>
          </w:p>
        </w:tc>
        <w:tc>
          <w:tcPr>
            <w:tcW w:w="1134" w:type="dxa"/>
            <w:vAlign w:val="center"/>
          </w:tcPr>
          <w:p w14:paraId="3BFA582D"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984" w:type="dxa"/>
            <w:vAlign w:val="center"/>
          </w:tcPr>
          <w:p w14:paraId="0E158121"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792" w:type="dxa"/>
            <w:vAlign w:val="center"/>
          </w:tcPr>
          <w:p w14:paraId="6A078D1A"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914</w:t>
            </w:r>
          </w:p>
        </w:tc>
        <w:tc>
          <w:tcPr>
            <w:tcW w:w="938" w:type="dxa"/>
            <w:vAlign w:val="center"/>
          </w:tcPr>
          <w:p w14:paraId="3EBD0E8A"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75E393C7"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748" w:type="dxa"/>
            <w:vAlign w:val="center"/>
          </w:tcPr>
          <w:p w14:paraId="36A93CB8"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187</w:t>
            </w:r>
          </w:p>
        </w:tc>
        <w:tc>
          <w:tcPr>
            <w:tcW w:w="982" w:type="dxa"/>
            <w:vAlign w:val="center"/>
          </w:tcPr>
          <w:p w14:paraId="158B2966"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16BFFDA2"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5E71DF94"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61</w:t>
            </w:r>
          </w:p>
        </w:tc>
      </w:tr>
      <w:tr w:rsidR="000B4D72" w:rsidRPr="00FF50CD" w14:paraId="3F7CC706" w14:textId="77777777" w:rsidTr="00A36A9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8005F4B"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2018</w:t>
            </w:r>
          </w:p>
        </w:tc>
        <w:tc>
          <w:tcPr>
            <w:tcW w:w="1134" w:type="dxa"/>
            <w:vAlign w:val="center"/>
          </w:tcPr>
          <w:p w14:paraId="5154A21A"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50</w:t>
            </w:r>
          </w:p>
        </w:tc>
        <w:tc>
          <w:tcPr>
            <w:tcW w:w="984" w:type="dxa"/>
            <w:vAlign w:val="center"/>
          </w:tcPr>
          <w:p w14:paraId="36DBA1D4"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2,93</w:t>
            </w:r>
          </w:p>
        </w:tc>
        <w:tc>
          <w:tcPr>
            <w:tcW w:w="792" w:type="dxa"/>
            <w:vAlign w:val="center"/>
          </w:tcPr>
          <w:p w14:paraId="22DC0873"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964</w:t>
            </w:r>
          </w:p>
        </w:tc>
        <w:tc>
          <w:tcPr>
            <w:tcW w:w="938" w:type="dxa"/>
            <w:vAlign w:val="center"/>
          </w:tcPr>
          <w:p w14:paraId="6E3CF3B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w:t>
            </w:r>
          </w:p>
        </w:tc>
        <w:tc>
          <w:tcPr>
            <w:tcW w:w="865" w:type="dxa"/>
            <w:vAlign w:val="center"/>
          </w:tcPr>
          <w:p w14:paraId="335EF924"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0,41</w:t>
            </w:r>
          </w:p>
        </w:tc>
        <w:tc>
          <w:tcPr>
            <w:tcW w:w="748" w:type="dxa"/>
            <w:vAlign w:val="center"/>
          </w:tcPr>
          <w:p w14:paraId="5D88BA82"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194</w:t>
            </w:r>
          </w:p>
        </w:tc>
        <w:tc>
          <w:tcPr>
            <w:tcW w:w="982" w:type="dxa"/>
            <w:vAlign w:val="center"/>
          </w:tcPr>
          <w:p w14:paraId="616804A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6E87B5C3"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6754E908"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61</w:t>
            </w:r>
          </w:p>
        </w:tc>
      </w:tr>
      <w:tr w:rsidR="000B4D72" w:rsidRPr="00FF50CD" w14:paraId="69FD7CF2" w14:textId="77777777" w:rsidTr="00A36A91">
        <w:trPr>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0EC1955"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2019</w:t>
            </w:r>
          </w:p>
        </w:tc>
        <w:tc>
          <w:tcPr>
            <w:tcW w:w="1134" w:type="dxa"/>
            <w:vAlign w:val="center"/>
          </w:tcPr>
          <w:p w14:paraId="6C9497C9"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59</w:t>
            </w:r>
          </w:p>
        </w:tc>
        <w:tc>
          <w:tcPr>
            <w:tcW w:w="984" w:type="dxa"/>
            <w:vAlign w:val="center"/>
          </w:tcPr>
          <w:p w14:paraId="1B8FE5EB"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3,47</w:t>
            </w:r>
          </w:p>
        </w:tc>
        <w:tc>
          <w:tcPr>
            <w:tcW w:w="792" w:type="dxa"/>
            <w:vAlign w:val="center"/>
          </w:tcPr>
          <w:p w14:paraId="7A74316C"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1023</w:t>
            </w:r>
          </w:p>
        </w:tc>
        <w:tc>
          <w:tcPr>
            <w:tcW w:w="938" w:type="dxa"/>
            <w:vAlign w:val="center"/>
          </w:tcPr>
          <w:p w14:paraId="56990042"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w:t>
            </w:r>
          </w:p>
        </w:tc>
        <w:tc>
          <w:tcPr>
            <w:tcW w:w="865" w:type="dxa"/>
            <w:vAlign w:val="center"/>
          </w:tcPr>
          <w:p w14:paraId="46ABBFEA"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0,23</w:t>
            </w:r>
          </w:p>
        </w:tc>
        <w:tc>
          <w:tcPr>
            <w:tcW w:w="748" w:type="dxa"/>
            <w:vAlign w:val="center"/>
          </w:tcPr>
          <w:p w14:paraId="45EE48FA"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198</w:t>
            </w:r>
          </w:p>
        </w:tc>
        <w:tc>
          <w:tcPr>
            <w:tcW w:w="982" w:type="dxa"/>
            <w:vAlign w:val="center"/>
          </w:tcPr>
          <w:p w14:paraId="617277E9"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7F6EFE5B"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65" w:type="dxa"/>
            <w:vAlign w:val="center"/>
          </w:tcPr>
          <w:p w14:paraId="6020EBA8"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61</w:t>
            </w:r>
          </w:p>
        </w:tc>
      </w:tr>
      <w:tr w:rsidR="000B4D72" w:rsidRPr="00FF50CD" w14:paraId="32ECFF60" w14:textId="77777777" w:rsidTr="00A36A9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CAF45DA"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2020</w:t>
            </w:r>
          </w:p>
        </w:tc>
        <w:tc>
          <w:tcPr>
            <w:tcW w:w="1134" w:type="dxa"/>
            <w:vAlign w:val="center"/>
          </w:tcPr>
          <w:p w14:paraId="2B17924A"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36</w:t>
            </w:r>
          </w:p>
        </w:tc>
        <w:tc>
          <w:tcPr>
            <w:tcW w:w="984" w:type="dxa"/>
            <w:vAlign w:val="center"/>
          </w:tcPr>
          <w:p w14:paraId="4253EF68"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2,13</w:t>
            </w:r>
          </w:p>
        </w:tc>
        <w:tc>
          <w:tcPr>
            <w:tcW w:w="792" w:type="dxa"/>
            <w:vAlign w:val="center"/>
          </w:tcPr>
          <w:p w14:paraId="2914506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1059</w:t>
            </w:r>
          </w:p>
        </w:tc>
        <w:tc>
          <w:tcPr>
            <w:tcW w:w="938" w:type="dxa"/>
            <w:vAlign w:val="center"/>
          </w:tcPr>
          <w:p w14:paraId="0B5D87A4"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65" w:type="dxa"/>
            <w:vAlign w:val="center"/>
          </w:tcPr>
          <w:p w14:paraId="1E295A9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0,06</w:t>
            </w:r>
          </w:p>
        </w:tc>
        <w:tc>
          <w:tcPr>
            <w:tcW w:w="748" w:type="dxa"/>
            <w:vAlign w:val="center"/>
          </w:tcPr>
          <w:p w14:paraId="33856604"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199</w:t>
            </w:r>
          </w:p>
        </w:tc>
        <w:tc>
          <w:tcPr>
            <w:tcW w:w="982" w:type="dxa"/>
            <w:vAlign w:val="center"/>
          </w:tcPr>
          <w:p w14:paraId="1FA77767"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65" w:type="dxa"/>
            <w:vAlign w:val="center"/>
          </w:tcPr>
          <w:p w14:paraId="769C7CFC"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0,06</w:t>
            </w:r>
          </w:p>
        </w:tc>
        <w:tc>
          <w:tcPr>
            <w:tcW w:w="865" w:type="dxa"/>
            <w:vAlign w:val="center"/>
          </w:tcPr>
          <w:p w14:paraId="6C73D631"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62</w:t>
            </w:r>
          </w:p>
        </w:tc>
      </w:tr>
      <w:tr w:rsidR="000B4D72" w:rsidRPr="00FF50CD" w14:paraId="6F84EFAF" w14:textId="77777777" w:rsidTr="00A36A91">
        <w:trPr>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90DDD2B"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lastRenderedPageBreak/>
              <w:t>2021</w:t>
            </w:r>
          </w:p>
        </w:tc>
        <w:tc>
          <w:tcPr>
            <w:tcW w:w="1134" w:type="dxa"/>
            <w:vAlign w:val="center"/>
          </w:tcPr>
          <w:p w14:paraId="33EA858D"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53</w:t>
            </w:r>
          </w:p>
        </w:tc>
        <w:tc>
          <w:tcPr>
            <w:tcW w:w="984" w:type="dxa"/>
            <w:vAlign w:val="center"/>
          </w:tcPr>
          <w:p w14:paraId="47123E46"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3,15</w:t>
            </w:r>
          </w:p>
        </w:tc>
        <w:tc>
          <w:tcPr>
            <w:tcW w:w="792" w:type="dxa"/>
            <w:vAlign w:val="center"/>
          </w:tcPr>
          <w:p w14:paraId="21EBEB48"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1112</w:t>
            </w:r>
          </w:p>
        </w:tc>
        <w:tc>
          <w:tcPr>
            <w:tcW w:w="938" w:type="dxa"/>
            <w:vAlign w:val="center"/>
          </w:tcPr>
          <w:p w14:paraId="72ADF98D"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w:t>
            </w:r>
          </w:p>
        </w:tc>
        <w:tc>
          <w:tcPr>
            <w:tcW w:w="865" w:type="dxa"/>
            <w:vAlign w:val="center"/>
          </w:tcPr>
          <w:p w14:paraId="174B929B"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0,42</w:t>
            </w:r>
          </w:p>
        </w:tc>
        <w:tc>
          <w:tcPr>
            <w:tcW w:w="748" w:type="dxa"/>
            <w:vAlign w:val="center"/>
          </w:tcPr>
          <w:p w14:paraId="49440BDD"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206</w:t>
            </w:r>
          </w:p>
        </w:tc>
        <w:tc>
          <w:tcPr>
            <w:tcW w:w="982" w:type="dxa"/>
            <w:vAlign w:val="center"/>
          </w:tcPr>
          <w:p w14:paraId="52880908"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865" w:type="dxa"/>
            <w:vAlign w:val="center"/>
          </w:tcPr>
          <w:p w14:paraId="47CF5963"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0,12</w:t>
            </w:r>
          </w:p>
        </w:tc>
        <w:tc>
          <w:tcPr>
            <w:tcW w:w="865" w:type="dxa"/>
            <w:vAlign w:val="center"/>
          </w:tcPr>
          <w:p w14:paraId="78A510DD"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64</w:t>
            </w:r>
          </w:p>
        </w:tc>
      </w:tr>
      <w:tr w:rsidR="000B4D72" w:rsidRPr="00FF50CD" w14:paraId="6163BD21" w14:textId="77777777" w:rsidTr="00A36A9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9EC0116"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2022</w:t>
            </w:r>
          </w:p>
        </w:tc>
        <w:tc>
          <w:tcPr>
            <w:tcW w:w="1134" w:type="dxa"/>
            <w:vAlign w:val="center"/>
          </w:tcPr>
          <w:p w14:paraId="4DF29437"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231</w:t>
            </w:r>
          </w:p>
        </w:tc>
        <w:tc>
          <w:tcPr>
            <w:tcW w:w="984" w:type="dxa"/>
            <w:vAlign w:val="center"/>
          </w:tcPr>
          <w:p w14:paraId="6E2CD90B"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14,04</w:t>
            </w:r>
          </w:p>
        </w:tc>
        <w:tc>
          <w:tcPr>
            <w:tcW w:w="792" w:type="dxa"/>
            <w:vAlign w:val="center"/>
          </w:tcPr>
          <w:p w14:paraId="498F7DBF"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1343</w:t>
            </w:r>
          </w:p>
        </w:tc>
        <w:tc>
          <w:tcPr>
            <w:tcW w:w="938" w:type="dxa"/>
            <w:vAlign w:val="center"/>
          </w:tcPr>
          <w:p w14:paraId="20D7E0E1"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w:t>
            </w:r>
          </w:p>
        </w:tc>
        <w:tc>
          <w:tcPr>
            <w:tcW w:w="865" w:type="dxa"/>
            <w:vAlign w:val="center"/>
          </w:tcPr>
          <w:p w14:paraId="14DADF13"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0,55</w:t>
            </w:r>
          </w:p>
        </w:tc>
        <w:tc>
          <w:tcPr>
            <w:tcW w:w="748" w:type="dxa"/>
            <w:vAlign w:val="center"/>
          </w:tcPr>
          <w:p w14:paraId="2BAC8C62"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215</w:t>
            </w:r>
          </w:p>
        </w:tc>
        <w:tc>
          <w:tcPr>
            <w:tcW w:w="982" w:type="dxa"/>
            <w:vAlign w:val="center"/>
          </w:tcPr>
          <w:p w14:paraId="15925316"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w:t>
            </w:r>
          </w:p>
        </w:tc>
        <w:tc>
          <w:tcPr>
            <w:tcW w:w="865" w:type="dxa"/>
            <w:vAlign w:val="center"/>
          </w:tcPr>
          <w:p w14:paraId="298A316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0,24</w:t>
            </w:r>
          </w:p>
        </w:tc>
        <w:tc>
          <w:tcPr>
            <w:tcW w:w="865" w:type="dxa"/>
            <w:vAlign w:val="center"/>
          </w:tcPr>
          <w:p w14:paraId="35964863"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68</w:t>
            </w:r>
          </w:p>
        </w:tc>
      </w:tr>
      <w:tr w:rsidR="000B4D72" w:rsidRPr="00FF50CD" w14:paraId="3B8E592D" w14:textId="77777777" w:rsidTr="00A36A91">
        <w:trPr>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A5B798C"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2023</w:t>
            </w:r>
          </w:p>
        </w:tc>
        <w:tc>
          <w:tcPr>
            <w:tcW w:w="1134" w:type="dxa"/>
            <w:vAlign w:val="center"/>
          </w:tcPr>
          <w:p w14:paraId="3252D28B"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132</w:t>
            </w:r>
          </w:p>
        </w:tc>
        <w:tc>
          <w:tcPr>
            <w:tcW w:w="984" w:type="dxa"/>
            <w:vAlign w:val="center"/>
          </w:tcPr>
          <w:p w14:paraId="2E63DA71"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8,06</w:t>
            </w:r>
          </w:p>
        </w:tc>
        <w:tc>
          <w:tcPr>
            <w:tcW w:w="792" w:type="dxa"/>
            <w:vAlign w:val="center"/>
          </w:tcPr>
          <w:p w14:paraId="47BFE084"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1475</w:t>
            </w:r>
          </w:p>
        </w:tc>
        <w:tc>
          <w:tcPr>
            <w:tcW w:w="938" w:type="dxa"/>
            <w:vAlign w:val="center"/>
          </w:tcPr>
          <w:p w14:paraId="2714FC06"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w:t>
            </w:r>
          </w:p>
        </w:tc>
        <w:tc>
          <w:tcPr>
            <w:tcW w:w="865" w:type="dxa"/>
            <w:vAlign w:val="center"/>
          </w:tcPr>
          <w:p w14:paraId="6B154460"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0,55</w:t>
            </w:r>
          </w:p>
        </w:tc>
        <w:tc>
          <w:tcPr>
            <w:tcW w:w="748" w:type="dxa"/>
            <w:vAlign w:val="center"/>
          </w:tcPr>
          <w:p w14:paraId="29ECFAAE"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224</w:t>
            </w:r>
          </w:p>
        </w:tc>
        <w:tc>
          <w:tcPr>
            <w:tcW w:w="982" w:type="dxa"/>
            <w:vAlign w:val="center"/>
          </w:tcPr>
          <w:p w14:paraId="0359BCF5"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865" w:type="dxa"/>
            <w:vAlign w:val="center"/>
          </w:tcPr>
          <w:p w14:paraId="24B2AB05"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0,12</w:t>
            </w:r>
          </w:p>
        </w:tc>
        <w:tc>
          <w:tcPr>
            <w:tcW w:w="865" w:type="dxa"/>
            <w:vAlign w:val="center"/>
          </w:tcPr>
          <w:p w14:paraId="75579224" w14:textId="77777777" w:rsidR="000B4D72" w:rsidRPr="00FF50CD" w:rsidRDefault="000B4D72" w:rsidP="00597239">
            <w:pPr>
              <w:tabs>
                <w:tab w:val="left" w:pos="851"/>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70</w:t>
            </w:r>
          </w:p>
        </w:tc>
      </w:tr>
      <w:tr w:rsidR="000B4D72" w:rsidRPr="00FF50CD" w14:paraId="531C4C29" w14:textId="77777777" w:rsidTr="00A36A9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EFFF4FA" w14:textId="77777777" w:rsidR="000B4D72" w:rsidRPr="00FF50CD" w:rsidRDefault="000B4D72" w:rsidP="00597239">
            <w:pPr>
              <w:tabs>
                <w:tab w:val="left" w:pos="851"/>
              </w:tabs>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2024</w:t>
            </w:r>
          </w:p>
        </w:tc>
        <w:tc>
          <w:tcPr>
            <w:tcW w:w="1134" w:type="dxa"/>
            <w:vAlign w:val="center"/>
          </w:tcPr>
          <w:p w14:paraId="1C660EA9"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107</w:t>
            </w:r>
          </w:p>
        </w:tc>
        <w:tc>
          <w:tcPr>
            <w:tcW w:w="984" w:type="dxa"/>
            <w:vAlign w:val="center"/>
          </w:tcPr>
          <w:p w14:paraId="124D3C32"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6,58</w:t>
            </w:r>
          </w:p>
        </w:tc>
        <w:tc>
          <w:tcPr>
            <w:tcW w:w="792" w:type="dxa"/>
            <w:vAlign w:val="center"/>
          </w:tcPr>
          <w:p w14:paraId="380AF2A0"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1582</w:t>
            </w:r>
          </w:p>
        </w:tc>
        <w:tc>
          <w:tcPr>
            <w:tcW w:w="938" w:type="dxa"/>
            <w:vAlign w:val="center"/>
          </w:tcPr>
          <w:p w14:paraId="170AC144"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w:t>
            </w:r>
          </w:p>
        </w:tc>
        <w:tc>
          <w:tcPr>
            <w:tcW w:w="865" w:type="dxa"/>
            <w:vAlign w:val="center"/>
          </w:tcPr>
          <w:p w14:paraId="12A4F8B7"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0,61</w:t>
            </w:r>
          </w:p>
        </w:tc>
        <w:tc>
          <w:tcPr>
            <w:tcW w:w="748" w:type="dxa"/>
            <w:vAlign w:val="center"/>
          </w:tcPr>
          <w:p w14:paraId="5DE641FF"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234</w:t>
            </w:r>
          </w:p>
        </w:tc>
        <w:tc>
          <w:tcPr>
            <w:tcW w:w="982" w:type="dxa"/>
            <w:vAlign w:val="center"/>
          </w:tcPr>
          <w:p w14:paraId="657EB258"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w:t>
            </w:r>
          </w:p>
        </w:tc>
        <w:tc>
          <w:tcPr>
            <w:tcW w:w="865" w:type="dxa"/>
            <w:vAlign w:val="center"/>
          </w:tcPr>
          <w:p w14:paraId="488CCA96"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0,25</w:t>
            </w:r>
          </w:p>
        </w:tc>
        <w:tc>
          <w:tcPr>
            <w:tcW w:w="865" w:type="dxa"/>
            <w:vAlign w:val="center"/>
          </w:tcPr>
          <w:p w14:paraId="5C44B68E" w14:textId="77777777" w:rsidR="000B4D72" w:rsidRPr="00FF50CD" w:rsidRDefault="000B4D72" w:rsidP="00597239">
            <w:pPr>
              <w:tabs>
                <w:tab w:val="left" w:pos="851"/>
              </w:tabs>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74</w:t>
            </w:r>
          </w:p>
        </w:tc>
      </w:tr>
    </w:tbl>
    <w:p w14:paraId="7FA2B448" w14:textId="77777777" w:rsidR="000B4D72" w:rsidRPr="00447CD5" w:rsidRDefault="000B4D72" w:rsidP="00597239">
      <w:pPr>
        <w:shd w:val="clear" w:color="auto" w:fill="FFFFFF"/>
        <w:tabs>
          <w:tab w:val="left" w:pos="851"/>
        </w:tabs>
        <w:spacing w:after="0" w:line="240" w:lineRule="auto"/>
        <w:rPr>
          <w:rFonts w:eastAsia="Times New Roman" w:cstheme="minorHAnsi"/>
          <w:bCs/>
          <w:sz w:val="16"/>
          <w:szCs w:val="16"/>
          <w:lang w:eastAsia="pl-PL"/>
        </w:rPr>
      </w:pPr>
      <w:r w:rsidRPr="009C23B1">
        <w:rPr>
          <w:rFonts w:eastAsia="Times New Roman" w:cstheme="minorHAnsi"/>
          <w:bCs/>
          <w:sz w:val="16"/>
          <w:szCs w:val="16"/>
          <w:vertAlign w:val="superscript"/>
          <w:lang w:eastAsia="pl-PL"/>
        </w:rPr>
        <w:t>*</w:t>
      </w:r>
      <w:r w:rsidRPr="009C23B1">
        <w:rPr>
          <w:rFonts w:eastAsia="Times New Roman" w:cstheme="minorHAnsi"/>
          <w:bCs/>
          <w:sz w:val="16"/>
          <w:szCs w:val="16"/>
          <w:lang w:eastAsia="pl-PL"/>
        </w:rPr>
        <w:t xml:space="preserve">dane uwzględniają </w:t>
      </w:r>
      <w:r w:rsidRPr="009C23B1">
        <w:rPr>
          <w:rFonts w:eastAsia="Times New Roman" w:cstheme="minorHAnsi"/>
          <w:sz w:val="16"/>
          <w:szCs w:val="16"/>
          <w:lang w:eastAsia="pl-PL"/>
        </w:rPr>
        <w:t xml:space="preserve">również </w:t>
      </w:r>
      <w:r w:rsidRPr="009C23B1">
        <w:rPr>
          <w:rFonts w:eastAsia="Times New Roman" w:cstheme="minorHAnsi"/>
          <w:bCs/>
          <w:sz w:val="16"/>
          <w:szCs w:val="16"/>
          <w:lang w:eastAsia="pl-PL"/>
        </w:rPr>
        <w:t>zakażenia wykryte w PKD w Szczecinie i Koszalinie, których części nie wykazuje NIZP-PZH PIB, uwzględniając badania anonimowe w kategorii „brak danych”</w:t>
      </w:r>
    </w:p>
    <w:p w14:paraId="6EB57A2C" w14:textId="77777777" w:rsidR="00EE16EC" w:rsidRDefault="00EE16EC" w:rsidP="00597239">
      <w:pPr>
        <w:spacing w:before="120" w:after="0" w:line="276" w:lineRule="auto"/>
        <w:rPr>
          <w:rFonts w:eastAsia="Calibri" w:cstheme="minorHAnsi"/>
          <w:sz w:val="24"/>
          <w:szCs w:val="24"/>
        </w:rPr>
      </w:pPr>
    </w:p>
    <w:p w14:paraId="1FEB23DF" w14:textId="5F0E4FBB" w:rsidR="000B4D72" w:rsidRPr="00CB6C55" w:rsidRDefault="000B4D72" w:rsidP="00597239">
      <w:pPr>
        <w:spacing w:after="0" w:line="276" w:lineRule="auto"/>
        <w:rPr>
          <w:rFonts w:eastAsia="Calibri" w:cstheme="minorHAnsi"/>
          <w:sz w:val="24"/>
          <w:szCs w:val="24"/>
        </w:rPr>
      </w:pPr>
      <w:r w:rsidRPr="00CB6C55">
        <w:rPr>
          <w:rFonts w:eastAsia="Calibri" w:cstheme="minorHAnsi"/>
          <w:sz w:val="24"/>
          <w:szCs w:val="24"/>
        </w:rPr>
        <w:t>W woj. zachodniopomorskim funkcjonują dwa Punkty Konsultacyjno-Diagnostyczne (PKD) w</w:t>
      </w:r>
      <w:r w:rsidR="00C719C9">
        <w:rPr>
          <w:rFonts w:eastAsia="Calibri" w:cstheme="minorHAnsi"/>
          <w:sz w:val="24"/>
          <w:szCs w:val="24"/>
        </w:rPr>
        <w:t> </w:t>
      </w:r>
      <w:r w:rsidRPr="00CB6C55">
        <w:rPr>
          <w:rFonts w:eastAsia="Calibri" w:cstheme="minorHAnsi"/>
          <w:sz w:val="24"/>
          <w:szCs w:val="24"/>
        </w:rPr>
        <w:t>Szczecinie i Koszalinie wykonujące anonimowo i bezpłatnie badania w kierunku zakażenia wirusem HIV połączone z profesjonalnym poradnictwem przed i po teście. W PKD w</w:t>
      </w:r>
      <w:r w:rsidR="007B1BEB">
        <w:rPr>
          <w:rFonts w:eastAsia="Calibri" w:cstheme="minorHAnsi"/>
          <w:sz w:val="24"/>
          <w:szCs w:val="24"/>
        </w:rPr>
        <w:t> </w:t>
      </w:r>
      <w:r w:rsidRPr="00CB6C55">
        <w:rPr>
          <w:rFonts w:eastAsia="Calibri" w:cstheme="minorHAnsi"/>
          <w:sz w:val="24"/>
          <w:szCs w:val="24"/>
        </w:rPr>
        <w:t>Szczecinie dodatkowo wykonywane są badania w kierunku kiły i HCV.</w:t>
      </w:r>
    </w:p>
    <w:p w14:paraId="4596591A" w14:textId="77777777" w:rsidR="00EE16EC" w:rsidRDefault="00EE16EC" w:rsidP="00597239">
      <w:pPr>
        <w:spacing w:after="0" w:line="276" w:lineRule="auto"/>
        <w:rPr>
          <w:rFonts w:eastAsia="Calibri" w:cstheme="minorHAnsi"/>
          <w:color w:val="000000" w:themeColor="text1"/>
          <w:sz w:val="24"/>
          <w:szCs w:val="24"/>
        </w:rPr>
      </w:pPr>
    </w:p>
    <w:p w14:paraId="6C5D8ACB" w14:textId="431CDEA6" w:rsidR="000658C3" w:rsidRDefault="000B4D72" w:rsidP="00597239">
      <w:pPr>
        <w:spacing w:after="0" w:line="276" w:lineRule="auto"/>
        <w:rPr>
          <w:rFonts w:eastAsia="Calibri" w:cstheme="minorHAnsi"/>
          <w:color w:val="000000" w:themeColor="text1"/>
          <w:sz w:val="24"/>
          <w:szCs w:val="24"/>
        </w:rPr>
      </w:pPr>
      <w:r w:rsidRPr="000A24B0">
        <w:rPr>
          <w:rFonts w:eastAsia="Calibri" w:cstheme="minorHAnsi"/>
          <w:color w:val="000000" w:themeColor="text1"/>
          <w:sz w:val="24"/>
          <w:szCs w:val="24"/>
        </w:rPr>
        <w:t>W 202</w:t>
      </w:r>
      <w:r>
        <w:rPr>
          <w:rFonts w:eastAsia="Calibri" w:cstheme="minorHAnsi"/>
          <w:color w:val="000000" w:themeColor="text1"/>
          <w:sz w:val="24"/>
          <w:szCs w:val="24"/>
        </w:rPr>
        <w:t>4</w:t>
      </w:r>
      <w:r w:rsidRPr="000A24B0">
        <w:rPr>
          <w:rFonts w:eastAsia="Calibri" w:cstheme="minorHAnsi"/>
          <w:color w:val="000000" w:themeColor="text1"/>
          <w:sz w:val="24"/>
          <w:szCs w:val="24"/>
        </w:rPr>
        <w:t xml:space="preserve"> roku w PKD w Szczecinie stwierdzono zakażenie wirusem HIV u </w:t>
      </w:r>
      <w:r>
        <w:rPr>
          <w:rFonts w:eastAsia="Calibri" w:cstheme="minorHAnsi"/>
          <w:color w:val="000000" w:themeColor="text1"/>
          <w:sz w:val="24"/>
          <w:szCs w:val="24"/>
        </w:rPr>
        <w:t>36 osób</w:t>
      </w:r>
      <w:r w:rsidRPr="000A24B0">
        <w:rPr>
          <w:rFonts w:eastAsia="Calibri" w:cstheme="minorHAnsi"/>
          <w:color w:val="000000" w:themeColor="text1"/>
          <w:sz w:val="24"/>
          <w:szCs w:val="24"/>
        </w:rPr>
        <w:t>, przy czym ogółem testy wykona</w:t>
      </w:r>
      <w:r>
        <w:rPr>
          <w:rFonts w:eastAsia="Calibri" w:cstheme="minorHAnsi"/>
          <w:color w:val="000000" w:themeColor="text1"/>
          <w:sz w:val="24"/>
          <w:szCs w:val="24"/>
        </w:rPr>
        <w:t>no u</w:t>
      </w:r>
      <w:r w:rsidRPr="000A24B0">
        <w:rPr>
          <w:rFonts w:eastAsia="Calibri" w:cstheme="minorHAnsi"/>
          <w:color w:val="000000" w:themeColor="text1"/>
          <w:sz w:val="24"/>
          <w:szCs w:val="24"/>
        </w:rPr>
        <w:t xml:space="preserve"> </w:t>
      </w:r>
      <w:r w:rsidRPr="00CB6C55">
        <w:rPr>
          <w:rFonts w:eastAsia="Calibri" w:cstheme="minorHAnsi"/>
          <w:sz w:val="24"/>
          <w:szCs w:val="24"/>
        </w:rPr>
        <w:t>492 kobiet,</w:t>
      </w:r>
      <w:r>
        <w:rPr>
          <w:rFonts w:eastAsia="Calibri" w:cstheme="minorHAnsi"/>
          <w:sz w:val="24"/>
          <w:szCs w:val="24"/>
        </w:rPr>
        <w:t xml:space="preserve"> </w:t>
      </w:r>
      <w:r w:rsidRPr="00CB6C55">
        <w:rPr>
          <w:rFonts w:eastAsia="Calibri" w:cstheme="minorHAnsi"/>
          <w:sz w:val="24"/>
          <w:szCs w:val="24"/>
        </w:rPr>
        <w:t>811 mężczyzn i 1 osob</w:t>
      </w:r>
      <w:r>
        <w:rPr>
          <w:rFonts w:eastAsia="Calibri" w:cstheme="minorHAnsi"/>
          <w:sz w:val="24"/>
          <w:szCs w:val="24"/>
        </w:rPr>
        <w:t>y</w:t>
      </w:r>
      <w:r w:rsidRPr="00CB6C55">
        <w:rPr>
          <w:rFonts w:eastAsia="Calibri" w:cstheme="minorHAnsi"/>
          <w:sz w:val="24"/>
          <w:szCs w:val="24"/>
        </w:rPr>
        <w:t xml:space="preserve"> niebinarn</w:t>
      </w:r>
      <w:r>
        <w:rPr>
          <w:rFonts w:eastAsia="Calibri" w:cstheme="minorHAnsi"/>
          <w:sz w:val="24"/>
          <w:szCs w:val="24"/>
        </w:rPr>
        <w:t>ej</w:t>
      </w:r>
      <w:r w:rsidRPr="00CB6C55">
        <w:rPr>
          <w:rFonts w:eastAsia="Calibri" w:cstheme="minorHAnsi"/>
          <w:sz w:val="24"/>
          <w:szCs w:val="24"/>
        </w:rPr>
        <w:t xml:space="preserve">. </w:t>
      </w:r>
      <w:r w:rsidRPr="00552AD2">
        <w:rPr>
          <w:rFonts w:eastAsia="Calibri" w:cstheme="minorHAnsi"/>
          <w:sz w:val="24"/>
          <w:szCs w:val="24"/>
        </w:rPr>
        <w:t>W PKD w</w:t>
      </w:r>
      <w:r w:rsidR="007B1BEB">
        <w:rPr>
          <w:rFonts w:eastAsia="Calibri" w:cstheme="minorHAnsi"/>
          <w:sz w:val="24"/>
          <w:szCs w:val="24"/>
        </w:rPr>
        <w:t> </w:t>
      </w:r>
      <w:r w:rsidRPr="00552AD2">
        <w:rPr>
          <w:rFonts w:eastAsia="Calibri" w:cstheme="minorHAnsi"/>
          <w:sz w:val="24"/>
          <w:szCs w:val="24"/>
        </w:rPr>
        <w:t>Koszalinie wykryto 2 zakażenia wirusem HIV</w:t>
      </w:r>
      <w:r w:rsidRPr="00447CD5">
        <w:rPr>
          <w:rFonts w:eastAsia="Calibri" w:cstheme="minorHAnsi"/>
          <w:sz w:val="24"/>
          <w:szCs w:val="24"/>
        </w:rPr>
        <w:t xml:space="preserve"> </w:t>
      </w:r>
      <w:r w:rsidRPr="00447CD5">
        <w:rPr>
          <w:rFonts w:eastAsia="Calibri" w:cstheme="minorHAnsi"/>
          <w:color w:val="000000" w:themeColor="text1"/>
          <w:sz w:val="24"/>
          <w:szCs w:val="24"/>
        </w:rPr>
        <w:t>(</w:t>
      </w:r>
      <w:r w:rsidR="00B74BBF">
        <w:rPr>
          <w:rFonts w:eastAsia="Calibri" w:cstheme="minorHAnsi"/>
          <w:color w:val="000000" w:themeColor="text1"/>
          <w:sz w:val="24"/>
          <w:szCs w:val="24"/>
        </w:rPr>
        <w:t>wykres</w:t>
      </w:r>
      <w:r w:rsidRPr="00447CD5">
        <w:rPr>
          <w:rFonts w:eastAsia="Calibri" w:cstheme="minorHAnsi"/>
          <w:color w:val="000000" w:themeColor="text1"/>
          <w:sz w:val="24"/>
          <w:szCs w:val="24"/>
        </w:rPr>
        <w:t xml:space="preserve"> 6). </w:t>
      </w:r>
    </w:p>
    <w:p w14:paraId="5468EE67" w14:textId="77777777" w:rsidR="0063333E" w:rsidRPr="00B449A4" w:rsidRDefault="0063333E" w:rsidP="00597239">
      <w:pPr>
        <w:spacing w:after="0" w:line="276" w:lineRule="auto"/>
        <w:rPr>
          <w:rFonts w:eastAsia="Calibri" w:cstheme="minorHAnsi"/>
          <w:color w:val="000000" w:themeColor="text1"/>
          <w:sz w:val="24"/>
          <w:szCs w:val="24"/>
        </w:rPr>
      </w:pPr>
    </w:p>
    <w:p w14:paraId="53E79AD0" w14:textId="09E40070" w:rsidR="00B74BBF" w:rsidRPr="00B74BBF" w:rsidRDefault="00B74BBF" w:rsidP="00597239">
      <w:pPr>
        <w:pStyle w:val="Legenda"/>
        <w:spacing w:after="0"/>
        <w:rPr>
          <w:rFonts w:eastAsia="Calibri" w:cstheme="minorHAnsi"/>
          <w:i w:val="0"/>
          <w:iCs w:val="0"/>
          <w:color w:val="000000" w:themeColor="text1"/>
          <w:sz w:val="24"/>
          <w:szCs w:val="24"/>
        </w:rPr>
      </w:pPr>
      <w:bookmarkStart w:id="128" w:name="_Toc193969463"/>
      <w:bookmarkStart w:id="129" w:name="_Toc194059923"/>
      <w:r w:rsidRPr="00B74BBF">
        <w:rPr>
          <w:i w:val="0"/>
          <w:iCs w:val="0"/>
          <w:color w:val="000000" w:themeColor="text1"/>
        </w:rPr>
        <w:t xml:space="preserve">Wykres </w:t>
      </w:r>
      <w:r w:rsidRPr="00B74BBF">
        <w:rPr>
          <w:i w:val="0"/>
          <w:iCs w:val="0"/>
          <w:color w:val="000000" w:themeColor="text1"/>
        </w:rPr>
        <w:fldChar w:fldCharType="begin"/>
      </w:r>
      <w:r w:rsidRPr="00B74BBF">
        <w:rPr>
          <w:i w:val="0"/>
          <w:iCs w:val="0"/>
          <w:color w:val="000000" w:themeColor="text1"/>
        </w:rPr>
        <w:instrText xml:space="preserve"> SEQ Wykres \* ARABIC </w:instrText>
      </w:r>
      <w:r w:rsidRPr="00B74BBF">
        <w:rPr>
          <w:i w:val="0"/>
          <w:iCs w:val="0"/>
          <w:color w:val="000000" w:themeColor="text1"/>
        </w:rPr>
        <w:fldChar w:fldCharType="separate"/>
      </w:r>
      <w:r w:rsidR="00FB6F6A">
        <w:rPr>
          <w:i w:val="0"/>
          <w:iCs w:val="0"/>
          <w:noProof/>
          <w:color w:val="000000" w:themeColor="text1"/>
        </w:rPr>
        <w:t>6</w:t>
      </w:r>
      <w:r w:rsidRPr="00B74BBF">
        <w:rPr>
          <w:i w:val="0"/>
          <w:iCs w:val="0"/>
          <w:color w:val="000000" w:themeColor="text1"/>
        </w:rPr>
        <w:fldChar w:fldCharType="end"/>
      </w:r>
      <w:r w:rsidR="00E75D31">
        <w:rPr>
          <w:i w:val="0"/>
          <w:iCs w:val="0"/>
          <w:color w:val="000000" w:themeColor="text1"/>
        </w:rPr>
        <w:t>.</w:t>
      </w:r>
      <w:r w:rsidRPr="00B74BBF">
        <w:rPr>
          <w:i w:val="0"/>
          <w:iCs w:val="0"/>
          <w:color w:val="000000" w:themeColor="text1"/>
        </w:rPr>
        <w:t xml:space="preserve"> Liczba wykonanych badań w kierunku HIV w Punktach Konsultacyjno-Diagnostycznych w Szczecinie i Koszalinie w</w:t>
      </w:r>
      <w:r w:rsidR="007B1BEB">
        <w:rPr>
          <w:i w:val="0"/>
          <w:iCs w:val="0"/>
          <w:color w:val="000000" w:themeColor="text1"/>
        </w:rPr>
        <w:t> </w:t>
      </w:r>
      <w:r w:rsidRPr="00B74BBF">
        <w:rPr>
          <w:i w:val="0"/>
          <w:iCs w:val="0"/>
          <w:color w:val="000000" w:themeColor="text1"/>
        </w:rPr>
        <w:t>latach 2010 -2024 z uwzględnieniem wyników dodatnich</w:t>
      </w:r>
      <w:r w:rsidR="00B84251">
        <w:rPr>
          <w:i w:val="0"/>
          <w:iCs w:val="0"/>
          <w:color w:val="000000" w:themeColor="text1"/>
        </w:rPr>
        <w:t>.</w:t>
      </w:r>
      <w:bookmarkEnd w:id="128"/>
      <w:bookmarkEnd w:id="129"/>
    </w:p>
    <w:p w14:paraId="585B90E6" w14:textId="66A35FC6" w:rsidR="000B4D72" w:rsidRPr="00447CD5" w:rsidRDefault="000B4D72" w:rsidP="00597239">
      <w:r>
        <w:rPr>
          <w:noProof/>
        </w:rPr>
        <w:drawing>
          <wp:anchor distT="0" distB="0" distL="114300" distR="114300" simplePos="0" relativeHeight="251736064" behindDoc="0" locked="0" layoutInCell="1" allowOverlap="1" wp14:anchorId="3DA11317" wp14:editId="1B1A9A6F">
            <wp:simplePos x="895350" y="4581525"/>
            <wp:positionH relativeFrom="column">
              <wp:align>left</wp:align>
            </wp:positionH>
            <wp:positionV relativeFrom="paragraph">
              <wp:align>top</wp:align>
            </wp:positionV>
            <wp:extent cx="5760720" cy="2898775"/>
            <wp:effectExtent l="0" t="0" r="11430" b="15875"/>
            <wp:wrapSquare wrapText="bothSides"/>
            <wp:docPr id="113896149" name="Wykres 1" descr="Wykres przedstawia liczbę wykonanych badań w kierunku HIV w Punktach Konsultacyjno-Diagnostycznych w Szczecinie i Koszalinie w latach 2010 -2024 z uwzględnieniem wyników dodatnich">
              <a:extLst xmlns:a="http://schemas.openxmlformats.org/drawingml/2006/main">
                <a:ext uri="{FF2B5EF4-FFF2-40B4-BE49-F238E27FC236}">
                  <a16:creationId xmlns:a16="http://schemas.microsoft.com/office/drawing/2014/main" id="{2E41204B-90FF-4989-3DC6-48E53F4C9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C029A8">
        <w:br w:type="textWrapping" w:clear="all"/>
      </w:r>
    </w:p>
    <w:p w14:paraId="4BD2B45A" w14:textId="35FE6796" w:rsidR="000B4D72" w:rsidRPr="004410C4" w:rsidRDefault="000B4D72" w:rsidP="00597239">
      <w:pPr>
        <w:pStyle w:val="Nagwek3"/>
        <w:numPr>
          <w:ilvl w:val="1"/>
          <w:numId w:val="37"/>
        </w:numPr>
        <w:spacing w:before="0" w:after="0"/>
        <w:ind w:left="568" w:hanging="284"/>
      </w:pPr>
      <w:bookmarkStart w:id="130" w:name="_Toc192678709"/>
      <w:bookmarkStart w:id="131" w:name="_Toc193694449"/>
      <w:bookmarkStart w:id="132" w:name="_Toc194059787"/>
      <w:r w:rsidRPr="004410C4">
        <w:t>Tularemia</w:t>
      </w:r>
      <w:bookmarkEnd w:id="130"/>
      <w:bookmarkEnd w:id="131"/>
      <w:bookmarkEnd w:id="132"/>
    </w:p>
    <w:p w14:paraId="6D5DB0A4" w14:textId="26BCD685" w:rsidR="000B4D72" w:rsidRPr="005F673A" w:rsidRDefault="000B4D72" w:rsidP="00597239">
      <w:pPr>
        <w:spacing w:after="0" w:line="276" w:lineRule="auto"/>
        <w:rPr>
          <w:rFonts w:cstheme="minorHAnsi"/>
          <w:sz w:val="24"/>
          <w:szCs w:val="24"/>
        </w:rPr>
      </w:pPr>
      <w:r w:rsidRPr="004410C4">
        <w:rPr>
          <w:rFonts w:ascii="Calibri" w:eastAsia="Calibri" w:hAnsi="Calibri" w:cs="Calibri"/>
          <w:sz w:val="24"/>
          <w:szCs w:val="24"/>
        </w:rPr>
        <w:t xml:space="preserve">W 2024 roku w woj. zachodniopomorskim zarejestrowano 9 przypadków tularemii </w:t>
      </w:r>
      <w:r w:rsidRPr="004410C4">
        <w:rPr>
          <w:rFonts w:ascii="Calibri" w:eastAsia="Calibri" w:hAnsi="Calibri" w:cs="Calibri"/>
          <w:spacing w:val="-2"/>
          <w:sz w:val="24"/>
          <w:szCs w:val="24"/>
        </w:rPr>
        <w:t>(wskaźnik zapadalności 0,55 na 100 tys. mieszkańców), tj. o 5 zachorowań mniej niż w 2023 r.</w:t>
      </w:r>
      <w:r w:rsidRPr="004410C4">
        <w:rPr>
          <w:rFonts w:ascii="Calibri" w:eastAsia="Calibri" w:hAnsi="Calibri" w:cs="Calibri"/>
          <w:sz w:val="24"/>
          <w:szCs w:val="24"/>
        </w:rPr>
        <w:t xml:space="preserve"> Choroba przebiegała w 5 przypadkach pod postacią wrzodziejąco- węzłową,</w:t>
      </w:r>
      <w:r>
        <w:rPr>
          <w:rFonts w:ascii="Calibri" w:eastAsia="Calibri" w:hAnsi="Calibri" w:cs="Calibri"/>
          <w:sz w:val="24"/>
          <w:szCs w:val="24"/>
        </w:rPr>
        <w:t xml:space="preserve"> w</w:t>
      </w:r>
      <w:r w:rsidRPr="004410C4">
        <w:rPr>
          <w:rFonts w:ascii="Calibri" w:eastAsia="Calibri" w:hAnsi="Calibri" w:cs="Calibri"/>
          <w:sz w:val="24"/>
          <w:szCs w:val="24"/>
        </w:rPr>
        <w:t xml:space="preserve"> 3 pod postacią węzłową i </w:t>
      </w:r>
      <w:r>
        <w:rPr>
          <w:rFonts w:ascii="Calibri" w:eastAsia="Calibri" w:hAnsi="Calibri" w:cs="Calibri"/>
          <w:sz w:val="24"/>
          <w:szCs w:val="24"/>
        </w:rPr>
        <w:t xml:space="preserve">w </w:t>
      </w:r>
      <w:r w:rsidRPr="004410C4">
        <w:rPr>
          <w:rFonts w:ascii="Calibri" w:eastAsia="Calibri" w:hAnsi="Calibri" w:cs="Calibri"/>
          <w:sz w:val="24"/>
          <w:szCs w:val="24"/>
        </w:rPr>
        <w:t xml:space="preserve">1 pod postacią oczno- węzłową. </w:t>
      </w:r>
      <w:r w:rsidRPr="004410C4">
        <w:rPr>
          <w:rFonts w:eastAsia="Calibri" w:cstheme="minorHAnsi"/>
          <w:sz w:val="24"/>
          <w:szCs w:val="24"/>
        </w:rPr>
        <w:t>Wszystkie osoby</w:t>
      </w:r>
      <w:r w:rsidRPr="004410C4">
        <w:rPr>
          <w:rFonts w:cstheme="minorHAnsi"/>
          <w:sz w:val="24"/>
          <w:szCs w:val="24"/>
        </w:rPr>
        <w:t xml:space="preserve"> wyzdrowiały.</w:t>
      </w:r>
      <w:r w:rsidRPr="004410C4">
        <w:rPr>
          <w:rFonts w:ascii="Calibri" w:eastAsia="Calibri" w:hAnsi="Calibri" w:cs="Calibri"/>
          <w:color w:val="7030A0"/>
          <w:sz w:val="24"/>
          <w:szCs w:val="24"/>
        </w:rPr>
        <w:t xml:space="preserve"> </w:t>
      </w:r>
      <w:r w:rsidRPr="004410C4">
        <w:rPr>
          <w:rFonts w:ascii="Calibri" w:eastAsia="Calibri" w:hAnsi="Calibri" w:cs="Calibri"/>
          <w:sz w:val="24"/>
          <w:szCs w:val="24"/>
        </w:rPr>
        <w:t>Zachorowania wystąpiły w</w:t>
      </w:r>
      <w:r w:rsidR="00C719C9">
        <w:rPr>
          <w:rFonts w:ascii="Calibri" w:eastAsia="Calibri" w:hAnsi="Calibri" w:cs="Calibri"/>
          <w:sz w:val="24"/>
          <w:szCs w:val="24"/>
        </w:rPr>
        <w:t> </w:t>
      </w:r>
      <w:r w:rsidRPr="004410C4">
        <w:rPr>
          <w:rFonts w:ascii="Calibri" w:eastAsia="Calibri" w:hAnsi="Calibri" w:cs="Calibri"/>
          <w:sz w:val="24"/>
          <w:szCs w:val="24"/>
        </w:rPr>
        <w:t>powiatach: gryfińskim (1), miasto Szczecin (2), łobeskim (1), polickim (2), stargardzkim (2) i</w:t>
      </w:r>
      <w:r w:rsidR="00C719C9">
        <w:rPr>
          <w:rFonts w:ascii="Calibri" w:eastAsia="Calibri" w:hAnsi="Calibri" w:cs="Calibri"/>
          <w:sz w:val="24"/>
          <w:szCs w:val="24"/>
        </w:rPr>
        <w:t> </w:t>
      </w:r>
      <w:r w:rsidRPr="004410C4">
        <w:rPr>
          <w:rFonts w:ascii="Calibri" w:eastAsia="Calibri" w:hAnsi="Calibri" w:cs="Calibri"/>
          <w:sz w:val="24"/>
          <w:szCs w:val="24"/>
        </w:rPr>
        <w:t xml:space="preserve">myśliborskim (1). Hospitalizacją było objętych 2 pacjentów. </w:t>
      </w:r>
      <w:r w:rsidRPr="005F673A">
        <w:rPr>
          <w:rFonts w:ascii="Calibri" w:eastAsia="Calibri" w:hAnsi="Calibri" w:cs="Calibri"/>
          <w:sz w:val="24"/>
          <w:szCs w:val="24"/>
        </w:rPr>
        <w:t xml:space="preserve">W porównaniu </w:t>
      </w:r>
      <w:r w:rsidRPr="005F673A">
        <w:rPr>
          <w:rFonts w:ascii="Calibri" w:eastAsia="Calibri" w:hAnsi="Calibri" w:cs="Calibri"/>
          <w:sz w:val="24"/>
          <w:szCs w:val="24"/>
        </w:rPr>
        <w:lastRenderedPageBreak/>
        <w:t>z całym krajem, sytuacja epidemiologiczna w woj. zachodniopomorskim była mniej korzystna. Należy podkreślić, że odnotowana liczba przypadków w woj. zachodniopomorskim stanowiła ponad 20% zachorowań w Polsce, a</w:t>
      </w:r>
      <w:r>
        <w:rPr>
          <w:rFonts w:ascii="Calibri" w:eastAsia="Calibri" w:hAnsi="Calibri" w:cs="Calibri"/>
          <w:sz w:val="24"/>
          <w:szCs w:val="24"/>
        </w:rPr>
        <w:t xml:space="preserve"> </w:t>
      </w:r>
      <w:r w:rsidRPr="005F673A">
        <w:rPr>
          <w:rFonts w:ascii="Calibri" w:eastAsia="Calibri" w:hAnsi="Calibri" w:cs="Calibri"/>
          <w:sz w:val="24"/>
          <w:szCs w:val="24"/>
        </w:rPr>
        <w:t>współczynnik zapadalnoś</w:t>
      </w:r>
      <w:r>
        <w:rPr>
          <w:rFonts w:ascii="Calibri" w:eastAsia="Calibri" w:hAnsi="Calibri" w:cs="Calibri"/>
          <w:sz w:val="24"/>
          <w:szCs w:val="24"/>
        </w:rPr>
        <w:t>ci</w:t>
      </w:r>
      <w:r w:rsidRPr="005F673A">
        <w:rPr>
          <w:rFonts w:ascii="Calibri" w:eastAsia="Calibri" w:hAnsi="Calibri" w:cs="Calibri"/>
          <w:sz w:val="24"/>
          <w:szCs w:val="24"/>
        </w:rPr>
        <w:t xml:space="preserve"> był ponad 4 razy wyższy niż krajowy.</w:t>
      </w:r>
    </w:p>
    <w:p w14:paraId="4F3C9870" w14:textId="77777777" w:rsidR="00EE16EC" w:rsidRDefault="00EE16EC" w:rsidP="00597239">
      <w:pPr>
        <w:spacing w:after="0" w:line="276" w:lineRule="auto"/>
        <w:rPr>
          <w:rFonts w:ascii="Calibri" w:eastAsia="Calibri" w:hAnsi="Calibri" w:cs="Calibri"/>
          <w:sz w:val="24"/>
          <w:szCs w:val="24"/>
        </w:rPr>
      </w:pPr>
    </w:p>
    <w:p w14:paraId="3E4E7C83" w14:textId="1B399F9C" w:rsidR="000B4D72" w:rsidRPr="005F673A" w:rsidRDefault="000B4D72" w:rsidP="00597239">
      <w:pPr>
        <w:spacing w:after="0" w:line="276" w:lineRule="auto"/>
        <w:rPr>
          <w:rFonts w:cstheme="minorHAnsi"/>
          <w:sz w:val="24"/>
          <w:szCs w:val="24"/>
        </w:rPr>
      </w:pPr>
      <w:r w:rsidRPr="005F673A">
        <w:rPr>
          <w:rFonts w:ascii="Calibri" w:eastAsia="Calibri" w:hAnsi="Calibri" w:cs="Calibri"/>
          <w:sz w:val="24"/>
          <w:szCs w:val="24"/>
        </w:rPr>
        <w:t>Wg piśmiennictwa, w Polsce tularemia występuje endemicznie w północnej części kraju z</w:t>
      </w:r>
      <w:r w:rsidR="00C719C9">
        <w:rPr>
          <w:rFonts w:ascii="Calibri" w:eastAsia="Calibri" w:hAnsi="Calibri" w:cs="Calibri"/>
          <w:sz w:val="24"/>
          <w:szCs w:val="24"/>
        </w:rPr>
        <w:t> </w:t>
      </w:r>
      <w:r w:rsidRPr="005F673A">
        <w:rPr>
          <w:rFonts w:ascii="Calibri" w:eastAsia="Calibri" w:hAnsi="Calibri" w:cs="Calibri"/>
          <w:sz w:val="24"/>
          <w:szCs w:val="24"/>
        </w:rPr>
        <w:t>lokalizacją ognisk w okolicach Szczecina i Olsztyna (</w:t>
      </w:r>
      <w:r w:rsidRPr="00F57981">
        <w:rPr>
          <w:rFonts w:ascii="Calibri" w:eastAsia="Calibri" w:hAnsi="Calibri" w:cs="Calibri"/>
          <w:iCs/>
          <w:sz w:val="24"/>
          <w:szCs w:val="24"/>
        </w:rPr>
        <w:t>Choroby zakaźne i pasożytnicze</w:t>
      </w:r>
      <w:r w:rsidRPr="005F673A">
        <w:rPr>
          <w:rFonts w:ascii="Calibri" w:eastAsia="Calibri" w:hAnsi="Calibri" w:cs="Calibri"/>
          <w:i/>
          <w:sz w:val="24"/>
          <w:szCs w:val="24"/>
        </w:rPr>
        <w:t xml:space="preserve"> –</w:t>
      </w:r>
      <w:r w:rsidRPr="00F57981">
        <w:rPr>
          <w:rFonts w:ascii="Calibri" w:eastAsia="Calibri" w:hAnsi="Calibri" w:cs="Calibri"/>
          <w:iCs/>
          <w:sz w:val="24"/>
          <w:szCs w:val="24"/>
        </w:rPr>
        <w:t>epidemiologia i profilaktyka</w:t>
      </w:r>
      <w:r w:rsidRPr="005F673A">
        <w:rPr>
          <w:rFonts w:ascii="Calibri" w:eastAsia="Calibri" w:hAnsi="Calibri" w:cs="Calibri"/>
          <w:sz w:val="24"/>
          <w:szCs w:val="24"/>
        </w:rPr>
        <w:t>, autor: W. Magdzik, D. Naruszewicz-Lesiuk, A. Zieliński).</w:t>
      </w:r>
    </w:p>
    <w:p w14:paraId="3599C045" w14:textId="77777777" w:rsidR="00EE16EC" w:rsidRDefault="00EE16EC" w:rsidP="00597239">
      <w:pPr>
        <w:spacing w:after="0" w:line="276" w:lineRule="auto"/>
        <w:rPr>
          <w:rFonts w:ascii="Calibri" w:hAnsi="Calibri" w:cs="Calibri"/>
          <w:sz w:val="24"/>
          <w:szCs w:val="24"/>
        </w:rPr>
      </w:pPr>
    </w:p>
    <w:p w14:paraId="640B8E05" w14:textId="62B0D9A0" w:rsidR="000B4D72" w:rsidRDefault="000B4D72" w:rsidP="00597239">
      <w:pPr>
        <w:spacing w:after="0" w:line="276" w:lineRule="auto"/>
        <w:rPr>
          <w:rFonts w:ascii="Calibri" w:hAnsi="Calibri" w:cs="Calibri"/>
          <w:sz w:val="24"/>
          <w:szCs w:val="24"/>
        </w:rPr>
      </w:pPr>
      <w:r w:rsidRPr="005F673A">
        <w:rPr>
          <w:rFonts w:ascii="Calibri" w:hAnsi="Calibri" w:cs="Calibri"/>
          <w:sz w:val="24"/>
          <w:szCs w:val="24"/>
        </w:rPr>
        <w:t xml:space="preserve">Z danych uzyskanych od chorych w trakcie przeprowadzania wywiadów epidemiologicznych wynika, że </w:t>
      </w:r>
      <w:r>
        <w:rPr>
          <w:rFonts w:ascii="Calibri" w:hAnsi="Calibri" w:cs="Calibri"/>
          <w:sz w:val="24"/>
          <w:szCs w:val="24"/>
        </w:rPr>
        <w:t xml:space="preserve">najczęściej jako wektor </w:t>
      </w:r>
      <w:r w:rsidRPr="005F673A">
        <w:rPr>
          <w:rFonts w:ascii="Calibri" w:hAnsi="Calibri" w:cs="Calibri"/>
          <w:sz w:val="24"/>
          <w:szCs w:val="24"/>
        </w:rPr>
        <w:t xml:space="preserve">narażenia </w:t>
      </w:r>
      <w:r>
        <w:rPr>
          <w:rFonts w:ascii="Calibri" w:hAnsi="Calibri" w:cs="Calibri"/>
          <w:sz w:val="24"/>
          <w:szCs w:val="24"/>
        </w:rPr>
        <w:t>wskazywano</w:t>
      </w:r>
      <w:r w:rsidRPr="005F673A">
        <w:rPr>
          <w:rFonts w:ascii="Calibri" w:hAnsi="Calibri" w:cs="Calibri"/>
          <w:sz w:val="24"/>
          <w:szCs w:val="24"/>
        </w:rPr>
        <w:t xml:space="preserve"> owady (komary, kleszcze)</w:t>
      </w:r>
      <w:r>
        <w:rPr>
          <w:rFonts w:ascii="Calibri" w:hAnsi="Calibri" w:cs="Calibri"/>
          <w:sz w:val="24"/>
          <w:szCs w:val="24"/>
        </w:rPr>
        <w:t>.</w:t>
      </w:r>
    </w:p>
    <w:p w14:paraId="380C35CE" w14:textId="77777777" w:rsidR="00EE16EC" w:rsidRPr="005F673A" w:rsidRDefault="00EE16EC" w:rsidP="00597239">
      <w:pPr>
        <w:spacing w:after="0" w:line="276" w:lineRule="auto"/>
        <w:rPr>
          <w:rFonts w:cstheme="minorHAnsi"/>
          <w:sz w:val="24"/>
          <w:szCs w:val="24"/>
        </w:rPr>
      </w:pPr>
    </w:p>
    <w:p w14:paraId="2A544D41" w14:textId="0E598B6C" w:rsidR="000B4D72" w:rsidRPr="005F673A" w:rsidRDefault="000B4D72" w:rsidP="00597239">
      <w:pPr>
        <w:pStyle w:val="Nagwek3"/>
        <w:numPr>
          <w:ilvl w:val="1"/>
          <w:numId w:val="37"/>
        </w:numPr>
        <w:spacing w:before="0" w:after="0"/>
        <w:ind w:left="568" w:hanging="284"/>
      </w:pPr>
      <w:bookmarkStart w:id="133" w:name="_Toc192678710"/>
      <w:bookmarkStart w:id="134" w:name="_Toc193694450"/>
      <w:bookmarkStart w:id="135" w:name="_Toc194059788"/>
      <w:r w:rsidRPr="005F673A">
        <w:t>Zakażenia Mpox</w:t>
      </w:r>
      <w:bookmarkEnd w:id="133"/>
      <w:bookmarkEnd w:id="134"/>
      <w:bookmarkEnd w:id="135"/>
    </w:p>
    <w:p w14:paraId="7F247E9E" w14:textId="57AB6C2D" w:rsidR="000B4D72" w:rsidRPr="005F673A" w:rsidRDefault="000B4D72" w:rsidP="00597239">
      <w:pPr>
        <w:spacing w:after="0" w:line="276" w:lineRule="auto"/>
        <w:rPr>
          <w:rFonts w:cstheme="minorHAnsi"/>
          <w:sz w:val="24"/>
          <w:szCs w:val="24"/>
        </w:rPr>
      </w:pPr>
      <w:r w:rsidRPr="005F673A">
        <w:rPr>
          <w:rFonts w:cstheme="minorHAnsi"/>
          <w:sz w:val="24"/>
          <w:szCs w:val="24"/>
        </w:rPr>
        <w:t>Po raz pierwszy zakażenie wirusem ospy małpiej u człowieka zidentyfikowano w</w:t>
      </w:r>
      <w:r w:rsidR="007B1BEB">
        <w:rPr>
          <w:rFonts w:cstheme="minorHAnsi"/>
          <w:sz w:val="24"/>
          <w:szCs w:val="24"/>
        </w:rPr>
        <w:t> </w:t>
      </w:r>
      <w:r w:rsidRPr="005F673A">
        <w:rPr>
          <w:rFonts w:cstheme="minorHAnsi"/>
          <w:sz w:val="24"/>
          <w:szCs w:val="24"/>
        </w:rPr>
        <w:t>Demokratycznej Republice Konga w 1970 r. W 2022 r. Wielka Brytania zgłosiła pierwszy w</w:t>
      </w:r>
      <w:r w:rsidR="007B1BEB">
        <w:rPr>
          <w:rFonts w:cstheme="minorHAnsi"/>
          <w:sz w:val="24"/>
          <w:szCs w:val="24"/>
        </w:rPr>
        <w:t> </w:t>
      </w:r>
      <w:r w:rsidRPr="005F673A">
        <w:rPr>
          <w:rFonts w:cstheme="minorHAnsi"/>
          <w:sz w:val="24"/>
          <w:szCs w:val="24"/>
        </w:rPr>
        <w:t xml:space="preserve">Europie przypadek ospy małpiej u osoby podróżującej z Nigerii. </w:t>
      </w:r>
    </w:p>
    <w:p w14:paraId="653A55C0" w14:textId="77777777" w:rsidR="00EE16EC" w:rsidRDefault="00EE16EC" w:rsidP="00597239">
      <w:pPr>
        <w:spacing w:after="0" w:line="276" w:lineRule="auto"/>
        <w:rPr>
          <w:rFonts w:cstheme="minorHAnsi"/>
          <w:sz w:val="24"/>
          <w:szCs w:val="24"/>
        </w:rPr>
      </w:pPr>
    </w:p>
    <w:p w14:paraId="361A6298" w14:textId="63A5A867" w:rsidR="000B4D72" w:rsidRDefault="000B4D72" w:rsidP="00597239">
      <w:pPr>
        <w:spacing w:after="0" w:line="276" w:lineRule="auto"/>
        <w:rPr>
          <w:rFonts w:cstheme="minorHAnsi"/>
          <w:sz w:val="24"/>
          <w:szCs w:val="24"/>
        </w:rPr>
      </w:pPr>
      <w:r w:rsidRPr="005F673A">
        <w:rPr>
          <w:rFonts w:cstheme="minorHAnsi"/>
          <w:sz w:val="24"/>
          <w:szCs w:val="24"/>
        </w:rPr>
        <w:t xml:space="preserve">Na </w:t>
      </w:r>
      <w:r w:rsidRPr="005F673A">
        <w:rPr>
          <w:rFonts w:eastAsia="Times New Roman" w:cstheme="minorHAnsi"/>
          <w:sz w:val="24"/>
          <w:szCs w:val="24"/>
          <w:lang w:eastAsia="pl-PL"/>
        </w:rPr>
        <w:t>terenie woj. zachodniopomorskiego w 2024 r. nie odnotowano przypadków zakażeń Mpox. Ostatnie 3 przypadki stwierdzono w 2022</w:t>
      </w:r>
      <w:r>
        <w:rPr>
          <w:rFonts w:eastAsia="Times New Roman" w:cstheme="minorHAnsi"/>
          <w:sz w:val="24"/>
          <w:szCs w:val="24"/>
          <w:lang w:eastAsia="pl-PL"/>
        </w:rPr>
        <w:t xml:space="preserve"> </w:t>
      </w:r>
      <w:r w:rsidRPr="005F673A">
        <w:rPr>
          <w:rFonts w:eastAsia="Times New Roman" w:cstheme="minorHAnsi"/>
          <w:sz w:val="24"/>
          <w:szCs w:val="24"/>
          <w:lang w:eastAsia="pl-PL"/>
        </w:rPr>
        <w:t xml:space="preserve">r., w tym </w:t>
      </w:r>
      <w:r w:rsidRPr="005F673A">
        <w:rPr>
          <w:rFonts w:cstheme="minorHAnsi"/>
          <w:sz w:val="24"/>
          <w:szCs w:val="24"/>
        </w:rPr>
        <w:t>2 przypadki potwierdzone oraz 1 przypadek prawdopodobny</w:t>
      </w:r>
      <w:r>
        <w:rPr>
          <w:rFonts w:cstheme="minorHAnsi"/>
          <w:sz w:val="24"/>
          <w:szCs w:val="24"/>
        </w:rPr>
        <w:t>.</w:t>
      </w:r>
      <w:r w:rsidRPr="005F673A">
        <w:rPr>
          <w:rFonts w:cstheme="minorHAnsi"/>
          <w:sz w:val="24"/>
          <w:szCs w:val="24"/>
        </w:rPr>
        <w:t xml:space="preserve"> </w:t>
      </w:r>
    </w:p>
    <w:p w14:paraId="215AE523" w14:textId="77777777" w:rsidR="00EE16EC" w:rsidRPr="005F673A" w:rsidRDefault="00EE16EC" w:rsidP="00597239">
      <w:pPr>
        <w:spacing w:after="0" w:line="276" w:lineRule="auto"/>
        <w:rPr>
          <w:rFonts w:eastAsia="Times New Roman" w:cstheme="minorHAnsi"/>
          <w:sz w:val="24"/>
          <w:szCs w:val="24"/>
          <w:lang w:eastAsia="pl-PL"/>
        </w:rPr>
      </w:pPr>
    </w:p>
    <w:p w14:paraId="2D4529FA" w14:textId="5D95AD26" w:rsidR="000B4D72" w:rsidRPr="005F673A" w:rsidRDefault="000B4D72" w:rsidP="00597239">
      <w:pPr>
        <w:pStyle w:val="Nagwek3"/>
        <w:numPr>
          <w:ilvl w:val="1"/>
          <w:numId w:val="37"/>
        </w:numPr>
        <w:spacing w:before="0" w:after="0"/>
        <w:ind w:left="568" w:hanging="284"/>
      </w:pPr>
      <w:bookmarkStart w:id="136" w:name="_Toc192678711"/>
      <w:bookmarkStart w:id="137" w:name="_Toc193694451"/>
      <w:bookmarkStart w:id="138" w:name="_Toc194059789"/>
      <w:r w:rsidRPr="005F673A">
        <w:t>Podsumowanie</w:t>
      </w:r>
      <w:bookmarkEnd w:id="136"/>
      <w:bookmarkEnd w:id="137"/>
      <w:bookmarkEnd w:id="138"/>
    </w:p>
    <w:p w14:paraId="30A34A4E" w14:textId="5EA3E3A0" w:rsidR="0063333E" w:rsidRDefault="000B4D72" w:rsidP="00597239">
      <w:pPr>
        <w:spacing w:after="0" w:line="276" w:lineRule="auto"/>
        <w:rPr>
          <w:rFonts w:ascii="Calibri" w:eastAsia="Calibri" w:hAnsi="Calibri" w:cs="Calibri"/>
          <w:sz w:val="24"/>
          <w:szCs w:val="24"/>
        </w:rPr>
      </w:pPr>
      <w:r w:rsidRPr="00D56370">
        <w:rPr>
          <w:rFonts w:ascii="Calibri" w:eastAsia="Calibri" w:hAnsi="Calibri" w:cs="Calibri"/>
          <w:sz w:val="24"/>
          <w:szCs w:val="24"/>
        </w:rPr>
        <w:t>Sytuacja epidemiologiczna wybranych chorób zakaźnych w woj. zachodniopomorskim w</w:t>
      </w:r>
      <w:r w:rsidR="00C719C9">
        <w:rPr>
          <w:rFonts w:ascii="Calibri" w:eastAsia="Calibri" w:hAnsi="Calibri" w:cs="Calibri"/>
          <w:sz w:val="24"/>
          <w:szCs w:val="24"/>
        </w:rPr>
        <w:t> </w:t>
      </w:r>
      <w:r w:rsidRPr="00D56370">
        <w:rPr>
          <w:rFonts w:ascii="Calibri" w:eastAsia="Calibri" w:hAnsi="Calibri" w:cs="Calibri"/>
          <w:sz w:val="24"/>
          <w:szCs w:val="24"/>
        </w:rPr>
        <w:t>latach 2023-2024 przedstawiona została w tabeli 2</w:t>
      </w:r>
      <w:r>
        <w:rPr>
          <w:rFonts w:ascii="Calibri" w:eastAsia="Calibri" w:hAnsi="Calibri" w:cs="Calibri"/>
          <w:sz w:val="24"/>
          <w:szCs w:val="24"/>
        </w:rPr>
        <w:t>2</w:t>
      </w:r>
      <w:r w:rsidRPr="00D56370">
        <w:rPr>
          <w:rFonts w:ascii="Calibri" w:eastAsia="Calibri" w:hAnsi="Calibri" w:cs="Calibri"/>
          <w:sz w:val="24"/>
          <w:szCs w:val="24"/>
        </w:rPr>
        <w:t>.</w:t>
      </w:r>
    </w:p>
    <w:p w14:paraId="51681D9B" w14:textId="04078C70" w:rsidR="000B4D72" w:rsidRPr="00D56370" w:rsidRDefault="000B4D72" w:rsidP="00597239">
      <w:pPr>
        <w:spacing w:after="0" w:line="276" w:lineRule="auto"/>
        <w:rPr>
          <w:rFonts w:ascii="Calibri" w:eastAsia="Calibri" w:hAnsi="Calibri" w:cs="Calibri"/>
          <w:sz w:val="24"/>
          <w:szCs w:val="24"/>
        </w:rPr>
      </w:pPr>
      <w:r w:rsidRPr="00D56370">
        <w:rPr>
          <w:rFonts w:ascii="Calibri" w:eastAsia="Calibri" w:hAnsi="Calibri" w:cs="Calibri"/>
          <w:sz w:val="24"/>
          <w:szCs w:val="24"/>
        </w:rPr>
        <w:t xml:space="preserve"> </w:t>
      </w:r>
    </w:p>
    <w:p w14:paraId="2244AF95" w14:textId="0AF172A7" w:rsidR="000B4D72" w:rsidRPr="00086E7C" w:rsidRDefault="00086E7C" w:rsidP="00597239">
      <w:pPr>
        <w:pStyle w:val="Legenda"/>
        <w:spacing w:after="0"/>
        <w:rPr>
          <w:i w:val="0"/>
          <w:iCs w:val="0"/>
          <w:color w:val="000000" w:themeColor="text1"/>
        </w:rPr>
      </w:pPr>
      <w:bookmarkStart w:id="139" w:name="_Toc193805992"/>
      <w:bookmarkStart w:id="140" w:name="_Toc193969540"/>
      <w:bookmarkStart w:id="141" w:name="_Toc194060000"/>
      <w:bookmarkStart w:id="142" w:name="_Hlk161406364"/>
      <w:r w:rsidRPr="00086E7C">
        <w:rPr>
          <w:i w:val="0"/>
          <w:iCs w:val="0"/>
          <w:color w:val="000000" w:themeColor="text1"/>
        </w:rPr>
        <w:t xml:space="preserve">Tabela </w:t>
      </w:r>
      <w:r w:rsidRPr="00086E7C">
        <w:rPr>
          <w:i w:val="0"/>
          <w:iCs w:val="0"/>
          <w:color w:val="000000" w:themeColor="text1"/>
        </w:rPr>
        <w:fldChar w:fldCharType="begin"/>
      </w:r>
      <w:r w:rsidRPr="00086E7C">
        <w:rPr>
          <w:i w:val="0"/>
          <w:iCs w:val="0"/>
          <w:color w:val="000000" w:themeColor="text1"/>
        </w:rPr>
        <w:instrText xml:space="preserve"> SEQ Tabela \* ARABIC </w:instrText>
      </w:r>
      <w:r w:rsidRPr="00086E7C">
        <w:rPr>
          <w:i w:val="0"/>
          <w:iCs w:val="0"/>
          <w:color w:val="000000" w:themeColor="text1"/>
        </w:rPr>
        <w:fldChar w:fldCharType="separate"/>
      </w:r>
      <w:r w:rsidR="00FB6F6A">
        <w:rPr>
          <w:i w:val="0"/>
          <w:iCs w:val="0"/>
          <w:noProof/>
          <w:color w:val="000000" w:themeColor="text1"/>
        </w:rPr>
        <w:t>22</w:t>
      </w:r>
      <w:r w:rsidRPr="00086E7C">
        <w:rPr>
          <w:i w:val="0"/>
          <w:iCs w:val="0"/>
          <w:color w:val="000000" w:themeColor="text1"/>
        </w:rPr>
        <w:fldChar w:fldCharType="end"/>
      </w:r>
      <w:r w:rsidR="00E75D31">
        <w:rPr>
          <w:i w:val="0"/>
          <w:iCs w:val="0"/>
          <w:color w:val="000000" w:themeColor="text1"/>
        </w:rPr>
        <w:t>.</w:t>
      </w:r>
      <w:r>
        <w:rPr>
          <w:i w:val="0"/>
          <w:iCs w:val="0"/>
          <w:color w:val="000000" w:themeColor="text1"/>
        </w:rPr>
        <w:t xml:space="preserve"> </w:t>
      </w:r>
      <w:r w:rsidRPr="00086E7C">
        <w:rPr>
          <w:i w:val="0"/>
          <w:iCs w:val="0"/>
          <w:color w:val="000000" w:themeColor="text1"/>
        </w:rPr>
        <w:t>Liczba zachorowań i zapadalność na wybrane choroby zakaźne, zakażenia i zatrucia w woj. zachodniopomorskim w 2024 roku w porównaniu do 2023 roku</w:t>
      </w:r>
      <w:bookmarkEnd w:id="139"/>
      <w:bookmarkEnd w:id="140"/>
      <w:bookmarkEnd w:id="141"/>
    </w:p>
    <w:tbl>
      <w:tblPr>
        <w:tblStyle w:val="Tabelasiatki4akcent1"/>
        <w:tblW w:w="9320" w:type="dxa"/>
        <w:tblLook w:val="04A0" w:firstRow="1" w:lastRow="0" w:firstColumn="1" w:lastColumn="0" w:noHBand="0" w:noVBand="1"/>
        <w:tblCaption w:val="Liczba zachorowań i zapadalność na wybrane choroby zakaźne, zakażenia i zatrucia w woj. zachodniopomorskim w 2024 roku w porównaniu do 2023 roku"/>
        <w:tblDescription w:val="Tabela przedstawia liczbę zachorowań oraz zapadalność na wybrane choroby zakaźne, zakażenia i zatrucia w województwie zachodniopomorskim w roku 2024 z porównaniem do roku ubiegłego."/>
      </w:tblPr>
      <w:tblGrid>
        <w:gridCol w:w="467"/>
        <w:gridCol w:w="4104"/>
        <w:gridCol w:w="1205"/>
        <w:gridCol w:w="1227"/>
        <w:gridCol w:w="1205"/>
        <w:gridCol w:w="1227"/>
      </w:tblGrid>
      <w:tr w:rsidR="000B4D72" w:rsidRPr="001C4441" w14:paraId="5BE1D97E" w14:textId="77777777" w:rsidTr="005D6DAE">
        <w:trPr>
          <w:cnfStyle w:val="100000000000" w:firstRow="1" w:lastRow="0"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restart"/>
            <w:noWrap/>
            <w:vAlign w:val="center"/>
            <w:hideMark/>
          </w:tcPr>
          <w:p w14:paraId="4010ACAA"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Lp.</w:t>
            </w:r>
          </w:p>
        </w:tc>
        <w:tc>
          <w:tcPr>
            <w:tcW w:w="4104" w:type="dxa"/>
            <w:vMerge w:val="restart"/>
            <w:noWrap/>
            <w:vAlign w:val="center"/>
            <w:hideMark/>
          </w:tcPr>
          <w:p w14:paraId="5ABCBED0" w14:textId="77777777" w:rsidR="000B4D72" w:rsidRPr="001C4441"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Jednostka chorobowa</w:t>
            </w:r>
          </w:p>
        </w:tc>
        <w:tc>
          <w:tcPr>
            <w:tcW w:w="4749" w:type="dxa"/>
            <w:gridSpan w:val="4"/>
            <w:noWrap/>
            <w:vAlign w:val="center"/>
            <w:hideMark/>
          </w:tcPr>
          <w:p w14:paraId="15F10F3A" w14:textId="77777777" w:rsidR="000B4D72" w:rsidRPr="001C4441"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Rok</w:t>
            </w:r>
          </w:p>
        </w:tc>
      </w:tr>
      <w:tr w:rsidR="000B4D72" w:rsidRPr="001C4441" w14:paraId="32BB755A"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0261A42C" w14:textId="77777777" w:rsidR="000B4D72" w:rsidRPr="001C4441" w:rsidRDefault="000B4D72" w:rsidP="00597239">
            <w:pPr>
              <w:rPr>
                <w:rFonts w:eastAsia="Times New Roman" w:cstheme="minorHAnsi"/>
                <w:b w:val="0"/>
                <w:bCs w:val="0"/>
                <w:sz w:val="20"/>
                <w:szCs w:val="20"/>
                <w:lang w:eastAsia="pl-PL"/>
              </w:rPr>
            </w:pPr>
          </w:p>
        </w:tc>
        <w:tc>
          <w:tcPr>
            <w:tcW w:w="4104" w:type="dxa"/>
            <w:vMerge/>
            <w:vAlign w:val="center"/>
            <w:hideMark/>
          </w:tcPr>
          <w:p w14:paraId="76E3E6F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374" w:type="dxa"/>
            <w:gridSpan w:val="2"/>
            <w:noWrap/>
            <w:vAlign w:val="center"/>
            <w:hideMark/>
          </w:tcPr>
          <w:p w14:paraId="201FF69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2023</w:t>
            </w:r>
          </w:p>
        </w:tc>
        <w:tc>
          <w:tcPr>
            <w:tcW w:w="2374" w:type="dxa"/>
            <w:gridSpan w:val="2"/>
            <w:noWrap/>
            <w:vAlign w:val="center"/>
            <w:hideMark/>
          </w:tcPr>
          <w:p w14:paraId="054492A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2024</w:t>
            </w:r>
          </w:p>
        </w:tc>
      </w:tr>
      <w:tr w:rsidR="00A36A91" w:rsidRPr="001C4441" w14:paraId="151D1274" w14:textId="77777777" w:rsidTr="005D6DAE">
        <w:trPr>
          <w:trHeight w:val="403"/>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5C91BF42" w14:textId="77777777" w:rsidR="000B4D72" w:rsidRPr="001C4441" w:rsidRDefault="000B4D72" w:rsidP="00597239">
            <w:pPr>
              <w:rPr>
                <w:rFonts w:eastAsia="Times New Roman" w:cstheme="minorHAnsi"/>
                <w:b w:val="0"/>
                <w:bCs w:val="0"/>
                <w:sz w:val="20"/>
                <w:szCs w:val="20"/>
                <w:lang w:eastAsia="pl-PL"/>
              </w:rPr>
            </w:pPr>
          </w:p>
        </w:tc>
        <w:tc>
          <w:tcPr>
            <w:tcW w:w="4104" w:type="dxa"/>
            <w:vMerge/>
            <w:vAlign w:val="center"/>
            <w:hideMark/>
          </w:tcPr>
          <w:p w14:paraId="5E631E5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1176" w:type="dxa"/>
            <w:vAlign w:val="center"/>
            <w:hideMark/>
          </w:tcPr>
          <w:p w14:paraId="1B8FE7DE"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Liczba zachorowań</w:t>
            </w:r>
          </w:p>
        </w:tc>
        <w:tc>
          <w:tcPr>
            <w:tcW w:w="1198" w:type="dxa"/>
            <w:noWrap/>
            <w:vAlign w:val="center"/>
            <w:hideMark/>
          </w:tcPr>
          <w:p w14:paraId="7ABEF79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Zapadalność</w:t>
            </w:r>
          </w:p>
        </w:tc>
        <w:tc>
          <w:tcPr>
            <w:tcW w:w="1176" w:type="dxa"/>
            <w:vAlign w:val="center"/>
            <w:hideMark/>
          </w:tcPr>
          <w:p w14:paraId="0B2CD0FF"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Liczba zachorowań</w:t>
            </w:r>
          </w:p>
        </w:tc>
        <w:tc>
          <w:tcPr>
            <w:tcW w:w="1198" w:type="dxa"/>
            <w:noWrap/>
            <w:vAlign w:val="center"/>
            <w:hideMark/>
          </w:tcPr>
          <w:p w14:paraId="515A6D3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Zapadalność</w:t>
            </w:r>
          </w:p>
        </w:tc>
      </w:tr>
      <w:tr w:rsidR="00A36A91" w:rsidRPr="001C4441" w14:paraId="07A4A371"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1759B174"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w:t>
            </w:r>
          </w:p>
        </w:tc>
        <w:tc>
          <w:tcPr>
            <w:tcW w:w="4104" w:type="dxa"/>
            <w:vAlign w:val="center"/>
            <w:hideMark/>
          </w:tcPr>
          <w:p w14:paraId="66F9634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Salmonellozy – zatrucie pokarmowe</w:t>
            </w:r>
          </w:p>
        </w:tc>
        <w:tc>
          <w:tcPr>
            <w:tcW w:w="1176" w:type="dxa"/>
            <w:vAlign w:val="center"/>
          </w:tcPr>
          <w:p w14:paraId="0862F7E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183</w:t>
            </w:r>
          </w:p>
        </w:tc>
        <w:tc>
          <w:tcPr>
            <w:tcW w:w="1198" w:type="dxa"/>
            <w:vAlign w:val="center"/>
          </w:tcPr>
          <w:p w14:paraId="57CD59F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11,12</w:t>
            </w:r>
          </w:p>
        </w:tc>
        <w:tc>
          <w:tcPr>
            <w:tcW w:w="1176" w:type="dxa"/>
            <w:vAlign w:val="center"/>
          </w:tcPr>
          <w:p w14:paraId="7C006A82"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633</w:t>
            </w:r>
          </w:p>
        </w:tc>
        <w:tc>
          <w:tcPr>
            <w:tcW w:w="1198" w:type="dxa"/>
            <w:vAlign w:val="center"/>
          </w:tcPr>
          <w:p w14:paraId="3702F60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38,91</w:t>
            </w:r>
          </w:p>
        </w:tc>
      </w:tr>
      <w:tr w:rsidR="000B4D72" w:rsidRPr="001C4441" w14:paraId="4C83150D"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521ECB11"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w:t>
            </w:r>
          </w:p>
        </w:tc>
        <w:tc>
          <w:tcPr>
            <w:tcW w:w="4104" w:type="dxa"/>
            <w:vAlign w:val="center"/>
            <w:hideMark/>
          </w:tcPr>
          <w:p w14:paraId="02611AAE"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Salmonellozy – zakażenia pozajelitowe</w:t>
            </w:r>
          </w:p>
        </w:tc>
        <w:tc>
          <w:tcPr>
            <w:tcW w:w="1176" w:type="dxa"/>
            <w:vAlign w:val="center"/>
          </w:tcPr>
          <w:p w14:paraId="62492DF8"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9</w:t>
            </w:r>
          </w:p>
        </w:tc>
        <w:tc>
          <w:tcPr>
            <w:tcW w:w="1198" w:type="dxa"/>
            <w:vAlign w:val="center"/>
          </w:tcPr>
          <w:p w14:paraId="2C757C1B"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0,55</w:t>
            </w:r>
          </w:p>
        </w:tc>
        <w:tc>
          <w:tcPr>
            <w:tcW w:w="1176" w:type="dxa"/>
            <w:vAlign w:val="center"/>
          </w:tcPr>
          <w:p w14:paraId="3226EFB3"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4</w:t>
            </w:r>
          </w:p>
        </w:tc>
        <w:tc>
          <w:tcPr>
            <w:tcW w:w="1198" w:type="dxa"/>
            <w:vAlign w:val="center"/>
          </w:tcPr>
          <w:p w14:paraId="1AC6825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0,25</w:t>
            </w:r>
          </w:p>
        </w:tc>
      </w:tr>
      <w:tr w:rsidR="00A36A91" w:rsidRPr="001C4441" w14:paraId="29328843"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5BCB7E92"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w:t>
            </w:r>
          </w:p>
        </w:tc>
        <w:tc>
          <w:tcPr>
            <w:tcW w:w="4104" w:type="dxa"/>
            <w:vAlign w:val="center"/>
            <w:hideMark/>
          </w:tcPr>
          <w:p w14:paraId="28C381A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Inne bakteryjne zakażenia jelitowe</w:t>
            </w:r>
          </w:p>
        </w:tc>
        <w:tc>
          <w:tcPr>
            <w:tcW w:w="1176" w:type="dxa"/>
            <w:vAlign w:val="center"/>
          </w:tcPr>
          <w:p w14:paraId="6F50C81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535</w:t>
            </w:r>
          </w:p>
        </w:tc>
        <w:tc>
          <w:tcPr>
            <w:tcW w:w="1198" w:type="dxa"/>
            <w:vAlign w:val="center"/>
          </w:tcPr>
          <w:p w14:paraId="0919FD72"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32,70</w:t>
            </w:r>
          </w:p>
        </w:tc>
        <w:tc>
          <w:tcPr>
            <w:tcW w:w="1176" w:type="dxa"/>
            <w:vAlign w:val="center"/>
          </w:tcPr>
          <w:p w14:paraId="451CAA1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760</w:t>
            </w:r>
          </w:p>
        </w:tc>
        <w:tc>
          <w:tcPr>
            <w:tcW w:w="1198" w:type="dxa"/>
            <w:vAlign w:val="center"/>
          </w:tcPr>
          <w:p w14:paraId="77B656F2"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46,72</w:t>
            </w:r>
          </w:p>
        </w:tc>
      </w:tr>
      <w:tr w:rsidR="000B4D72" w:rsidRPr="001C4441" w14:paraId="37A28FEB"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12A2400B"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4</w:t>
            </w:r>
          </w:p>
        </w:tc>
        <w:tc>
          <w:tcPr>
            <w:tcW w:w="4104" w:type="dxa"/>
            <w:vAlign w:val="center"/>
            <w:hideMark/>
          </w:tcPr>
          <w:p w14:paraId="757FA75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Inne bakteryjne zatrucia pokarmowe</w:t>
            </w:r>
          </w:p>
        </w:tc>
        <w:tc>
          <w:tcPr>
            <w:tcW w:w="1176" w:type="dxa"/>
            <w:vAlign w:val="center"/>
          </w:tcPr>
          <w:p w14:paraId="3D4350B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33</w:t>
            </w:r>
          </w:p>
        </w:tc>
        <w:tc>
          <w:tcPr>
            <w:tcW w:w="1198" w:type="dxa"/>
            <w:vAlign w:val="center"/>
          </w:tcPr>
          <w:p w14:paraId="5A7BE7B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2,02</w:t>
            </w:r>
          </w:p>
        </w:tc>
        <w:tc>
          <w:tcPr>
            <w:tcW w:w="1176" w:type="dxa"/>
            <w:vAlign w:val="center"/>
          </w:tcPr>
          <w:p w14:paraId="5E759858"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6</w:t>
            </w:r>
          </w:p>
        </w:tc>
        <w:tc>
          <w:tcPr>
            <w:tcW w:w="1198" w:type="dxa"/>
            <w:vAlign w:val="center"/>
          </w:tcPr>
          <w:p w14:paraId="606256A3"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0,37</w:t>
            </w:r>
          </w:p>
        </w:tc>
      </w:tr>
      <w:tr w:rsidR="00A36A91" w:rsidRPr="001C4441" w14:paraId="25E80694"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72780901"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5</w:t>
            </w:r>
          </w:p>
        </w:tc>
        <w:tc>
          <w:tcPr>
            <w:tcW w:w="4104" w:type="dxa"/>
            <w:vAlign w:val="center"/>
            <w:hideMark/>
          </w:tcPr>
          <w:p w14:paraId="01FE5504"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Giardioza (lamblioza)</w:t>
            </w:r>
          </w:p>
        </w:tc>
        <w:tc>
          <w:tcPr>
            <w:tcW w:w="1176" w:type="dxa"/>
            <w:vAlign w:val="center"/>
          </w:tcPr>
          <w:p w14:paraId="1510326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68</w:t>
            </w:r>
          </w:p>
        </w:tc>
        <w:tc>
          <w:tcPr>
            <w:tcW w:w="1198" w:type="dxa"/>
            <w:vAlign w:val="center"/>
          </w:tcPr>
          <w:p w14:paraId="296B4D6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4,16</w:t>
            </w:r>
          </w:p>
        </w:tc>
        <w:tc>
          <w:tcPr>
            <w:tcW w:w="1176" w:type="dxa"/>
            <w:vAlign w:val="center"/>
          </w:tcPr>
          <w:p w14:paraId="14843B30"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79</w:t>
            </w:r>
          </w:p>
        </w:tc>
        <w:tc>
          <w:tcPr>
            <w:tcW w:w="1198" w:type="dxa"/>
            <w:vAlign w:val="center"/>
          </w:tcPr>
          <w:p w14:paraId="2FDF55B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4,86</w:t>
            </w:r>
          </w:p>
        </w:tc>
      </w:tr>
      <w:tr w:rsidR="000B4D72" w:rsidRPr="001C4441" w14:paraId="435E659B"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vMerge w:val="restart"/>
            <w:noWrap/>
            <w:vAlign w:val="center"/>
            <w:hideMark/>
          </w:tcPr>
          <w:p w14:paraId="51511EFA"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6</w:t>
            </w:r>
          </w:p>
        </w:tc>
        <w:tc>
          <w:tcPr>
            <w:tcW w:w="4104" w:type="dxa"/>
            <w:vAlign w:val="center"/>
            <w:hideMark/>
          </w:tcPr>
          <w:p w14:paraId="301E340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Wirusowe i inne określone zakażenia jelitowe</w:t>
            </w:r>
          </w:p>
        </w:tc>
        <w:tc>
          <w:tcPr>
            <w:tcW w:w="1176" w:type="dxa"/>
            <w:vAlign w:val="center"/>
          </w:tcPr>
          <w:p w14:paraId="11BF279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817</w:t>
            </w:r>
          </w:p>
        </w:tc>
        <w:tc>
          <w:tcPr>
            <w:tcW w:w="1198" w:type="dxa"/>
            <w:vAlign w:val="center"/>
          </w:tcPr>
          <w:p w14:paraId="6D5EC26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49,93</w:t>
            </w:r>
          </w:p>
        </w:tc>
        <w:tc>
          <w:tcPr>
            <w:tcW w:w="1176" w:type="dxa"/>
            <w:vAlign w:val="center"/>
          </w:tcPr>
          <w:p w14:paraId="67545DC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1442</w:t>
            </w:r>
          </w:p>
        </w:tc>
        <w:tc>
          <w:tcPr>
            <w:tcW w:w="1198" w:type="dxa"/>
            <w:vAlign w:val="center"/>
          </w:tcPr>
          <w:p w14:paraId="2A9F7BD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88,64</w:t>
            </w:r>
          </w:p>
        </w:tc>
      </w:tr>
      <w:tr w:rsidR="00A36A91" w:rsidRPr="001C4441" w14:paraId="6D9F25DD"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176CD33D"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44F07C2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nieżyt jelitowy wywołany przez rotawirusy</w:t>
            </w:r>
          </w:p>
        </w:tc>
        <w:tc>
          <w:tcPr>
            <w:tcW w:w="1176" w:type="dxa"/>
            <w:vAlign w:val="center"/>
          </w:tcPr>
          <w:p w14:paraId="58D82927"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201</w:t>
            </w:r>
          </w:p>
        </w:tc>
        <w:tc>
          <w:tcPr>
            <w:tcW w:w="1198" w:type="dxa"/>
            <w:vAlign w:val="center"/>
          </w:tcPr>
          <w:p w14:paraId="77AFAB7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12,28</w:t>
            </w:r>
          </w:p>
        </w:tc>
        <w:tc>
          <w:tcPr>
            <w:tcW w:w="1176" w:type="dxa"/>
            <w:vAlign w:val="center"/>
          </w:tcPr>
          <w:p w14:paraId="2951B61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296</w:t>
            </w:r>
          </w:p>
        </w:tc>
        <w:tc>
          <w:tcPr>
            <w:tcW w:w="1198" w:type="dxa"/>
            <w:vAlign w:val="center"/>
          </w:tcPr>
          <w:p w14:paraId="3EC383A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18,19</w:t>
            </w:r>
          </w:p>
        </w:tc>
      </w:tr>
      <w:tr w:rsidR="000B4D72" w:rsidRPr="001C4441" w14:paraId="65B9F3C7"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0D7C7AF6"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7B85E39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nieżyt jelitowy wywołany przez norowirusy</w:t>
            </w:r>
          </w:p>
        </w:tc>
        <w:tc>
          <w:tcPr>
            <w:tcW w:w="1176" w:type="dxa"/>
            <w:vAlign w:val="center"/>
          </w:tcPr>
          <w:p w14:paraId="5A7908D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188</w:t>
            </w:r>
          </w:p>
        </w:tc>
        <w:tc>
          <w:tcPr>
            <w:tcW w:w="1198" w:type="dxa"/>
            <w:vAlign w:val="center"/>
          </w:tcPr>
          <w:p w14:paraId="7055435F"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11,49</w:t>
            </w:r>
          </w:p>
        </w:tc>
        <w:tc>
          <w:tcPr>
            <w:tcW w:w="1176" w:type="dxa"/>
            <w:vAlign w:val="center"/>
          </w:tcPr>
          <w:p w14:paraId="12068BD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470</w:t>
            </w:r>
          </w:p>
        </w:tc>
        <w:tc>
          <w:tcPr>
            <w:tcW w:w="1198" w:type="dxa"/>
            <w:vAlign w:val="center"/>
          </w:tcPr>
          <w:p w14:paraId="202FD2E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28,89</w:t>
            </w:r>
          </w:p>
        </w:tc>
      </w:tr>
      <w:tr w:rsidR="00A36A91" w:rsidRPr="001C4441" w14:paraId="3FBBEA94" w14:textId="77777777" w:rsidTr="005D6DA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29CA04AB"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7</w:t>
            </w:r>
          </w:p>
        </w:tc>
        <w:tc>
          <w:tcPr>
            <w:tcW w:w="4104" w:type="dxa"/>
            <w:vAlign w:val="center"/>
            <w:hideMark/>
          </w:tcPr>
          <w:p w14:paraId="4621D2C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Biegunka i zapalenie żołądkowo-jelitowe BNO, o prawdopodobnie zakaźnym pochodzeniu u dzieci do lat 2</w:t>
            </w:r>
          </w:p>
        </w:tc>
        <w:tc>
          <w:tcPr>
            <w:tcW w:w="1176" w:type="dxa"/>
            <w:vAlign w:val="center"/>
          </w:tcPr>
          <w:p w14:paraId="1A9F56F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325</w:t>
            </w:r>
          </w:p>
        </w:tc>
        <w:tc>
          <w:tcPr>
            <w:tcW w:w="1198" w:type="dxa"/>
            <w:vAlign w:val="center"/>
          </w:tcPr>
          <w:p w14:paraId="6DD8DAB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893,62</w:t>
            </w:r>
          </w:p>
        </w:tc>
        <w:tc>
          <w:tcPr>
            <w:tcW w:w="1176" w:type="dxa"/>
            <w:vAlign w:val="center"/>
          </w:tcPr>
          <w:p w14:paraId="334B57C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364</w:t>
            </w:r>
          </w:p>
        </w:tc>
        <w:tc>
          <w:tcPr>
            <w:tcW w:w="1198" w:type="dxa"/>
            <w:vAlign w:val="center"/>
          </w:tcPr>
          <w:p w14:paraId="6C742BA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1100,00</w:t>
            </w:r>
          </w:p>
        </w:tc>
      </w:tr>
      <w:tr w:rsidR="000B4D72" w:rsidRPr="001C4441" w14:paraId="022DE40F"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27231718"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8</w:t>
            </w:r>
          </w:p>
        </w:tc>
        <w:tc>
          <w:tcPr>
            <w:tcW w:w="4104" w:type="dxa"/>
            <w:vAlign w:val="center"/>
            <w:hideMark/>
          </w:tcPr>
          <w:p w14:paraId="0839B9B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Listerioza</w:t>
            </w:r>
          </w:p>
        </w:tc>
        <w:tc>
          <w:tcPr>
            <w:tcW w:w="1176" w:type="dxa"/>
            <w:vAlign w:val="center"/>
          </w:tcPr>
          <w:p w14:paraId="2995FAE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17</w:t>
            </w:r>
          </w:p>
        </w:tc>
        <w:tc>
          <w:tcPr>
            <w:tcW w:w="1198" w:type="dxa"/>
            <w:vAlign w:val="center"/>
          </w:tcPr>
          <w:p w14:paraId="79C6E81F"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1,04</w:t>
            </w:r>
          </w:p>
        </w:tc>
        <w:tc>
          <w:tcPr>
            <w:tcW w:w="1176" w:type="dxa"/>
            <w:vAlign w:val="center"/>
          </w:tcPr>
          <w:p w14:paraId="5EC3F1A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11</w:t>
            </w:r>
          </w:p>
        </w:tc>
        <w:tc>
          <w:tcPr>
            <w:tcW w:w="1198" w:type="dxa"/>
            <w:vAlign w:val="center"/>
          </w:tcPr>
          <w:p w14:paraId="1E1AB8B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0,68</w:t>
            </w:r>
          </w:p>
        </w:tc>
      </w:tr>
      <w:tr w:rsidR="00A36A91" w:rsidRPr="001C4441" w14:paraId="66BF405F"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restart"/>
            <w:noWrap/>
            <w:vAlign w:val="center"/>
            <w:hideMark/>
          </w:tcPr>
          <w:p w14:paraId="3592CC2C"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9</w:t>
            </w:r>
          </w:p>
        </w:tc>
        <w:tc>
          <w:tcPr>
            <w:tcW w:w="4104" w:type="dxa"/>
            <w:vAlign w:val="center"/>
            <w:hideMark/>
          </w:tcPr>
          <w:p w14:paraId="5BAF7AB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Grypa ogółem</w:t>
            </w:r>
          </w:p>
        </w:tc>
        <w:tc>
          <w:tcPr>
            <w:tcW w:w="1176" w:type="dxa"/>
            <w:vAlign w:val="center"/>
          </w:tcPr>
          <w:p w14:paraId="7603C14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388</w:t>
            </w:r>
          </w:p>
        </w:tc>
        <w:tc>
          <w:tcPr>
            <w:tcW w:w="1198" w:type="dxa"/>
            <w:vAlign w:val="center"/>
          </w:tcPr>
          <w:p w14:paraId="091BACB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23,71</w:t>
            </w:r>
          </w:p>
        </w:tc>
        <w:tc>
          <w:tcPr>
            <w:tcW w:w="1176" w:type="dxa"/>
            <w:vAlign w:val="center"/>
          </w:tcPr>
          <w:p w14:paraId="05BDF187"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128</w:t>
            </w:r>
          </w:p>
        </w:tc>
        <w:tc>
          <w:tcPr>
            <w:tcW w:w="1198" w:type="dxa"/>
            <w:vAlign w:val="center"/>
          </w:tcPr>
          <w:p w14:paraId="62E783F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7,87</w:t>
            </w:r>
          </w:p>
        </w:tc>
      </w:tr>
      <w:tr w:rsidR="000B4D72" w:rsidRPr="001C4441" w14:paraId="3F161A39"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521576F2"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1C80F41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dzieci do 14 r.ż.</w:t>
            </w:r>
          </w:p>
        </w:tc>
        <w:tc>
          <w:tcPr>
            <w:tcW w:w="1176" w:type="dxa"/>
            <w:vAlign w:val="center"/>
          </w:tcPr>
          <w:p w14:paraId="1A21B9FB"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230</w:t>
            </w:r>
          </w:p>
        </w:tc>
        <w:tc>
          <w:tcPr>
            <w:tcW w:w="1198" w:type="dxa"/>
            <w:vAlign w:val="center"/>
          </w:tcPr>
          <w:p w14:paraId="1AE8839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99,27</w:t>
            </w:r>
          </w:p>
        </w:tc>
        <w:tc>
          <w:tcPr>
            <w:tcW w:w="1176" w:type="dxa"/>
            <w:vAlign w:val="center"/>
          </w:tcPr>
          <w:p w14:paraId="650BF9B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24</w:t>
            </w:r>
          </w:p>
        </w:tc>
        <w:tc>
          <w:tcPr>
            <w:tcW w:w="1198" w:type="dxa"/>
            <w:vAlign w:val="center"/>
          </w:tcPr>
          <w:p w14:paraId="1776AEA1"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10,74</w:t>
            </w:r>
          </w:p>
        </w:tc>
      </w:tr>
      <w:tr w:rsidR="00A36A91" w:rsidRPr="001C4441" w14:paraId="7E9BD99D"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4DF8DE57"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lastRenderedPageBreak/>
              <w:t>10</w:t>
            </w:r>
          </w:p>
        </w:tc>
        <w:tc>
          <w:tcPr>
            <w:tcW w:w="4104" w:type="dxa"/>
            <w:vAlign w:val="center"/>
            <w:hideMark/>
          </w:tcPr>
          <w:p w14:paraId="5F767D14"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Krztusiec</w:t>
            </w:r>
          </w:p>
        </w:tc>
        <w:tc>
          <w:tcPr>
            <w:tcW w:w="1176" w:type="dxa"/>
            <w:vAlign w:val="center"/>
          </w:tcPr>
          <w:p w14:paraId="5FA9616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12</w:t>
            </w:r>
          </w:p>
        </w:tc>
        <w:tc>
          <w:tcPr>
            <w:tcW w:w="1198" w:type="dxa"/>
            <w:vAlign w:val="center"/>
          </w:tcPr>
          <w:p w14:paraId="000B616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0,73</w:t>
            </w:r>
          </w:p>
        </w:tc>
        <w:tc>
          <w:tcPr>
            <w:tcW w:w="1176" w:type="dxa"/>
            <w:vAlign w:val="center"/>
          </w:tcPr>
          <w:p w14:paraId="4FA5495F"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642</w:t>
            </w:r>
          </w:p>
        </w:tc>
        <w:tc>
          <w:tcPr>
            <w:tcW w:w="1198" w:type="dxa"/>
            <w:vAlign w:val="center"/>
          </w:tcPr>
          <w:p w14:paraId="12FC92E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39,46</w:t>
            </w:r>
          </w:p>
        </w:tc>
      </w:tr>
      <w:tr w:rsidR="000B4D72" w:rsidRPr="001C4441" w14:paraId="173685B2"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3BF8635B"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11</w:t>
            </w:r>
          </w:p>
        </w:tc>
        <w:tc>
          <w:tcPr>
            <w:tcW w:w="4104" w:type="dxa"/>
            <w:vAlign w:val="center"/>
            <w:hideMark/>
          </w:tcPr>
          <w:p w14:paraId="430875B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Płonica (szkarlatyna)</w:t>
            </w:r>
          </w:p>
        </w:tc>
        <w:tc>
          <w:tcPr>
            <w:tcW w:w="1176" w:type="dxa"/>
            <w:vAlign w:val="center"/>
          </w:tcPr>
          <w:p w14:paraId="36980D2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1893</w:t>
            </w:r>
          </w:p>
        </w:tc>
        <w:tc>
          <w:tcPr>
            <w:tcW w:w="1198" w:type="dxa"/>
            <w:vAlign w:val="center"/>
          </w:tcPr>
          <w:p w14:paraId="023C47D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115,69</w:t>
            </w:r>
          </w:p>
        </w:tc>
        <w:tc>
          <w:tcPr>
            <w:tcW w:w="1176" w:type="dxa"/>
            <w:vAlign w:val="center"/>
          </w:tcPr>
          <w:p w14:paraId="5D9CB3F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1856</w:t>
            </w:r>
          </w:p>
        </w:tc>
        <w:tc>
          <w:tcPr>
            <w:tcW w:w="1198" w:type="dxa"/>
            <w:vAlign w:val="center"/>
          </w:tcPr>
          <w:p w14:paraId="5FB0A85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114,08</w:t>
            </w:r>
          </w:p>
        </w:tc>
      </w:tr>
      <w:tr w:rsidR="00A36A91" w:rsidRPr="001C4441" w14:paraId="01F25E30"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restart"/>
            <w:noWrap/>
            <w:vAlign w:val="center"/>
            <w:hideMark/>
          </w:tcPr>
          <w:p w14:paraId="21B3B5B6"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12</w:t>
            </w:r>
          </w:p>
        </w:tc>
        <w:tc>
          <w:tcPr>
            <w:tcW w:w="4104" w:type="dxa"/>
            <w:vAlign w:val="center"/>
            <w:hideMark/>
          </w:tcPr>
          <w:p w14:paraId="064EDBD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Inwazyjna choroba meningokokowa</w:t>
            </w:r>
          </w:p>
        </w:tc>
        <w:tc>
          <w:tcPr>
            <w:tcW w:w="1176" w:type="dxa"/>
            <w:vAlign w:val="center"/>
          </w:tcPr>
          <w:p w14:paraId="1A55717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16</w:t>
            </w:r>
          </w:p>
        </w:tc>
        <w:tc>
          <w:tcPr>
            <w:tcW w:w="1198" w:type="dxa"/>
            <w:vAlign w:val="center"/>
          </w:tcPr>
          <w:p w14:paraId="5AEEEDA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0,98</w:t>
            </w:r>
          </w:p>
        </w:tc>
        <w:tc>
          <w:tcPr>
            <w:tcW w:w="1176" w:type="dxa"/>
            <w:vAlign w:val="center"/>
          </w:tcPr>
          <w:p w14:paraId="1B20BA9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15</w:t>
            </w:r>
          </w:p>
        </w:tc>
        <w:tc>
          <w:tcPr>
            <w:tcW w:w="1198" w:type="dxa"/>
            <w:vAlign w:val="center"/>
          </w:tcPr>
          <w:p w14:paraId="51A354A0"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0,92</w:t>
            </w:r>
          </w:p>
        </w:tc>
      </w:tr>
      <w:tr w:rsidR="000B4D72" w:rsidRPr="001C4441" w14:paraId="260694F9"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4A1405AB"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7D2A4DBB"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neuroinfekcje</w:t>
            </w:r>
          </w:p>
        </w:tc>
        <w:tc>
          <w:tcPr>
            <w:tcW w:w="1176" w:type="dxa"/>
            <w:vAlign w:val="center"/>
          </w:tcPr>
          <w:p w14:paraId="5AF50341"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6</w:t>
            </w:r>
          </w:p>
        </w:tc>
        <w:tc>
          <w:tcPr>
            <w:tcW w:w="1198" w:type="dxa"/>
            <w:vAlign w:val="center"/>
          </w:tcPr>
          <w:p w14:paraId="048ACC6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0,37</w:t>
            </w:r>
          </w:p>
        </w:tc>
        <w:tc>
          <w:tcPr>
            <w:tcW w:w="1176" w:type="dxa"/>
            <w:vAlign w:val="center"/>
          </w:tcPr>
          <w:p w14:paraId="5BD1361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6</w:t>
            </w:r>
          </w:p>
        </w:tc>
        <w:tc>
          <w:tcPr>
            <w:tcW w:w="1198" w:type="dxa"/>
            <w:vAlign w:val="center"/>
          </w:tcPr>
          <w:p w14:paraId="04149E3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0,37</w:t>
            </w:r>
          </w:p>
        </w:tc>
      </w:tr>
      <w:tr w:rsidR="00A36A91" w:rsidRPr="001C4441" w14:paraId="1E3806E0"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58DEAFF"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13</w:t>
            </w:r>
          </w:p>
        </w:tc>
        <w:tc>
          <w:tcPr>
            <w:tcW w:w="4104" w:type="dxa"/>
            <w:vAlign w:val="center"/>
            <w:hideMark/>
          </w:tcPr>
          <w:p w14:paraId="107D30F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Borelioza z Lyme</w:t>
            </w:r>
          </w:p>
        </w:tc>
        <w:tc>
          <w:tcPr>
            <w:tcW w:w="1176" w:type="dxa"/>
            <w:vAlign w:val="center"/>
          </w:tcPr>
          <w:p w14:paraId="2DCC8F5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1064</w:t>
            </w:r>
          </w:p>
        </w:tc>
        <w:tc>
          <w:tcPr>
            <w:tcW w:w="1198" w:type="dxa"/>
            <w:vAlign w:val="center"/>
          </w:tcPr>
          <w:p w14:paraId="1BA47A2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65,03</w:t>
            </w:r>
          </w:p>
        </w:tc>
        <w:tc>
          <w:tcPr>
            <w:tcW w:w="1176" w:type="dxa"/>
            <w:vAlign w:val="center"/>
          </w:tcPr>
          <w:p w14:paraId="0FEF6A8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1111</w:t>
            </w:r>
          </w:p>
        </w:tc>
        <w:tc>
          <w:tcPr>
            <w:tcW w:w="1198" w:type="dxa"/>
            <w:vAlign w:val="center"/>
          </w:tcPr>
          <w:p w14:paraId="6ED5E17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68,29</w:t>
            </w:r>
          </w:p>
        </w:tc>
      </w:tr>
      <w:tr w:rsidR="000B4D72" w:rsidRPr="001C4441" w14:paraId="196BE42C"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66C7519"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14</w:t>
            </w:r>
          </w:p>
        </w:tc>
        <w:tc>
          <w:tcPr>
            <w:tcW w:w="4104" w:type="dxa"/>
            <w:vAlign w:val="center"/>
            <w:hideMark/>
          </w:tcPr>
          <w:p w14:paraId="69D522FC"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Ostre porażenie wiotkie u dzieci w wieku 0-14 lat</w:t>
            </w:r>
          </w:p>
        </w:tc>
        <w:tc>
          <w:tcPr>
            <w:tcW w:w="1176" w:type="dxa"/>
            <w:vAlign w:val="center"/>
          </w:tcPr>
          <w:p w14:paraId="30AC14C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3</w:t>
            </w:r>
          </w:p>
        </w:tc>
        <w:tc>
          <w:tcPr>
            <w:tcW w:w="1198" w:type="dxa"/>
            <w:vAlign w:val="center"/>
          </w:tcPr>
          <w:p w14:paraId="54A52FF1"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1,29</w:t>
            </w:r>
          </w:p>
        </w:tc>
        <w:tc>
          <w:tcPr>
            <w:tcW w:w="1176" w:type="dxa"/>
            <w:vAlign w:val="center"/>
          </w:tcPr>
          <w:p w14:paraId="602D05BE"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w:t>
            </w:r>
          </w:p>
        </w:tc>
        <w:tc>
          <w:tcPr>
            <w:tcW w:w="1198" w:type="dxa"/>
            <w:vAlign w:val="center"/>
          </w:tcPr>
          <w:p w14:paraId="3A42380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0,45</w:t>
            </w:r>
          </w:p>
        </w:tc>
      </w:tr>
      <w:tr w:rsidR="00A36A91" w:rsidRPr="001C4441" w14:paraId="345E01C5"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5B1D22FB"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15</w:t>
            </w:r>
          </w:p>
        </w:tc>
        <w:tc>
          <w:tcPr>
            <w:tcW w:w="4104" w:type="dxa"/>
            <w:vAlign w:val="center"/>
            <w:hideMark/>
          </w:tcPr>
          <w:p w14:paraId="07D3DD77"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Encefalopatie gąbczaste (choroba Creutzfeldta-Jacoba)</w:t>
            </w:r>
          </w:p>
        </w:tc>
        <w:tc>
          <w:tcPr>
            <w:tcW w:w="1176" w:type="dxa"/>
            <w:vAlign w:val="center"/>
          </w:tcPr>
          <w:p w14:paraId="65E3CF62"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w:t>
            </w:r>
          </w:p>
        </w:tc>
        <w:tc>
          <w:tcPr>
            <w:tcW w:w="1198" w:type="dxa"/>
            <w:vAlign w:val="center"/>
          </w:tcPr>
          <w:p w14:paraId="6F97C26F"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0,12</w:t>
            </w:r>
          </w:p>
        </w:tc>
        <w:tc>
          <w:tcPr>
            <w:tcW w:w="1176" w:type="dxa"/>
            <w:vAlign w:val="center"/>
          </w:tcPr>
          <w:p w14:paraId="2C0B026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7</w:t>
            </w:r>
          </w:p>
        </w:tc>
        <w:tc>
          <w:tcPr>
            <w:tcW w:w="1198" w:type="dxa"/>
            <w:vAlign w:val="center"/>
          </w:tcPr>
          <w:p w14:paraId="3D670600"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0,43</w:t>
            </w:r>
          </w:p>
        </w:tc>
      </w:tr>
      <w:tr w:rsidR="000B4D72" w:rsidRPr="001C4441" w14:paraId="449C7445"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1576BF41"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16</w:t>
            </w:r>
          </w:p>
        </w:tc>
        <w:tc>
          <w:tcPr>
            <w:tcW w:w="4104" w:type="dxa"/>
            <w:vAlign w:val="center"/>
            <w:hideMark/>
          </w:tcPr>
          <w:p w14:paraId="0793EE8B"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Styczność i narażenie na wściekliznę /potrzeba szczepień</w:t>
            </w:r>
          </w:p>
        </w:tc>
        <w:tc>
          <w:tcPr>
            <w:tcW w:w="1176" w:type="dxa"/>
            <w:vAlign w:val="center"/>
          </w:tcPr>
          <w:p w14:paraId="5132FA6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405</w:t>
            </w:r>
          </w:p>
        </w:tc>
        <w:tc>
          <w:tcPr>
            <w:tcW w:w="1198" w:type="dxa"/>
            <w:vAlign w:val="center"/>
          </w:tcPr>
          <w:p w14:paraId="2BBC115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24,75</w:t>
            </w:r>
          </w:p>
        </w:tc>
        <w:tc>
          <w:tcPr>
            <w:tcW w:w="1176" w:type="dxa"/>
            <w:vAlign w:val="center"/>
          </w:tcPr>
          <w:p w14:paraId="68F1EFA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494</w:t>
            </w:r>
          </w:p>
        </w:tc>
        <w:tc>
          <w:tcPr>
            <w:tcW w:w="1198" w:type="dxa"/>
            <w:vAlign w:val="center"/>
          </w:tcPr>
          <w:p w14:paraId="2482AFBC"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30,36</w:t>
            </w:r>
          </w:p>
        </w:tc>
      </w:tr>
      <w:tr w:rsidR="00A36A91" w:rsidRPr="001C4441" w14:paraId="386A341C"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41256504"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17</w:t>
            </w:r>
          </w:p>
        </w:tc>
        <w:tc>
          <w:tcPr>
            <w:tcW w:w="4104" w:type="dxa"/>
            <w:vAlign w:val="center"/>
            <w:hideMark/>
          </w:tcPr>
          <w:p w14:paraId="52A11E2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Wirusowe zapalenie mózgu w tym kleszczowe zapalenie mózgu</w:t>
            </w:r>
          </w:p>
        </w:tc>
        <w:tc>
          <w:tcPr>
            <w:tcW w:w="1176" w:type="dxa"/>
            <w:vAlign w:val="center"/>
          </w:tcPr>
          <w:p w14:paraId="0A0E6D87"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12</w:t>
            </w:r>
          </w:p>
        </w:tc>
        <w:tc>
          <w:tcPr>
            <w:tcW w:w="1198" w:type="dxa"/>
            <w:vAlign w:val="center"/>
          </w:tcPr>
          <w:p w14:paraId="668C7FB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0,73</w:t>
            </w:r>
          </w:p>
        </w:tc>
        <w:tc>
          <w:tcPr>
            <w:tcW w:w="1176" w:type="dxa"/>
            <w:vAlign w:val="center"/>
          </w:tcPr>
          <w:p w14:paraId="370CD870"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19</w:t>
            </w:r>
          </w:p>
        </w:tc>
        <w:tc>
          <w:tcPr>
            <w:tcW w:w="1198" w:type="dxa"/>
            <w:vAlign w:val="center"/>
          </w:tcPr>
          <w:p w14:paraId="02D820A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1,17</w:t>
            </w:r>
          </w:p>
        </w:tc>
      </w:tr>
      <w:tr w:rsidR="000B4D72" w:rsidRPr="001C4441" w14:paraId="40ADF2C4"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5D5DF6E8"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18</w:t>
            </w:r>
          </w:p>
        </w:tc>
        <w:tc>
          <w:tcPr>
            <w:tcW w:w="4104" w:type="dxa"/>
            <w:vAlign w:val="center"/>
            <w:hideMark/>
          </w:tcPr>
          <w:p w14:paraId="78D5FFD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Wirusowe zapalenie opon mózgowych</w:t>
            </w:r>
          </w:p>
        </w:tc>
        <w:tc>
          <w:tcPr>
            <w:tcW w:w="1176" w:type="dxa"/>
            <w:vAlign w:val="center"/>
          </w:tcPr>
          <w:p w14:paraId="44C5BC78"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44</w:t>
            </w:r>
          </w:p>
        </w:tc>
        <w:tc>
          <w:tcPr>
            <w:tcW w:w="1198" w:type="dxa"/>
            <w:vAlign w:val="center"/>
          </w:tcPr>
          <w:p w14:paraId="70DC12BF"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2,69</w:t>
            </w:r>
          </w:p>
        </w:tc>
        <w:tc>
          <w:tcPr>
            <w:tcW w:w="1176" w:type="dxa"/>
            <w:vAlign w:val="center"/>
          </w:tcPr>
          <w:p w14:paraId="45C80A58"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41</w:t>
            </w:r>
          </w:p>
        </w:tc>
        <w:tc>
          <w:tcPr>
            <w:tcW w:w="1198" w:type="dxa"/>
            <w:vAlign w:val="center"/>
          </w:tcPr>
          <w:p w14:paraId="2641AD9C"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2,52</w:t>
            </w:r>
          </w:p>
        </w:tc>
      </w:tr>
      <w:tr w:rsidR="00A36A91" w:rsidRPr="001C4441" w14:paraId="396C0131" w14:textId="77777777" w:rsidTr="005D6DA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C4732C6"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19</w:t>
            </w:r>
          </w:p>
        </w:tc>
        <w:tc>
          <w:tcPr>
            <w:tcW w:w="4104" w:type="dxa"/>
            <w:vAlign w:val="center"/>
            <w:hideMark/>
          </w:tcPr>
          <w:p w14:paraId="0273D38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Ospa wietrzna</w:t>
            </w:r>
          </w:p>
        </w:tc>
        <w:tc>
          <w:tcPr>
            <w:tcW w:w="1176" w:type="dxa"/>
            <w:vAlign w:val="center"/>
          </w:tcPr>
          <w:p w14:paraId="30860C8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6984</w:t>
            </w:r>
          </w:p>
        </w:tc>
        <w:tc>
          <w:tcPr>
            <w:tcW w:w="1198" w:type="dxa"/>
            <w:vAlign w:val="center"/>
          </w:tcPr>
          <w:p w14:paraId="219C4D67"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426,82</w:t>
            </w:r>
          </w:p>
        </w:tc>
        <w:tc>
          <w:tcPr>
            <w:tcW w:w="1176" w:type="dxa"/>
            <w:vAlign w:val="center"/>
          </w:tcPr>
          <w:p w14:paraId="04521A2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5314</w:t>
            </w:r>
          </w:p>
        </w:tc>
        <w:tc>
          <w:tcPr>
            <w:tcW w:w="1198" w:type="dxa"/>
            <w:vAlign w:val="center"/>
          </w:tcPr>
          <w:p w14:paraId="5CC2D4D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326,64</w:t>
            </w:r>
          </w:p>
        </w:tc>
      </w:tr>
      <w:tr w:rsidR="000B4D72" w:rsidRPr="001C4441" w14:paraId="70E9DCD5"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7F767A68"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20</w:t>
            </w:r>
          </w:p>
        </w:tc>
        <w:tc>
          <w:tcPr>
            <w:tcW w:w="4104" w:type="dxa"/>
            <w:vAlign w:val="center"/>
            <w:hideMark/>
          </w:tcPr>
          <w:p w14:paraId="7F42DE2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Odra</w:t>
            </w:r>
          </w:p>
        </w:tc>
        <w:tc>
          <w:tcPr>
            <w:tcW w:w="1176" w:type="dxa"/>
            <w:vAlign w:val="center"/>
          </w:tcPr>
          <w:p w14:paraId="4351F12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w:t>
            </w:r>
          </w:p>
        </w:tc>
        <w:tc>
          <w:tcPr>
            <w:tcW w:w="1198" w:type="dxa"/>
            <w:vAlign w:val="center"/>
          </w:tcPr>
          <w:p w14:paraId="399D8E2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0,06</w:t>
            </w:r>
          </w:p>
        </w:tc>
        <w:tc>
          <w:tcPr>
            <w:tcW w:w="1176" w:type="dxa"/>
            <w:vAlign w:val="center"/>
          </w:tcPr>
          <w:p w14:paraId="6C6278D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6</w:t>
            </w:r>
          </w:p>
        </w:tc>
        <w:tc>
          <w:tcPr>
            <w:tcW w:w="1198" w:type="dxa"/>
            <w:vAlign w:val="center"/>
          </w:tcPr>
          <w:p w14:paraId="18C24BF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0,37</w:t>
            </w:r>
          </w:p>
        </w:tc>
      </w:tr>
      <w:tr w:rsidR="00A36A91" w:rsidRPr="001C4441" w14:paraId="16FFDC12"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56C9D2DC"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21</w:t>
            </w:r>
          </w:p>
        </w:tc>
        <w:tc>
          <w:tcPr>
            <w:tcW w:w="4104" w:type="dxa"/>
            <w:vAlign w:val="center"/>
            <w:hideMark/>
          </w:tcPr>
          <w:p w14:paraId="17AB28F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Różyczka</w:t>
            </w:r>
          </w:p>
        </w:tc>
        <w:tc>
          <w:tcPr>
            <w:tcW w:w="1176" w:type="dxa"/>
            <w:vAlign w:val="center"/>
          </w:tcPr>
          <w:p w14:paraId="1C4EC2C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13</w:t>
            </w:r>
          </w:p>
        </w:tc>
        <w:tc>
          <w:tcPr>
            <w:tcW w:w="1198" w:type="dxa"/>
            <w:vAlign w:val="center"/>
          </w:tcPr>
          <w:p w14:paraId="14921CB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0,79</w:t>
            </w:r>
          </w:p>
        </w:tc>
        <w:tc>
          <w:tcPr>
            <w:tcW w:w="1176" w:type="dxa"/>
            <w:vAlign w:val="center"/>
          </w:tcPr>
          <w:p w14:paraId="4465421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8</w:t>
            </w:r>
          </w:p>
        </w:tc>
        <w:tc>
          <w:tcPr>
            <w:tcW w:w="1198" w:type="dxa"/>
            <w:vAlign w:val="center"/>
          </w:tcPr>
          <w:p w14:paraId="7BA57ED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0,49</w:t>
            </w:r>
          </w:p>
        </w:tc>
      </w:tr>
      <w:tr w:rsidR="000B4D72" w:rsidRPr="001C4441" w14:paraId="0F5CC7F3"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vMerge w:val="restart"/>
            <w:noWrap/>
            <w:vAlign w:val="center"/>
            <w:hideMark/>
          </w:tcPr>
          <w:p w14:paraId="70AA499F"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22</w:t>
            </w:r>
          </w:p>
        </w:tc>
        <w:tc>
          <w:tcPr>
            <w:tcW w:w="4104" w:type="dxa"/>
            <w:vAlign w:val="center"/>
            <w:hideMark/>
          </w:tcPr>
          <w:p w14:paraId="4FD7439C" w14:textId="234450E2"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Wirusowe zapalenia wątroby</w:t>
            </w:r>
          </w:p>
        </w:tc>
        <w:tc>
          <w:tcPr>
            <w:tcW w:w="1176" w:type="dxa"/>
            <w:vAlign w:val="center"/>
          </w:tcPr>
          <w:p w14:paraId="1049926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387</w:t>
            </w:r>
          </w:p>
        </w:tc>
        <w:tc>
          <w:tcPr>
            <w:tcW w:w="1198" w:type="dxa"/>
            <w:vAlign w:val="center"/>
          </w:tcPr>
          <w:p w14:paraId="71829EB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23,65</w:t>
            </w:r>
          </w:p>
        </w:tc>
        <w:tc>
          <w:tcPr>
            <w:tcW w:w="1176" w:type="dxa"/>
            <w:vAlign w:val="center"/>
          </w:tcPr>
          <w:p w14:paraId="3B0F7A6B"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398</w:t>
            </w:r>
          </w:p>
        </w:tc>
        <w:tc>
          <w:tcPr>
            <w:tcW w:w="1198" w:type="dxa"/>
            <w:vAlign w:val="center"/>
          </w:tcPr>
          <w:p w14:paraId="5BD82DA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24,46</w:t>
            </w:r>
          </w:p>
        </w:tc>
      </w:tr>
      <w:tr w:rsidR="00A36A91" w:rsidRPr="001C4441" w14:paraId="15E8C8A1"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756F6C0C"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4E910018" w14:textId="0EDFACE5"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WZW typu "A"</w:t>
            </w:r>
          </w:p>
        </w:tc>
        <w:tc>
          <w:tcPr>
            <w:tcW w:w="1176" w:type="dxa"/>
            <w:vAlign w:val="center"/>
          </w:tcPr>
          <w:p w14:paraId="2BBD7CC0"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9</w:t>
            </w:r>
          </w:p>
        </w:tc>
        <w:tc>
          <w:tcPr>
            <w:tcW w:w="1198" w:type="dxa"/>
            <w:vAlign w:val="center"/>
          </w:tcPr>
          <w:p w14:paraId="1F67980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0,55</w:t>
            </w:r>
          </w:p>
        </w:tc>
        <w:tc>
          <w:tcPr>
            <w:tcW w:w="1176" w:type="dxa"/>
            <w:vAlign w:val="center"/>
          </w:tcPr>
          <w:p w14:paraId="6440534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24</w:t>
            </w:r>
          </w:p>
        </w:tc>
        <w:tc>
          <w:tcPr>
            <w:tcW w:w="1198" w:type="dxa"/>
            <w:vAlign w:val="center"/>
          </w:tcPr>
          <w:p w14:paraId="12C7CBF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1,48</w:t>
            </w:r>
          </w:p>
        </w:tc>
      </w:tr>
      <w:tr w:rsidR="000B4D72" w:rsidRPr="001C4441" w14:paraId="6F9DAC0E"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1E6592AB"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39B87D38"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WZW typu "B" ostre i przewlekłe</w:t>
            </w:r>
          </w:p>
        </w:tc>
        <w:tc>
          <w:tcPr>
            <w:tcW w:w="1176" w:type="dxa"/>
            <w:vAlign w:val="center"/>
          </w:tcPr>
          <w:p w14:paraId="75A891A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137</w:t>
            </w:r>
          </w:p>
        </w:tc>
        <w:tc>
          <w:tcPr>
            <w:tcW w:w="1198" w:type="dxa"/>
            <w:vAlign w:val="center"/>
          </w:tcPr>
          <w:p w14:paraId="5EE98CDC"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8,37</w:t>
            </w:r>
          </w:p>
        </w:tc>
        <w:tc>
          <w:tcPr>
            <w:tcW w:w="1176" w:type="dxa"/>
            <w:vAlign w:val="center"/>
          </w:tcPr>
          <w:p w14:paraId="40CDCD3B"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112</w:t>
            </w:r>
          </w:p>
        </w:tc>
        <w:tc>
          <w:tcPr>
            <w:tcW w:w="1198" w:type="dxa"/>
            <w:vAlign w:val="center"/>
          </w:tcPr>
          <w:p w14:paraId="32472D3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6,88</w:t>
            </w:r>
          </w:p>
        </w:tc>
      </w:tr>
      <w:tr w:rsidR="00A36A91" w:rsidRPr="001C4441" w14:paraId="7AF46C8F"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vMerge/>
            <w:vAlign w:val="center"/>
            <w:hideMark/>
          </w:tcPr>
          <w:p w14:paraId="0EDE8D93" w14:textId="77777777" w:rsidR="000B4D72" w:rsidRPr="001C4441" w:rsidRDefault="000B4D72" w:rsidP="00597239">
            <w:pPr>
              <w:rPr>
                <w:rFonts w:eastAsia="Times New Roman" w:cstheme="minorHAnsi"/>
                <w:b w:val="0"/>
                <w:bCs w:val="0"/>
                <w:sz w:val="20"/>
                <w:szCs w:val="20"/>
                <w:lang w:eastAsia="pl-PL"/>
              </w:rPr>
            </w:pPr>
          </w:p>
        </w:tc>
        <w:tc>
          <w:tcPr>
            <w:tcW w:w="4104" w:type="dxa"/>
            <w:vAlign w:val="center"/>
            <w:hideMark/>
          </w:tcPr>
          <w:p w14:paraId="0AE9F6E1" w14:textId="35F888E9"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w tym WZW typu "C"</w:t>
            </w:r>
          </w:p>
        </w:tc>
        <w:tc>
          <w:tcPr>
            <w:tcW w:w="1176" w:type="dxa"/>
            <w:vAlign w:val="center"/>
          </w:tcPr>
          <w:p w14:paraId="4CB0CB3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238</w:t>
            </w:r>
          </w:p>
        </w:tc>
        <w:tc>
          <w:tcPr>
            <w:tcW w:w="1198" w:type="dxa"/>
            <w:vAlign w:val="center"/>
          </w:tcPr>
          <w:p w14:paraId="3571B12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14,55</w:t>
            </w:r>
          </w:p>
        </w:tc>
        <w:tc>
          <w:tcPr>
            <w:tcW w:w="1176" w:type="dxa"/>
            <w:vAlign w:val="center"/>
          </w:tcPr>
          <w:p w14:paraId="65A64F1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256</w:t>
            </w:r>
          </w:p>
        </w:tc>
        <w:tc>
          <w:tcPr>
            <w:tcW w:w="1198" w:type="dxa"/>
            <w:vAlign w:val="center"/>
          </w:tcPr>
          <w:p w14:paraId="3835972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15,74</w:t>
            </w:r>
          </w:p>
        </w:tc>
      </w:tr>
      <w:tr w:rsidR="000B4D72" w:rsidRPr="001C4441" w14:paraId="0D6BE384"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0DF5AF66"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23</w:t>
            </w:r>
          </w:p>
        </w:tc>
        <w:tc>
          <w:tcPr>
            <w:tcW w:w="4104" w:type="dxa"/>
            <w:vAlign w:val="center"/>
            <w:hideMark/>
          </w:tcPr>
          <w:p w14:paraId="2556A2D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AIDS - Zespół nabytego upośledzenia odporności</w:t>
            </w:r>
          </w:p>
        </w:tc>
        <w:tc>
          <w:tcPr>
            <w:tcW w:w="1176" w:type="dxa"/>
            <w:vAlign w:val="center"/>
          </w:tcPr>
          <w:p w14:paraId="07B2C4B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9</w:t>
            </w:r>
          </w:p>
        </w:tc>
        <w:tc>
          <w:tcPr>
            <w:tcW w:w="1198" w:type="dxa"/>
            <w:vAlign w:val="center"/>
          </w:tcPr>
          <w:p w14:paraId="70315E7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0,55</w:t>
            </w:r>
          </w:p>
        </w:tc>
        <w:tc>
          <w:tcPr>
            <w:tcW w:w="1176" w:type="dxa"/>
            <w:vAlign w:val="center"/>
          </w:tcPr>
          <w:p w14:paraId="31011D9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10</w:t>
            </w:r>
          </w:p>
        </w:tc>
        <w:tc>
          <w:tcPr>
            <w:tcW w:w="1198" w:type="dxa"/>
            <w:vAlign w:val="center"/>
          </w:tcPr>
          <w:p w14:paraId="12D8421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0,61</w:t>
            </w:r>
          </w:p>
        </w:tc>
      </w:tr>
      <w:tr w:rsidR="00A36A91" w:rsidRPr="001C4441" w14:paraId="2D639590"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7F040828"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24</w:t>
            </w:r>
          </w:p>
        </w:tc>
        <w:tc>
          <w:tcPr>
            <w:tcW w:w="4104" w:type="dxa"/>
            <w:vAlign w:val="center"/>
            <w:hideMark/>
          </w:tcPr>
          <w:p w14:paraId="58B9D22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Nowo wykryte zakażenia HIV</w:t>
            </w:r>
          </w:p>
        </w:tc>
        <w:tc>
          <w:tcPr>
            <w:tcW w:w="1176" w:type="dxa"/>
            <w:vAlign w:val="center"/>
          </w:tcPr>
          <w:p w14:paraId="6BBF0F8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130</w:t>
            </w:r>
          </w:p>
        </w:tc>
        <w:tc>
          <w:tcPr>
            <w:tcW w:w="1198" w:type="dxa"/>
            <w:vAlign w:val="center"/>
          </w:tcPr>
          <w:p w14:paraId="1BC3C28E"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7,94</w:t>
            </w:r>
          </w:p>
        </w:tc>
        <w:tc>
          <w:tcPr>
            <w:tcW w:w="1176" w:type="dxa"/>
            <w:vAlign w:val="center"/>
          </w:tcPr>
          <w:p w14:paraId="400B75A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107</w:t>
            </w:r>
          </w:p>
        </w:tc>
        <w:tc>
          <w:tcPr>
            <w:tcW w:w="1198" w:type="dxa"/>
            <w:vAlign w:val="center"/>
          </w:tcPr>
          <w:p w14:paraId="12ADB774"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6,58</w:t>
            </w:r>
          </w:p>
        </w:tc>
      </w:tr>
      <w:tr w:rsidR="000B4D72" w:rsidRPr="001C4441" w14:paraId="320CCB2F"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06D8688"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25</w:t>
            </w:r>
          </w:p>
        </w:tc>
        <w:tc>
          <w:tcPr>
            <w:tcW w:w="4104" w:type="dxa"/>
            <w:vAlign w:val="center"/>
            <w:hideMark/>
          </w:tcPr>
          <w:p w14:paraId="64CF0BB6"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Świnka (nagminne zapalenie przyusznic)</w:t>
            </w:r>
          </w:p>
        </w:tc>
        <w:tc>
          <w:tcPr>
            <w:tcW w:w="1176" w:type="dxa"/>
            <w:vAlign w:val="center"/>
          </w:tcPr>
          <w:p w14:paraId="76012C11"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50</w:t>
            </w:r>
          </w:p>
        </w:tc>
        <w:tc>
          <w:tcPr>
            <w:tcW w:w="1198" w:type="dxa"/>
            <w:vAlign w:val="center"/>
          </w:tcPr>
          <w:p w14:paraId="2604780C"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3,06</w:t>
            </w:r>
          </w:p>
        </w:tc>
        <w:tc>
          <w:tcPr>
            <w:tcW w:w="1176" w:type="dxa"/>
            <w:vAlign w:val="center"/>
          </w:tcPr>
          <w:p w14:paraId="147E1F2E"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28</w:t>
            </w:r>
          </w:p>
        </w:tc>
        <w:tc>
          <w:tcPr>
            <w:tcW w:w="1198" w:type="dxa"/>
            <w:vAlign w:val="center"/>
          </w:tcPr>
          <w:p w14:paraId="457EF1B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1,72</w:t>
            </w:r>
          </w:p>
        </w:tc>
      </w:tr>
      <w:tr w:rsidR="00A36A91" w:rsidRPr="001C4441" w14:paraId="54AD4EC2"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2FDB96A7"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26</w:t>
            </w:r>
          </w:p>
        </w:tc>
        <w:tc>
          <w:tcPr>
            <w:tcW w:w="4104" w:type="dxa"/>
            <w:vAlign w:val="center"/>
            <w:hideMark/>
          </w:tcPr>
          <w:p w14:paraId="162F509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Gruźlica</w:t>
            </w:r>
          </w:p>
        </w:tc>
        <w:tc>
          <w:tcPr>
            <w:tcW w:w="1176" w:type="dxa"/>
            <w:vAlign w:val="center"/>
          </w:tcPr>
          <w:p w14:paraId="3032CAF4"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194</w:t>
            </w:r>
          </w:p>
        </w:tc>
        <w:tc>
          <w:tcPr>
            <w:tcW w:w="1198" w:type="dxa"/>
            <w:vAlign w:val="center"/>
          </w:tcPr>
          <w:p w14:paraId="27A0CB4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11,86</w:t>
            </w:r>
          </w:p>
        </w:tc>
        <w:tc>
          <w:tcPr>
            <w:tcW w:w="1176" w:type="dxa"/>
            <w:vAlign w:val="center"/>
          </w:tcPr>
          <w:p w14:paraId="5EA35E6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197</w:t>
            </w:r>
          </w:p>
        </w:tc>
        <w:tc>
          <w:tcPr>
            <w:tcW w:w="1198" w:type="dxa"/>
            <w:vAlign w:val="center"/>
          </w:tcPr>
          <w:p w14:paraId="3C6A4A3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12,11</w:t>
            </w:r>
          </w:p>
        </w:tc>
      </w:tr>
      <w:tr w:rsidR="000B4D72" w:rsidRPr="001C4441" w14:paraId="22853A23"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17B34637"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27</w:t>
            </w:r>
          </w:p>
        </w:tc>
        <w:tc>
          <w:tcPr>
            <w:tcW w:w="4104" w:type="dxa"/>
            <w:vAlign w:val="center"/>
            <w:hideMark/>
          </w:tcPr>
          <w:p w14:paraId="5399685F"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 xml:space="preserve">Choroba wywołana przez </w:t>
            </w:r>
            <w:r w:rsidRPr="001C4441">
              <w:rPr>
                <w:rFonts w:eastAsia="Times New Roman" w:cstheme="minorHAnsi"/>
                <w:i/>
                <w:iCs/>
                <w:sz w:val="20"/>
                <w:szCs w:val="20"/>
                <w:lang w:eastAsia="pl-PL"/>
              </w:rPr>
              <w:t>Streptococcus pneumoniae</w:t>
            </w:r>
          </w:p>
        </w:tc>
        <w:tc>
          <w:tcPr>
            <w:tcW w:w="1176" w:type="dxa"/>
            <w:vAlign w:val="center"/>
          </w:tcPr>
          <w:p w14:paraId="3F45EDC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216</w:t>
            </w:r>
          </w:p>
        </w:tc>
        <w:tc>
          <w:tcPr>
            <w:tcW w:w="1198" w:type="dxa"/>
            <w:vAlign w:val="center"/>
          </w:tcPr>
          <w:p w14:paraId="78C019B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13,20</w:t>
            </w:r>
          </w:p>
        </w:tc>
        <w:tc>
          <w:tcPr>
            <w:tcW w:w="1176" w:type="dxa"/>
            <w:vAlign w:val="center"/>
          </w:tcPr>
          <w:p w14:paraId="7CA7C903"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261</w:t>
            </w:r>
          </w:p>
        </w:tc>
        <w:tc>
          <w:tcPr>
            <w:tcW w:w="1198" w:type="dxa"/>
            <w:vAlign w:val="center"/>
          </w:tcPr>
          <w:p w14:paraId="4BD76D3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16,04</w:t>
            </w:r>
          </w:p>
        </w:tc>
      </w:tr>
      <w:tr w:rsidR="00A36A91" w:rsidRPr="001C4441" w14:paraId="111B5DF5"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C1406D0"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28</w:t>
            </w:r>
          </w:p>
        </w:tc>
        <w:tc>
          <w:tcPr>
            <w:tcW w:w="4104" w:type="dxa"/>
            <w:vAlign w:val="center"/>
            <w:hideMark/>
          </w:tcPr>
          <w:p w14:paraId="575638F2"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 xml:space="preserve">Choroba wywołana przez </w:t>
            </w:r>
            <w:r w:rsidRPr="001C4441">
              <w:rPr>
                <w:rFonts w:eastAsia="Times New Roman" w:cstheme="minorHAnsi"/>
                <w:i/>
                <w:iCs/>
                <w:sz w:val="20"/>
                <w:szCs w:val="20"/>
                <w:lang w:eastAsia="pl-PL"/>
              </w:rPr>
              <w:t>Haemophilus influenzae</w:t>
            </w:r>
            <w:r w:rsidRPr="001C4441">
              <w:rPr>
                <w:rFonts w:eastAsia="Times New Roman" w:cstheme="minorHAnsi"/>
                <w:sz w:val="20"/>
                <w:szCs w:val="20"/>
                <w:lang w:eastAsia="pl-PL"/>
              </w:rPr>
              <w:t xml:space="preserve"> typ B</w:t>
            </w:r>
          </w:p>
        </w:tc>
        <w:tc>
          <w:tcPr>
            <w:tcW w:w="1176" w:type="dxa"/>
            <w:vAlign w:val="center"/>
          </w:tcPr>
          <w:p w14:paraId="21D37E9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19</w:t>
            </w:r>
          </w:p>
        </w:tc>
        <w:tc>
          <w:tcPr>
            <w:tcW w:w="1198" w:type="dxa"/>
            <w:vAlign w:val="center"/>
          </w:tcPr>
          <w:p w14:paraId="49AC6F8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1,16</w:t>
            </w:r>
          </w:p>
        </w:tc>
        <w:tc>
          <w:tcPr>
            <w:tcW w:w="1176" w:type="dxa"/>
            <w:vAlign w:val="center"/>
          </w:tcPr>
          <w:p w14:paraId="773F4D81"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23</w:t>
            </w:r>
          </w:p>
        </w:tc>
        <w:tc>
          <w:tcPr>
            <w:tcW w:w="1198" w:type="dxa"/>
            <w:vAlign w:val="center"/>
          </w:tcPr>
          <w:p w14:paraId="528D484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1,41</w:t>
            </w:r>
          </w:p>
        </w:tc>
      </w:tr>
      <w:tr w:rsidR="000B4D72" w:rsidRPr="001C4441" w14:paraId="07DE7088"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1F04B61"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29</w:t>
            </w:r>
          </w:p>
        </w:tc>
        <w:tc>
          <w:tcPr>
            <w:tcW w:w="4104" w:type="dxa"/>
            <w:vAlign w:val="center"/>
            <w:hideMark/>
          </w:tcPr>
          <w:p w14:paraId="5A88BE19"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Bakteryjne zapalenie opon mózgowych i/lub mózgu</w:t>
            </w:r>
          </w:p>
        </w:tc>
        <w:tc>
          <w:tcPr>
            <w:tcW w:w="1176" w:type="dxa"/>
            <w:vAlign w:val="center"/>
          </w:tcPr>
          <w:p w14:paraId="4AF1BA9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51</w:t>
            </w:r>
          </w:p>
        </w:tc>
        <w:tc>
          <w:tcPr>
            <w:tcW w:w="1198" w:type="dxa"/>
            <w:vAlign w:val="center"/>
          </w:tcPr>
          <w:p w14:paraId="368F45B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3,12</w:t>
            </w:r>
          </w:p>
        </w:tc>
        <w:tc>
          <w:tcPr>
            <w:tcW w:w="1176" w:type="dxa"/>
            <w:vAlign w:val="center"/>
          </w:tcPr>
          <w:p w14:paraId="317131D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50</w:t>
            </w:r>
          </w:p>
        </w:tc>
        <w:tc>
          <w:tcPr>
            <w:tcW w:w="1198" w:type="dxa"/>
            <w:vAlign w:val="center"/>
          </w:tcPr>
          <w:p w14:paraId="5E91510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3,07</w:t>
            </w:r>
          </w:p>
        </w:tc>
      </w:tr>
      <w:tr w:rsidR="00A36A91" w:rsidRPr="001C4441" w14:paraId="19FBB446"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7B8FD5F6"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30</w:t>
            </w:r>
          </w:p>
        </w:tc>
        <w:tc>
          <w:tcPr>
            <w:tcW w:w="4104" w:type="dxa"/>
            <w:vAlign w:val="center"/>
            <w:hideMark/>
          </w:tcPr>
          <w:p w14:paraId="5810464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Zapalenie opon mózgowych inne i nieokreślone</w:t>
            </w:r>
          </w:p>
        </w:tc>
        <w:tc>
          <w:tcPr>
            <w:tcW w:w="1176" w:type="dxa"/>
            <w:vAlign w:val="center"/>
          </w:tcPr>
          <w:p w14:paraId="03654B8B"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14</w:t>
            </w:r>
          </w:p>
        </w:tc>
        <w:tc>
          <w:tcPr>
            <w:tcW w:w="1198" w:type="dxa"/>
            <w:vAlign w:val="center"/>
          </w:tcPr>
          <w:p w14:paraId="600FD1F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0,86</w:t>
            </w:r>
          </w:p>
        </w:tc>
        <w:tc>
          <w:tcPr>
            <w:tcW w:w="1176" w:type="dxa"/>
            <w:vAlign w:val="center"/>
          </w:tcPr>
          <w:p w14:paraId="59F79D1E"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24</w:t>
            </w:r>
          </w:p>
        </w:tc>
        <w:tc>
          <w:tcPr>
            <w:tcW w:w="1198" w:type="dxa"/>
            <w:vAlign w:val="center"/>
          </w:tcPr>
          <w:p w14:paraId="0B53694F"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1,48</w:t>
            </w:r>
          </w:p>
        </w:tc>
      </w:tr>
      <w:tr w:rsidR="000B4D72" w:rsidRPr="001C4441" w14:paraId="624E5DF1" w14:textId="77777777" w:rsidTr="005D6DAE">
        <w:trPr>
          <w:trHeight w:val="219"/>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683F9A39"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31</w:t>
            </w:r>
          </w:p>
        </w:tc>
        <w:tc>
          <w:tcPr>
            <w:tcW w:w="4104" w:type="dxa"/>
            <w:vAlign w:val="center"/>
            <w:hideMark/>
          </w:tcPr>
          <w:p w14:paraId="6B0C70C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Zatrucie naturalnie toksycznymi substancjami spożytymi jako pokarm (grzyby)</w:t>
            </w:r>
          </w:p>
        </w:tc>
        <w:tc>
          <w:tcPr>
            <w:tcW w:w="1176" w:type="dxa"/>
            <w:vAlign w:val="center"/>
          </w:tcPr>
          <w:p w14:paraId="574F1D4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w:t>
            </w:r>
          </w:p>
        </w:tc>
        <w:tc>
          <w:tcPr>
            <w:tcW w:w="1198" w:type="dxa"/>
            <w:vAlign w:val="center"/>
          </w:tcPr>
          <w:p w14:paraId="1122A288"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w:t>
            </w:r>
          </w:p>
        </w:tc>
        <w:tc>
          <w:tcPr>
            <w:tcW w:w="1176" w:type="dxa"/>
            <w:vAlign w:val="center"/>
          </w:tcPr>
          <w:p w14:paraId="78C1F34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w:t>
            </w:r>
          </w:p>
        </w:tc>
        <w:tc>
          <w:tcPr>
            <w:tcW w:w="1198" w:type="dxa"/>
            <w:vAlign w:val="center"/>
          </w:tcPr>
          <w:p w14:paraId="439FBE2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w:t>
            </w:r>
          </w:p>
        </w:tc>
      </w:tr>
      <w:tr w:rsidR="00A36A91" w:rsidRPr="001C4441" w14:paraId="1F34CD5F" w14:textId="77777777" w:rsidTr="005D6DAE">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7376D1D8"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32</w:t>
            </w:r>
          </w:p>
        </w:tc>
        <w:tc>
          <w:tcPr>
            <w:tcW w:w="4104" w:type="dxa"/>
            <w:vAlign w:val="center"/>
            <w:hideMark/>
          </w:tcPr>
          <w:p w14:paraId="305D4FDE"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Zakażenia SARS-CoV-2 (COVID-19) - przypadki potwierdzone</w:t>
            </w:r>
          </w:p>
        </w:tc>
        <w:tc>
          <w:tcPr>
            <w:tcW w:w="1176" w:type="dxa"/>
            <w:vAlign w:val="center"/>
          </w:tcPr>
          <w:p w14:paraId="06CDCFFE"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13828</w:t>
            </w:r>
          </w:p>
        </w:tc>
        <w:tc>
          <w:tcPr>
            <w:tcW w:w="1198" w:type="dxa"/>
            <w:vAlign w:val="center"/>
          </w:tcPr>
          <w:p w14:paraId="20B0FCAC"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845,08</w:t>
            </w:r>
          </w:p>
        </w:tc>
        <w:tc>
          <w:tcPr>
            <w:tcW w:w="1176" w:type="dxa"/>
            <w:vAlign w:val="center"/>
          </w:tcPr>
          <w:p w14:paraId="40DA0B35"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8775</w:t>
            </w:r>
          </w:p>
        </w:tc>
        <w:tc>
          <w:tcPr>
            <w:tcW w:w="1198" w:type="dxa"/>
            <w:vAlign w:val="center"/>
          </w:tcPr>
          <w:p w14:paraId="07ECB6F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539,38</w:t>
            </w:r>
          </w:p>
        </w:tc>
      </w:tr>
      <w:tr w:rsidR="000B4D72" w:rsidRPr="001C4441" w14:paraId="1A4EF6D1"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hideMark/>
          </w:tcPr>
          <w:p w14:paraId="47B77799"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33</w:t>
            </w:r>
          </w:p>
        </w:tc>
        <w:tc>
          <w:tcPr>
            <w:tcW w:w="4104" w:type="dxa"/>
            <w:vAlign w:val="center"/>
            <w:hideMark/>
          </w:tcPr>
          <w:p w14:paraId="64740A5D"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Ospa małpia (rejestracja od 2022 r.)</w:t>
            </w:r>
          </w:p>
        </w:tc>
        <w:tc>
          <w:tcPr>
            <w:tcW w:w="1176" w:type="dxa"/>
            <w:vAlign w:val="center"/>
          </w:tcPr>
          <w:p w14:paraId="52BE6D3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w:t>
            </w:r>
          </w:p>
        </w:tc>
        <w:tc>
          <w:tcPr>
            <w:tcW w:w="1198" w:type="dxa"/>
            <w:vAlign w:val="center"/>
          </w:tcPr>
          <w:p w14:paraId="6E70081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w:t>
            </w:r>
          </w:p>
        </w:tc>
        <w:tc>
          <w:tcPr>
            <w:tcW w:w="1176" w:type="dxa"/>
            <w:vAlign w:val="center"/>
          </w:tcPr>
          <w:p w14:paraId="5AF2DD34"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w:t>
            </w:r>
          </w:p>
        </w:tc>
        <w:tc>
          <w:tcPr>
            <w:tcW w:w="1198" w:type="dxa"/>
            <w:vAlign w:val="center"/>
          </w:tcPr>
          <w:p w14:paraId="321CEA22"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w:t>
            </w:r>
          </w:p>
        </w:tc>
      </w:tr>
      <w:tr w:rsidR="00A36A91" w:rsidRPr="001C4441" w14:paraId="33A6C6C2"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tcPr>
          <w:p w14:paraId="625F68F2"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34</w:t>
            </w:r>
          </w:p>
        </w:tc>
        <w:tc>
          <w:tcPr>
            <w:tcW w:w="4104" w:type="dxa"/>
            <w:vAlign w:val="center"/>
          </w:tcPr>
          <w:p w14:paraId="0149EE86"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Tularemia</w:t>
            </w:r>
          </w:p>
        </w:tc>
        <w:tc>
          <w:tcPr>
            <w:tcW w:w="1176" w:type="dxa"/>
            <w:vAlign w:val="center"/>
          </w:tcPr>
          <w:p w14:paraId="0C503FA8"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14</w:t>
            </w:r>
          </w:p>
        </w:tc>
        <w:tc>
          <w:tcPr>
            <w:tcW w:w="1198" w:type="dxa"/>
            <w:vAlign w:val="center"/>
          </w:tcPr>
          <w:p w14:paraId="7DA6D39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0,86</w:t>
            </w:r>
          </w:p>
        </w:tc>
        <w:tc>
          <w:tcPr>
            <w:tcW w:w="1176" w:type="dxa"/>
            <w:vAlign w:val="center"/>
          </w:tcPr>
          <w:p w14:paraId="0411339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9</w:t>
            </w:r>
          </w:p>
        </w:tc>
        <w:tc>
          <w:tcPr>
            <w:tcW w:w="1198" w:type="dxa"/>
            <w:vAlign w:val="center"/>
          </w:tcPr>
          <w:p w14:paraId="22F532B3"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0,55</w:t>
            </w:r>
          </w:p>
        </w:tc>
      </w:tr>
      <w:tr w:rsidR="000B4D72" w:rsidRPr="001C4441" w14:paraId="05C6F506" w14:textId="77777777" w:rsidTr="005D6DAE">
        <w:trPr>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tcPr>
          <w:p w14:paraId="2023D021"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35</w:t>
            </w:r>
          </w:p>
        </w:tc>
        <w:tc>
          <w:tcPr>
            <w:tcW w:w="4104" w:type="dxa"/>
            <w:vAlign w:val="center"/>
          </w:tcPr>
          <w:p w14:paraId="18F438B0"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Legioneloza (choroba legionistów)</w:t>
            </w:r>
          </w:p>
        </w:tc>
        <w:tc>
          <w:tcPr>
            <w:tcW w:w="1176" w:type="dxa"/>
            <w:vAlign w:val="center"/>
          </w:tcPr>
          <w:p w14:paraId="6C2F8257"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13</w:t>
            </w:r>
          </w:p>
        </w:tc>
        <w:tc>
          <w:tcPr>
            <w:tcW w:w="1198" w:type="dxa"/>
            <w:vAlign w:val="center"/>
          </w:tcPr>
          <w:p w14:paraId="75A82B9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cstheme="minorHAnsi"/>
                <w:color w:val="000000" w:themeColor="text1"/>
                <w:sz w:val="20"/>
                <w:szCs w:val="20"/>
              </w:rPr>
              <w:t>0,79</w:t>
            </w:r>
          </w:p>
        </w:tc>
        <w:tc>
          <w:tcPr>
            <w:tcW w:w="1176" w:type="dxa"/>
            <w:vAlign w:val="center"/>
          </w:tcPr>
          <w:p w14:paraId="4F9DB7A5"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26</w:t>
            </w:r>
          </w:p>
        </w:tc>
        <w:tc>
          <w:tcPr>
            <w:tcW w:w="1198" w:type="dxa"/>
            <w:vAlign w:val="center"/>
          </w:tcPr>
          <w:p w14:paraId="709B02CA" w14:textId="77777777" w:rsidR="000B4D72" w:rsidRPr="001C4441"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1C4441">
              <w:rPr>
                <w:rFonts w:eastAsia="Times New Roman" w:cstheme="minorHAnsi"/>
                <w:color w:val="000000" w:themeColor="text1"/>
                <w:sz w:val="20"/>
                <w:szCs w:val="20"/>
                <w:lang w:eastAsia="pl-PL"/>
              </w:rPr>
              <w:t>1,60</w:t>
            </w:r>
          </w:p>
        </w:tc>
      </w:tr>
      <w:tr w:rsidR="00A36A91" w:rsidRPr="001C4441" w14:paraId="2BA9B0DD" w14:textId="77777777" w:rsidTr="005D6DA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7" w:type="dxa"/>
            <w:noWrap/>
            <w:vAlign w:val="center"/>
          </w:tcPr>
          <w:p w14:paraId="3CB2A18D" w14:textId="77777777" w:rsidR="000B4D72" w:rsidRPr="001C4441" w:rsidRDefault="000B4D72" w:rsidP="00597239">
            <w:pPr>
              <w:rPr>
                <w:rFonts w:eastAsia="Times New Roman" w:cstheme="minorHAnsi"/>
                <w:b w:val="0"/>
                <w:bCs w:val="0"/>
                <w:sz w:val="20"/>
                <w:szCs w:val="20"/>
                <w:lang w:eastAsia="pl-PL"/>
              </w:rPr>
            </w:pPr>
            <w:r w:rsidRPr="001C4441">
              <w:rPr>
                <w:rFonts w:eastAsia="Times New Roman" w:cstheme="minorHAnsi"/>
                <w:b w:val="0"/>
                <w:bCs w:val="0"/>
                <w:sz w:val="20"/>
                <w:szCs w:val="20"/>
                <w:lang w:eastAsia="pl-PL"/>
              </w:rPr>
              <w:t>36</w:t>
            </w:r>
          </w:p>
        </w:tc>
        <w:tc>
          <w:tcPr>
            <w:tcW w:w="4104" w:type="dxa"/>
            <w:vAlign w:val="center"/>
          </w:tcPr>
          <w:p w14:paraId="2BEC64CF"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 xml:space="preserve">Inwazyjna choroba wywołana przez </w:t>
            </w:r>
            <w:r w:rsidRPr="001C4441">
              <w:rPr>
                <w:rFonts w:eastAsia="Times New Roman" w:cstheme="minorHAnsi"/>
                <w:i/>
                <w:iCs/>
                <w:sz w:val="20"/>
                <w:szCs w:val="20"/>
                <w:lang w:eastAsia="pl-PL"/>
              </w:rPr>
              <w:t>Streptococcus pyogenes</w:t>
            </w:r>
            <w:r w:rsidRPr="001C4441">
              <w:rPr>
                <w:rFonts w:eastAsia="Times New Roman" w:cstheme="minorHAnsi"/>
                <w:sz w:val="20"/>
                <w:szCs w:val="20"/>
                <w:lang w:eastAsia="pl-PL"/>
              </w:rPr>
              <w:t xml:space="preserve"> ogółem</w:t>
            </w:r>
          </w:p>
        </w:tc>
        <w:tc>
          <w:tcPr>
            <w:tcW w:w="1176" w:type="dxa"/>
            <w:vAlign w:val="center"/>
          </w:tcPr>
          <w:p w14:paraId="26E410B9"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234</w:t>
            </w:r>
          </w:p>
        </w:tc>
        <w:tc>
          <w:tcPr>
            <w:tcW w:w="1198" w:type="dxa"/>
            <w:vAlign w:val="center"/>
          </w:tcPr>
          <w:p w14:paraId="1662538A"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eastAsia="Times New Roman" w:cstheme="minorHAnsi"/>
                <w:sz w:val="20"/>
                <w:szCs w:val="20"/>
                <w:lang w:eastAsia="pl-PL"/>
              </w:rPr>
              <w:t>14,30</w:t>
            </w:r>
          </w:p>
        </w:tc>
        <w:tc>
          <w:tcPr>
            <w:tcW w:w="1176" w:type="dxa"/>
            <w:vAlign w:val="center"/>
          </w:tcPr>
          <w:p w14:paraId="552B8FCD"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179</w:t>
            </w:r>
          </w:p>
        </w:tc>
        <w:tc>
          <w:tcPr>
            <w:tcW w:w="1198" w:type="dxa"/>
            <w:vAlign w:val="center"/>
          </w:tcPr>
          <w:p w14:paraId="03388DEF" w14:textId="77777777" w:rsidR="000B4D72" w:rsidRPr="001C4441"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1C4441">
              <w:rPr>
                <w:rFonts w:cstheme="minorHAnsi"/>
                <w:sz w:val="20"/>
                <w:szCs w:val="20"/>
              </w:rPr>
              <w:t>11,00</w:t>
            </w:r>
          </w:p>
        </w:tc>
      </w:tr>
    </w:tbl>
    <w:p w14:paraId="7920BA91" w14:textId="77777777" w:rsidR="0063333E" w:rsidRDefault="0063333E" w:rsidP="00597239">
      <w:pPr>
        <w:spacing w:after="0" w:line="276" w:lineRule="auto"/>
        <w:rPr>
          <w:rFonts w:eastAsia="Calibri" w:cstheme="minorHAnsi"/>
          <w:sz w:val="24"/>
          <w:szCs w:val="24"/>
        </w:rPr>
      </w:pPr>
      <w:bookmarkStart w:id="143" w:name="_Hlk193439278"/>
      <w:bookmarkEnd w:id="142"/>
    </w:p>
    <w:p w14:paraId="2AA6747C" w14:textId="588ECB79" w:rsidR="000B4D72" w:rsidRPr="004550C2" w:rsidRDefault="000B4D72" w:rsidP="00597239">
      <w:pPr>
        <w:spacing w:after="0" w:line="276" w:lineRule="auto"/>
        <w:rPr>
          <w:rFonts w:eastAsia="Calibri" w:cstheme="minorHAnsi"/>
          <w:sz w:val="24"/>
          <w:szCs w:val="24"/>
        </w:rPr>
      </w:pPr>
      <w:r w:rsidRPr="001E49C7">
        <w:rPr>
          <w:rFonts w:eastAsia="Calibri" w:cstheme="minorHAnsi"/>
          <w:sz w:val="24"/>
          <w:szCs w:val="24"/>
        </w:rPr>
        <w:t>W 202</w:t>
      </w:r>
      <w:r>
        <w:rPr>
          <w:rFonts w:eastAsia="Calibri" w:cstheme="minorHAnsi"/>
          <w:sz w:val="24"/>
          <w:szCs w:val="24"/>
        </w:rPr>
        <w:t>4</w:t>
      </w:r>
      <w:r w:rsidRPr="001E49C7">
        <w:rPr>
          <w:rFonts w:eastAsia="Calibri" w:cstheme="minorHAnsi"/>
          <w:sz w:val="24"/>
          <w:szCs w:val="24"/>
        </w:rPr>
        <w:t xml:space="preserve"> r. </w:t>
      </w:r>
      <w:r>
        <w:rPr>
          <w:rFonts w:eastAsia="Calibri" w:cstheme="minorHAnsi"/>
          <w:sz w:val="24"/>
          <w:szCs w:val="24"/>
        </w:rPr>
        <w:t>podobnie jak w roku poprzednim utrzymywał się</w:t>
      </w:r>
      <w:r w:rsidRPr="001E49C7">
        <w:rPr>
          <w:rFonts w:eastAsia="Calibri" w:cstheme="minorHAnsi"/>
          <w:sz w:val="24"/>
          <w:szCs w:val="24"/>
        </w:rPr>
        <w:t xml:space="preserve"> trend </w:t>
      </w:r>
      <w:r>
        <w:rPr>
          <w:rFonts w:eastAsia="Calibri" w:cstheme="minorHAnsi"/>
          <w:sz w:val="24"/>
          <w:szCs w:val="24"/>
        </w:rPr>
        <w:t>malejący</w:t>
      </w:r>
      <w:r w:rsidRPr="001E49C7">
        <w:rPr>
          <w:rFonts w:eastAsia="Calibri" w:cstheme="minorHAnsi"/>
          <w:sz w:val="24"/>
          <w:szCs w:val="24"/>
        </w:rPr>
        <w:t xml:space="preserve"> </w:t>
      </w:r>
      <w:r>
        <w:rPr>
          <w:rFonts w:eastAsia="Calibri" w:cstheme="minorHAnsi"/>
          <w:sz w:val="24"/>
          <w:szCs w:val="24"/>
        </w:rPr>
        <w:t xml:space="preserve">w odniesieniu do ospy wietrznej, </w:t>
      </w:r>
      <w:r w:rsidRPr="001E49C7">
        <w:rPr>
          <w:rFonts w:eastAsia="Calibri" w:cstheme="minorHAnsi"/>
          <w:sz w:val="24"/>
          <w:szCs w:val="24"/>
        </w:rPr>
        <w:t>zakaże</w:t>
      </w:r>
      <w:r>
        <w:rPr>
          <w:rFonts w:eastAsia="Calibri" w:cstheme="minorHAnsi"/>
          <w:sz w:val="24"/>
          <w:szCs w:val="24"/>
        </w:rPr>
        <w:t>nia</w:t>
      </w:r>
      <w:r w:rsidRPr="001E49C7">
        <w:rPr>
          <w:rFonts w:eastAsia="Calibri" w:cstheme="minorHAnsi"/>
          <w:sz w:val="24"/>
          <w:szCs w:val="24"/>
        </w:rPr>
        <w:t xml:space="preserve"> szerząc</w:t>
      </w:r>
      <w:r>
        <w:rPr>
          <w:rFonts w:eastAsia="Calibri" w:cstheme="minorHAnsi"/>
          <w:sz w:val="24"/>
          <w:szCs w:val="24"/>
        </w:rPr>
        <w:t>ego</w:t>
      </w:r>
      <w:r w:rsidRPr="001E49C7">
        <w:rPr>
          <w:rFonts w:eastAsia="Calibri" w:cstheme="minorHAnsi"/>
          <w:sz w:val="24"/>
          <w:szCs w:val="24"/>
        </w:rPr>
        <w:t xml:space="preserve"> się szczególnie wśród dzieci drogą kropelkową</w:t>
      </w:r>
      <w:r>
        <w:rPr>
          <w:rFonts w:eastAsia="Calibri" w:cstheme="minorHAnsi"/>
          <w:sz w:val="24"/>
          <w:szCs w:val="24"/>
        </w:rPr>
        <w:t xml:space="preserve"> oraz</w:t>
      </w:r>
      <w:r w:rsidR="002E1F9D">
        <w:rPr>
          <w:rFonts w:eastAsia="Calibri" w:cstheme="minorHAnsi"/>
          <w:sz w:val="24"/>
          <w:szCs w:val="24"/>
        </w:rPr>
        <w:t> </w:t>
      </w:r>
      <w:r>
        <w:rPr>
          <w:rFonts w:eastAsia="Calibri" w:cstheme="minorHAnsi"/>
          <w:sz w:val="24"/>
          <w:szCs w:val="24"/>
        </w:rPr>
        <w:t>bezpośredniego kontaktu.</w:t>
      </w:r>
      <w:r w:rsidRPr="001E49C7">
        <w:rPr>
          <w:rFonts w:eastAsia="Calibri" w:cstheme="minorHAnsi"/>
          <w:sz w:val="24"/>
          <w:szCs w:val="24"/>
        </w:rPr>
        <w:t xml:space="preserve"> </w:t>
      </w:r>
      <w:bookmarkEnd w:id="143"/>
      <w:r w:rsidRPr="00E8577A">
        <w:rPr>
          <w:rFonts w:eastAsia="Calibri" w:cstheme="minorHAnsi"/>
          <w:sz w:val="24"/>
          <w:szCs w:val="24"/>
        </w:rPr>
        <w:t>Należy podkreślić, że taka tendencja odnotowana została w</w:t>
      </w:r>
      <w:r w:rsidR="002E1F9D">
        <w:rPr>
          <w:rFonts w:eastAsia="Calibri" w:cstheme="minorHAnsi"/>
          <w:sz w:val="24"/>
          <w:szCs w:val="24"/>
        </w:rPr>
        <w:t> </w:t>
      </w:r>
      <w:r w:rsidRPr="00E8577A">
        <w:rPr>
          <w:rFonts w:eastAsia="Calibri" w:cstheme="minorHAnsi"/>
          <w:sz w:val="24"/>
          <w:szCs w:val="24"/>
        </w:rPr>
        <w:t>całym kraju</w:t>
      </w:r>
      <w:r>
        <w:rPr>
          <w:rFonts w:eastAsia="Calibri" w:cstheme="minorHAnsi"/>
          <w:sz w:val="24"/>
          <w:szCs w:val="24"/>
        </w:rPr>
        <w:t>.</w:t>
      </w:r>
      <w:r w:rsidRPr="00E8577A">
        <w:rPr>
          <w:rFonts w:eastAsia="Calibri" w:cstheme="minorHAnsi"/>
          <w:sz w:val="24"/>
          <w:szCs w:val="24"/>
        </w:rPr>
        <w:t xml:space="preserve"> </w:t>
      </w:r>
      <w:r w:rsidRPr="003A793F">
        <w:rPr>
          <w:rFonts w:eastAsia="Calibri" w:cstheme="minorHAnsi"/>
          <w:color w:val="FF0000"/>
          <w:sz w:val="24"/>
          <w:szCs w:val="24"/>
        </w:rPr>
        <w:t xml:space="preserve"> </w:t>
      </w:r>
      <w:r w:rsidRPr="0077240E">
        <w:rPr>
          <w:rFonts w:eastAsia="Calibri" w:cstheme="minorHAnsi"/>
          <w:sz w:val="24"/>
          <w:szCs w:val="24"/>
        </w:rPr>
        <w:t>Nastąpiło znaczne pogorszenie sytuacji epidemiologicznej krztuśca zarówno w</w:t>
      </w:r>
      <w:r w:rsidR="002E1F9D">
        <w:rPr>
          <w:rFonts w:eastAsia="Calibri" w:cstheme="minorHAnsi"/>
          <w:sz w:val="24"/>
          <w:szCs w:val="24"/>
        </w:rPr>
        <w:t> </w:t>
      </w:r>
      <w:r w:rsidRPr="0077240E">
        <w:rPr>
          <w:rFonts w:eastAsia="Calibri" w:cstheme="minorHAnsi"/>
          <w:sz w:val="24"/>
          <w:szCs w:val="24"/>
        </w:rPr>
        <w:t xml:space="preserve">Polsce jak też w regionie. </w:t>
      </w:r>
      <w:r w:rsidRPr="004550C2">
        <w:rPr>
          <w:rFonts w:eastAsia="Calibri" w:cstheme="minorHAnsi"/>
          <w:sz w:val="24"/>
          <w:szCs w:val="24"/>
        </w:rPr>
        <w:t>Ponadto utrzymywała się niekorzystna sytuacja epidemiologiczna inwazyjnej choroby pneumokokowej</w:t>
      </w:r>
      <w:r>
        <w:rPr>
          <w:rFonts w:eastAsia="Calibri" w:cstheme="minorHAnsi"/>
          <w:sz w:val="24"/>
          <w:szCs w:val="24"/>
        </w:rPr>
        <w:t>.</w:t>
      </w:r>
      <w:r w:rsidRPr="004550C2">
        <w:rPr>
          <w:rFonts w:eastAsia="Calibri" w:cstheme="minorHAnsi"/>
          <w:sz w:val="24"/>
          <w:szCs w:val="24"/>
        </w:rPr>
        <w:t xml:space="preserve"> </w:t>
      </w:r>
    </w:p>
    <w:p w14:paraId="29D09573" w14:textId="77777777" w:rsidR="0063333E" w:rsidRDefault="0063333E" w:rsidP="00597239">
      <w:pPr>
        <w:spacing w:after="0" w:line="276" w:lineRule="auto"/>
        <w:rPr>
          <w:rFonts w:eastAsia="Calibri" w:cstheme="minorHAnsi"/>
          <w:sz w:val="24"/>
          <w:szCs w:val="24"/>
        </w:rPr>
      </w:pPr>
    </w:p>
    <w:p w14:paraId="4ECF8CBE" w14:textId="77A2562B" w:rsidR="000B4D72" w:rsidRPr="003A793F" w:rsidRDefault="000B4D72" w:rsidP="00597239">
      <w:pPr>
        <w:spacing w:after="0" w:line="276" w:lineRule="auto"/>
        <w:rPr>
          <w:rFonts w:eastAsia="Calibri" w:cstheme="minorHAnsi"/>
          <w:color w:val="FF0000"/>
          <w:sz w:val="24"/>
          <w:szCs w:val="24"/>
        </w:rPr>
      </w:pPr>
      <w:r w:rsidRPr="006070DC">
        <w:rPr>
          <w:rFonts w:eastAsia="Calibri" w:cstheme="minorHAnsi"/>
          <w:sz w:val="24"/>
          <w:szCs w:val="24"/>
        </w:rPr>
        <w:lastRenderedPageBreak/>
        <w:t>Pogorszenie sytuacji epidemiologicznej w analizowanym okresie nastąpiło w</w:t>
      </w:r>
      <w:r>
        <w:rPr>
          <w:rFonts w:eastAsia="Calibri" w:cstheme="minorHAnsi"/>
          <w:sz w:val="24"/>
          <w:szCs w:val="24"/>
        </w:rPr>
        <w:t xml:space="preserve"> </w:t>
      </w:r>
      <w:r w:rsidRPr="006070DC">
        <w:rPr>
          <w:rFonts w:eastAsia="Calibri" w:cstheme="minorHAnsi"/>
          <w:sz w:val="24"/>
          <w:szCs w:val="24"/>
        </w:rPr>
        <w:t xml:space="preserve">odniesieniu do </w:t>
      </w:r>
      <w:r w:rsidRPr="00856CF0">
        <w:rPr>
          <w:rFonts w:eastAsia="Calibri" w:cstheme="minorHAnsi"/>
          <w:sz w:val="24"/>
          <w:szCs w:val="24"/>
        </w:rPr>
        <w:t>boreliozy</w:t>
      </w:r>
      <w:r>
        <w:rPr>
          <w:rFonts w:eastAsia="Calibri" w:cstheme="minorHAnsi"/>
          <w:sz w:val="24"/>
          <w:szCs w:val="24"/>
        </w:rPr>
        <w:t>.</w:t>
      </w:r>
      <w:r w:rsidRPr="00856CF0">
        <w:rPr>
          <w:rFonts w:eastAsia="Calibri" w:cstheme="minorHAnsi"/>
          <w:sz w:val="24"/>
          <w:szCs w:val="24"/>
        </w:rPr>
        <w:t xml:space="preserve"> </w:t>
      </w:r>
      <w:r>
        <w:rPr>
          <w:rFonts w:eastAsia="Calibri" w:cstheme="minorHAnsi"/>
          <w:sz w:val="24"/>
          <w:szCs w:val="24"/>
        </w:rPr>
        <w:t>T</w:t>
      </w:r>
      <w:r w:rsidRPr="00856CF0">
        <w:rPr>
          <w:rFonts w:eastAsia="Calibri" w:cstheme="minorHAnsi"/>
          <w:sz w:val="24"/>
          <w:szCs w:val="24"/>
        </w:rPr>
        <w:t xml:space="preserve">endencja wzrostowa </w:t>
      </w:r>
      <w:r>
        <w:rPr>
          <w:rFonts w:eastAsia="Calibri" w:cstheme="minorHAnsi"/>
          <w:sz w:val="24"/>
          <w:szCs w:val="24"/>
        </w:rPr>
        <w:t xml:space="preserve">zachorowań </w:t>
      </w:r>
      <w:r w:rsidRPr="00856CF0">
        <w:rPr>
          <w:rFonts w:eastAsia="Calibri" w:cstheme="minorHAnsi"/>
          <w:sz w:val="24"/>
          <w:szCs w:val="24"/>
        </w:rPr>
        <w:t xml:space="preserve">utrzymuje się od 2020 roku. </w:t>
      </w:r>
    </w:p>
    <w:p w14:paraId="0B572ABF" w14:textId="420230EC" w:rsidR="000B4D72" w:rsidRPr="00691135" w:rsidRDefault="000B4D72" w:rsidP="00597239">
      <w:pPr>
        <w:spacing w:after="0" w:line="276" w:lineRule="auto"/>
        <w:rPr>
          <w:rFonts w:eastAsia="Calibri" w:cstheme="minorHAnsi"/>
          <w:color w:val="000000" w:themeColor="text1"/>
          <w:sz w:val="24"/>
          <w:szCs w:val="24"/>
        </w:rPr>
      </w:pPr>
      <w:r w:rsidRPr="004E6A98">
        <w:rPr>
          <w:rFonts w:eastAsia="Calibri" w:cstheme="minorHAnsi"/>
          <w:sz w:val="24"/>
          <w:szCs w:val="24"/>
        </w:rPr>
        <w:t xml:space="preserve">W analizowanym okresie nastąpił znaczny wzrost zatruć pokarmowych o etiologii </w:t>
      </w:r>
      <w:r w:rsidRPr="00F57981">
        <w:rPr>
          <w:rFonts w:eastAsia="Calibri" w:cstheme="minorHAnsi"/>
          <w:sz w:val="24"/>
          <w:szCs w:val="24"/>
        </w:rPr>
        <w:t>Salmonella.</w:t>
      </w:r>
      <w:r>
        <w:rPr>
          <w:rFonts w:eastAsia="Calibri" w:cstheme="minorHAnsi"/>
          <w:i/>
          <w:iCs/>
          <w:sz w:val="24"/>
          <w:szCs w:val="24"/>
        </w:rPr>
        <w:t xml:space="preserve"> </w:t>
      </w:r>
      <w:r>
        <w:rPr>
          <w:rFonts w:eastAsia="Calibri" w:cstheme="minorHAnsi"/>
          <w:sz w:val="24"/>
          <w:szCs w:val="24"/>
        </w:rPr>
        <w:t xml:space="preserve">Ponadto </w:t>
      </w:r>
      <w:r>
        <w:rPr>
          <w:rFonts w:eastAsia="Calibri" w:cstheme="minorHAnsi"/>
          <w:color w:val="000000" w:themeColor="text1"/>
          <w:sz w:val="24"/>
          <w:szCs w:val="24"/>
        </w:rPr>
        <w:t>o</w:t>
      </w:r>
      <w:r w:rsidRPr="00AF220D">
        <w:rPr>
          <w:rFonts w:eastAsia="Calibri" w:cstheme="minorHAnsi"/>
          <w:color w:val="000000" w:themeColor="text1"/>
          <w:sz w:val="24"/>
          <w:szCs w:val="24"/>
        </w:rPr>
        <w:t xml:space="preserve">dnotowano </w:t>
      </w:r>
      <w:r>
        <w:rPr>
          <w:rFonts w:eastAsia="Calibri" w:cstheme="minorHAnsi"/>
          <w:color w:val="000000" w:themeColor="text1"/>
          <w:sz w:val="24"/>
          <w:szCs w:val="24"/>
        </w:rPr>
        <w:t xml:space="preserve">w regionie </w:t>
      </w:r>
      <w:r w:rsidRPr="00AF220D">
        <w:rPr>
          <w:rFonts w:eastAsia="Calibri" w:cstheme="minorHAnsi"/>
          <w:color w:val="000000" w:themeColor="text1"/>
          <w:sz w:val="24"/>
          <w:szCs w:val="24"/>
        </w:rPr>
        <w:t>wzrost liczby ognisk zakażeń przenoszonych drogą pokarmową,</w:t>
      </w:r>
      <w:r>
        <w:rPr>
          <w:rFonts w:eastAsia="Calibri" w:cstheme="minorHAnsi"/>
          <w:color w:val="000000" w:themeColor="text1"/>
          <w:sz w:val="24"/>
          <w:szCs w:val="24"/>
        </w:rPr>
        <w:t xml:space="preserve"> których liczba zwiększyła się o ponad 70 %, w tym w szczególności w</w:t>
      </w:r>
      <w:r w:rsidR="007B1BEB">
        <w:rPr>
          <w:rFonts w:eastAsia="Calibri" w:cstheme="minorHAnsi"/>
          <w:color w:val="000000" w:themeColor="text1"/>
          <w:sz w:val="24"/>
          <w:szCs w:val="24"/>
        </w:rPr>
        <w:t> </w:t>
      </w:r>
      <w:r>
        <w:rPr>
          <w:rFonts w:eastAsia="Calibri" w:cstheme="minorHAnsi"/>
          <w:color w:val="000000" w:themeColor="text1"/>
          <w:sz w:val="24"/>
          <w:szCs w:val="24"/>
        </w:rPr>
        <w:t xml:space="preserve">okresie sezonu letniego. </w:t>
      </w:r>
      <w:r w:rsidRPr="00AF220D">
        <w:rPr>
          <w:rFonts w:eastAsia="Calibri" w:cstheme="minorHAnsi"/>
          <w:color w:val="000000" w:themeColor="text1"/>
          <w:sz w:val="24"/>
          <w:szCs w:val="24"/>
        </w:rPr>
        <w:t xml:space="preserve">Pogorszenie sytuacji nastąpiło również w epidemiologii jelitowych zakażeń wirusowych - </w:t>
      </w:r>
      <w:r w:rsidRPr="00AF220D">
        <w:rPr>
          <w:rFonts w:eastAsia="Calibri" w:cstheme="minorHAnsi"/>
          <w:color w:val="000000" w:themeColor="text1"/>
          <w:spacing w:val="-4"/>
          <w:sz w:val="24"/>
          <w:szCs w:val="24"/>
        </w:rPr>
        <w:t>współczynnik zapadalności był prawie 2-krotnie wyższy niż w 2023 r</w:t>
      </w:r>
      <w:r>
        <w:rPr>
          <w:rFonts w:eastAsia="Calibri" w:cstheme="minorHAnsi"/>
          <w:color w:val="000000" w:themeColor="text1"/>
          <w:spacing w:val="-4"/>
          <w:sz w:val="24"/>
          <w:szCs w:val="24"/>
        </w:rPr>
        <w:t>.</w:t>
      </w:r>
      <w:r w:rsidRPr="00AF220D">
        <w:rPr>
          <w:rFonts w:eastAsia="Calibri" w:cstheme="minorHAnsi"/>
          <w:color w:val="000000" w:themeColor="text1"/>
          <w:spacing w:val="-4"/>
          <w:sz w:val="24"/>
          <w:szCs w:val="24"/>
        </w:rPr>
        <w:t xml:space="preserve"> </w:t>
      </w:r>
      <w:r w:rsidRPr="00AF220D">
        <w:rPr>
          <w:rFonts w:eastAsia="Calibri" w:cstheme="minorHAnsi"/>
          <w:color w:val="000000" w:themeColor="text1"/>
          <w:sz w:val="24"/>
          <w:szCs w:val="24"/>
        </w:rPr>
        <w:t>W tej grupie zakażeń istotnie wzrosła zapadalność na zakażenia norowirusowe (</w:t>
      </w:r>
      <w:r>
        <w:rPr>
          <w:rFonts w:eastAsia="Calibri" w:cstheme="minorHAnsi"/>
          <w:color w:val="000000" w:themeColor="text1"/>
          <w:sz w:val="24"/>
          <w:szCs w:val="24"/>
        </w:rPr>
        <w:t>wzrost o ponad 150%)</w:t>
      </w:r>
      <w:r w:rsidRPr="00AF220D">
        <w:rPr>
          <w:rFonts w:eastAsia="Calibri" w:cstheme="minorHAnsi"/>
          <w:color w:val="000000" w:themeColor="text1"/>
          <w:sz w:val="24"/>
          <w:szCs w:val="24"/>
        </w:rPr>
        <w:t>, przy czym trend wzrostowy odnotowano w całej Polsce</w:t>
      </w:r>
      <w:r>
        <w:rPr>
          <w:rFonts w:eastAsia="Calibri" w:cstheme="minorHAnsi"/>
          <w:color w:val="000000" w:themeColor="text1"/>
          <w:sz w:val="24"/>
          <w:szCs w:val="24"/>
        </w:rPr>
        <w:t>.</w:t>
      </w:r>
    </w:p>
    <w:p w14:paraId="4C75ED47" w14:textId="77777777" w:rsidR="0063333E" w:rsidRDefault="0063333E" w:rsidP="00597239">
      <w:pPr>
        <w:spacing w:after="0" w:line="276" w:lineRule="auto"/>
        <w:rPr>
          <w:rFonts w:eastAsia="Calibri" w:cstheme="minorHAnsi"/>
          <w:color w:val="000000" w:themeColor="text1"/>
          <w:sz w:val="24"/>
          <w:szCs w:val="24"/>
        </w:rPr>
      </w:pPr>
    </w:p>
    <w:p w14:paraId="2A0F8D12" w14:textId="64DEA53C" w:rsidR="000B4D72" w:rsidRPr="001C08CC" w:rsidRDefault="000B4D72" w:rsidP="00597239">
      <w:pPr>
        <w:spacing w:after="0" w:line="276" w:lineRule="auto"/>
        <w:rPr>
          <w:rFonts w:eastAsia="Calibri" w:cstheme="minorHAnsi"/>
          <w:color w:val="000000" w:themeColor="text1"/>
          <w:sz w:val="24"/>
          <w:szCs w:val="24"/>
        </w:rPr>
      </w:pPr>
      <w:r w:rsidRPr="001C08CC">
        <w:rPr>
          <w:rFonts w:eastAsia="Calibri" w:cstheme="minorHAnsi"/>
          <w:color w:val="000000" w:themeColor="text1"/>
          <w:sz w:val="24"/>
          <w:szCs w:val="24"/>
        </w:rPr>
        <w:t>Wzmożonej obserwacji wymaga analiza zachorowań na wirusowe zapalenia wątroby w</w:t>
      </w:r>
      <w:r w:rsidR="007B1BEB">
        <w:rPr>
          <w:rFonts w:eastAsia="Calibri" w:cstheme="minorHAnsi"/>
          <w:color w:val="000000" w:themeColor="text1"/>
          <w:sz w:val="24"/>
          <w:szCs w:val="24"/>
        </w:rPr>
        <w:t> </w:t>
      </w:r>
      <w:r w:rsidRPr="001C08CC">
        <w:rPr>
          <w:rFonts w:eastAsia="Calibri" w:cstheme="minorHAnsi"/>
          <w:color w:val="000000" w:themeColor="text1"/>
          <w:sz w:val="24"/>
          <w:szCs w:val="24"/>
        </w:rPr>
        <w:t>regionie, bowiem zaobserwowano wzrost (ponad 1,5-krotny) zachorowań na wirusowe zapalenie wątroby typu A</w:t>
      </w:r>
      <w:r>
        <w:rPr>
          <w:rFonts w:eastAsia="Calibri" w:cstheme="minorHAnsi"/>
          <w:color w:val="000000" w:themeColor="text1"/>
          <w:sz w:val="24"/>
          <w:szCs w:val="24"/>
        </w:rPr>
        <w:t xml:space="preserve"> oraz</w:t>
      </w:r>
      <w:r w:rsidRPr="001C08CC">
        <w:rPr>
          <w:rFonts w:eastAsia="Calibri" w:cstheme="minorHAnsi"/>
          <w:color w:val="000000" w:themeColor="text1"/>
          <w:sz w:val="24"/>
          <w:szCs w:val="24"/>
        </w:rPr>
        <w:t xml:space="preserve"> </w:t>
      </w:r>
      <w:r>
        <w:rPr>
          <w:rFonts w:eastAsia="Calibri" w:cstheme="minorHAnsi"/>
          <w:color w:val="000000" w:themeColor="text1"/>
          <w:sz w:val="24"/>
          <w:szCs w:val="24"/>
        </w:rPr>
        <w:t>w odniesieniu do</w:t>
      </w:r>
      <w:r w:rsidRPr="001C08CC">
        <w:rPr>
          <w:rFonts w:eastAsia="Calibri" w:cstheme="minorHAnsi"/>
          <w:color w:val="000000" w:themeColor="text1"/>
          <w:sz w:val="24"/>
          <w:szCs w:val="24"/>
        </w:rPr>
        <w:t xml:space="preserve"> wirusowe</w:t>
      </w:r>
      <w:r>
        <w:rPr>
          <w:rFonts w:eastAsia="Calibri" w:cstheme="minorHAnsi"/>
          <w:color w:val="000000" w:themeColor="text1"/>
          <w:sz w:val="24"/>
          <w:szCs w:val="24"/>
        </w:rPr>
        <w:t>go</w:t>
      </w:r>
      <w:r w:rsidRPr="001C08CC">
        <w:rPr>
          <w:rFonts w:eastAsia="Calibri" w:cstheme="minorHAnsi"/>
          <w:color w:val="000000" w:themeColor="text1"/>
          <w:sz w:val="24"/>
          <w:szCs w:val="24"/>
        </w:rPr>
        <w:t xml:space="preserve"> zapaleni</w:t>
      </w:r>
      <w:r>
        <w:rPr>
          <w:rFonts w:eastAsia="Calibri" w:cstheme="minorHAnsi"/>
          <w:color w:val="000000" w:themeColor="text1"/>
          <w:sz w:val="24"/>
          <w:szCs w:val="24"/>
        </w:rPr>
        <w:t>a</w:t>
      </w:r>
      <w:r w:rsidRPr="001C08CC">
        <w:rPr>
          <w:rFonts w:eastAsia="Calibri" w:cstheme="minorHAnsi"/>
          <w:color w:val="000000" w:themeColor="text1"/>
          <w:sz w:val="24"/>
          <w:szCs w:val="24"/>
        </w:rPr>
        <w:t xml:space="preserve"> wątroby typu C</w:t>
      </w:r>
      <w:r>
        <w:rPr>
          <w:rFonts w:eastAsia="Calibri" w:cstheme="minorHAnsi"/>
          <w:color w:val="000000" w:themeColor="text1"/>
          <w:sz w:val="24"/>
          <w:szCs w:val="24"/>
        </w:rPr>
        <w:t xml:space="preserve"> utrzymujący się trend</w:t>
      </w:r>
      <w:r w:rsidRPr="001C08CC">
        <w:rPr>
          <w:rFonts w:eastAsia="Calibri" w:cstheme="minorHAnsi"/>
          <w:color w:val="000000" w:themeColor="text1"/>
          <w:sz w:val="24"/>
          <w:szCs w:val="24"/>
        </w:rPr>
        <w:t xml:space="preserve"> rosnący zachorowań</w:t>
      </w:r>
      <w:r>
        <w:rPr>
          <w:rFonts w:eastAsia="Calibri" w:cstheme="minorHAnsi"/>
          <w:color w:val="000000" w:themeColor="text1"/>
          <w:sz w:val="24"/>
          <w:szCs w:val="24"/>
        </w:rPr>
        <w:t xml:space="preserve"> i znacząco wyższy współczynnik zapadalności niż w</w:t>
      </w:r>
      <w:r w:rsidR="007B1BEB">
        <w:rPr>
          <w:rFonts w:eastAsia="Calibri" w:cstheme="minorHAnsi"/>
          <w:color w:val="000000" w:themeColor="text1"/>
          <w:sz w:val="24"/>
          <w:szCs w:val="24"/>
        </w:rPr>
        <w:t> </w:t>
      </w:r>
      <w:r>
        <w:rPr>
          <w:rFonts w:eastAsia="Calibri" w:cstheme="minorHAnsi"/>
          <w:color w:val="000000" w:themeColor="text1"/>
          <w:sz w:val="24"/>
          <w:szCs w:val="24"/>
        </w:rPr>
        <w:t>Polsce.</w:t>
      </w:r>
    </w:p>
    <w:p w14:paraId="588CB063" w14:textId="77777777" w:rsidR="0063333E" w:rsidRDefault="0063333E" w:rsidP="00597239">
      <w:pPr>
        <w:spacing w:after="0" w:line="276" w:lineRule="auto"/>
        <w:rPr>
          <w:rFonts w:eastAsia="Calibri" w:cstheme="minorHAnsi"/>
          <w:sz w:val="24"/>
          <w:szCs w:val="24"/>
        </w:rPr>
      </w:pPr>
    </w:p>
    <w:p w14:paraId="31A3C168" w14:textId="631C87A5" w:rsidR="000B4D72" w:rsidRPr="003A793F" w:rsidRDefault="000B4D72" w:rsidP="00597239">
      <w:pPr>
        <w:spacing w:after="0" w:line="276" w:lineRule="auto"/>
        <w:rPr>
          <w:rFonts w:eastAsia="Calibri" w:cstheme="minorHAnsi"/>
          <w:color w:val="FF0000"/>
          <w:sz w:val="24"/>
          <w:szCs w:val="24"/>
        </w:rPr>
      </w:pPr>
      <w:r w:rsidRPr="00E0556B">
        <w:rPr>
          <w:rFonts w:eastAsia="Calibri" w:cstheme="minorHAnsi"/>
          <w:sz w:val="24"/>
          <w:szCs w:val="24"/>
        </w:rPr>
        <w:t>W 2024 r. odnotowano kolejny rok tendencji spadkowej potwierdzonych zakażeń Sars-CoV-2 w regionie</w:t>
      </w:r>
      <w:r>
        <w:rPr>
          <w:rFonts w:eastAsia="Calibri" w:cstheme="minorHAnsi"/>
          <w:sz w:val="24"/>
          <w:szCs w:val="24"/>
        </w:rPr>
        <w:t xml:space="preserve">. </w:t>
      </w:r>
    </w:p>
    <w:p w14:paraId="47521436" w14:textId="77777777" w:rsidR="0063333E" w:rsidRDefault="0063333E" w:rsidP="00597239">
      <w:pPr>
        <w:spacing w:after="0" w:line="276" w:lineRule="auto"/>
        <w:rPr>
          <w:rFonts w:eastAsia="Calibri" w:cstheme="minorHAnsi"/>
          <w:color w:val="000000" w:themeColor="text1"/>
          <w:sz w:val="24"/>
          <w:szCs w:val="24"/>
        </w:rPr>
      </w:pPr>
      <w:bookmarkStart w:id="144" w:name="_Hlk162336031"/>
    </w:p>
    <w:p w14:paraId="723F92C3" w14:textId="2857B1F0" w:rsidR="000B4D72" w:rsidRPr="00345541" w:rsidRDefault="000B4D72" w:rsidP="00597239">
      <w:pPr>
        <w:spacing w:after="0" w:line="276" w:lineRule="auto"/>
        <w:rPr>
          <w:rFonts w:eastAsia="Calibri" w:cstheme="minorHAnsi"/>
          <w:color w:val="000000" w:themeColor="text1"/>
          <w:sz w:val="24"/>
          <w:szCs w:val="24"/>
        </w:rPr>
      </w:pPr>
      <w:r w:rsidRPr="005E3BF0">
        <w:rPr>
          <w:rFonts w:eastAsia="Calibri" w:cstheme="minorHAnsi"/>
          <w:color w:val="000000" w:themeColor="text1"/>
          <w:sz w:val="24"/>
          <w:szCs w:val="24"/>
        </w:rPr>
        <w:t>W 2024 r. w woj. zachodniopomorskim zarejestrowano łącznie 181 zgłoszeń zgonów z</w:t>
      </w:r>
      <w:r w:rsidR="007B1BEB">
        <w:rPr>
          <w:rFonts w:eastAsia="Calibri" w:cstheme="minorHAnsi"/>
          <w:color w:val="000000" w:themeColor="text1"/>
          <w:sz w:val="24"/>
          <w:szCs w:val="24"/>
        </w:rPr>
        <w:t> </w:t>
      </w:r>
      <w:r w:rsidRPr="005E3BF0">
        <w:rPr>
          <w:rFonts w:eastAsia="Calibri" w:cstheme="minorHAnsi"/>
          <w:color w:val="000000" w:themeColor="text1"/>
          <w:sz w:val="24"/>
          <w:szCs w:val="24"/>
        </w:rPr>
        <w:t xml:space="preserve">powodu podejrzenia </w:t>
      </w:r>
      <w:r>
        <w:rPr>
          <w:rFonts w:eastAsia="Calibri" w:cstheme="minorHAnsi"/>
          <w:color w:val="000000" w:themeColor="text1"/>
          <w:sz w:val="24"/>
          <w:szCs w:val="24"/>
        </w:rPr>
        <w:t>albo</w:t>
      </w:r>
      <w:r w:rsidRPr="005E3BF0">
        <w:rPr>
          <w:rFonts w:eastAsia="Calibri" w:cstheme="minorHAnsi"/>
          <w:color w:val="000000" w:themeColor="text1"/>
          <w:sz w:val="24"/>
          <w:szCs w:val="24"/>
        </w:rPr>
        <w:t xml:space="preserve"> rozpoznania zakażenia</w:t>
      </w:r>
      <w:r>
        <w:rPr>
          <w:rFonts w:eastAsia="Calibri" w:cstheme="minorHAnsi"/>
          <w:color w:val="000000" w:themeColor="text1"/>
          <w:sz w:val="24"/>
          <w:szCs w:val="24"/>
        </w:rPr>
        <w:t xml:space="preserve"> lub </w:t>
      </w:r>
      <w:r w:rsidRPr="005E3BF0">
        <w:rPr>
          <w:rFonts w:eastAsia="Calibri" w:cstheme="minorHAnsi"/>
          <w:color w:val="000000" w:themeColor="text1"/>
          <w:sz w:val="24"/>
          <w:szCs w:val="24"/>
        </w:rPr>
        <w:t>choroby zakaźnej</w:t>
      </w:r>
      <w:r>
        <w:rPr>
          <w:rFonts w:eastAsia="Calibri" w:cstheme="minorHAnsi"/>
          <w:color w:val="000000" w:themeColor="text1"/>
          <w:sz w:val="24"/>
          <w:szCs w:val="24"/>
        </w:rPr>
        <w:t xml:space="preserve"> (</w:t>
      </w:r>
      <w:r w:rsidRPr="005E3BF0">
        <w:rPr>
          <w:rFonts w:eastAsia="Calibri" w:cstheme="minorHAnsi"/>
          <w:color w:val="000000" w:themeColor="text1"/>
          <w:sz w:val="24"/>
          <w:szCs w:val="24"/>
        </w:rPr>
        <w:t>o 5 więcej niż w roku poprzedzającym</w:t>
      </w:r>
      <w:r>
        <w:rPr>
          <w:rFonts w:eastAsia="Calibri" w:cstheme="minorHAnsi"/>
          <w:color w:val="000000" w:themeColor="text1"/>
          <w:sz w:val="24"/>
          <w:szCs w:val="24"/>
        </w:rPr>
        <w:t>)</w:t>
      </w:r>
      <w:r w:rsidRPr="005E3BF0">
        <w:rPr>
          <w:rFonts w:eastAsia="Calibri" w:cstheme="minorHAnsi"/>
          <w:color w:val="000000" w:themeColor="text1"/>
          <w:sz w:val="24"/>
          <w:szCs w:val="24"/>
        </w:rPr>
        <w:t>.</w:t>
      </w:r>
      <w:r>
        <w:rPr>
          <w:rFonts w:eastAsia="Calibri" w:cstheme="minorHAnsi"/>
          <w:color w:val="000000" w:themeColor="text1"/>
          <w:sz w:val="24"/>
          <w:szCs w:val="24"/>
        </w:rPr>
        <w:t xml:space="preserve"> </w:t>
      </w:r>
      <w:r w:rsidRPr="00345541">
        <w:rPr>
          <w:rFonts w:eastAsia="Calibri" w:cstheme="minorHAnsi"/>
          <w:color w:val="000000" w:themeColor="text1"/>
          <w:sz w:val="24"/>
          <w:szCs w:val="24"/>
        </w:rPr>
        <w:t>Największy udział w ogólnej liczbie zgonów miały zgony z powodu posocznicy (łącznie), które stanowiły 43,09% wszystkich zgłoszeń, zgony z powodu zakażenia wirusem SARS-CoV-2 – 18,23% oraz zgony z powodu zapalenia płuc (łącznie) – 16,02%. Pozostałe zarejestrowane zgony spowodowane były: gruźlicą płuc (łącznie) – 8,29%, grypą – 3,31%, zapaleniem jelita cienkiego i grubego wywołanym przez C. difficile – 3,31%, chorobą wywołaną przez HIV – 2,21%. Odnotowano również pojedyncze przypadki zgonów z</w:t>
      </w:r>
      <w:r w:rsidR="007B1BEB">
        <w:rPr>
          <w:rFonts w:eastAsia="Calibri" w:cstheme="minorHAnsi"/>
          <w:color w:val="000000" w:themeColor="text1"/>
          <w:sz w:val="24"/>
          <w:szCs w:val="24"/>
        </w:rPr>
        <w:t> </w:t>
      </w:r>
      <w:r w:rsidRPr="00345541">
        <w:rPr>
          <w:rFonts w:eastAsia="Calibri" w:cstheme="minorHAnsi"/>
          <w:color w:val="000000" w:themeColor="text1"/>
          <w:sz w:val="24"/>
          <w:szCs w:val="24"/>
        </w:rPr>
        <w:t>następujących powodów: malarii, legionelozy, choroby Creutzfeldta-Jacoba, zakażenia wywołanego przez inne prątki, bakteriemii meningokokowej, nieokreślonej, zapalenia mózgu, rdzenia kręgowego oraz zapalenia mózgu i rdzenia kręgowego, nieokreślonego oraz zakażenia układu moczowego o nieokreślonym umiejscowieniu.</w:t>
      </w:r>
    </w:p>
    <w:p w14:paraId="23C5F692" w14:textId="3DCACBA7" w:rsidR="005F15E8" w:rsidRPr="005F15E8" w:rsidRDefault="000B4D72" w:rsidP="00597239">
      <w:pPr>
        <w:pStyle w:val="Nagwek2"/>
        <w:numPr>
          <w:ilvl w:val="0"/>
          <w:numId w:val="37"/>
        </w:numPr>
        <w:ind w:left="284" w:hanging="284"/>
        <w:jc w:val="left"/>
      </w:pPr>
      <w:bookmarkStart w:id="145" w:name="_Toc192678712"/>
      <w:bookmarkStart w:id="146" w:name="_Toc193694452"/>
      <w:bookmarkStart w:id="147" w:name="_Toc194059790"/>
      <w:bookmarkEnd w:id="144"/>
      <w:r w:rsidRPr="001C08CC">
        <w:t>Szczepienia ochronne</w:t>
      </w:r>
      <w:bookmarkEnd w:id="145"/>
      <w:bookmarkEnd w:id="146"/>
      <w:bookmarkEnd w:id="147"/>
    </w:p>
    <w:p w14:paraId="4CBA43BF" w14:textId="705A1D0A" w:rsidR="000B4D72" w:rsidRPr="001C08CC" w:rsidRDefault="000B4D72" w:rsidP="00597239">
      <w:pPr>
        <w:pStyle w:val="Nagwek3"/>
        <w:numPr>
          <w:ilvl w:val="0"/>
          <w:numId w:val="38"/>
        </w:numPr>
        <w:ind w:left="568" w:hanging="284"/>
      </w:pPr>
      <w:bookmarkStart w:id="148" w:name="_Toc192678713"/>
      <w:bookmarkStart w:id="149" w:name="_Toc193694453"/>
      <w:bookmarkStart w:id="150" w:name="_Toc194059791"/>
      <w:r w:rsidRPr="001C08CC">
        <w:t>Realizacja programu szczepień ochronnych (PSO)</w:t>
      </w:r>
      <w:bookmarkEnd w:id="148"/>
      <w:bookmarkEnd w:id="149"/>
      <w:bookmarkEnd w:id="150"/>
    </w:p>
    <w:p w14:paraId="20C5E356" w14:textId="77777777" w:rsidR="000B4D72" w:rsidRPr="006058D2" w:rsidRDefault="000B4D72" w:rsidP="00597239">
      <w:pPr>
        <w:spacing w:after="0" w:line="276" w:lineRule="auto"/>
        <w:rPr>
          <w:rFonts w:eastAsia="Times New Roman" w:cstheme="minorHAnsi"/>
          <w:sz w:val="24"/>
          <w:szCs w:val="24"/>
          <w:lang w:eastAsia="pl-PL"/>
        </w:rPr>
      </w:pPr>
      <w:r w:rsidRPr="006058D2">
        <w:rPr>
          <w:rFonts w:eastAsia="Times New Roman" w:cstheme="minorHAnsi"/>
          <w:sz w:val="24"/>
          <w:szCs w:val="24"/>
          <w:lang w:eastAsia="pl-PL"/>
        </w:rPr>
        <w:t>W 2024 r. PSO na terenie woj. zachodniopomorskiego realizowany był przez 308 świadczeniodawców w 44</w:t>
      </w:r>
      <w:r>
        <w:rPr>
          <w:rFonts w:eastAsia="Times New Roman" w:cstheme="minorHAnsi"/>
          <w:sz w:val="24"/>
          <w:szCs w:val="24"/>
          <w:lang w:eastAsia="pl-PL"/>
        </w:rPr>
        <w:t>3</w:t>
      </w:r>
      <w:r w:rsidRPr="006058D2">
        <w:rPr>
          <w:rFonts w:eastAsia="Times New Roman" w:cstheme="minorHAnsi"/>
          <w:sz w:val="24"/>
          <w:szCs w:val="24"/>
          <w:lang w:eastAsia="pl-PL"/>
        </w:rPr>
        <w:t xml:space="preserve"> gabinetach szczepień, w tym w:</w:t>
      </w:r>
    </w:p>
    <w:p w14:paraId="62AF11C3" w14:textId="77777777" w:rsidR="000B4D72" w:rsidRPr="006058D2" w:rsidRDefault="000B4D72" w:rsidP="00597239">
      <w:pPr>
        <w:numPr>
          <w:ilvl w:val="0"/>
          <w:numId w:val="21"/>
        </w:numPr>
        <w:spacing w:after="0" w:line="276" w:lineRule="auto"/>
        <w:ind w:left="357" w:firstLine="69"/>
        <w:rPr>
          <w:rFonts w:eastAsia="Times New Roman" w:cstheme="minorHAnsi"/>
          <w:sz w:val="24"/>
          <w:szCs w:val="24"/>
          <w:lang w:eastAsia="pl-PL"/>
        </w:rPr>
      </w:pPr>
      <w:r w:rsidRPr="006058D2">
        <w:rPr>
          <w:rFonts w:eastAsia="Times New Roman" w:cstheme="minorHAnsi"/>
          <w:sz w:val="24"/>
          <w:szCs w:val="24"/>
          <w:lang w:eastAsia="pl-PL"/>
        </w:rPr>
        <w:t>18 oddziałach noworodkowych</w:t>
      </w:r>
      <w:r>
        <w:rPr>
          <w:rFonts w:eastAsia="Times New Roman" w:cstheme="minorHAnsi"/>
          <w:sz w:val="24"/>
          <w:szCs w:val="24"/>
          <w:lang w:eastAsia="pl-PL"/>
        </w:rPr>
        <w:t>,</w:t>
      </w:r>
    </w:p>
    <w:p w14:paraId="71495688"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22 izbach przyjęć lub Szpitalnych Oddziałach Ratunkowych</w:t>
      </w:r>
      <w:r>
        <w:rPr>
          <w:rFonts w:eastAsia="Times New Roman" w:cstheme="minorHAnsi"/>
          <w:sz w:val="24"/>
          <w:szCs w:val="24"/>
          <w:lang w:eastAsia="pl-PL"/>
        </w:rPr>
        <w:t>,</w:t>
      </w:r>
    </w:p>
    <w:p w14:paraId="25898071"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4 oddziałach chirurgicznych</w:t>
      </w:r>
      <w:r>
        <w:rPr>
          <w:rFonts w:eastAsia="Times New Roman" w:cstheme="minorHAnsi"/>
          <w:sz w:val="24"/>
          <w:szCs w:val="24"/>
          <w:lang w:eastAsia="pl-PL"/>
        </w:rPr>
        <w:t>,</w:t>
      </w:r>
    </w:p>
    <w:p w14:paraId="27112B38"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31 gabinetach szczepień dla dzieci i młodzieży</w:t>
      </w:r>
      <w:r>
        <w:rPr>
          <w:rFonts w:eastAsia="Times New Roman" w:cstheme="minorHAnsi"/>
          <w:sz w:val="24"/>
          <w:szCs w:val="24"/>
          <w:lang w:eastAsia="pl-PL"/>
        </w:rPr>
        <w:t>,</w:t>
      </w:r>
    </w:p>
    <w:p w14:paraId="58B3D7B6"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lastRenderedPageBreak/>
        <w:t>314 gabinetach szczepień wspólnych dla dzieci i dorosłych</w:t>
      </w:r>
      <w:r>
        <w:rPr>
          <w:rFonts w:eastAsia="Times New Roman" w:cstheme="minorHAnsi"/>
          <w:sz w:val="24"/>
          <w:szCs w:val="24"/>
          <w:lang w:eastAsia="pl-PL"/>
        </w:rPr>
        <w:t>,</w:t>
      </w:r>
    </w:p>
    <w:p w14:paraId="06674F31"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39 gabinetach szczepień dla dorosłych</w:t>
      </w:r>
      <w:r>
        <w:rPr>
          <w:rFonts w:eastAsia="Times New Roman" w:cstheme="minorHAnsi"/>
          <w:sz w:val="24"/>
          <w:szCs w:val="24"/>
          <w:lang w:eastAsia="pl-PL"/>
        </w:rPr>
        <w:t>,</w:t>
      </w:r>
    </w:p>
    <w:p w14:paraId="4455B7C2"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2 w szkołach podstawowych, gimnazjach i liceach</w:t>
      </w:r>
      <w:r>
        <w:rPr>
          <w:rFonts w:eastAsia="Times New Roman" w:cstheme="minorHAnsi"/>
          <w:sz w:val="24"/>
          <w:szCs w:val="24"/>
          <w:lang w:eastAsia="pl-PL"/>
        </w:rPr>
        <w:t>,</w:t>
      </w:r>
    </w:p>
    <w:p w14:paraId="277766B8"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3 poradniach profilaktyki wścieklizny</w:t>
      </w:r>
      <w:r>
        <w:rPr>
          <w:rFonts w:eastAsia="Times New Roman" w:cstheme="minorHAnsi"/>
          <w:sz w:val="24"/>
          <w:szCs w:val="24"/>
          <w:lang w:eastAsia="pl-PL"/>
        </w:rPr>
        <w:t>,</w:t>
      </w:r>
    </w:p>
    <w:p w14:paraId="2AAC6122"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3 stacjach dializ</w:t>
      </w:r>
      <w:r>
        <w:rPr>
          <w:rFonts w:eastAsia="Times New Roman" w:cstheme="minorHAnsi"/>
          <w:sz w:val="24"/>
          <w:szCs w:val="24"/>
          <w:lang w:eastAsia="pl-PL"/>
        </w:rPr>
        <w:t>,</w:t>
      </w:r>
    </w:p>
    <w:p w14:paraId="32172959" w14:textId="77777777" w:rsidR="000B4D72" w:rsidRPr="003038FD" w:rsidRDefault="000B4D72" w:rsidP="00597239">
      <w:pPr>
        <w:numPr>
          <w:ilvl w:val="0"/>
          <w:numId w:val="21"/>
        </w:numPr>
        <w:spacing w:after="0" w:line="276" w:lineRule="auto"/>
        <w:ind w:left="357" w:firstLine="69"/>
        <w:rPr>
          <w:rFonts w:eastAsia="Times New Roman" w:cstheme="minorHAnsi"/>
          <w:sz w:val="24"/>
          <w:szCs w:val="24"/>
          <w:lang w:eastAsia="pl-PL"/>
        </w:rPr>
      </w:pPr>
      <w:r w:rsidRPr="003038FD">
        <w:rPr>
          <w:rFonts w:eastAsia="Times New Roman" w:cstheme="minorHAnsi"/>
          <w:sz w:val="24"/>
          <w:szCs w:val="24"/>
          <w:lang w:eastAsia="pl-PL"/>
        </w:rPr>
        <w:t>4 poradniach zakładowych</w:t>
      </w:r>
      <w:r>
        <w:rPr>
          <w:rFonts w:eastAsia="Times New Roman" w:cstheme="minorHAnsi"/>
          <w:sz w:val="24"/>
          <w:szCs w:val="24"/>
          <w:lang w:eastAsia="pl-PL"/>
        </w:rPr>
        <w:t>,</w:t>
      </w:r>
    </w:p>
    <w:p w14:paraId="3D9A068F" w14:textId="77777777" w:rsidR="000B4D72" w:rsidRPr="003038FD" w:rsidRDefault="000B4D72" w:rsidP="00597239">
      <w:pPr>
        <w:numPr>
          <w:ilvl w:val="0"/>
          <w:numId w:val="21"/>
        </w:numPr>
        <w:spacing w:after="120" w:line="276" w:lineRule="auto"/>
        <w:ind w:left="357" w:firstLine="68"/>
        <w:rPr>
          <w:rFonts w:eastAsia="Times New Roman" w:cstheme="minorHAnsi"/>
          <w:sz w:val="24"/>
          <w:szCs w:val="24"/>
          <w:lang w:eastAsia="pl-PL"/>
        </w:rPr>
      </w:pPr>
      <w:r w:rsidRPr="003038FD">
        <w:rPr>
          <w:rFonts w:eastAsia="Times New Roman" w:cstheme="minorHAnsi"/>
          <w:sz w:val="24"/>
          <w:szCs w:val="24"/>
          <w:lang w:eastAsia="pl-PL"/>
        </w:rPr>
        <w:t>3 innych gabinetach szczepień.</w:t>
      </w:r>
    </w:p>
    <w:p w14:paraId="58FA83E0" w14:textId="3A35C378" w:rsidR="000B4D72" w:rsidRDefault="000B4D72" w:rsidP="00597239">
      <w:pPr>
        <w:spacing w:after="0" w:line="276" w:lineRule="auto"/>
        <w:rPr>
          <w:rFonts w:eastAsia="Times New Roman" w:cstheme="minorHAnsi"/>
          <w:sz w:val="24"/>
          <w:szCs w:val="24"/>
          <w:lang w:eastAsia="pl-PL"/>
        </w:rPr>
      </w:pPr>
      <w:r w:rsidRPr="003038FD">
        <w:rPr>
          <w:rFonts w:eastAsia="Times New Roman" w:cstheme="minorHAnsi"/>
          <w:sz w:val="24"/>
          <w:szCs w:val="24"/>
          <w:lang w:eastAsia="pl-PL"/>
        </w:rPr>
        <w:t>U świadczeniodawców na zakończenie roku znajdowało się 290406 kart uodpornienia dzieci i</w:t>
      </w:r>
      <w:r w:rsidR="0063333E">
        <w:rPr>
          <w:rFonts w:eastAsia="Times New Roman" w:cstheme="minorHAnsi"/>
          <w:sz w:val="24"/>
          <w:szCs w:val="24"/>
          <w:lang w:eastAsia="pl-PL"/>
        </w:rPr>
        <w:t> </w:t>
      </w:r>
      <w:r w:rsidRPr="003038FD">
        <w:rPr>
          <w:rFonts w:eastAsia="Times New Roman" w:cstheme="minorHAnsi"/>
          <w:sz w:val="24"/>
          <w:szCs w:val="24"/>
          <w:lang w:eastAsia="pl-PL"/>
        </w:rPr>
        <w:t>młodzieży do 20 r.ż.</w:t>
      </w:r>
    </w:p>
    <w:p w14:paraId="6C856E12" w14:textId="77777777" w:rsidR="0063333E" w:rsidRDefault="0063333E" w:rsidP="00597239">
      <w:pPr>
        <w:spacing w:after="0" w:line="276" w:lineRule="auto"/>
        <w:rPr>
          <w:rFonts w:eastAsia="Times New Roman" w:cstheme="minorHAnsi"/>
          <w:sz w:val="24"/>
          <w:szCs w:val="24"/>
          <w:lang w:eastAsia="pl-PL"/>
        </w:rPr>
      </w:pPr>
    </w:p>
    <w:p w14:paraId="1DA1FFBE" w14:textId="45F53F2D" w:rsidR="000B4D72" w:rsidRPr="003038FD" w:rsidRDefault="000B4D72" w:rsidP="00597239">
      <w:pPr>
        <w:spacing w:after="0" w:line="276" w:lineRule="auto"/>
        <w:rPr>
          <w:rFonts w:eastAsia="Times New Roman" w:cstheme="minorHAnsi"/>
          <w:sz w:val="24"/>
          <w:szCs w:val="24"/>
          <w:lang w:eastAsia="pl-PL"/>
        </w:rPr>
      </w:pPr>
      <w:r w:rsidRPr="003038FD">
        <w:rPr>
          <w:rFonts w:eastAsia="Times New Roman" w:cstheme="minorHAnsi"/>
          <w:sz w:val="24"/>
          <w:szCs w:val="24"/>
          <w:lang w:eastAsia="pl-PL"/>
        </w:rPr>
        <w:t xml:space="preserve">Pielęgniarki wykonujące obowiązkowe szczepienia ochronne </w:t>
      </w:r>
      <w:r>
        <w:rPr>
          <w:rFonts w:eastAsia="Times New Roman" w:cstheme="minorHAnsi"/>
          <w:sz w:val="24"/>
          <w:szCs w:val="24"/>
          <w:lang w:eastAsia="pl-PL"/>
        </w:rPr>
        <w:t>spełniały wymagane kwalifikacje</w:t>
      </w:r>
      <w:r w:rsidRPr="003038FD">
        <w:rPr>
          <w:rFonts w:eastAsia="Times New Roman" w:cstheme="minorHAnsi"/>
          <w:sz w:val="24"/>
          <w:szCs w:val="24"/>
          <w:lang w:eastAsia="pl-PL"/>
        </w:rPr>
        <w:t xml:space="preserve">. </w:t>
      </w:r>
    </w:p>
    <w:p w14:paraId="0D4252C6" w14:textId="77777777" w:rsidR="0063333E" w:rsidRDefault="0063333E" w:rsidP="00597239">
      <w:pPr>
        <w:spacing w:after="0" w:line="276" w:lineRule="auto"/>
        <w:rPr>
          <w:rFonts w:eastAsia="Times New Roman" w:cstheme="minorHAnsi"/>
          <w:sz w:val="24"/>
          <w:szCs w:val="24"/>
          <w:lang w:eastAsia="pl-PL"/>
        </w:rPr>
      </w:pPr>
    </w:p>
    <w:p w14:paraId="6ADCEDEB" w14:textId="777F69FB" w:rsidR="000B4D72" w:rsidRPr="00930D92" w:rsidRDefault="000B4D72" w:rsidP="00597239">
      <w:pPr>
        <w:spacing w:after="0" w:line="276" w:lineRule="auto"/>
        <w:rPr>
          <w:rFonts w:eastAsia="Times New Roman" w:cstheme="minorHAnsi"/>
          <w:sz w:val="24"/>
          <w:szCs w:val="24"/>
          <w:lang w:eastAsia="pl-PL"/>
        </w:rPr>
      </w:pPr>
      <w:r w:rsidRPr="00930D92">
        <w:rPr>
          <w:rFonts w:eastAsia="Times New Roman" w:cstheme="minorHAnsi"/>
          <w:sz w:val="24"/>
          <w:szCs w:val="24"/>
          <w:lang w:eastAsia="pl-PL"/>
        </w:rPr>
        <w:t>W ramach nadzoru nad realizacją szczepień ochronnych przeprowadzono 730 kontrol</w:t>
      </w:r>
      <w:r>
        <w:rPr>
          <w:rFonts w:eastAsia="Times New Roman" w:cstheme="minorHAnsi"/>
          <w:sz w:val="24"/>
          <w:szCs w:val="24"/>
          <w:lang w:eastAsia="pl-PL"/>
        </w:rPr>
        <w:t>i</w:t>
      </w:r>
      <w:r w:rsidRPr="00930D92">
        <w:rPr>
          <w:rFonts w:eastAsia="Times New Roman" w:cstheme="minorHAnsi"/>
          <w:sz w:val="24"/>
          <w:szCs w:val="24"/>
          <w:lang w:eastAsia="pl-PL"/>
        </w:rPr>
        <w:t xml:space="preserve"> w</w:t>
      </w:r>
      <w:r w:rsidR="0063333E">
        <w:rPr>
          <w:rFonts w:eastAsia="Times New Roman" w:cstheme="minorHAnsi"/>
          <w:sz w:val="24"/>
          <w:szCs w:val="24"/>
          <w:lang w:eastAsia="pl-PL"/>
        </w:rPr>
        <w:t> </w:t>
      </w:r>
      <w:r w:rsidRPr="00930D92">
        <w:rPr>
          <w:rFonts w:eastAsia="Times New Roman" w:cstheme="minorHAnsi"/>
          <w:sz w:val="24"/>
          <w:szCs w:val="24"/>
          <w:lang w:eastAsia="pl-PL"/>
        </w:rPr>
        <w:t>podmiotach działalności leczniczej, w obrębie których funkcjonują gabinety wykonujące szczepienia ochronne (z uwzględnieniem oddziałów noworodkowych). Skontrolowane gabinety szczepień na ogół spełniają wymagania jakim powinny odpowiadać gabinety o</w:t>
      </w:r>
      <w:r w:rsidR="007B1BEB">
        <w:rPr>
          <w:rFonts w:eastAsia="Times New Roman" w:cstheme="minorHAnsi"/>
          <w:sz w:val="24"/>
          <w:szCs w:val="24"/>
          <w:lang w:eastAsia="pl-PL"/>
        </w:rPr>
        <w:t> </w:t>
      </w:r>
      <w:r w:rsidRPr="00930D92">
        <w:rPr>
          <w:rFonts w:eastAsia="Times New Roman" w:cstheme="minorHAnsi"/>
          <w:sz w:val="24"/>
          <w:szCs w:val="24"/>
          <w:lang w:eastAsia="pl-PL"/>
        </w:rPr>
        <w:t>charakterze zabiegowym. W trakcie czynności kontrolnych stwierdzono 134 uchybienia, w</w:t>
      </w:r>
      <w:r w:rsidR="007B1BEB">
        <w:rPr>
          <w:rFonts w:eastAsia="Times New Roman" w:cstheme="minorHAnsi"/>
          <w:sz w:val="24"/>
          <w:szCs w:val="24"/>
          <w:lang w:eastAsia="pl-PL"/>
        </w:rPr>
        <w:t> </w:t>
      </w:r>
      <w:r w:rsidRPr="00930D92">
        <w:rPr>
          <w:rFonts w:eastAsia="Times New Roman" w:cstheme="minorHAnsi"/>
          <w:sz w:val="24"/>
          <w:szCs w:val="24"/>
          <w:lang w:eastAsia="pl-PL"/>
        </w:rPr>
        <w:t>tym</w:t>
      </w:r>
      <w:r>
        <w:rPr>
          <w:rFonts w:eastAsia="Times New Roman" w:cstheme="minorHAnsi"/>
          <w:sz w:val="24"/>
          <w:szCs w:val="24"/>
          <w:lang w:eastAsia="pl-PL"/>
        </w:rPr>
        <w:t xml:space="preserve"> m.in.</w:t>
      </w:r>
      <w:r w:rsidRPr="00930D92">
        <w:rPr>
          <w:rFonts w:eastAsia="Times New Roman" w:cstheme="minorHAnsi"/>
          <w:sz w:val="24"/>
          <w:szCs w:val="24"/>
          <w:lang w:eastAsia="pl-PL"/>
        </w:rPr>
        <w:t>:</w:t>
      </w:r>
      <w:r>
        <w:rPr>
          <w:rFonts w:eastAsia="Times New Roman" w:cstheme="minorHAnsi"/>
          <w:sz w:val="24"/>
          <w:szCs w:val="24"/>
          <w:lang w:eastAsia="pl-PL"/>
        </w:rPr>
        <w:t xml:space="preserve"> </w:t>
      </w:r>
      <w:r w:rsidRPr="00930D92">
        <w:rPr>
          <w:rFonts w:eastAsia="Times New Roman" w:cstheme="minorHAnsi"/>
          <w:sz w:val="24"/>
          <w:szCs w:val="24"/>
          <w:lang w:eastAsia="pl-PL"/>
        </w:rPr>
        <w:t xml:space="preserve">braki i opóźnienia w terminach realizacji szczepień </w:t>
      </w:r>
      <w:r>
        <w:rPr>
          <w:rFonts w:eastAsia="Times New Roman" w:cstheme="minorHAnsi"/>
          <w:sz w:val="24"/>
          <w:szCs w:val="24"/>
          <w:lang w:eastAsia="pl-PL"/>
        </w:rPr>
        <w:t xml:space="preserve">oraz </w:t>
      </w:r>
      <w:r w:rsidRPr="00930D92">
        <w:rPr>
          <w:rFonts w:eastAsia="Times New Roman" w:cstheme="minorHAnsi"/>
          <w:sz w:val="24"/>
          <w:szCs w:val="24"/>
          <w:lang w:eastAsia="pl-PL"/>
        </w:rPr>
        <w:t>nieprawidłowości w</w:t>
      </w:r>
      <w:r w:rsidR="007B1BEB">
        <w:rPr>
          <w:rFonts w:eastAsia="Times New Roman" w:cstheme="minorHAnsi"/>
          <w:sz w:val="24"/>
          <w:szCs w:val="24"/>
          <w:lang w:eastAsia="pl-PL"/>
        </w:rPr>
        <w:t> </w:t>
      </w:r>
      <w:r w:rsidRPr="00930D92">
        <w:rPr>
          <w:rFonts w:eastAsia="Times New Roman" w:cstheme="minorHAnsi"/>
          <w:sz w:val="24"/>
          <w:szCs w:val="24"/>
          <w:lang w:eastAsia="pl-PL"/>
        </w:rPr>
        <w:t>dokumentacji szczepień</w:t>
      </w:r>
      <w:r>
        <w:rPr>
          <w:rFonts w:eastAsia="Times New Roman" w:cstheme="minorHAnsi"/>
          <w:sz w:val="24"/>
          <w:szCs w:val="24"/>
          <w:lang w:eastAsia="pl-PL"/>
        </w:rPr>
        <w:t xml:space="preserve"> i </w:t>
      </w:r>
      <w:r w:rsidRPr="00930D92">
        <w:rPr>
          <w:rFonts w:eastAsia="Times New Roman" w:cstheme="minorHAnsi"/>
          <w:sz w:val="24"/>
          <w:szCs w:val="24"/>
          <w:lang w:eastAsia="pl-PL"/>
        </w:rPr>
        <w:t>brak lub niekompletne procedury</w:t>
      </w:r>
      <w:r>
        <w:rPr>
          <w:rFonts w:eastAsia="Times New Roman" w:cstheme="minorHAnsi"/>
          <w:sz w:val="24"/>
          <w:szCs w:val="24"/>
          <w:lang w:eastAsia="pl-PL"/>
        </w:rPr>
        <w:t>.</w:t>
      </w:r>
    </w:p>
    <w:p w14:paraId="52316133" w14:textId="77777777" w:rsidR="0063333E" w:rsidRDefault="0063333E" w:rsidP="00597239">
      <w:pPr>
        <w:spacing w:after="0" w:line="276" w:lineRule="auto"/>
        <w:rPr>
          <w:rFonts w:eastAsia="Times New Roman" w:cstheme="minorHAnsi"/>
          <w:sz w:val="24"/>
          <w:szCs w:val="24"/>
          <w:lang w:eastAsia="pl-PL"/>
        </w:rPr>
      </w:pPr>
    </w:p>
    <w:p w14:paraId="38A03EAB" w14:textId="2DA8C9D2" w:rsidR="000B4D72" w:rsidRPr="003038FD" w:rsidRDefault="000B4D72" w:rsidP="00597239">
      <w:pPr>
        <w:spacing w:after="0" w:line="276" w:lineRule="auto"/>
        <w:rPr>
          <w:rFonts w:eastAsia="Times New Roman" w:cstheme="minorHAnsi"/>
          <w:sz w:val="24"/>
          <w:szCs w:val="24"/>
          <w:lang w:eastAsia="pl-PL"/>
        </w:rPr>
      </w:pPr>
      <w:r w:rsidRPr="003038FD">
        <w:rPr>
          <w:rFonts w:eastAsia="Times New Roman" w:cstheme="minorHAnsi"/>
          <w:sz w:val="24"/>
          <w:szCs w:val="24"/>
          <w:lang w:eastAsia="pl-PL"/>
        </w:rPr>
        <w:t>Szczepienia obowiązkowe u dzieci i młodzieży oraz osób narażonych w sposób szczególny na zakażenie były realizowane przy użyciu preparatów szczepionkowych finansowanych z</w:t>
      </w:r>
      <w:r>
        <w:rPr>
          <w:rFonts w:eastAsia="Times New Roman" w:cstheme="minorHAnsi"/>
          <w:sz w:val="24"/>
          <w:szCs w:val="24"/>
          <w:lang w:eastAsia="pl-PL"/>
        </w:rPr>
        <w:t>e</w:t>
      </w:r>
      <w:r w:rsidRPr="003038FD">
        <w:rPr>
          <w:rFonts w:eastAsia="Times New Roman" w:cstheme="minorHAnsi"/>
          <w:sz w:val="24"/>
          <w:szCs w:val="24"/>
          <w:lang w:eastAsia="pl-PL"/>
        </w:rPr>
        <w:t xml:space="preserve"> środków znajdujących się w budżecie Ministra Zdrowia. Szczepienia obowiązkowe i zalecane u dzieci i młodzieży do 19 roku życia przeprowadzane są zgodnie z</w:t>
      </w:r>
      <w:r w:rsidR="007B1BEB">
        <w:rPr>
          <w:rFonts w:eastAsia="Times New Roman" w:cstheme="minorHAnsi"/>
          <w:sz w:val="24"/>
          <w:szCs w:val="24"/>
          <w:lang w:eastAsia="pl-PL"/>
        </w:rPr>
        <w:t> </w:t>
      </w:r>
      <w:r w:rsidRPr="003038FD">
        <w:rPr>
          <w:rFonts w:eastAsia="Times New Roman" w:cstheme="minorHAnsi"/>
          <w:sz w:val="24"/>
          <w:szCs w:val="24"/>
          <w:lang w:eastAsia="pl-PL"/>
        </w:rPr>
        <w:t xml:space="preserve">Rozporządzeniem Ministra Zdrowia z dnia 27 września 2023 r. </w:t>
      </w:r>
      <w:r w:rsidRPr="00E1236C">
        <w:rPr>
          <w:rFonts w:eastAsia="Times New Roman" w:cstheme="minorHAnsi"/>
          <w:sz w:val="24"/>
          <w:szCs w:val="24"/>
          <w:lang w:eastAsia="pl-PL"/>
        </w:rPr>
        <w:t>w sprawie obowiązkowych szczepień ochronnych</w:t>
      </w:r>
      <w:r w:rsidRPr="003038FD">
        <w:rPr>
          <w:rFonts w:eastAsia="Times New Roman" w:cstheme="minorHAnsi"/>
          <w:sz w:val="24"/>
          <w:szCs w:val="24"/>
          <w:lang w:eastAsia="pl-PL"/>
        </w:rPr>
        <w:t xml:space="preserve"> (Dz. U. z</w:t>
      </w:r>
      <w:r w:rsidR="0063333E">
        <w:rPr>
          <w:rFonts w:eastAsia="Times New Roman" w:cstheme="minorHAnsi"/>
          <w:sz w:val="24"/>
          <w:szCs w:val="24"/>
          <w:lang w:eastAsia="pl-PL"/>
        </w:rPr>
        <w:t> </w:t>
      </w:r>
      <w:r w:rsidRPr="003038FD">
        <w:rPr>
          <w:rFonts w:eastAsia="Times New Roman" w:cstheme="minorHAnsi"/>
          <w:sz w:val="24"/>
          <w:szCs w:val="24"/>
          <w:lang w:eastAsia="pl-PL"/>
        </w:rPr>
        <w:t>2023 r., poz. 2077 ze zm.)</w:t>
      </w:r>
      <w:r>
        <w:rPr>
          <w:rFonts w:eastAsia="Times New Roman" w:cstheme="minorHAnsi"/>
          <w:sz w:val="24"/>
          <w:szCs w:val="24"/>
          <w:lang w:eastAsia="pl-PL"/>
        </w:rPr>
        <w:t xml:space="preserve">, również w oparciu o zalecenia zawarte w </w:t>
      </w:r>
      <w:r w:rsidRPr="003038FD">
        <w:rPr>
          <w:rFonts w:eastAsia="Times New Roman" w:cstheme="minorHAnsi"/>
          <w:sz w:val="24"/>
          <w:szCs w:val="24"/>
          <w:lang w:eastAsia="pl-PL"/>
        </w:rPr>
        <w:t>Program</w:t>
      </w:r>
      <w:r>
        <w:rPr>
          <w:rFonts w:eastAsia="Times New Roman" w:cstheme="minorHAnsi"/>
          <w:sz w:val="24"/>
          <w:szCs w:val="24"/>
          <w:lang w:eastAsia="pl-PL"/>
        </w:rPr>
        <w:t>ie</w:t>
      </w:r>
      <w:r w:rsidRPr="003038FD">
        <w:rPr>
          <w:rFonts w:eastAsia="Times New Roman" w:cstheme="minorHAnsi"/>
          <w:sz w:val="24"/>
          <w:szCs w:val="24"/>
          <w:lang w:eastAsia="pl-PL"/>
        </w:rPr>
        <w:t xml:space="preserve"> Szczepień Ochronnych (PSO) na 2024 rok stanowiącym załącznik do</w:t>
      </w:r>
      <w:r w:rsidR="002E1F9D">
        <w:rPr>
          <w:rFonts w:eastAsia="Times New Roman" w:cstheme="minorHAnsi"/>
          <w:sz w:val="24"/>
          <w:szCs w:val="24"/>
          <w:lang w:eastAsia="pl-PL"/>
        </w:rPr>
        <w:t> </w:t>
      </w:r>
      <w:r w:rsidRPr="003038FD">
        <w:rPr>
          <w:rFonts w:eastAsia="Times New Roman" w:cstheme="minorHAnsi"/>
          <w:sz w:val="24"/>
          <w:szCs w:val="24"/>
          <w:lang w:eastAsia="pl-PL"/>
        </w:rPr>
        <w:t>Komunikatu Głównego Inspektora Sanitarnego z dnia 27 października 2023 r. w sprawie Programu Szczepień Ochronnych na rok 2024 (Dz. Urz. MZ z</w:t>
      </w:r>
      <w:r>
        <w:rPr>
          <w:rFonts w:eastAsia="Times New Roman" w:cstheme="minorHAnsi"/>
          <w:sz w:val="24"/>
          <w:szCs w:val="24"/>
          <w:lang w:eastAsia="pl-PL"/>
        </w:rPr>
        <w:t xml:space="preserve"> </w:t>
      </w:r>
      <w:r w:rsidRPr="003038FD">
        <w:rPr>
          <w:rFonts w:eastAsia="Times New Roman" w:cstheme="minorHAnsi"/>
          <w:sz w:val="24"/>
          <w:szCs w:val="24"/>
          <w:lang w:eastAsia="pl-PL"/>
        </w:rPr>
        <w:t>2023 r. poz. 100).</w:t>
      </w:r>
    </w:p>
    <w:p w14:paraId="5C548C45" w14:textId="77777777" w:rsidR="0063333E" w:rsidRDefault="0063333E" w:rsidP="00597239">
      <w:pPr>
        <w:pStyle w:val="NormalnyWeb"/>
        <w:spacing w:before="0" w:beforeAutospacing="0" w:after="0" w:afterAutospacing="0" w:line="276" w:lineRule="auto"/>
        <w:rPr>
          <w:rFonts w:asciiTheme="minorHAnsi" w:hAnsiTheme="minorHAnsi" w:cstheme="minorHAnsi"/>
          <w:u w:val="single"/>
        </w:rPr>
      </w:pPr>
    </w:p>
    <w:p w14:paraId="7690E7FB" w14:textId="4B6AD404" w:rsidR="000B4D72" w:rsidRDefault="000B4D72" w:rsidP="00597239">
      <w:pPr>
        <w:pStyle w:val="NormalnyWeb"/>
        <w:spacing w:before="0" w:beforeAutospacing="0" w:after="0" w:afterAutospacing="0" w:line="276" w:lineRule="auto"/>
        <w:rPr>
          <w:rFonts w:asciiTheme="minorHAnsi" w:hAnsiTheme="minorHAnsi" w:cstheme="minorHAnsi"/>
          <w:bCs/>
        </w:rPr>
      </w:pPr>
      <w:r w:rsidRPr="00061DF1">
        <w:rPr>
          <w:rFonts w:asciiTheme="minorHAnsi" w:hAnsiTheme="minorHAnsi" w:cstheme="minorHAnsi"/>
          <w:u w:val="single"/>
        </w:rPr>
        <w:t>Powszechny program szczepień przeciw HPV</w:t>
      </w:r>
      <w:r w:rsidRPr="00AE281E">
        <w:rPr>
          <w:rFonts w:asciiTheme="minorHAnsi" w:hAnsiTheme="minorHAnsi" w:cstheme="minorHAnsi"/>
        </w:rPr>
        <w:t>, który realizuje założenia i cele Narodowej Strategii Onkologicznej na lata 2020-2030 uzupełnia bezpłatny program szczepień ochronnych dla dzieci i młodzieży o szczepienie</w:t>
      </w:r>
      <w:r>
        <w:rPr>
          <w:rFonts w:asciiTheme="minorHAnsi" w:hAnsiTheme="minorHAnsi" w:cstheme="minorHAnsi"/>
        </w:rPr>
        <w:t>.</w:t>
      </w:r>
      <w:r w:rsidRPr="00AE281E">
        <w:rPr>
          <w:rFonts w:asciiTheme="minorHAnsi" w:hAnsiTheme="minorHAnsi" w:cstheme="minorHAnsi"/>
        </w:rPr>
        <w:t xml:space="preserve"> </w:t>
      </w:r>
      <w:r>
        <w:rPr>
          <w:rFonts w:asciiTheme="minorHAnsi" w:hAnsiTheme="minorHAnsi" w:cstheme="minorHAnsi"/>
          <w:bCs/>
        </w:rPr>
        <w:t xml:space="preserve">Od 1 września 2024 r. szczepienia przeciw HPV dostępne są dla osób po ukończeniu 9 r. ż. do ukończenia 14 r. ż. i realizowane są w każdej przychodni POZ. Ponadto od 1 września 2024 r. podmioty POZ mają możliwość realizacji szczepień przeciw HPV również w szkołach podstawowych, w trybie wyjazdowym. </w:t>
      </w:r>
    </w:p>
    <w:p w14:paraId="45316725" w14:textId="77777777" w:rsidR="0063333E" w:rsidRDefault="0063333E" w:rsidP="00597239">
      <w:pPr>
        <w:pStyle w:val="NormalnyWeb"/>
        <w:spacing w:before="0" w:beforeAutospacing="0" w:after="0" w:afterAutospacing="0" w:line="276" w:lineRule="auto"/>
        <w:rPr>
          <w:rFonts w:asciiTheme="minorHAnsi" w:hAnsiTheme="minorHAnsi" w:cstheme="minorHAnsi"/>
          <w:bCs/>
        </w:rPr>
      </w:pPr>
    </w:p>
    <w:p w14:paraId="30207B6D" w14:textId="329625B5" w:rsidR="000B4D72" w:rsidRDefault="000B4D72" w:rsidP="00597239">
      <w:pPr>
        <w:pStyle w:val="NormalnyWeb"/>
        <w:spacing w:before="0" w:beforeAutospacing="0" w:after="0" w:afterAutospacing="0" w:line="276" w:lineRule="auto"/>
        <w:rPr>
          <w:rFonts w:asciiTheme="minorHAnsi" w:hAnsiTheme="minorHAnsi" w:cstheme="minorHAnsi"/>
          <w:bCs/>
        </w:rPr>
      </w:pPr>
      <w:r>
        <w:rPr>
          <w:rFonts w:asciiTheme="minorHAnsi" w:hAnsiTheme="minorHAnsi" w:cstheme="minorHAnsi"/>
          <w:bCs/>
        </w:rPr>
        <w:t>W woj. zachodniopomorskim zaszczepiono dotychczas ok. 20% dzieci z rocznika 2010, ok. 27% dzieci z rocznika 2011 oraz ok. 17% dzieci z rocznika 2012.</w:t>
      </w:r>
    </w:p>
    <w:p w14:paraId="54146F3F" w14:textId="77777777" w:rsidR="0063333E" w:rsidRDefault="0063333E" w:rsidP="00597239">
      <w:pPr>
        <w:pStyle w:val="NormalnyWeb"/>
        <w:spacing w:before="0" w:beforeAutospacing="0" w:after="0" w:afterAutospacing="0" w:line="276" w:lineRule="auto"/>
        <w:rPr>
          <w:rFonts w:asciiTheme="minorHAnsi" w:hAnsiTheme="minorHAnsi" w:cstheme="minorHAnsi"/>
          <w:u w:val="single"/>
        </w:rPr>
      </w:pPr>
    </w:p>
    <w:p w14:paraId="692BC628" w14:textId="134EE0D8" w:rsidR="000B4D72" w:rsidRDefault="000B4D72" w:rsidP="00597239">
      <w:pPr>
        <w:pStyle w:val="NormalnyWeb"/>
        <w:spacing w:before="0" w:beforeAutospacing="0" w:after="0" w:afterAutospacing="0" w:line="276" w:lineRule="auto"/>
        <w:rPr>
          <w:rFonts w:cstheme="minorHAnsi"/>
        </w:rPr>
      </w:pPr>
      <w:r w:rsidRPr="00061DF1">
        <w:rPr>
          <w:rFonts w:asciiTheme="minorHAnsi" w:hAnsiTheme="minorHAnsi" w:cstheme="minorHAnsi"/>
          <w:u w:val="single"/>
        </w:rPr>
        <w:t>Szczepienia zalecane</w:t>
      </w:r>
      <w:r w:rsidRPr="002C092C">
        <w:rPr>
          <w:rFonts w:asciiTheme="minorHAnsi" w:hAnsiTheme="minorHAnsi" w:cstheme="minorHAnsi"/>
        </w:rPr>
        <w:t xml:space="preserve"> określone w części II PSO wykonywane były przez świadczeniodawców, z którymi NFZ zawarł umowy o udzielanie tych świadczeń oraz w</w:t>
      </w:r>
      <w:r w:rsidR="007B1BEB">
        <w:rPr>
          <w:rFonts w:asciiTheme="minorHAnsi" w:hAnsiTheme="minorHAnsi" w:cstheme="minorHAnsi"/>
        </w:rPr>
        <w:t> </w:t>
      </w:r>
      <w:r w:rsidRPr="002C092C">
        <w:rPr>
          <w:rFonts w:asciiTheme="minorHAnsi" w:hAnsiTheme="minorHAnsi" w:cstheme="minorHAnsi"/>
        </w:rPr>
        <w:t xml:space="preserve">prywatnych punktach szczepień ochronnych, których wykaz znajduje się na stronie internetowej Wojewódzkiej Stacji Sanitarno-Epidemiologicznej w Szczecinie pod linkiem </w:t>
      </w:r>
      <w:hyperlink r:id="rId23" w:history="1">
        <w:r w:rsidRPr="002C092C">
          <w:rPr>
            <w:rStyle w:val="Hipercze"/>
            <w:rFonts w:asciiTheme="minorHAnsi" w:hAnsiTheme="minorHAnsi" w:cstheme="minorHAnsi"/>
            <w:color w:val="auto"/>
          </w:rPr>
          <w:t>https://www.gov.pl/web/wsse-szczecin/oddzial-epidemiologii-szczepienia-ochronne</w:t>
        </w:r>
      </w:hyperlink>
      <w:r w:rsidRPr="002C092C">
        <w:rPr>
          <w:rFonts w:asciiTheme="minorHAnsi" w:hAnsiTheme="minorHAnsi" w:cstheme="minorHAnsi"/>
        </w:rPr>
        <w:t>.</w:t>
      </w:r>
      <w:r w:rsidRPr="00AB7ED5">
        <w:rPr>
          <w:rFonts w:cstheme="minorHAnsi"/>
        </w:rPr>
        <w:t xml:space="preserve"> </w:t>
      </w:r>
    </w:p>
    <w:p w14:paraId="69AC008C" w14:textId="77777777" w:rsidR="0063333E" w:rsidRDefault="0063333E" w:rsidP="00597239">
      <w:pPr>
        <w:pStyle w:val="NormalnyWeb"/>
        <w:spacing w:before="0" w:beforeAutospacing="0" w:after="0" w:afterAutospacing="0" w:line="276" w:lineRule="auto"/>
        <w:rPr>
          <w:rFonts w:asciiTheme="minorHAnsi" w:hAnsiTheme="minorHAnsi" w:cstheme="minorHAnsi"/>
        </w:rPr>
      </w:pPr>
    </w:p>
    <w:p w14:paraId="4F5DEA43" w14:textId="48DBB3D2" w:rsidR="000B4D72" w:rsidRPr="002C092C" w:rsidRDefault="000B4D72" w:rsidP="00597239">
      <w:pPr>
        <w:pStyle w:val="NormalnyWeb"/>
        <w:spacing w:before="0" w:beforeAutospacing="0" w:after="0" w:afterAutospacing="0" w:line="276" w:lineRule="auto"/>
        <w:rPr>
          <w:rFonts w:asciiTheme="minorHAnsi" w:hAnsiTheme="minorHAnsi" w:cstheme="minorHAnsi"/>
          <w:bCs/>
        </w:rPr>
      </w:pPr>
      <w:r>
        <w:rPr>
          <w:rFonts w:asciiTheme="minorHAnsi" w:hAnsiTheme="minorHAnsi" w:cstheme="minorHAnsi"/>
        </w:rPr>
        <w:t>Celem zabezpieczenia najmłodszych niemowląt przed krztuścem o</w:t>
      </w:r>
      <w:r w:rsidRPr="002C092C">
        <w:rPr>
          <w:rFonts w:asciiTheme="minorHAnsi" w:hAnsiTheme="minorHAnsi" w:cstheme="minorHAnsi"/>
        </w:rPr>
        <w:t xml:space="preserve">d 15 października 2024 r. wprowadzona została refundacja szczepionek </w:t>
      </w:r>
      <w:r>
        <w:rPr>
          <w:rFonts w:asciiTheme="minorHAnsi" w:hAnsiTheme="minorHAnsi" w:cstheme="minorHAnsi"/>
        </w:rPr>
        <w:t xml:space="preserve">zalecanych </w:t>
      </w:r>
      <w:r w:rsidRPr="002C092C">
        <w:rPr>
          <w:rFonts w:asciiTheme="minorHAnsi" w:hAnsiTheme="minorHAnsi" w:cstheme="minorHAnsi"/>
        </w:rPr>
        <w:t>Tdap dla kobiet w ciąży po</w:t>
      </w:r>
      <w:r w:rsidR="00020A86">
        <w:rPr>
          <w:rFonts w:asciiTheme="minorHAnsi" w:hAnsiTheme="minorHAnsi" w:cstheme="minorHAnsi"/>
        </w:rPr>
        <w:t> </w:t>
      </w:r>
      <w:r w:rsidRPr="002C092C">
        <w:rPr>
          <w:rFonts w:asciiTheme="minorHAnsi" w:hAnsiTheme="minorHAnsi" w:cstheme="minorHAnsi"/>
        </w:rPr>
        <w:t>ukończeniu 27. do 36. tygodnia ciąży.</w:t>
      </w:r>
    </w:p>
    <w:p w14:paraId="743437D0" w14:textId="77777777" w:rsidR="0063333E" w:rsidRDefault="0063333E" w:rsidP="00597239">
      <w:pPr>
        <w:spacing w:after="0" w:line="276" w:lineRule="auto"/>
        <w:rPr>
          <w:rFonts w:eastAsia="Times New Roman" w:cstheme="minorHAnsi"/>
          <w:sz w:val="24"/>
          <w:szCs w:val="24"/>
          <w:lang w:eastAsia="pl-PL"/>
        </w:rPr>
      </w:pPr>
    </w:p>
    <w:p w14:paraId="60F0DE3C" w14:textId="069DF106" w:rsidR="000B4D72" w:rsidRPr="00F10D12" w:rsidRDefault="000B4D72" w:rsidP="00597239">
      <w:pPr>
        <w:spacing w:after="0" w:line="276" w:lineRule="auto"/>
        <w:rPr>
          <w:rFonts w:eastAsia="Times New Roman" w:cstheme="minorHAnsi"/>
          <w:sz w:val="24"/>
          <w:szCs w:val="24"/>
          <w:lang w:eastAsia="pl-PL"/>
        </w:rPr>
      </w:pPr>
      <w:r w:rsidRPr="00F10D12">
        <w:rPr>
          <w:rFonts w:eastAsia="Times New Roman" w:cstheme="minorHAnsi"/>
          <w:sz w:val="24"/>
          <w:szCs w:val="24"/>
          <w:lang w:eastAsia="pl-PL"/>
        </w:rPr>
        <w:t>Szczepienia poekspozycyjne przeciw wściekliźnie wykonywane były w Specjalistycznych Poradniach Chorób Zakaźnych w Samodzielnym Publicznym Wojewódzkim Szpitalu Zespolonym w Szczecinie, Szpitalu Wojewódzkim w Koszalinie oraz 107 Szpitalu Wojskowym z Przychodnią w Wałczu.</w:t>
      </w:r>
    </w:p>
    <w:p w14:paraId="57A5A7D1" w14:textId="77777777" w:rsidR="0063333E" w:rsidRDefault="0063333E" w:rsidP="00597239">
      <w:pPr>
        <w:spacing w:after="0" w:line="276" w:lineRule="auto"/>
        <w:rPr>
          <w:rFonts w:eastAsia="Times New Roman" w:cstheme="minorHAnsi"/>
          <w:sz w:val="24"/>
          <w:szCs w:val="24"/>
          <w:lang w:eastAsia="pl-PL"/>
        </w:rPr>
      </w:pPr>
    </w:p>
    <w:p w14:paraId="138A9218" w14:textId="124E0F17" w:rsidR="000B4D72" w:rsidRPr="00F10D12" w:rsidRDefault="000B4D72" w:rsidP="00597239">
      <w:pPr>
        <w:spacing w:after="0" w:line="276" w:lineRule="auto"/>
        <w:rPr>
          <w:rFonts w:eastAsia="Times New Roman" w:cstheme="minorHAnsi"/>
          <w:sz w:val="24"/>
          <w:szCs w:val="24"/>
          <w:lang w:eastAsia="pl-PL"/>
        </w:rPr>
      </w:pPr>
      <w:r w:rsidRPr="00F10D12">
        <w:rPr>
          <w:rFonts w:eastAsia="Times New Roman" w:cstheme="minorHAnsi"/>
          <w:sz w:val="24"/>
          <w:szCs w:val="24"/>
          <w:lang w:eastAsia="pl-PL"/>
        </w:rPr>
        <w:t>Konsultacje specjalistyczne z zakresu szczepień ochronnych na terenie województwa udzielane były w 2024 r. w Samodzielnym Publicznym Wojewódzkim Szpitalu Zespolonym w</w:t>
      </w:r>
      <w:r w:rsidR="007B1BEB">
        <w:rPr>
          <w:rFonts w:eastAsia="Times New Roman" w:cstheme="minorHAnsi"/>
          <w:sz w:val="24"/>
          <w:szCs w:val="24"/>
          <w:lang w:eastAsia="pl-PL"/>
        </w:rPr>
        <w:t> </w:t>
      </w:r>
      <w:r w:rsidRPr="00F10D12">
        <w:rPr>
          <w:rFonts w:eastAsia="Times New Roman" w:cstheme="minorHAnsi"/>
          <w:sz w:val="24"/>
          <w:szCs w:val="24"/>
          <w:lang w:eastAsia="pl-PL"/>
        </w:rPr>
        <w:t>Szczecinie przy ulicy ul. Arkońskiej 4 w Poradni Chorób Zakaźnych dla Dzieci.</w:t>
      </w:r>
    </w:p>
    <w:p w14:paraId="3F9C873F" w14:textId="77777777" w:rsidR="0063333E" w:rsidRDefault="0063333E" w:rsidP="00597239">
      <w:pPr>
        <w:spacing w:after="0" w:line="276" w:lineRule="auto"/>
        <w:rPr>
          <w:rFonts w:eastAsia="Times New Roman" w:cstheme="minorHAnsi"/>
          <w:sz w:val="24"/>
          <w:szCs w:val="24"/>
          <w:lang w:eastAsia="pl-PL"/>
        </w:rPr>
      </w:pPr>
    </w:p>
    <w:p w14:paraId="46136495" w14:textId="0923DB30" w:rsidR="000B4D72" w:rsidRPr="00F10D12" w:rsidRDefault="000B4D72" w:rsidP="00597239">
      <w:pPr>
        <w:spacing w:after="0" w:line="276" w:lineRule="auto"/>
        <w:rPr>
          <w:rFonts w:eastAsia="Times New Roman" w:cstheme="minorHAnsi"/>
          <w:sz w:val="24"/>
          <w:szCs w:val="24"/>
          <w:lang w:eastAsia="pl-PL"/>
        </w:rPr>
      </w:pPr>
      <w:r>
        <w:rPr>
          <w:rFonts w:eastAsia="Times New Roman" w:cstheme="minorHAnsi"/>
          <w:sz w:val="24"/>
          <w:szCs w:val="24"/>
          <w:lang w:eastAsia="pl-PL"/>
        </w:rPr>
        <w:t xml:space="preserve">Na podstawie </w:t>
      </w:r>
      <w:r w:rsidRPr="00F10D12">
        <w:rPr>
          <w:rFonts w:eastAsia="Times New Roman" w:cstheme="minorHAnsi"/>
          <w:sz w:val="24"/>
          <w:szCs w:val="24"/>
          <w:lang w:eastAsia="pl-PL"/>
        </w:rPr>
        <w:t>dan</w:t>
      </w:r>
      <w:r>
        <w:rPr>
          <w:rFonts w:eastAsia="Times New Roman" w:cstheme="minorHAnsi"/>
          <w:sz w:val="24"/>
          <w:szCs w:val="24"/>
          <w:lang w:eastAsia="pl-PL"/>
        </w:rPr>
        <w:t>ych</w:t>
      </w:r>
      <w:r w:rsidRPr="00F10D12">
        <w:rPr>
          <w:rFonts w:eastAsia="Times New Roman" w:cstheme="minorHAnsi"/>
          <w:sz w:val="24"/>
          <w:szCs w:val="24"/>
          <w:lang w:eastAsia="pl-PL"/>
        </w:rPr>
        <w:t xml:space="preserve"> zawart</w:t>
      </w:r>
      <w:r>
        <w:rPr>
          <w:rFonts w:eastAsia="Times New Roman" w:cstheme="minorHAnsi"/>
          <w:sz w:val="24"/>
          <w:szCs w:val="24"/>
          <w:lang w:eastAsia="pl-PL"/>
        </w:rPr>
        <w:t>ych</w:t>
      </w:r>
      <w:r w:rsidRPr="00F10D12">
        <w:rPr>
          <w:rFonts w:eastAsia="Times New Roman" w:cstheme="minorHAnsi"/>
          <w:sz w:val="24"/>
          <w:szCs w:val="24"/>
          <w:lang w:eastAsia="pl-PL"/>
        </w:rPr>
        <w:t xml:space="preserve"> w rocznych sprawozdaniach ze szczepień ochronnych MZ-54 przekazywanych przez świadczeniodawców prowadzących szczepienia do właściwych państwowych powiatowych inspektorów sanitarnych</w:t>
      </w:r>
      <w:r>
        <w:rPr>
          <w:rFonts w:eastAsia="Times New Roman" w:cstheme="minorHAnsi"/>
          <w:sz w:val="24"/>
          <w:szCs w:val="24"/>
          <w:lang w:eastAsia="pl-PL"/>
        </w:rPr>
        <w:t xml:space="preserve"> </w:t>
      </w:r>
      <w:r w:rsidRPr="00F10D12">
        <w:rPr>
          <w:rFonts w:eastAsia="Times New Roman" w:cstheme="minorHAnsi"/>
          <w:sz w:val="24"/>
          <w:szCs w:val="24"/>
          <w:lang w:eastAsia="pl-PL"/>
        </w:rPr>
        <w:t>stwierdzono:</w:t>
      </w:r>
    </w:p>
    <w:p w14:paraId="71067501" w14:textId="77777777" w:rsidR="000B4D72" w:rsidRPr="00A45251" w:rsidRDefault="000B4D72" w:rsidP="00597239">
      <w:pPr>
        <w:pStyle w:val="Akapitzlist"/>
        <w:numPr>
          <w:ilvl w:val="0"/>
          <w:numId w:val="22"/>
        </w:numPr>
        <w:spacing w:after="0" w:line="276" w:lineRule="auto"/>
        <w:rPr>
          <w:rFonts w:cstheme="minorHAnsi"/>
          <w:sz w:val="24"/>
          <w:szCs w:val="24"/>
        </w:rPr>
      </w:pPr>
      <w:r w:rsidRPr="00A45251">
        <w:rPr>
          <w:rFonts w:cstheme="minorHAnsi"/>
          <w:sz w:val="24"/>
          <w:szCs w:val="24"/>
        </w:rPr>
        <w:t>w części roczników uległa zwiększeniu liczba dzieci i młodzieży nieobjętych szczepieniami w stosunku do roku 2023</w:t>
      </w:r>
      <w:r>
        <w:rPr>
          <w:rFonts w:cstheme="minorHAnsi"/>
          <w:sz w:val="24"/>
          <w:szCs w:val="24"/>
        </w:rPr>
        <w:t>,</w:t>
      </w:r>
    </w:p>
    <w:p w14:paraId="1FC38F24" w14:textId="77777777" w:rsidR="000B4D72" w:rsidRPr="00A45251" w:rsidRDefault="000B4D72" w:rsidP="00597239">
      <w:pPr>
        <w:pStyle w:val="Akapitzlist"/>
        <w:numPr>
          <w:ilvl w:val="0"/>
          <w:numId w:val="22"/>
        </w:numPr>
        <w:spacing w:after="0" w:line="276" w:lineRule="auto"/>
        <w:rPr>
          <w:rFonts w:cstheme="minorHAnsi"/>
          <w:sz w:val="24"/>
          <w:szCs w:val="24"/>
        </w:rPr>
      </w:pPr>
      <w:r w:rsidRPr="00A45251">
        <w:rPr>
          <w:rFonts w:cstheme="minorHAnsi"/>
          <w:sz w:val="24"/>
          <w:szCs w:val="24"/>
        </w:rPr>
        <w:t xml:space="preserve">zbyt niski </w:t>
      </w:r>
      <w:r>
        <w:rPr>
          <w:rFonts w:cstheme="minorHAnsi"/>
          <w:sz w:val="24"/>
          <w:szCs w:val="24"/>
        </w:rPr>
        <w:t xml:space="preserve">dla osiągnięcia odporności zbiorowiskowej </w:t>
      </w:r>
      <w:r w:rsidRPr="00A45251">
        <w:rPr>
          <w:rFonts w:cstheme="minorHAnsi"/>
          <w:sz w:val="24"/>
          <w:szCs w:val="24"/>
        </w:rPr>
        <w:t>odsetek stanu zaszczepienia dzieci i młodzieży w części roczników podlegających obowiązkowym szczepieniom ochronnym w 2024 roku</w:t>
      </w:r>
      <w:r>
        <w:rPr>
          <w:rFonts w:cstheme="minorHAnsi"/>
          <w:sz w:val="24"/>
          <w:szCs w:val="24"/>
        </w:rPr>
        <w:t>,</w:t>
      </w:r>
    </w:p>
    <w:p w14:paraId="2C572196" w14:textId="40454494" w:rsidR="000B4D72" w:rsidRPr="00A45251" w:rsidRDefault="000B4D72" w:rsidP="00597239">
      <w:pPr>
        <w:pStyle w:val="Akapitzlist"/>
        <w:numPr>
          <w:ilvl w:val="0"/>
          <w:numId w:val="22"/>
        </w:numPr>
        <w:spacing w:after="120" w:line="276" w:lineRule="auto"/>
        <w:ind w:left="714" w:hanging="357"/>
        <w:contextualSpacing w:val="0"/>
        <w:rPr>
          <w:rFonts w:cstheme="minorHAnsi"/>
          <w:sz w:val="24"/>
          <w:szCs w:val="24"/>
        </w:rPr>
      </w:pPr>
      <w:r w:rsidRPr="00A45251">
        <w:rPr>
          <w:rFonts w:cstheme="minorHAnsi"/>
          <w:sz w:val="24"/>
          <w:szCs w:val="24"/>
        </w:rPr>
        <w:t>nie objęto szczepieniami przeciw gruźlicy 317 dzieci z rocznika 2024 oraz 262 dzieci z</w:t>
      </w:r>
      <w:r w:rsidR="007B1BEB">
        <w:rPr>
          <w:rFonts w:cstheme="minorHAnsi"/>
          <w:sz w:val="24"/>
          <w:szCs w:val="24"/>
        </w:rPr>
        <w:t> </w:t>
      </w:r>
      <w:r w:rsidRPr="00A45251">
        <w:rPr>
          <w:rFonts w:cstheme="minorHAnsi"/>
          <w:sz w:val="24"/>
          <w:szCs w:val="24"/>
        </w:rPr>
        <w:t>rocznika 2023</w:t>
      </w:r>
      <w:r>
        <w:rPr>
          <w:rFonts w:cstheme="minorHAnsi"/>
          <w:sz w:val="24"/>
          <w:szCs w:val="24"/>
        </w:rPr>
        <w:t>.</w:t>
      </w:r>
    </w:p>
    <w:p w14:paraId="25B0323D" w14:textId="77777777" w:rsidR="000B4D72" w:rsidRPr="00A45251" w:rsidRDefault="000B4D72" w:rsidP="00597239">
      <w:pPr>
        <w:spacing w:after="0" w:line="276" w:lineRule="auto"/>
        <w:rPr>
          <w:rFonts w:eastAsia="Times New Roman" w:cstheme="minorHAnsi"/>
          <w:sz w:val="24"/>
          <w:szCs w:val="24"/>
          <w:lang w:eastAsia="pl-PL"/>
        </w:rPr>
      </w:pPr>
      <w:r w:rsidRPr="00A45251">
        <w:rPr>
          <w:rFonts w:eastAsia="Times New Roman" w:cstheme="minorHAnsi"/>
          <w:sz w:val="24"/>
          <w:szCs w:val="24"/>
          <w:lang w:eastAsia="pl-PL"/>
        </w:rPr>
        <w:t>Powyższa sytuacja została spowodowana:</w:t>
      </w:r>
    </w:p>
    <w:p w14:paraId="73841138" w14:textId="77777777" w:rsidR="000B4D72" w:rsidRPr="00A45251" w:rsidRDefault="000B4D72" w:rsidP="00597239">
      <w:pPr>
        <w:pStyle w:val="Akapitzlist"/>
        <w:numPr>
          <w:ilvl w:val="0"/>
          <w:numId w:val="23"/>
        </w:numPr>
        <w:spacing w:after="0" w:line="276" w:lineRule="auto"/>
        <w:rPr>
          <w:rFonts w:cstheme="minorHAnsi"/>
          <w:sz w:val="24"/>
          <w:szCs w:val="24"/>
        </w:rPr>
      </w:pPr>
      <w:r w:rsidRPr="00A45251">
        <w:rPr>
          <w:rFonts w:cstheme="minorHAnsi"/>
          <w:sz w:val="24"/>
          <w:szCs w:val="24"/>
        </w:rPr>
        <w:t>występującą na naszym terenie znaczną migracją ludności</w:t>
      </w:r>
      <w:r>
        <w:rPr>
          <w:rFonts w:cstheme="minorHAnsi"/>
          <w:sz w:val="24"/>
          <w:szCs w:val="24"/>
        </w:rPr>
        <w:t>,</w:t>
      </w:r>
    </w:p>
    <w:p w14:paraId="2C9580FD" w14:textId="77777777" w:rsidR="000B4D72" w:rsidRPr="00A45251" w:rsidRDefault="000B4D72" w:rsidP="00597239">
      <w:pPr>
        <w:pStyle w:val="Akapitzlist"/>
        <w:numPr>
          <w:ilvl w:val="0"/>
          <w:numId w:val="23"/>
        </w:numPr>
        <w:spacing w:after="0" w:line="276" w:lineRule="auto"/>
        <w:rPr>
          <w:rFonts w:cstheme="minorHAnsi"/>
          <w:sz w:val="24"/>
          <w:szCs w:val="24"/>
        </w:rPr>
      </w:pPr>
      <w:r w:rsidRPr="00A45251">
        <w:rPr>
          <w:rFonts w:cstheme="minorHAnsi"/>
          <w:sz w:val="24"/>
          <w:szCs w:val="24"/>
        </w:rPr>
        <w:t>powrotami dzieci, które przez pewien czas przebywały poza granicami kraju</w:t>
      </w:r>
      <w:r>
        <w:rPr>
          <w:rFonts w:cstheme="minorHAnsi"/>
          <w:sz w:val="24"/>
          <w:szCs w:val="24"/>
        </w:rPr>
        <w:t>,</w:t>
      </w:r>
    </w:p>
    <w:p w14:paraId="7E823642" w14:textId="77777777" w:rsidR="000B4D72" w:rsidRPr="00A45251" w:rsidRDefault="000B4D72" w:rsidP="00597239">
      <w:pPr>
        <w:pStyle w:val="Akapitzlist"/>
        <w:numPr>
          <w:ilvl w:val="0"/>
          <w:numId w:val="23"/>
        </w:numPr>
        <w:spacing w:after="0" w:line="276" w:lineRule="auto"/>
        <w:rPr>
          <w:rFonts w:cstheme="minorHAnsi"/>
          <w:sz w:val="24"/>
          <w:szCs w:val="24"/>
        </w:rPr>
      </w:pPr>
      <w:r w:rsidRPr="00A45251">
        <w:rPr>
          <w:rFonts w:cstheme="minorHAnsi"/>
          <w:sz w:val="24"/>
          <w:szCs w:val="24"/>
        </w:rPr>
        <w:t>przechowywaniem w kartotece szczepień kart uodpornienia dzieci przebywających obecnie poza granicami kraju</w:t>
      </w:r>
      <w:r>
        <w:rPr>
          <w:rFonts w:cstheme="minorHAnsi"/>
          <w:sz w:val="24"/>
          <w:szCs w:val="24"/>
        </w:rPr>
        <w:t>,</w:t>
      </w:r>
    </w:p>
    <w:p w14:paraId="646885B3" w14:textId="77777777" w:rsidR="000B4D72" w:rsidRPr="00A45251" w:rsidRDefault="000B4D72" w:rsidP="00597239">
      <w:pPr>
        <w:pStyle w:val="Akapitzlist"/>
        <w:numPr>
          <w:ilvl w:val="0"/>
          <w:numId w:val="23"/>
        </w:numPr>
        <w:spacing w:after="0" w:line="276" w:lineRule="auto"/>
        <w:rPr>
          <w:rFonts w:cstheme="minorHAnsi"/>
          <w:sz w:val="24"/>
          <w:szCs w:val="24"/>
        </w:rPr>
      </w:pPr>
      <w:r w:rsidRPr="00A45251">
        <w:rPr>
          <w:rFonts w:cstheme="minorHAnsi"/>
          <w:sz w:val="24"/>
          <w:szCs w:val="24"/>
        </w:rPr>
        <w:t>przypadkami wdrożenia szczepień według ułożonego przez lekarza indywidualnego kalendarza szczepień</w:t>
      </w:r>
      <w:r>
        <w:rPr>
          <w:rFonts w:cstheme="minorHAnsi"/>
          <w:sz w:val="24"/>
          <w:szCs w:val="24"/>
        </w:rPr>
        <w:t>,</w:t>
      </w:r>
    </w:p>
    <w:p w14:paraId="18DE0A75" w14:textId="77777777" w:rsidR="000B4D72" w:rsidRPr="00A45251" w:rsidRDefault="000B4D72" w:rsidP="00597239">
      <w:pPr>
        <w:pStyle w:val="Akapitzlist"/>
        <w:numPr>
          <w:ilvl w:val="0"/>
          <w:numId w:val="23"/>
        </w:numPr>
        <w:spacing w:after="0" w:line="276" w:lineRule="auto"/>
        <w:rPr>
          <w:rFonts w:cstheme="minorHAnsi"/>
          <w:sz w:val="24"/>
          <w:szCs w:val="24"/>
        </w:rPr>
      </w:pPr>
      <w:r w:rsidRPr="00A45251">
        <w:rPr>
          <w:rFonts w:cstheme="minorHAnsi"/>
          <w:sz w:val="24"/>
          <w:szCs w:val="24"/>
        </w:rPr>
        <w:t>stałymi lub czasowymi przeciwwskazaniami do szczepień</w:t>
      </w:r>
      <w:r>
        <w:rPr>
          <w:rFonts w:cstheme="minorHAnsi"/>
          <w:sz w:val="24"/>
          <w:szCs w:val="24"/>
        </w:rPr>
        <w:t>,</w:t>
      </w:r>
    </w:p>
    <w:p w14:paraId="1943E999" w14:textId="7DD76DFD" w:rsidR="000B4D72" w:rsidRPr="00A45251" w:rsidRDefault="000B4D72" w:rsidP="00597239">
      <w:pPr>
        <w:pStyle w:val="Akapitzlist"/>
        <w:numPr>
          <w:ilvl w:val="0"/>
          <w:numId w:val="23"/>
        </w:numPr>
        <w:spacing w:after="0" w:line="276" w:lineRule="auto"/>
        <w:rPr>
          <w:rFonts w:cstheme="minorHAnsi"/>
          <w:sz w:val="24"/>
          <w:szCs w:val="24"/>
        </w:rPr>
      </w:pPr>
      <w:r w:rsidRPr="00A45251">
        <w:rPr>
          <w:rFonts w:cstheme="minorHAnsi"/>
          <w:sz w:val="24"/>
          <w:szCs w:val="24"/>
        </w:rPr>
        <w:lastRenderedPageBreak/>
        <w:t>nieterminową realizacją przez świadczeniodawców obowiązkowego programu szczepień ochronnych oraz nieterminowym zgłaszaniem się opiekunów prawnych z</w:t>
      </w:r>
      <w:r w:rsidR="007B1BEB">
        <w:rPr>
          <w:rFonts w:cstheme="minorHAnsi"/>
          <w:sz w:val="24"/>
          <w:szCs w:val="24"/>
        </w:rPr>
        <w:t> </w:t>
      </w:r>
      <w:r w:rsidRPr="00A45251">
        <w:rPr>
          <w:rFonts w:cstheme="minorHAnsi"/>
          <w:sz w:val="24"/>
          <w:szCs w:val="24"/>
        </w:rPr>
        <w:t>dziećmi na obowiązkowe szczepienia ochronne</w:t>
      </w:r>
      <w:r>
        <w:rPr>
          <w:rFonts w:cstheme="minorHAnsi"/>
          <w:sz w:val="24"/>
          <w:szCs w:val="24"/>
        </w:rPr>
        <w:t>,</w:t>
      </w:r>
    </w:p>
    <w:p w14:paraId="5D6543CF" w14:textId="77777777" w:rsidR="000B4D72" w:rsidRPr="00083A16" w:rsidRDefault="000B4D72" w:rsidP="00597239">
      <w:pPr>
        <w:pStyle w:val="Akapitzlist"/>
        <w:numPr>
          <w:ilvl w:val="0"/>
          <w:numId w:val="23"/>
        </w:numPr>
        <w:spacing w:after="120" w:line="276" w:lineRule="auto"/>
        <w:ind w:left="714" w:hanging="357"/>
        <w:contextualSpacing w:val="0"/>
        <w:rPr>
          <w:rFonts w:cstheme="minorHAnsi"/>
          <w:sz w:val="24"/>
          <w:szCs w:val="24"/>
        </w:rPr>
      </w:pPr>
      <w:r w:rsidRPr="00A45251">
        <w:rPr>
          <w:rFonts w:cstheme="minorHAnsi"/>
          <w:sz w:val="24"/>
          <w:szCs w:val="24"/>
        </w:rPr>
        <w:t xml:space="preserve">wzrostem na terenie </w:t>
      </w:r>
      <w:r>
        <w:rPr>
          <w:rFonts w:cstheme="minorHAnsi"/>
          <w:sz w:val="24"/>
          <w:szCs w:val="24"/>
        </w:rPr>
        <w:t>woj.</w:t>
      </w:r>
      <w:r w:rsidRPr="00A45251">
        <w:rPr>
          <w:rFonts w:cstheme="minorHAnsi"/>
          <w:sz w:val="24"/>
          <w:szCs w:val="24"/>
        </w:rPr>
        <w:t xml:space="preserve"> zachodniopomorskiego liczby osób </w:t>
      </w:r>
      <w:r>
        <w:rPr>
          <w:rFonts w:cstheme="minorHAnsi"/>
          <w:sz w:val="24"/>
          <w:szCs w:val="24"/>
        </w:rPr>
        <w:t>nierealizujących</w:t>
      </w:r>
      <w:r w:rsidRPr="00A45251">
        <w:rPr>
          <w:rFonts w:cstheme="minorHAnsi"/>
          <w:sz w:val="24"/>
          <w:szCs w:val="24"/>
        </w:rPr>
        <w:t xml:space="preserve"> obowiązku szczepień ochronnych.</w:t>
      </w:r>
    </w:p>
    <w:p w14:paraId="10E74301" w14:textId="039C318D" w:rsidR="000B4D72" w:rsidRDefault="000B4D72" w:rsidP="00597239">
      <w:pPr>
        <w:spacing w:after="0" w:line="276" w:lineRule="auto"/>
        <w:rPr>
          <w:rFonts w:eastAsia="Times New Roman" w:cstheme="minorHAnsi"/>
          <w:sz w:val="24"/>
          <w:szCs w:val="24"/>
          <w:lang w:eastAsia="pl-PL"/>
        </w:rPr>
      </w:pPr>
      <w:r w:rsidRPr="00B1218C">
        <w:rPr>
          <w:rFonts w:eastAsia="Times New Roman" w:cstheme="minorHAnsi"/>
          <w:spacing w:val="-2"/>
          <w:sz w:val="24"/>
          <w:szCs w:val="24"/>
          <w:lang w:eastAsia="pl-PL"/>
        </w:rPr>
        <w:t xml:space="preserve">Stan uodpornienia dzieci i młodzieży w rocznikach podlegających szczepieniom w 2024 r. </w:t>
      </w:r>
      <w:r w:rsidRPr="00B1218C">
        <w:rPr>
          <w:rFonts w:eastAsia="Times New Roman" w:cstheme="minorHAnsi"/>
          <w:sz w:val="24"/>
          <w:szCs w:val="24"/>
          <w:lang w:eastAsia="pl-PL"/>
        </w:rPr>
        <w:t>na</w:t>
      </w:r>
      <w:r w:rsidR="00020A86">
        <w:rPr>
          <w:rFonts w:eastAsia="Times New Roman" w:cstheme="minorHAnsi"/>
          <w:sz w:val="24"/>
          <w:szCs w:val="24"/>
          <w:lang w:eastAsia="pl-PL"/>
        </w:rPr>
        <w:t> </w:t>
      </w:r>
      <w:r w:rsidRPr="00B1218C">
        <w:rPr>
          <w:rFonts w:eastAsia="Times New Roman" w:cstheme="minorHAnsi"/>
          <w:sz w:val="24"/>
          <w:szCs w:val="24"/>
          <w:lang w:eastAsia="pl-PL"/>
        </w:rPr>
        <w:t>terenie woj. zachodniopomorskiego przedstawia tabela 2</w:t>
      </w:r>
      <w:r>
        <w:rPr>
          <w:rFonts w:eastAsia="Times New Roman" w:cstheme="minorHAnsi"/>
          <w:sz w:val="24"/>
          <w:szCs w:val="24"/>
          <w:lang w:eastAsia="pl-PL"/>
        </w:rPr>
        <w:t>3</w:t>
      </w:r>
      <w:r w:rsidRPr="00B1218C">
        <w:rPr>
          <w:rFonts w:eastAsia="Times New Roman" w:cstheme="minorHAnsi"/>
          <w:sz w:val="24"/>
          <w:szCs w:val="24"/>
          <w:lang w:eastAsia="pl-PL"/>
        </w:rPr>
        <w:t>.</w:t>
      </w:r>
    </w:p>
    <w:p w14:paraId="79CC0963" w14:textId="77777777" w:rsidR="0063333E" w:rsidRPr="00B1218C" w:rsidRDefault="0063333E" w:rsidP="00597239">
      <w:pPr>
        <w:spacing w:after="0" w:line="276" w:lineRule="auto"/>
        <w:rPr>
          <w:rFonts w:eastAsia="Times New Roman" w:cstheme="minorHAnsi"/>
          <w:sz w:val="24"/>
          <w:szCs w:val="24"/>
          <w:lang w:eastAsia="pl-PL"/>
        </w:rPr>
      </w:pPr>
    </w:p>
    <w:p w14:paraId="130238EF" w14:textId="6BC8195A" w:rsidR="000B4D72" w:rsidRPr="00B477E8" w:rsidRDefault="00B477E8" w:rsidP="00597239">
      <w:pPr>
        <w:pStyle w:val="Legenda"/>
        <w:rPr>
          <w:rFonts w:eastAsia="Times New Roman" w:cstheme="minorHAnsi"/>
          <w:i w:val="0"/>
          <w:iCs w:val="0"/>
          <w:color w:val="000000" w:themeColor="text1"/>
          <w:lang w:eastAsia="pl-PL"/>
        </w:rPr>
      </w:pPr>
      <w:bookmarkStart w:id="151" w:name="_Toc193805993"/>
      <w:bookmarkStart w:id="152" w:name="_Toc193969541"/>
      <w:bookmarkStart w:id="153" w:name="_Toc194060001"/>
      <w:r w:rsidRPr="00B477E8">
        <w:rPr>
          <w:i w:val="0"/>
          <w:iCs w:val="0"/>
          <w:color w:val="000000" w:themeColor="text1"/>
        </w:rPr>
        <w:t xml:space="preserve">Tabela </w:t>
      </w:r>
      <w:r w:rsidRPr="00B477E8">
        <w:rPr>
          <w:i w:val="0"/>
          <w:iCs w:val="0"/>
          <w:color w:val="000000" w:themeColor="text1"/>
        </w:rPr>
        <w:fldChar w:fldCharType="begin"/>
      </w:r>
      <w:r w:rsidRPr="00B477E8">
        <w:rPr>
          <w:i w:val="0"/>
          <w:iCs w:val="0"/>
          <w:color w:val="000000" w:themeColor="text1"/>
        </w:rPr>
        <w:instrText xml:space="preserve"> SEQ Tabela \* ARABIC </w:instrText>
      </w:r>
      <w:r w:rsidRPr="00B477E8">
        <w:rPr>
          <w:i w:val="0"/>
          <w:iCs w:val="0"/>
          <w:color w:val="000000" w:themeColor="text1"/>
        </w:rPr>
        <w:fldChar w:fldCharType="separate"/>
      </w:r>
      <w:r w:rsidR="00FB6F6A">
        <w:rPr>
          <w:i w:val="0"/>
          <w:iCs w:val="0"/>
          <w:noProof/>
          <w:color w:val="000000" w:themeColor="text1"/>
        </w:rPr>
        <w:t>23</w:t>
      </w:r>
      <w:r w:rsidRPr="00B477E8">
        <w:rPr>
          <w:i w:val="0"/>
          <w:iCs w:val="0"/>
          <w:color w:val="000000" w:themeColor="text1"/>
        </w:rPr>
        <w:fldChar w:fldCharType="end"/>
      </w:r>
      <w:r w:rsidR="00E75D31">
        <w:rPr>
          <w:i w:val="0"/>
          <w:iCs w:val="0"/>
          <w:color w:val="000000" w:themeColor="text1"/>
        </w:rPr>
        <w:t>.</w:t>
      </w:r>
      <w:r w:rsidRPr="00B477E8">
        <w:rPr>
          <w:i w:val="0"/>
          <w:iCs w:val="0"/>
          <w:color w:val="000000" w:themeColor="text1"/>
        </w:rPr>
        <w:t xml:space="preserve"> Stan uodpornienia dzieci i młodzieży w rocznikach podlegających szczepieniom w 2024 r.</w:t>
      </w:r>
      <w:bookmarkEnd w:id="151"/>
      <w:bookmarkEnd w:id="152"/>
      <w:bookmarkEnd w:id="153"/>
    </w:p>
    <w:tbl>
      <w:tblPr>
        <w:tblStyle w:val="Tabelasiatki4akcent1"/>
        <w:tblW w:w="5000" w:type="pct"/>
        <w:tblLayout w:type="fixed"/>
        <w:tblLook w:val="04A0" w:firstRow="1" w:lastRow="0" w:firstColumn="1" w:lastColumn="0" w:noHBand="0" w:noVBand="1"/>
        <w:tblCaption w:val="Stan uodpornienia dzieci i młodzieży w rocznikach podlegających szczepieniom w 2024 r."/>
        <w:tblDescription w:val="Tabela przedstawia stan udopornienia dzieci i młodzieży w rocznikach podlegajacych obowiązkowym szczepieniom ochronnym w roku 2024. Dane zostały przedstawione z podziałem na roczniki oraz szczepienia zgodnie z programem szczepień ochronnych."/>
      </w:tblPr>
      <w:tblGrid>
        <w:gridCol w:w="1778"/>
        <w:gridCol w:w="1650"/>
        <w:gridCol w:w="559"/>
        <w:gridCol w:w="129"/>
        <w:gridCol w:w="2498"/>
        <w:gridCol w:w="2448"/>
      </w:tblGrid>
      <w:tr w:rsidR="000B4D72" w:rsidRPr="00C117AA" w14:paraId="00FF8B15" w14:textId="77777777" w:rsidTr="00D6619C">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14:paraId="574EEBCF" w14:textId="77777777" w:rsidR="000B4D72" w:rsidRPr="00C117AA" w:rsidRDefault="000B4D72" w:rsidP="00597239">
            <w:pPr>
              <w:rPr>
                <w:rFonts w:eastAsia="Times New Roman" w:cstheme="minorHAnsi"/>
                <w:b w:val="0"/>
                <w:bCs w:val="0"/>
                <w:sz w:val="18"/>
                <w:szCs w:val="18"/>
                <w:lang w:eastAsia="pl-PL"/>
              </w:rPr>
            </w:pPr>
            <w:bookmarkStart w:id="154" w:name="_Hlk161650052"/>
            <w:r w:rsidRPr="00C117AA">
              <w:rPr>
                <w:rFonts w:eastAsia="Times New Roman" w:cstheme="minorHAnsi"/>
                <w:sz w:val="18"/>
                <w:szCs w:val="18"/>
                <w:lang w:eastAsia="pl-PL"/>
              </w:rPr>
              <w:t>Rocznik</w:t>
            </w:r>
          </w:p>
        </w:tc>
        <w:tc>
          <w:tcPr>
            <w:tcW w:w="4241" w:type="dxa"/>
            <w:gridSpan w:val="4"/>
            <w:vAlign w:val="center"/>
            <w:hideMark/>
          </w:tcPr>
          <w:p w14:paraId="09B94CE1" w14:textId="77777777" w:rsidR="000B4D72" w:rsidRPr="00C117AA"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C117AA">
              <w:rPr>
                <w:rFonts w:eastAsia="Times New Roman" w:cstheme="minorHAnsi"/>
                <w:sz w:val="18"/>
                <w:szCs w:val="18"/>
                <w:lang w:eastAsia="pl-PL"/>
              </w:rPr>
              <w:t>Szczepienia przeciw</w:t>
            </w:r>
          </w:p>
        </w:tc>
        <w:tc>
          <w:tcPr>
            <w:tcW w:w="2147" w:type="dxa"/>
            <w:vAlign w:val="center"/>
          </w:tcPr>
          <w:p w14:paraId="24C6FDB3" w14:textId="77777777" w:rsidR="000B4D72" w:rsidRPr="00C117AA"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C117AA">
              <w:rPr>
                <w:rFonts w:eastAsia="Times New Roman" w:cstheme="minorHAnsi"/>
                <w:sz w:val="18"/>
                <w:szCs w:val="18"/>
                <w:lang w:eastAsia="pl-PL"/>
              </w:rPr>
              <w:t>Odsetek zaszczepionych dzieci i młodzieży w rocznikach podlegającym szczepieniom</w:t>
            </w:r>
          </w:p>
        </w:tc>
      </w:tr>
      <w:tr w:rsidR="000B4D72" w:rsidRPr="003A793F" w14:paraId="657F4224"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668749F1"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1 r.ż.</w:t>
            </w:r>
          </w:p>
          <w:p w14:paraId="6F2C8DEC" w14:textId="77777777" w:rsidR="000B4D72" w:rsidRPr="003A793F" w:rsidRDefault="000B4D72" w:rsidP="00597239">
            <w:pPr>
              <w:rPr>
                <w:rFonts w:eastAsia="Times New Roman" w:cstheme="minorHAnsi"/>
                <w:color w:val="FF0000"/>
                <w:sz w:val="18"/>
                <w:szCs w:val="18"/>
                <w:lang w:eastAsia="pl-PL"/>
              </w:rPr>
            </w:pPr>
            <w:r w:rsidRPr="00B1218C">
              <w:rPr>
                <w:rFonts w:eastAsia="Times New Roman" w:cstheme="minorHAnsi"/>
                <w:sz w:val="18"/>
                <w:szCs w:val="18"/>
                <w:lang w:eastAsia="pl-PL"/>
              </w:rPr>
              <w:t>rocznik 2024</w:t>
            </w:r>
          </w:p>
        </w:tc>
        <w:tc>
          <w:tcPr>
            <w:tcW w:w="4241" w:type="dxa"/>
            <w:gridSpan w:val="4"/>
            <w:vAlign w:val="center"/>
            <w:hideMark/>
          </w:tcPr>
          <w:p w14:paraId="1B4D8734"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Gruźlica</w:t>
            </w:r>
          </w:p>
        </w:tc>
        <w:tc>
          <w:tcPr>
            <w:tcW w:w="2147" w:type="dxa"/>
            <w:vAlign w:val="center"/>
          </w:tcPr>
          <w:p w14:paraId="0848A219"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96,44</w:t>
            </w:r>
          </w:p>
        </w:tc>
      </w:tr>
      <w:tr w:rsidR="000B4D72" w:rsidRPr="003A793F" w14:paraId="591A8565"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5E194D99"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0BC2BD5A"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WZW typu „B”</w:t>
            </w:r>
          </w:p>
        </w:tc>
        <w:tc>
          <w:tcPr>
            <w:tcW w:w="2304" w:type="dxa"/>
            <w:gridSpan w:val="2"/>
            <w:vAlign w:val="center"/>
            <w:hideMark/>
          </w:tcPr>
          <w:p w14:paraId="48E6E635"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Pierwotne</w:t>
            </w:r>
          </w:p>
        </w:tc>
        <w:tc>
          <w:tcPr>
            <w:tcW w:w="2147" w:type="dxa"/>
            <w:vAlign w:val="center"/>
          </w:tcPr>
          <w:p w14:paraId="5D1A6827"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41,42</w:t>
            </w:r>
          </w:p>
        </w:tc>
      </w:tr>
      <w:tr w:rsidR="000B4D72" w:rsidRPr="003A793F" w14:paraId="388C1AA3"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697C5CBD"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62FEB1D3"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5FF8CC75"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Uzupełniające</w:t>
            </w:r>
          </w:p>
        </w:tc>
        <w:tc>
          <w:tcPr>
            <w:tcW w:w="2147" w:type="dxa"/>
            <w:vAlign w:val="center"/>
          </w:tcPr>
          <w:p w14:paraId="66C8986A"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46,43</w:t>
            </w:r>
          </w:p>
        </w:tc>
      </w:tr>
      <w:tr w:rsidR="000B4D72" w:rsidRPr="003A793F" w14:paraId="2FFC14BE"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1E6A9EA"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391179E2"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pierwotne</w:t>
            </w:r>
          </w:p>
        </w:tc>
        <w:tc>
          <w:tcPr>
            <w:tcW w:w="2304" w:type="dxa"/>
            <w:gridSpan w:val="2"/>
            <w:vAlign w:val="center"/>
            <w:hideMark/>
          </w:tcPr>
          <w:p w14:paraId="6E7DA0F3"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Błonica, tężec</w:t>
            </w:r>
          </w:p>
        </w:tc>
        <w:tc>
          <w:tcPr>
            <w:tcW w:w="2147" w:type="dxa"/>
            <w:vAlign w:val="center"/>
          </w:tcPr>
          <w:p w14:paraId="64947FEA"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69565A">
              <w:rPr>
                <w:rFonts w:eastAsia="Times New Roman" w:cstheme="minorHAnsi"/>
                <w:sz w:val="18"/>
                <w:szCs w:val="18"/>
                <w:lang w:eastAsia="pl-PL"/>
              </w:rPr>
              <w:t>54,08</w:t>
            </w:r>
          </w:p>
        </w:tc>
      </w:tr>
      <w:tr w:rsidR="000B4D72" w:rsidRPr="003A793F" w14:paraId="5964982E"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4B4839A"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4C29AF31"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7632DB91"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572754">
              <w:rPr>
                <w:rFonts w:eastAsia="Times New Roman" w:cstheme="minorHAnsi"/>
                <w:sz w:val="18"/>
                <w:szCs w:val="18"/>
                <w:lang w:eastAsia="pl-PL"/>
              </w:rPr>
              <w:t>Krztusiec</w:t>
            </w:r>
          </w:p>
        </w:tc>
        <w:tc>
          <w:tcPr>
            <w:tcW w:w="2147" w:type="dxa"/>
            <w:vAlign w:val="center"/>
          </w:tcPr>
          <w:p w14:paraId="181E31AE"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72754">
              <w:rPr>
                <w:rFonts w:eastAsia="Times New Roman" w:cstheme="minorHAnsi"/>
                <w:sz w:val="18"/>
                <w:szCs w:val="18"/>
                <w:lang w:eastAsia="pl-PL"/>
              </w:rPr>
              <w:t>54,02</w:t>
            </w:r>
          </w:p>
        </w:tc>
      </w:tr>
      <w:tr w:rsidR="000B4D72" w:rsidRPr="003A793F" w14:paraId="08F815A1"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32F10DB"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3FA64380"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68786A34"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Poliomyelitis</w:t>
            </w:r>
          </w:p>
        </w:tc>
        <w:tc>
          <w:tcPr>
            <w:tcW w:w="2147" w:type="dxa"/>
            <w:vAlign w:val="center"/>
          </w:tcPr>
          <w:p w14:paraId="6E8F4287"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54,16</w:t>
            </w:r>
          </w:p>
        </w:tc>
      </w:tr>
      <w:tr w:rsidR="000B4D72" w:rsidRPr="003A793F" w14:paraId="5020112E"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30627A36"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4CF73059"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4206B227"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H. influenzae</w:t>
            </w:r>
          </w:p>
        </w:tc>
        <w:tc>
          <w:tcPr>
            <w:tcW w:w="2147" w:type="dxa"/>
            <w:vAlign w:val="center"/>
          </w:tcPr>
          <w:p w14:paraId="15ED6A9F"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53,72</w:t>
            </w:r>
          </w:p>
        </w:tc>
      </w:tr>
      <w:tr w:rsidR="000B4D72" w:rsidRPr="003A793F" w14:paraId="3EE16C73"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93FED1F"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2478AF2E"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44E5475C"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S. pneumoniae</w:t>
            </w:r>
          </w:p>
        </w:tc>
        <w:tc>
          <w:tcPr>
            <w:tcW w:w="2147" w:type="dxa"/>
            <w:vAlign w:val="center"/>
          </w:tcPr>
          <w:p w14:paraId="2AEF717C"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63,37</w:t>
            </w:r>
          </w:p>
        </w:tc>
      </w:tr>
      <w:tr w:rsidR="000B4D72" w:rsidRPr="003A793F" w14:paraId="0FB57A03"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tcPr>
          <w:p w14:paraId="690A5FC7" w14:textId="77777777" w:rsidR="000B4D72" w:rsidRPr="003A793F" w:rsidRDefault="000B4D72" w:rsidP="00597239">
            <w:pPr>
              <w:rPr>
                <w:rFonts w:eastAsia="Times New Roman" w:cstheme="minorHAnsi"/>
                <w:color w:val="FF0000"/>
                <w:sz w:val="18"/>
                <w:szCs w:val="18"/>
                <w:lang w:eastAsia="pl-PL"/>
              </w:rPr>
            </w:pPr>
          </w:p>
        </w:tc>
        <w:tc>
          <w:tcPr>
            <w:tcW w:w="4241" w:type="dxa"/>
            <w:gridSpan w:val="4"/>
            <w:vAlign w:val="center"/>
          </w:tcPr>
          <w:p w14:paraId="4E0933A1"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Rotawirusy</w:t>
            </w:r>
          </w:p>
        </w:tc>
        <w:tc>
          <w:tcPr>
            <w:tcW w:w="2147" w:type="dxa"/>
            <w:vAlign w:val="center"/>
          </w:tcPr>
          <w:p w14:paraId="520E7543"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62,59</w:t>
            </w:r>
          </w:p>
        </w:tc>
      </w:tr>
      <w:tr w:rsidR="000B4D72" w:rsidRPr="003A793F" w14:paraId="30E910A8"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4016836E"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2 r.ż.</w:t>
            </w:r>
          </w:p>
          <w:p w14:paraId="3ABCF199" w14:textId="77777777" w:rsidR="000B4D72" w:rsidRPr="003A793F" w:rsidRDefault="000B4D72" w:rsidP="00597239">
            <w:pPr>
              <w:rPr>
                <w:rFonts w:eastAsia="Times New Roman" w:cstheme="minorHAnsi"/>
                <w:color w:val="FF0000"/>
                <w:sz w:val="18"/>
                <w:szCs w:val="18"/>
                <w:lang w:eastAsia="pl-PL"/>
              </w:rPr>
            </w:pPr>
            <w:r w:rsidRPr="00B1218C">
              <w:rPr>
                <w:rFonts w:eastAsia="Times New Roman" w:cstheme="minorHAnsi"/>
                <w:sz w:val="18"/>
                <w:szCs w:val="18"/>
                <w:lang w:eastAsia="pl-PL"/>
              </w:rPr>
              <w:t>rocznik 2023</w:t>
            </w:r>
          </w:p>
        </w:tc>
        <w:tc>
          <w:tcPr>
            <w:tcW w:w="4241" w:type="dxa"/>
            <w:gridSpan w:val="4"/>
            <w:vAlign w:val="center"/>
            <w:hideMark/>
          </w:tcPr>
          <w:p w14:paraId="7D8D3DDD"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Gruźlica</w:t>
            </w:r>
          </w:p>
        </w:tc>
        <w:tc>
          <w:tcPr>
            <w:tcW w:w="2147" w:type="dxa"/>
            <w:vAlign w:val="center"/>
          </w:tcPr>
          <w:p w14:paraId="2E8B4BD6"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97,41</w:t>
            </w:r>
          </w:p>
        </w:tc>
      </w:tr>
      <w:tr w:rsidR="000B4D72" w:rsidRPr="003A793F" w14:paraId="3AD3C935"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830D48B"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0456DEB2"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WZW typu B</w:t>
            </w:r>
          </w:p>
        </w:tc>
        <w:tc>
          <w:tcPr>
            <w:tcW w:w="2304" w:type="dxa"/>
            <w:gridSpan w:val="2"/>
            <w:vAlign w:val="center"/>
            <w:hideMark/>
          </w:tcPr>
          <w:p w14:paraId="13AA126E"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Pierwotne</w:t>
            </w:r>
          </w:p>
        </w:tc>
        <w:tc>
          <w:tcPr>
            <w:tcW w:w="2147" w:type="dxa"/>
            <w:vAlign w:val="center"/>
          </w:tcPr>
          <w:p w14:paraId="7E91CF89"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5,33</w:t>
            </w:r>
          </w:p>
        </w:tc>
      </w:tr>
      <w:tr w:rsidR="000B4D72" w:rsidRPr="003A793F" w14:paraId="6173691D"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69DADBA1"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0C28A67A"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0E875AE2"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Uzupełniające</w:t>
            </w:r>
          </w:p>
        </w:tc>
        <w:tc>
          <w:tcPr>
            <w:tcW w:w="2147" w:type="dxa"/>
            <w:vAlign w:val="center"/>
          </w:tcPr>
          <w:p w14:paraId="79B64B4B"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92,78</w:t>
            </w:r>
          </w:p>
        </w:tc>
      </w:tr>
      <w:tr w:rsidR="000B4D72" w:rsidRPr="003A793F" w14:paraId="3D6608FA"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23947AE4" w14:textId="77777777" w:rsidR="000B4D72" w:rsidRPr="003A793F" w:rsidRDefault="000B4D72" w:rsidP="00597239">
            <w:pPr>
              <w:rPr>
                <w:rFonts w:eastAsia="Times New Roman" w:cstheme="minorHAnsi"/>
                <w:color w:val="FF0000"/>
                <w:sz w:val="18"/>
                <w:szCs w:val="18"/>
                <w:lang w:eastAsia="pl-PL"/>
              </w:rPr>
            </w:pPr>
          </w:p>
        </w:tc>
        <w:tc>
          <w:tcPr>
            <w:tcW w:w="1937" w:type="dxa"/>
            <w:gridSpan w:val="2"/>
            <w:vAlign w:val="center"/>
            <w:hideMark/>
          </w:tcPr>
          <w:p w14:paraId="123B5240"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podst. 13-14 m. ż.</w:t>
            </w:r>
          </w:p>
        </w:tc>
        <w:tc>
          <w:tcPr>
            <w:tcW w:w="2304" w:type="dxa"/>
            <w:gridSpan w:val="2"/>
            <w:vAlign w:val="center"/>
            <w:hideMark/>
          </w:tcPr>
          <w:p w14:paraId="08CF176D"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Odra, świnka, różyczka</w:t>
            </w:r>
          </w:p>
        </w:tc>
        <w:tc>
          <w:tcPr>
            <w:tcW w:w="2147" w:type="dxa"/>
            <w:vAlign w:val="center"/>
          </w:tcPr>
          <w:p w14:paraId="0BC27097"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78,16</w:t>
            </w:r>
          </w:p>
        </w:tc>
      </w:tr>
      <w:tr w:rsidR="000B4D72" w:rsidRPr="003A793F" w14:paraId="2F8C57A3"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E733A89"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759959D5"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H. influenzae</w:t>
            </w:r>
          </w:p>
        </w:tc>
        <w:tc>
          <w:tcPr>
            <w:tcW w:w="2304" w:type="dxa"/>
            <w:gridSpan w:val="2"/>
            <w:vAlign w:val="center"/>
            <w:hideMark/>
          </w:tcPr>
          <w:p w14:paraId="171825D6"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Pierwotne</w:t>
            </w:r>
          </w:p>
        </w:tc>
        <w:tc>
          <w:tcPr>
            <w:tcW w:w="2147" w:type="dxa"/>
            <w:vAlign w:val="center"/>
          </w:tcPr>
          <w:p w14:paraId="1470341F"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47,65</w:t>
            </w:r>
          </w:p>
        </w:tc>
      </w:tr>
      <w:tr w:rsidR="000B4D72" w:rsidRPr="003A793F" w14:paraId="2BA8CF64"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360AE1E8"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5A894504"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5F298C15"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Uzupełniające</w:t>
            </w:r>
          </w:p>
        </w:tc>
        <w:tc>
          <w:tcPr>
            <w:tcW w:w="2147" w:type="dxa"/>
            <w:vAlign w:val="center"/>
          </w:tcPr>
          <w:p w14:paraId="57EFF578"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54,50</w:t>
            </w:r>
          </w:p>
        </w:tc>
      </w:tr>
      <w:tr w:rsidR="000B4D72" w:rsidRPr="003A793F" w14:paraId="1F0F2C4E"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628FE28"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6DAAFB4D"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Błonica, tężec</w:t>
            </w:r>
          </w:p>
        </w:tc>
        <w:tc>
          <w:tcPr>
            <w:tcW w:w="2304" w:type="dxa"/>
            <w:gridSpan w:val="2"/>
            <w:vAlign w:val="center"/>
            <w:hideMark/>
          </w:tcPr>
          <w:p w14:paraId="5377B0B5"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Pierwotne</w:t>
            </w:r>
          </w:p>
        </w:tc>
        <w:tc>
          <w:tcPr>
            <w:tcW w:w="2147" w:type="dxa"/>
            <w:vAlign w:val="center"/>
          </w:tcPr>
          <w:p w14:paraId="31C2F3C9"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69565A">
              <w:rPr>
                <w:rFonts w:eastAsia="Times New Roman" w:cstheme="minorHAnsi"/>
                <w:sz w:val="18"/>
                <w:szCs w:val="18"/>
                <w:lang w:eastAsia="pl-PL"/>
              </w:rPr>
              <w:t>50,80</w:t>
            </w:r>
          </w:p>
        </w:tc>
      </w:tr>
      <w:tr w:rsidR="000B4D72" w:rsidRPr="003A793F" w14:paraId="44A84D0B"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24236E5A"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7E4D2724"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70E395F9"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Uzupełniające</w:t>
            </w:r>
          </w:p>
        </w:tc>
        <w:tc>
          <w:tcPr>
            <w:tcW w:w="2147" w:type="dxa"/>
            <w:vAlign w:val="center"/>
          </w:tcPr>
          <w:p w14:paraId="65FD6213"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69565A">
              <w:rPr>
                <w:rFonts w:eastAsia="Times New Roman" w:cstheme="minorHAnsi"/>
                <w:sz w:val="18"/>
                <w:szCs w:val="18"/>
                <w:lang w:eastAsia="pl-PL"/>
              </w:rPr>
              <w:t>46,31</w:t>
            </w:r>
          </w:p>
        </w:tc>
      </w:tr>
      <w:tr w:rsidR="000B4D72" w:rsidRPr="003A793F" w14:paraId="0E439488"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07A0662F" w14:textId="77777777" w:rsidR="000B4D72" w:rsidRPr="003A793F" w:rsidRDefault="000B4D72" w:rsidP="00597239">
            <w:pPr>
              <w:rPr>
                <w:rFonts w:eastAsia="Times New Roman" w:cstheme="minorHAnsi"/>
                <w:color w:val="FF0000"/>
                <w:sz w:val="18"/>
                <w:szCs w:val="18"/>
                <w:lang w:eastAsia="pl-PL"/>
              </w:rPr>
            </w:pPr>
          </w:p>
        </w:tc>
        <w:tc>
          <w:tcPr>
            <w:tcW w:w="1937" w:type="dxa"/>
            <w:gridSpan w:val="2"/>
            <w:vAlign w:val="center"/>
            <w:hideMark/>
          </w:tcPr>
          <w:p w14:paraId="2F7CBB9E"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572754">
              <w:rPr>
                <w:rFonts w:eastAsia="Times New Roman" w:cstheme="minorHAnsi"/>
                <w:sz w:val="18"/>
                <w:szCs w:val="18"/>
                <w:lang w:eastAsia="pl-PL"/>
              </w:rPr>
              <w:t>Krztusiec</w:t>
            </w:r>
          </w:p>
        </w:tc>
        <w:tc>
          <w:tcPr>
            <w:tcW w:w="2304" w:type="dxa"/>
            <w:gridSpan w:val="2"/>
            <w:vAlign w:val="center"/>
            <w:hideMark/>
          </w:tcPr>
          <w:p w14:paraId="5F366C1F"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572754">
              <w:rPr>
                <w:rFonts w:eastAsia="Times New Roman" w:cstheme="minorHAnsi"/>
                <w:sz w:val="18"/>
                <w:szCs w:val="18"/>
                <w:lang w:eastAsia="pl-PL"/>
              </w:rPr>
              <w:t>Pierwotne</w:t>
            </w:r>
          </w:p>
        </w:tc>
        <w:tc>
          <w:tcPr>
            <w:tcW w:w="2147" w:type="dxa"/>
            <w:vAlign w:val="center"/>
          </w:tcPr>
          <w:p w14:paraId="45DEC54A"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572754">
              <w:rPr>
                <w:rFonts w:eastAsia="Times New Roman" w:cstheme="minorHAnsi"/>
                <w:sz w:val="18"/>
                <w:szCs w:val="18"/>
                <w:lang w:eastAsia="pl-PL"/>
              </w:rPr>
              <w:t>50,73</w:t>
            </w:r>
          </w:p>
        </w:tc>
      </w:tr>
      <w:tr w:rsidR="000B4D72" w:rsidRPr="003A793F" w14:paraId="462082CA"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51A5E76B" w14:textId="77777777" w:rsidR="000B4D72" w:rsidRPr="003A793F" w:rsidRDefault="000B4D72" w:rsidP="00597239">
            <w:pPr>
              <w:rPr>
                <w:rFonts w:eastAsia="Times New Roman" w:cstheme="minorHAnsi"/>
                <w:color w:val="FF0000"/>
                <w:sz w:val="18"/>
                <w:szCs w:val="18"/>
                <w:lang w:eastAsia="pl-PL"/>
              </w:rPr>
            </w:pPr>
          </w:p>
        </w:tc>
        <w:tc>
          <w:tcPr>
            <w:tcW w:w="1937" w:type="dxa"/>
            <w:gridSpan w:val="2"/>
            <w:vAlign w:val="center"/>
            <w:hideMark/>
          </w:tcPr>
          <w:p w14:paraId="64ABCEAF"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2E24EF1C"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572754">
              <w:rPr>
                <w:rFonts w:eastAsia="Times New Roman" w:cstheme="minorHAnsi"/>
                <w:sz w:val="18"/>
                <w:szCs w:val="18"/>
                <w:lang w:eastAsia="pl-PL"/>
              </w:rPr>
              <w:t>Uzupełniające</w:t>
            </w:r>
          </w:p>
        </w:tc>
        <w:tc>
          <w:tcPr>
            <w:tcW w:w="2147" w:type="dxa"/>
            <w:vAlign w:val="center"/>
          </w:tcPr>
          <w:p w14:paraId="59F5CF5A"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572754">
              <w:rPr>
                <w:rFonts w:eastAsia="Times New Roman" w:cstheme="minorHAnsi"/>
                <w:sz w:val="18"/>
                <w:szCs w:val="18"/>
                <w:lang w:eastAsia="pl-PL"/>
              </w:rPr>
              <w:t>46,28</w:t>
            </w:r>
          </w:p>
        </w:tc>
      </w:tr>
      <w:tr w:rsidR="000B4D72" w:rsidRPr="003A793F" w14:paraId="7EAC1EFF"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68466A14"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70607447"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Poliomyelitis</w:t>
            </w:r>
          </w:p>
        </w:tc>
        <w:tc>
          <w:tcPr>
            <w:tcW w:w="2304" w:type="dxa"/>
            <w:gridSpan w:val="2"/>
            <w:vAlign w:val="center"/>
            <w:hideMark/>
          </w:tcPr>
          <w:p w14:paraId="3F59C107"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Pierwotne</w:t>
            </w:r>
          </w:p>
        </w:tc>
        <w:tc>
          <w:tcPr>
            <w:tcW w:w="2147" w:type="dxa"/>
            <w:vAlign w:val="center"/>
          </w:tcPr>
          <w:p w14:paraId="714EFF7C"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50,45</w:t>
            </w:r>
          </w:p>
        </w:tc>
      </w:tr>
      <w:tr w:rsidR="000B4D72" w:rsidRPr="003A793F" w14:paraId="5990B377"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2C2E0CA8"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hideMark/>
          </w:tcPr>
          <w:p w14:paraId="7DA851C8"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hideMark/>
          </w:tcPr>
          <w:p w14:paraId="3D56742C"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Uzupełniające</w:t>
            </w:r>
          </w:p>
        </w:tc>
        <w:tc>
          <w:tcPr>
            <w:tcW w:w="2147" w:type="dxa"/>
            <w:vAlign w:val="center"/>
          </w:tcPr>
          <w:p w14:paraId="38B3820B"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46,82</w:t>
            </w:r>
          </w:p>
        </w:tc>
      </w:tr>
      <w:tr w:rsidR="000B4D72" w:rsidRPr="003A793F" w14:paraId="2C50F113"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1F41C369"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restart"/>
            <w:vAlign w:val="center"/>
            <w:hideMark/>
          </w:tcPr>
          <w:p w14:paraId="38F24B31"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S. pneumoniae</w:t>
            </w:r>
          </w:p>
        </w:tc>
        <w:tc>
          <w:tcPr>
            <w:tcW w:w="2304" w:type="dxa"/>
            <w:gridSpan w:val="2"/>
            <w:vAlign w:val="center"/>
          </w:tcPr>
          <w:p w14:paraId="423B6B8B"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Pierwotne</w:t>
            </w:r>
          </w:p>
        </w:tc>
        <w:tc>
          <w:tcPr>
            <w:tcW w:w="2147" w:type="dxa"/>
            <w:vAlign w:val="center"/>
          </w:tcPr>
          <w:p w14:paraId="7C999E0A"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23,43</w:t>
            </w:r>
          </w:p>
        </w:tc>
      </w:tr>
      <w:tr w:rsidR="000B4D72" w:rsidRPr="003A793F" w14:paraId="4D09EF75"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tcPr>
          <w:p w14:paraId="383D4117" w14:textId="77777777" w:rsidR="000B4D72" w:rsidRPr="003A793F" w:rsidRDefault="000B4D72" w:rsidP="00597239">
            <w:pPr>
              <w:rPr>
                <w:rFonts w:eastAsia="Times New Roman" w:cstheme="minorHAnsi"/>
                <w:color w:val="FF0000"/>
                <w:sz w:val="18"/>
                <w:szCs w:val="18"/>
                <w:lang w:eastAsia="pl-PL"/>
              </w:rPr>
            </w:pPr>
          </w:p>
        </w:tc>
        <w:tc>
          <w:tcPr>
            <w:tcW w:w="1937" w:type="dxa"/>
            <w:gridSpan w:val="2"/>
            <w:vMerge/>
            <w:vAlign w:val="center"/>
          </w:tcPr>
          <w:p w14:paraId="20F6EB5F"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2304" w:type="dxa"/>
            <w:gridSpan w:val="2"/>
            <w:vAlign w:val="center"/>
          </w:tcPr>
          <w:p w14:paraId="3BB05116"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Uzupełniające</w:t>
            </w:r>
          </w:p>
        </w:tc>
        <w:tc>
          <w:tcPr>
            <w:tcW w:w="2147" w:type="dxa"/>
            <w:vAlign w:val="center"/>
          </w:tcPr>
          <w:p w14:paraId="76238DF5"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73,41</w:t>
            </w:r>
          </w:p>
        </w:tc>
      </w:tr>
      <w:tr w:rsidR="000B4D72" w:rsidRPr="003A793F" w14:paraId="5F3AA37B"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tcPr>
          <w:p w14:paraId="1134344C" w14:textId="77777777" w:rsidR="000B4D72" w:rsidRPr="003A793F" w:rsidRDefault="000B4D72" w:rsidP="00597239">
            <w:pPr>
              <w:rPr>
                <w:rFonts w:eastAsia="Times New Roman" w:cstheme="minorHAnsi"/>
                <w:color w:val="FF0000"/>
                <w:sz w:val="18"/>
                <w:szCs w:val="18"/>
                <w:lang w:eastAsia="pl-PL"/>
              </w:rPr>
            </w:pPr>
          </w:p>
        </w:tc>
        <w:tc>
          <w:tcPr>
            <w:tcW w:w="4241" w:type="dxa"/>
            <w:gridSpan w:val="4"/>
            <w:vAlign w:val="center"/>
          </w:tcPr>
          <w:p w14:paraId="1AC70474"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B1218C">
              <w:rPr>
                <w:rFonts w:eastAsia="Times New Roman" w:cstheme="minorHAnsi"/>
                <w:sz w:val="18"/>
                <w:szCs w:val="18"/>
                <w:lang w:eastAsia="pl-PL"/>
              </w:rPr>
              <w:t>Rotawirusy</w:t>
            </w:r>
          </w:p>
        </w:tc>
        <w:tc>
          <w:tcPr>
            <w:tcW w:w="2147" w:type="dxa"/>
            <w:vAlign w:val="center"/>
          </w:tcPr>
          <w:p w14:paraId="60029C7F"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B1218C">
              <w:rPr>
                <w:rFonts w:eastAsia="Times New Roman" w:cstheme="minorHAnsi"/>
                <w:sz w:val="18"/>
                <w:szCs w:val="18"/>
                <w:lang w:eastAsia="pl-PL"/>
              </w:rPr>
              <w:t>91,83</w:t>
            </w:r>
          </w:p>
        </w:tc>
      </w:tr>
      <w:tr w:rsidR="000B4D72" w:rsidRPr="003A793F" w14:paraId="030B71FE"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679E7C60"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6 r.ż.</w:t>
            </w:r>
          </w:p>
          <w:p w14:paraId="46164EC8"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rocznik 2019</w:t>
            </w:r>
          </w:p>
          <w:p w14:paraId="60D93BAD" w14:textId="77777777" w:rsidR="000B4D72" w:rsidRPr="003A793F" w:rsidRDefault="000B4D72" w:rsidP="00597239">
            <w:pPr>
              <w:rPr>
                <w:rFonts w:eastAsia="Times New Roman" w:cstheme="minorHAnsi"/>
                <w:color w:val="FF0000"/>
                <w:sz w:val="18"/>
                <w:szCs w:val="18"/>
                <w:lang w:eastAsia="pl-PL"/>
              </w:rPr>
            </w:pPr>
            <w:r w:rsidRPr="00B1218C">
              <w:rPr>
                <w:rFonts w:eastAsia="Times New Roman" w:cstheme="minorHAnsi"/>
                <w:sz w:val="18"/>
                <w:szCs w:val="18"/>
                <w:lang w:eastAsia="pl-PL"/>
              </w:rPr>
              <w:t>I dawka przyp.</w:t>
            </w:r>
          </w:p>
        </w:tc>
        <w:tc>
          <w:tcPr>
            <w:tcW w:w="4241" w:type="dxa"/>
            <w:gridSpan w:val="4"/>
            <w:vAlign w:val="center"/>
            <w:hideMark/>
          </w:tcPr>
          <w:p w14:paraId="08D340B4"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Błonica, tężec</w:t>
            </w:r>
          </w:p>
        </w:tc>
        <w:tc>
          <w:tcPr>
            <w:tcW w:w="2147" w:type="dxa"/>
            <w:vAlign w:val="center"/>
          </w:tcPr>
          <w:p w14:paraId="2B65FF9A"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70,49</w:t>
            </w:r>
          </w:p>
        </w:tc>
      </w:tr>
      <w:tr w:rsidR="000B4D72" w:rsidRPr="003A793F" w14:paraId="78DF156F"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6920D5D8" w14:textId="77777777" w:rsidR="000B4D72" w:rsidRPr="003A793F" w:rsidRDefault="000B4D72" w:rsidP="00597239">
            <w:pPr>
              <w:rPr>
                <w:rFonts w:eastAsia="Times New Roman" w:cstheme="minorHAnsi"/>
                <w:color w:val="FF0000"/>
                <w:sz w:val="18"/>
                <w:szCs w:val="18"/>
                <w:lang w:eastAsia="pl-PL"/>
              </w:rPr>
            </w:pPr>
          </w:p>
        </w:tc>
        <w:tc>
          <w:tcPr>
            <w:tcW w:w="4241" w:type="dxa"/>
            <w:gridSpan w:val="4"/>
            <w:vAlign w:val="center"/>
            <w:hideMark/>
          </w:tcPr>
          <w:p w14:paraId="2BB89EA2"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Krztusiec</w:t>
            </w:r>
          </w:p>
        </w:tc>
        <w:tc>
          <w:tcPr>
            <w:tcW w:w="2147" w:type="dxa"/>
            <w:vAlign w:val="center"/>
          </w:tcPr>
          <w:p w14:paraId="64AA6B31"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70,49</w:t>
            </w:r>
          </w:p>
        </w:tc>
      </w:tr>
      <w:tr w:rsidR="000B4D72" w:rsidRPr="003A793F" w14:paraId="59658BFC"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21462CFA" w14:textId="77777777" w:rsidR="000B4D72" w:rsidRPr="003A793F" w:rsidRDefault="000B4D72" w:rsidP="00597239">
            <w:pPr>
              <w:rPr>
                <w:rFonts w:eastAsia="Times New Roman" w:cstheme="minorHAnsi"/>
                <w:color w:val="FF0000"/>
                <w:sz w:val="18"/>
                <w:szCs w:val="18"/>
                <w:lang w:eastAsia="pl-PL"/>
              </w:rPr>
            </w:pPr>
          </w:p>
        </w:tc>
        <w:tc>
          <w:tcPr>
            <w:tcW w:w="4241" w:type="dxa"/>
            <w:gridSpan w:val="4"/>
            <w:vAlign w:val="center"/>
            <w:hideMark/>
          </w:tcPr>
          <w:p w14:paraId="1C382ACB"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Poliomyelitis</w:t>
            </w:r>
          </w:p>
        </w:tc>
        <w:tc>
          <w:tcPr>
            <w:tcW w:w="2147" w:type="dxa"/>
            <w:vAlign w:val="center"/>
          </w:tcPr>
          <w:p w14:paraId="31CE7B86"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70,32</w:t>
            </w:r>
          </w:p>
        </w:tc>
      </w:tr>
      <w:tr w:rsidR="000B4D72" w:rsidRPr="003A793F" w14:paraId="47DCD617"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27B82741"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10 r.ż.</w:t>
            </w:r>
          </w:p>
          <w:p w14:paraId="5EC6A0E2" w14:textId="77777777" w:rsidR="000B4D72" w:rsidRPr="003A793F" w:rsidRDefault="000B4D72" w:rsidP="00597239">
            <w:pPr>
              <w:rPr>
                <w:rFonts w:eastAsia="Times New Roman" w:cstheme="minorHAnsi"/>
                <w:color w:val="FF0000"/>
                <w:sz w:val="18"/>
                <w:szCs w:val="18"/>
                <w:lang w:eastAsia="pl-PL"/>
              </w:rPr>
            </w:pPr>
            <w:r w:rsidRPr="00B1218C">
              <w:rPr>
                <w:rFonts w:eastAsia="Times New Roman" w:cstheme="minorHAnsi"/>
                <w:sz w:val="18"/>
                <w:szCs w:val="18"/>
                <w:lang w:eastAsia="pl-PL"/>
              </w:rPr>
              <w:t>rocznik 2015</w:t>
            </w:r>
          </w:p>
        </w:tc>
        <w:tc>
          <w:tcPr>
            <w:tcW w:w="1447" w:type="dxa"/>
            <w:vMerge w:val="restart"/>
            <w:vAlign w:val="center"/>
            <w:hideMark/>
          </w:tcPr>
          <w:p w14:paraId="0516E7C1"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Odra, świnka, różyczka</w:t>
            </w:r>
          </w:p>
        </w:tc>
        <w:tc>
          <w:tcPr>
            <w:tcW w:w="2794" w:type="dxa"/>
            <w:gridSpan w:val="3"/>
            <w:vAlign w:val="center"/>
            <w:hideMark/>
          </w:tcPr>
          <w:p w14:paraId="5AC58EEF"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t>Ogółem objętych szczepieniami</w:t>
            </w:r>
          </w:p>
        </w:tc>
        <w:tc>
          <w:tcPr>
            <w:tcW w:w="2147" w:type="dxa"/>
            <w:vAlign w:val="center"/>
          </w:tcPr>
          <w:p w14:paraId="68094D06"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98,78</w:t>
            </w:r>
          </w:p>
        </w:tc>
      </w:tr>
      <w:tr w:rsidR="000B4D72" w:rsidRPr="003A793F" w14:paraId="1F541FC2"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E0E144E" w14:textId="77777777" w:rsidR="000B4D72" w:rsidRPr="003A793F" w:rsidRDefault="000B4D72" w:rsidP="00597239">
            <w:pPr>
              <w:rPr>
                <w:rFonts w:eastAsia="Times New Roman" w:cstheme="minorHAnsi"/>
                <w:color w:val="FF0000"/>
                <w:sz w:val="18"/>
                <w:szCs w:val="18"/>
                <w:lang w:eastAsia="pl-PL"/>
              </w:rPr>
            </w:pPr>
          </w:p>
        </w:tc>
        <w:tc>
          <w:tcPr>
            <w:tcW w:w="1447" w:type="dxa"/>
            <w:vMerge/>
            <w:vAlign w:val="center"/>
            <w:hideMark/>
          </w:tcPr>
          <w:p w14:paraId="7D2E0060"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p>
        </w:tc>
        <w:tc>
          <w:tcPr>
            <w:tcW w:w="603" w:type="dxa"/>
            <w:gridSpan w:val="2"/>
            <w:vMerge w:val="restart"/>
            <w:vAlign w:val="center"/>
            <w:hideMark/>
          </w:tcPr>
          <w:p w14:paraId="68D14F72"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t>w tym</w:t>
            </w:r>
          </w:p>
        </w:tc>
        <w:tc>
          <w:tcPr>
            <w:tcW w:w="2191" w:type="dxa"/>
            <w:vAlign w:val="center"/>
            <w:hideMark/>
          </w:tcPr>
          <w:p w14:paraId="40E1A9E5"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t>z I dawką</w:t>
            </w:r>
          </w:p>
        </w:tc>
        <w:tc>
          <w:tcPr>
            <w:tcW w:w="2147" w:type="dxa"/>
            <w:vAlign w:val="center"/>
          </w:tcPr>
          <w:p w14:paraId="2C3F9C18"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3,09</w:t>
            </w:r>
          </w:p>
        </w:tc>
      </w:tr>
      <w:tr w:rsidR="000B4D72" w:rsidRPr="003A793F" w14:paraId="1CC186F6"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7953238C" w14:textId="77777777" w:rsidR="000B4D72" w:rsidRPr="003A793F" w:rsidRDefault="000B4D72" w:rsidP="00597239">
            <w:pPr>
              <w:rPr>
                <w:rFonts w:eastAsia="Times New Roman" w:cstheme="minorHAnsi"/>
                <w:color w:val="FF0000"/>
                <w:sz w:val="18"/>
                <w:szCs w:val="18"/>
                <w:lang w:eastAsia="pl-PL"/>
              </w:rPr>
            </w:pPr>
          </w:p>
        </w:tc>
        <w:tc>
          <w:tcPr>
            <w:tcW w:w="1447" w:type="dxa"/>
            <w:vMerge/>
            <w:vAlign w:val="center"/>
            <w:hideMark/>
          </w:tcPr>
          <w:p w14:paraId="0587BC68"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p>
        </w:tc>
        <w:tc>
          <w:tcPr>
            <w:tcW w:w="603" w:type="dxa"/>
            <w:gridSpan w:val="2"/>
            <w:vMerge/>
            <w:vAlign w:val="center"/>
            <w:hideMark/>
          </w:tcPr>
          <w:p w14:paraId="43538FB6"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p>
        </w:tc>
        <w:tc>
          <w:tcPr>
            <w:tcW w:w="2191" w:type="dxa"/>
            <w:vAlign w:val="center"/>
            <w:hideMark/>
          </w:tcPr>
          <w:p w14:paraId="77BD2037"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t>z II dawką</w:t>
            </w:r>
          </w:p>
        </w:tc>
        <w:tc>
          <w:tcPr>
            <w:tcW w:w="2147" w:type="dxa"/>
            <w:vAlign w:val="center"/>
          </w:tcPr>
          <w:p w14:paraId="2D89DBC9"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95,69</w:t>
            </w:r>
          </w:p>
        </w:tc>
      </w:tr>
      <w:tr w:rsidR="000B4D72" w:rsidRPr="003A793F" w14:paraId="596F0AE0"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Merge w:val="restart"/>
            <w:vAlign w:val="center"/>
            <w:hideMark/>
          </w:tcPr>
          <w:p w14:paraId="47635625"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14 r.ż.</w:t>
            </w:r>
          </w:p>
          <w:p w14:paraId="48ECADEC" w14:textId="77777777" w:rsidR="000B4D72" w:rsidRPr="003A793F" w:rsidRDefault="000B4D72" w:rsidP="00597239">
            <w:pPr>
              <w:rPr>
                <w:rFonts w:eastAsia="Times New Roman" w:cstheme="minorHAnsi"/>
                <w:color w:val="FF0000"/>
                <w:sz w:val="18"/>
                <w:szCs w:val="18"/>
                <w:lang w:eastAsia="pl-PL"/>
              </w:rPr>
            </w:pPr>
            <w:r w:rsidRPr="00B1218C">
              <w:rPr>
                <w:rFonts w:eastAsia="Times New Roman" w:cstheme="minorHAnsi"/>
                <w:sz w:val="18"/>
                <w:szCs w:val="18"/>
                <w:lang w:eastAsia="pl-PL"/>
              </w:rPr>
              <w:t>rocznik 2011</w:t>
            </w:r>
          </w:p>
        </w:tc>
        <w:tc>
          <w:tcPr>
            <w:tcW w:w="1447" w:type="dxa"/>
            <w:vAlign w:val="center"/>
            <w:hideMark/>
          </w:tcPr>
          <w:p w14:paraId="3AD90077" w14:textId="77777777" w:rsidR="000B4D72" w:rsidRPr="003A793F"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69565A">
              <w:rPr>
                <w:rFonts w:eastAsia="Times New Roman" w:cstheme="minorHAnsi"/>
                <w:sz w:val="18"/>
                <w:szCs w:val="18"/>
                <w:lang w:eastAsia="pl-PL"/>
              </w:rPr>
              <w:t>Błonica, tężec</w:t>
            </w:r>
          </w:p>
        </w:tc>
        <w:tc>
          <w:tcPr>
            <w:tcW w:w="2794" w:type="dxa"/>
            <w:gridSpan w:val="3"/>
            <w:vAlign w:val="center"/>
            <w:hideMark/>
          </w:tcPr>
          <w:p w14:paraId="31F3A4E1"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t>II dawka przyp.</w:t>
            </w:r>
          </w:p>
        </w:tc>
        <w:tc>
          <w:tcPr>
            <w:tcW w:w="2147" w:type="dxa"/>
            <w:vAlign w:val="center"/>
          </w:tcPr>
          <w:p w14:paraId="6B0928CC"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69565A">
              <w:rPr>
                <w:rFonts w:eastAsia="Times New Roman" w:cstheme="minorHAnsi"/>
                <w:sz w:val="18"/>
                <w:szCs w:val="18"/>
                <w:lang w:eastAsia="pl-PL"/>
              </w:rPr>
              <w:t>76,36</w:t>
            </w:r>
          </w:p>
        </w:tc>
      </w:tr>
      <w:tr w:rsidR="000B4D72" w:rsidRPr="003A793F" w14:paraId="374111B6" w14:textId="77777777" w:rsidTr="00D6619C">
        <w:trPr>
          <w:trHeight w:val="284"/>
        </w:trPr>
        <w:tc>
          <w:tcPr>
            <w:cnfStyle w:val="001000000000" w:firstRow="0" w:lastRow="0" w:firstColumn="1" w:lastColumn="0" w:oddVBand="0" w:evenVBand="0" w:oddHBand="0" w:evenHBand="0" w:firstRowFirstColumn="0" w:firstRowLastColumn="0" w:lastRowFirstColumn="0" w:lastRowLastColumn="0"/>
            <w:tcW w:w="1559" w:type="dxa"/>
            <w:vMerge/>
            <w:vAlign w:val="center"/>
            <w:hideMark/>
          </w:tcPr>
          <w:p w14:paraId="14011B74" w14:textId="77777777" w:rsidR="000B4D72" w:rsidRPr="003A793F" w:rsidRDefault="000B4D72" w:rsidP="00597239">
            <w:pPr>
              <w:rPr>
                <w:rFonts w:eastAsia="Times New Roman" w:cstheme="minorHAnsi"/>
                <w:color w:val="FF0000"/>
                <w:sz w:val="18"/>
                <w:szCs w:val="18"/>
                <w:lang w:eastAsia="pl-PL"/>
              </w:rPr>
            </w:pPr>
          </w:p>
        </w:tc>
        <w:tc>
          <w:tcPr>
            <w:tcW w:w="1447" w:type="dxa"/>
            <w:vAlign w:val="center"/>
            <w:hideMark/>
          </w:tcPr>
          <w:p w14:paraId="0986F016" w14:textId="77777777" w:rsidR="000B4D72" w:rsidRPr="003A793F"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8"/>
                <w:szCs w:val="18"/>
                <w:lang w:eastAsia="pl-PL"/>
              </w:rPr>
            </w:pPr>
            <w:r w:rsidRPr="008E369E">
              <w:rPr>
                <w:rFonts w:eastAsia="Times New Roman" w:cstheme="minorHAnsi"/>
                <w:sz w:val="18"/>
                <w:szCs w:val="18"/>
                <w:lang w:eastAsia="pl-PL"/>
              </w:rPr>
              <w:t>Krztusiec</w:t>
            </w:r>
          </w:p>
        </w:tc>
        <w:tc>
          <w:tcPr>
            <w:tcW w:w="2794" w:type="dxa"/>
            <w:gridSpan w:val="3"/>
            <w:vAlign w:val="center"/>
            <w:hideMark/>
          </w:tcPr>
          <w:p w14:paraId="18B51F49"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t>II dawka przyp.</w:t>
            </w:r>
          </w:p>
        </w:tc>
        <w:tc>
          <w:tcPr>
            <w:tcW w:w="2147" w:type="dxa"/>
            <w:vAlign w:val="center"/>
          </w:tcPr>
          <w:p w14:paraId="777DFC32" w14:textId="77777777" w:rsidR="000B4D72" w:rsidRPr="00C117AA"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8E369E">
              <w:rPr>
                <w:rFonts w:eastAsia="Times New Roman" w:cstheme="minorHAnsi"/>
                <w:sz w:val="18"/>
                <w:szCs w:val="18"/>
                <w:lang w:eastAsia="pl-PL"/>
              </w:rPr>
              <w:t>76,36</w:t>
            </w:r>
          </w:p>
        </w:tc>
      </w:tr>
      <w:tr w:rsidR="000B4D72" w:rsidRPr="003A793F" w14:paraId="1AC73D79" w14:textId="77777777" w:rsidTr="00D6619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6" w:type="dxa"/>
            <w:gridSpan w:val="2"/>
            <w:vAlign w:val="center"/>
            <w:hideMark/>
          </w:tcPr>
          <w:p w14:paraId="56513D38"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t>19 r.ż.</w:t>
            </w:r>
          </w:p>
          <w:p w14:paraId="05A67FD7" w14:textId="77777777" w:rsidR="000B4D72" w:rsidRPr="00B1218C" w:rsidRDefault="000B4D72" w:rsidP="00597239">
            <w:pPr>
              <w:rPr>
                <w:rFonts w:eastAsia="Times New Roman" w:cstheme="minorHAnsi"/>
                <w:sz w:val="18"/>
                <w:szCs w:val="18"/>
                <w:lang w:eastAsia="pl-PL"/>
              </w:rPr>
            </w:pPr>
            <w:r w:rsidRPr="00B1218C">
              <w:rPr>
                <w:rFonts w:eastAsia="Times New Roman" w:cstheme="minorHAnsi"/>
                <w:sz w:val="18"/>
                <w:szCs w:val="18"/>
                <w:lang w:eastAsia="pl-PL"/>
              </w:rPr>
              <w:lastRenderedPageBreak/>
              <w:t>rocznik 200</w:t>
            </w:r>
            <w:r>
              <w:rPr>
                <w:rFonts w:eastAsia="Times New Roman" w:cstheme="minorHAnsi"/>
                <w:sz w:val="18"/>
                <w:szCs w:val="18"/>
                <w:lang w:eastAsia="pl-PL"/>
              </w:rPr>
              <w:t>6</w:t>
            </w:r>
          </w:p>
          <w:p w14:paraId="5F82FD32" w14:textId="77777777" w:rsidR="000B4D72" w:rsidRPr="003A793F" w:rsidRDefault="000B4D72" w:rsidP="00597239">
            <w:pPr>
              <w:rPr>
                <w:rFonts w:eastAsia="Times New Roman" w:cstheme="minorHAnsi"/>
                <w:color w:val="FF0000"/>
                <w:sz w:val="18"/>
                <w:szCs w:val="18"/>
                <w:lang w:eastAsia="pl-PL"/>
              </w:rPr>
            </w:pPr>
            <w:r w:rsidRPr="00B1218C">
              <w:rPr>
                <w:rFonts w:eastAsia="Times New Roman" w:cstheme="minorHAnsi"/>
                <w:sz w:val="18"/>
                <w:szCs w:val="18"/>
                <w:lang w:eastAsia="pl-PL"/>
              </w:rPr>
              <w:t>III dawka przypominająca</w:t>
            </w:r>
          </w:p>
        </w:tc>
        <w:tc>
          <w:tcPr>
            <w:tcW w:w="2794" w:type="dxa"/>
            <w:gridSpan w:val="3"/>
            <w:vAlign w:val="center"/>
            <w:hideMark/>
          </w:tcPr>
          <w:p w14:paraId="3F3859CE"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C117AA">
              <w:rPr>
                <w:rFonts w:eastAsia="Times New Roman" w:cstheme="minorHAnsi"/>
                <w:sz w:val="18"/>
                <w:szCs w:val="18"/>
                <w:lang w:eastAsia="pl-PL"/>
              </w:rPr>
              <w:lastRenderedPageBreak/>
              <w:t>Błonica, tężec</w:t>
            </w:r>
          </w:p>
        </w:tc>
        <w:tc>
          <w:tcPr>
            <w:tcW w:w="2147" w:type="dxa"/>
            <w:vAlign w:val="center"/>
          </w:tcPr>
          <w:p w14:paraId="6FDA0A3A" w14:textId="77777777" w:rsidR="000B4D72" w:rsidRPr="00C117AA"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Pr>
                <w:rFonts w:eastAsia="Times New Roman" w:cstheme="minorHAnsi"/>
                <w:sz w:val="18"/>
                <w:szCs w:val="18"/>
                <w:lang w:eastAsia="pl-PL"/>
              </w:rPr>
              <w:t>69,27</w:t>
            </w:r>
          </w:p>
        </w:tc>
      </w:tr>
      <w:bookmarkEnd w:id="154"/>
    </w:tbl>
    <w:p w14:paraId="0DE2F3BB" w14:textId="77777777" w:rsidR="0063333E" w:rsidRDefault="0063333E" w:rsidP="00597239">
      <w:pPr>
        <w:spacing w:after="0" w:line="276" w:lineRule="auto"/>
        <w:rPr>
          <w:rFonts w:eastAsia="Times New Roman" w:cstheme="minorHAnsi"/>
          <w:sz w:val="24"/>
          <w:szCs w:val="24"/>
          <w:lang w:eastAsia="pl-PL"/>
        </w:rPr>
      </w:pPr>
    </w:p>
    <w:p w14:paraId="688DFBBC" w14:textId="703DCCB3" w:rsidR="000B4D72" w:rsidRDefault="000B4D72" w:rsidP="00597239">
      <w:pPr>
        <w:spacing w:after="0" w:line="276" w:lineRule="auto"/>
        <w:rPr>
          <w:rFonts w:eastAsia="Times New Roman" w:cstheme="minorHAnsi"/>
          <w:sz w:val="24"/>
          <w:szCs w:val="24"/>
          <w:lang w:eastAsia="pl-PL"/>
        </w:rPr>
      </w:pPr>
      <w:r w:rsidRPr="0069565A">
        <w:rPr>
          <w:rFonts w:eastAsia="Times New Roman" w:cstheme="minorHAnsi"/>
          <w:sz w:val="24"/>
          <w:szCs w:val="24"/>
          <w:lang w:eastAsia="pl-PL"/>
        </w:rPr>
        <w:t>W porównaniu do roku 2023 liczba niemowląt nieobjętych szczepieniami przeciw gruźlicy w 1 roku życia nieznacznie zmniejszyła się – tabela 2</w:t>
      </w:r>
      <w:r>
        <w:rPr>
          <w:rFonts w:eastAsia="Times New Roman" w:cstheme="minorHAnsi"/>
          <w:sz w:val="24"/>
          <w:szCs w:val="24"/>
          <w:lang w:eastAsia="pl-PL"/>
        </w:rPr>
        <w:t>4</w:t>
      </w:r>
      <w:r w:rsidRPr="0069565A">
        <w:rPr>
          <w:rFonts w:eastAsia="Times New Roman" w:cstheme="minorHAnsi"/>
          <w:sz w:val="24"/>
          <w:szCs w:val="24"/>
          <w:lang w:eastAsia="pl-PL"/>
        </w:rPr>
        <w:t xml:space="preserve">. </w:t>
      </w:r>
    </w:p>
    <w:p w14:paraId="6ECE7B2F" w14:textId="77777777" w:rsidR="001C4441" w:rsidRDefault="001C4441" w:rsidP="00597239">
      <w:pPr>
        <w:spacing w:after="0" w:line="276" w:lineRule="auto"/>
        <w:rPr>
          <w:rFonts w:eastAsia="Times New Roman" w:cstheme="minorHAnsi"/>
          <w:sz w:val="24"/>
          <w:szCs w:val="24"/>
          <w:lang w:eastAsia="pl-PL"/>
        </w:rPr>
      </w:pPr>
    </w:p>
    <w:p w14:paraId="3110B019" w14:textId="77777777" w:rsidR="001C4441" w:rsidRDefault="001C4441" w:rsidP="00597239">
      <w:pPr>
        <w:spacing w:after="0" w:line="276" w:lineRule="auto"/>
        <w:rPr>
          <w:rFonts w:eastAsia="Times New Roman" w:cstheme="minorHAnsi"/>
          <w:sz w:val="24"/>
          <w:szCs w:val="24"/>
          <w:lang w:eastAsia="pl-PL"/>
        </w:rPr>
      </w:pPr>
    </w:p>
    <w:p w14:paraId="0FB4AD31" w14:textId="77777777" w:rsidR="001C4441" w:rsidRPr="00336863" w:rsidRDefault="001C4441" w:rsidP="00597239">
      <w:pPr>
        <w:spacing w:after="0" w:line="276" w:lineRule="auto"/>
        <w:rPr>
          <w:rFonts w:eastAsia="Times New Roman" w:cstheme="minorHAnsi"/>
          <w:sz w:val="24"/>
          <w:szCs w:val="24"/>
          <w:lang w:eastAsia="pl-PL"/>
        </w:rPr>
      </w:pPr>
    </w:p>
    <w:p w14:paraId="5D40F42F" w14:textId="77777777" w:rsidR="00B84251" w:rsidRDefault="00B84251" w:rsidP="00597239">
      <w:pPr>
        <w:pStyle w:val="Legenda"/>
        <w:spacing w:after="0"/>
        <w:rPr>
          <w:i w:val="0"/>
          <w:iCs w:val="0"/>
          <w:color w:val="000000" w:themeColor="text1"/>
        </w:rPr>
      </w:pPr>
    </w:p>
    <w:p w14:paraId="29FF3EA7" w14:textId="768183BC" w:rsidR="000B4D72" w:rsidRPr="00B477E8" w:rsidRDefault="00B477E8" w:rsidP="00597239">
      <w:pPr>
        <w:pStyle w:val="Legenda"/>
        <w:spacing w:after="0"/>
        <w:rPr>
          <w:rFonts w:eastAsia="Times New Roman" w:cstheme="minorHAnsi"/>
          <w:i w:val="0"/>
          <w:iCs w:val="0"/>
          <w:color w:val="000000" w:themeColor="text1"/>
          <w:lang w:eastAsia="pl-PL"/>
        </w:rPr>
      </w:pPr>
      <w:bookmarkStart w:id="155" w:name="_Toc193805994"/>
      <w:bookmarkStart w:id="156" w:name="_Toc193969542"/>
      <w:bookmarkStart w:id="157" w:name="_Toc194060002"/>
      <w:r w:rsidRPr="00B477E8">
        <w:rPr>
          <w:i w:val="0"/>
          <w:iCs w:val="0"/>
          <w:color w:val="000000" w:themeColor="text1"/>
        </w:rPr>
        <w:t xml:space="preserve">Tabela </w:t>
      </w:r>
      <w:r w:rsidRPr="00B477E8">
        <w:rPr>
          <w:i w:val="0"/>
          <w:iCs w:val="0"/>
          <w:color w:val="000000" w:themeColor="text1"/>
        </w:rPr>
        <w:fldChar w:fldCharType="begin"/>
      </w:r>
      <w:r w:rsidRPr="00B477E8">
        <w:rPr>
          <w:i w:val="0"/>
          <w:iCs w:val="0"/>
          <w:color w:val="000000" w:themeColor="text1"/>
        </w:rPr>
        <w:instrText xml:space="preserve"> SEQ Tabela \* ARABIC </w:instrText>
      </w:r>
      <w:r w:rsidRPr="00B477E8">
        <w:rPr>
          <w:i w:val="0"/>
          <w:iCs w:val="0"/>
          <w:color w:val="000000" w:themeColor="text1"/>
        </w:rPr>
        <w:fldChar w:fldCharType="separate"/>
      </w:r>
      <w:r w:rsidR="00FB6F6A">
        <w:rPr>
          <w:i w:val="0"/>
          <w:iCs w:val="0"/>
          <w:noProof/>
          <w:color w:val="000000" w:themeColor="text1"/>
        </w:rPr>
        <w:t>24</w:t>
      </w:r>
      <w:r w:rsidRPr="00B477E8">
        <w:rPr>
          <w:i w:val="0"/>
          <w:iCs w:val="0"/>
          <w:color w:val="000000" w:themeColor="text1"/>
        </w:rPr>
        <w:fldChar w:fldCharType="end"/>
      </w:r>
      <w:r w:rsidR="00E75D31">
        <w:rPr>
          <w:i w:val="0"/>
          <w:iCs w:val="0"/>
          <w:color w:val="000000" w:themeColor="text1"/>
        </w:rPr>
        <w:t>.</w:t>
      </w:r>
      <w:r w:rsidRPr="00B477E8">
        <w:rPr>
          <w:i w:val="0"/>
          <w:iCs w:val="0"/>
          <w:color w:val="000000" w:themeColor="text1"/>
        </w:rPr>
        <w:t xml:space="preserve"> Liczba niemowląt nieobjętych szczepieniami przeciw gruźlicy w 1 roku życia w latach 2020-2024 na terenie woj. zachodniopomorskiego</w:t>
      </w:r>
      <w:bookmarkEnd w:id="155"/>
      <w:bookmarkEnd w:id="156"/>
      <w:bookmarkEnd w:id="157"/>
    </w:p>
    <w:tbl>
      <w:tblPr>
        <w:tblStyle w:val="Tabelasiatki4akcent1"/>
        <w:tblW w:w="5000" w:type="pct"/>
        <w:tblLook w:val="01E0" w:firstRow="1" w:lastRow="1" w:firstColumn="1" w:lastColumn="1" w:noHBand="0" w:noVBand="0"/>
        <w:tblCaption w:val="Liczba niemowląt nieobjętych szczepieniami przeciw gruźlicy w 1 roku życia w latach 2020-2024 na terenie woj. zachodniopomorskiego"/>
        <w:tblDescription w:val="Tabela przedstawia liczbę niemowląt nieobjętych szczepieniami przeciw gruźlicy w 1 roku życia w latach 2020 - 2024. Na terenie województwa odnotowano 317 przypaków niemowląt nieobjętych szczepieniami przeciw gruźlicy w 1 roku życia. liczba ta jest porównywalna do roku 2023. W latach 2020-2021 największą liczbę przypadków niemowląt nieobjętych szczepieniami przeciw gruźlicy w 1 roku życia odbotowano w 2021 r., gdzie odnotowano 578 przypadków."/>
      </w:tblPr>
      <w:tblGrid>
        <w:gridCol w:w="3501"/>
        <w:gridCol w:w="1113"/>
        <w:gridCol w:w="1112"/>
        <w:gridCol w:w="1112"/>
        <w:gridCol w:w="1112"/>
        <w:gridCol w:w="1112"/>
      </w:tblGrid>
      <w:tr w:rsidR="000B4D72" w:rsidRPr="00FF50CD" w14:paraId="768C1F82" w14:textId="77777777" w:rsidTr="0063333E">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43" w:type="dxa"/>
            <w:vAlign w:val="center"/>
          </w:tcPr>
          <w:p w14:paraId="401360F6"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Rok</w:t>
            </w:r>
          </w:p>
        </w:tc>
        <w:tc>
          <w:tcPr>
            <w:cnfStyle w:val="000010000000" w:firstRow="0" w:lastRow="0" w:firstColumn="0" w:lastColumn="0" w:oddVBand="1" w:evenVBand="0" w:oddHBand="0" w:evenHBand="0" w:firstRowFirstColumn="0" w:firstRowLastColumn="0" w:lastRowFirstColumn="0" w:lastRowLastColumn="0"/>
            <w:tcW w:w="967" w:type="dxa"/>
            <w:vAlign w:val="center"/>
          </w:tcPr>
          <w:p w14:paraId="427BA478"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2020</w:t>
            </w:r>
          </w:p>
        </w:tc>
        <w:tc>
          <w:tcPr>
            <w:tcW w:w="967" w:type="dxa"/>
            <w:vAlign w:val="center"/>
          </w:tcPr>
          <w:p w14:paraId="1C61670A"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2021</w:t>
            </w:r>
          </w:p>
        </w:tc>
        <w:tc>
          <w:tcPr>
            <w:cnfStyle w:val="000010000000" w:firstRow="0" w:lastRow="0" w:firstColumn="0" w:lastColumn="0" w:oddVBand="1" w:evenVBand="0" w:oddHBand="0" w:evenHBand="0" w:firstRowFirstColumn="0" w:firstRowLastColumn="0" w:lastRowFirstColumn="0" w:lastRowLastColumn="0"/>
            <w:tcW w:w="967" w:type="dxa"/>
            <w:vAlign w:val="center"/>
          </w:tcPr>
          <w:p w14:paraId="5FBA9D22"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2022</w:t>
            </w:r>
          </w:p>
        </w:tc>
        <w:tc>
          <w:tcPr>
            <w:tcW w:w="967" w:type="dxa"/>
            <w:vAlign w:val="center"/>
          </w:tcPr>
          <w:p w14:paraId="152B0B87" w14:textId="77777777" w:rsidR="000B4D72" w:rsidRPr="00FF50CD" w:rsidRDefault="000B4D72"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2023</w:t>
            </w:r>
          </w:p>
        </w:tc>
        <w:tc>
          <w:tcPr>
            <w:cnfStyle w:val="000100000000" w:firstRow="0" w:lastRow="0" w:firstColumn="0" w:lastColumn="1" w:oddVBand="0" w:evenVBand="0" w:oddHBand="0" w:evenHBand="0" w:firstRowFirstColumn="0" w:firstRowLastColumn="0" w:lastRowFirstColumn="0" w:lastRowLastColumn="0"/>
            <w:tcW w:w="967" w:type="dxa"/>
            <w:vAlign w:val="center"/>
          </w:tcPr>
          <w:p w14:paraId="2F65FC48"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2024</w:t>
            </w:r>
          </w:p>
        </w:tc>
      </w:tr>
      <w:tr w:rsidR="000B4D72" w:rsidRPr="00FF50CD" w14:paraId="2AB63ADD" w14:textId="77777777" w:rsidTr="0063333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43" w:type="dxa"/>
            <w:vAlign w:val="center"/>
          </w:tcPr>
          <w:p w14:paraId="78A1B7C2"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Liczba niemowląt nieobjętych szczepieniami przeciw gruźlicy</w:t>
            </w:r>
          </w:p>
          <w:p w14:paraId="6F137F4A"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w 1 roku życia</w:t>
            </w:r>
          </w:p>
        </w:tc>
        <w:tc>
          <w:tcPr>
            <w:cnfStyle w:val="000010000000" w:firstRow="0" w:lastRow="0" w:firstColumn="0" w:lastColumn="0" w:oddVBand="1" w:evenVBand="0" w:oddHBand="0" w:evenHBand="0" w:firstRowFirstColumn="0" w:firstRowLastColumn="0" w:lastRowFirstColumn="0" w:lastRowLastColumn="0"/>
            <w:tcW w:w="967" w:type="dxa"/>
            <w:vAlign w:val="center"/>
          </w:tcPr>
          <w:p w14:paraId="5A0736C9" w14:textId="77777777" w:rsidR="000B4D72" w:rsidRPr="00FF50CD" w:rsidRDefault="000B4D72" w:rsidP="00597239">
            <w:pPr>
              <w:spacing w:line="276" w:lineRule="auto"/>
              <w:rPr>
                <w:rFonts w:eastAsia="Times New Roman" w:cstheme="minorHAnsi"/>
                <w:color w:val="FF0000"/>
                <w:sz w:val="18"/>
                <w:szCs w:val="18"/>
                <w:lang w:eastAsia="pl-PL"/>
              </w:rPr>
            </w:pPr>
            <w:r w:rsidRPr="00FF50CD">
              <w:rPr>
                <w:rFonts w:eastAsia="Times New Roman" w:cstheme="minorHAnsi"/>
                <w:sz w:val="18"/>
                <w:szCs w:val="18"/>
                <w:lang w:eastAsia="pl-PL"/>
              </w:rPr>
              <w:t>461</w:t>
            </w:r>
          </w:p>
        </w:tc>
        <w:tc>
          <w:tcPr>
            <w:tcW w:w="967" w:type="dxa"/>
            <w:vAlign w:val="center"/>
          </w:tcPr>
          <w:p w14:paraId="61CDB56D"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FF50CD">
              <w:rPr>
                <w:rFonts w:eastAsia="Times New Roman" w:cstheme="minorHAnsi"/>
                <w:sz w:val="18"/>
                <w:szCs w:val="18"/>
                <w:lang w:eastAsia="pl-PL"/>
              </w:rPr>
              <w:t>578</w:t>
            </w:r>
          </w:p>
        </w:tc>
        <w:tc>
          <w:tcPr>
            <w:cnfStyle w:val="000010000000" w:firstRow="0" w:lastRow="0" w:firstColumn="0" w:lastColumn="0" w:oddVBand="1" w:evenVBand="0" w:oddHBand="0" w:evenHBand="0" w:firstRowFirstColumn="0" w:firstRowLastColumn="0" w:lastRowFirstColumn="0" w:lastRowLastColumn="0"/>
            <w:tcW w:w="967" w:type="dxa"/>
            <w:vAlign w:val="center"/>
          </w:tcPr>
          <w:p w14:paraId="2BB612D5" w14:textId="77777777" w:rsidR="000B4D72" w:rsidRPr="00FF50CD" w:rsidRDefault="000B4D72" w:rsidP="00597239">
            <w:pPr>
              <w:spacing w:line="276" w:lineRule="auto"/>
              <w:rPr>
                <w:rFonts w:eastAsia="Times New Roman" w:cstheme="minorHAnsi"/>
                <w:color w:val="FF0000"/>
                <w:sz w:val="18"/>
                <w:szCs w:val="18"/>
                <w:lang w:eastAsia="pl-PL"/>
              </w:rPr>
            </w:pPr>
            <w:r w:rsidRPr="00FF50CD">
              <w:rPr>
                <w:rFonts w:eastAsia="Times New Roman" w:cstheme="minorHAnsi"/>
                <w:sz w:val="18"/>
                <w:szCs w:val="18"/>
                <w:lang w:eastAsia="pl-PL"/>
              </w:rPr>
              <w:t>377</w:t>
            </w:r>
          </w:p>
        </w:tc>
        <w:tc>
          <w:tcPr>
            <w:tcW w:w="967" w:type="dxa"/>
            <w:vAlign w:val="center"/>
          </w:tcPr>
          <w:p w14:paraId="02FD2F0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8"/>
                <w:szCs w:val="18"/>
                <w:lang w:eastAsia="pl-PL"/>
              </w:rPr>
            </w:pPr>
            <w:r w:rsidRPr="00FF50CD">
              <w:rPr>
                <w:rFonts w:eastAsia="Times New Roman" w:cstheme="minorHAnsi"/>
                <w:sz w:val="18"/>
                <w:szCs w:val="18"/>
                <w:lang w:eastAsia="pl-PL"/>
              </w:rPr>
              <w:t>325</w:t>
            </w:r>
          </w:p>
        </w:tc>
        <w:tc>
          <w:tcPr>
            <w:cnfStyle w:val="000100000000" w:firstRow="0" w:lastRow="0" w:firstColumn="0" w:lastColumn="1" w:oddVBand="0" w:evenVBand="0" w:oddHBand="0" w:evenHBand="0" w:firstRowFirstColumn="0" w:firstRowLastColumn="0" w:lastRowFirstColumn="0" w:lastRowLastColumn="0"/>
            <w:tcW w:w="967" w:type="dxa"/>
            <w:vAlign w:val="center"/>
          </w:tcPr>
          <w:p w14:paraId="4600E0A0"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317</w:t>
            </w:r>
          </w:p>
        </w:tc>
      </w:tr>
      <w:tr w:rsidR="000B4D72" w:rsidRPr="00FF50CD" w14:paraId="4587CF8F" w14:textId="77777777" w:rsidTr="0063333E">
        <w:trPr>
          <w:cnfStyle w:val="010000000000" w:firstRow="0" w:lastRow="1"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043" w:type="dxa"/>
            <w:vAlign w:val="center"/>
          </w:tcPr>
          <w:p w14:paraId="2BFCE782"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Liczba niemowląt nieobjętych szczepieniami przeciw gruźlicy</w:t>
            </w:r>
          </w:p>
          <w:p w14:paraId="204A3B0C"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w 2 roku życia (po uzupełnieniu w kolejnym roku)</w:t>
            </w:r>
          </w:p>
        </w:tc>
        <w:tc>
          <w:tcPr>
            <w:cnfStyle w:val="000010000000" w:firstRow="0" w:lastRow="0" w:firstColumn="0" w:lastColumn="0" w:oddVBand="1" w:evenVBand="0" w:oddHBand="0" w:evenHBand="0" w:firstRowFirstColumn="0" w:firstRowLastColumn="0" w:lastRowFirstColumn="0" w:lastRowLastColumn="0"/>
            <w:tcW w:w="967" w:type="dxa"/>
            <w:vAlign w:val="center"/>
          </w:tcPr>
          <w:p w14:paraId="5AC80683"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272</w:t>
            </w:r>
          </w:p>
        </w:tc>
        <w:tc>
          <w:tcPr>
            <w:tcW w:w="967" w:type="dxa"/>
            <w:vAlign w:val="center"/>
          </w:tcPr>
          <w:p w14:paraId="46AEB08C" w14:textId="77777777" w:rsidR="000B4D72" w:rsidRPr="00FF50CD" w:rsidRDefault="000B4D72" w:rsidP="00597239">
            <w:pPr>
              <w:spacing w:line="276" w:lineRule="auto"/>
              <w:cnfStyle w:val="010000000000" w:firstRow="0" w:lastRow="1" w:firstColumn="0" w:lastColumn="0" w:oddVBand="0" w:evenVBand="0" w:oddHBand="0" w:evenHBand="0" w:firstRowFirstColumn="0" w:firstRowLastColumn="0" w:lastRowFirstColumn="0" w:lastRowLastColumn="0"/>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296</w:t>
            </w:r>
          </w:p>
        </w:tc>
        <w:tc>
          <w:tcPr>
            <w:cnfStyle w:val="000010000000" w:firstRow="0" w:lastRow="0" w:firstColumn="0" w:lastColumn="0" w:oddVBand="1" w:evenVBand="0" w:oddHBand="0" w:evenHBand="0" w:firstRowFirstColumn="0" w:firstRowLastColumn="0" w:lastRowFirstColumn="0" w:lastRowLastColumn="0"/>
            <w:tcW w:w="967" w:type="dxa"/>
            <w:vAlign w:val="center"/>
          </w:tcPr>
          <w:p w14:paraId="36B7C659"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330</w:t>
            </w:r>
          </w:p>
        </w:tc>
        <w:tc>
          <w:tcPr>
            <w:tcW w:w="967" w:type="dxa"/>
            <w:vAlign w:val="center"/>
          </w:tcPr>
          <w:p w14:paraId="434115DB" w14:textId="77777777" w:rsidR="000B4D72" w:rsidRPr="00FF50CD" w:rsidRDefault="000B4D72" w:rsidP="00597239">
            <w:pPr>
              <w:spacing w:line="276" w:lineRule="auto"/>
              <w:cnfStyle w:val="010000000000" w:firstRow="0" w:lastRow="1" w:firstColumn="0" w:lastColumn="0" w:oddVBand="0" w:evenVBand="0" w:oddHBand="0" w:evenHBand="0" w:firstRowFirstColumn="0" w:firstRowLastColumn="0" w:lastRowFirstColumn="0" w:lastRowLastColumn="0"/>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262</w:t>
            </w:r>
          </w:p>
        </w:tc>
        <w:tc>
          <w:tcPr>
            <w:cnfStyle w:val="000100000000" w:firstRow="0" w:lastRow="0" w:firstColumn="0" w:lastColumn="1" w:oddVBand="0" w:evenVBand="0" w:oddHBand="0" w:evenHBand="0" w:firstRowFirstColumn="0" w:firstRowLastColumn="0" w:lastRowFirstColumn="0" w:lastRowLastColumn="0"/>
            <w:tcW w:w="967" w:type="dxa"/>
            <w:vAlign w:val="center"/>
          </w:tcPr>
          <w:p w14:paraId="32F03E03"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w:t>
            </w:r>
          </w:p>
        </w:tc>
      </w:tr>
    </w:tbl>
    <w:p w14:paraId="06326BF5" w14:textId="77777777" w:rsidR="000B4D72" w:rsidRPr="009232D1" w:rsidRDefault="000B4D72" w:rsidP="00597239">
      <w:pPr>
        <w:spacing w:after="0" w:line="276" w:lineRule="auto"/>
        <w:rPr>
          <w:rFonts w:eastAsia="Times New Roman" w:cstheme="minorHAnsi"/>
          <w:sz w:val="24"/>
          <w:szCs w:val="24"/>
          <w:lang w:eastAsia="pl-PL"/>
        </w:rPr>
      </w:pPr>
      <w:r w:rsidRPr="009232D1">
        <w:rPr>
          <w:rFonts w:eastAsia="Times New Roman" w:cstheme="minorHAnsi"/>
          <w:sz w:val="24"/>
          <w:szCs w:val="24"/>
          <w:lang w:eastAsia="pl-PL"/>
        </w:rPr>
        <w:t>*</w:t>
      </w:r>
      <w:r w:rsidRPr="009232D1">
        <w:rPr>
          <w:rFonts w:eastAsia="Times New Roman" w:cstheme="minorHAnsi"/>
          <w:sz w:val="20"/>
          <w:szCs w:val="20"/>
          <w:lang w:eastAsia="pl-PL"/>
        </w:rPr>
        <w:t>dane zostaną uzupełnione w 2026 roku, po analizie MZ-56 za 2025 rok</w:t>
      </w:r>
    </w:p>
    <w:p w14:paraId="4429A282" w14:textId="77777777" w:rsidR="0063333E" w:rsidRDefault="0063333E" w:rsidP="00597239">
      <w:pPr>
        <w:spacing w:after="0" w:line="276" w:lineRule="auto"/>
        <w:rPr>
          <w:rFonts w:eastAsia="Times New Roman" w:cstheme="minorHAnsi"/>
          <w:sz w:val="24"/>
          <w:szCs w:val="24"/>
          <w:lang w:eastAsia="pl-PL"/>
        </w:rPr>
      </w:pPr>
    </w:p>
    <w:p w14:paraId="11D96773" w14:textId="75F2DD04" w:rsidR="00B84251" w:rsidRPr="00B84251" w:rsidRDefault="000B4D72" w:rsidP="00597239">
      <w:pPr>
        <w:spacing w:after="0" w:line="276" w:lineRule="auto"/>
        <w:rPr>
          <w:rFonts w:eastAsia="Times New Roman" w:cstheme="minorHAnsi"/>
          <w:sz w:val="24"/>
          <w:szCs w:val="24"/>
          <w:lang w:eastAsia="pl-PL"/>
        </w:rPr>
      </w:pPr>
      <w:r w:rsidRPr="008A2170">
        <w:rPr>
          <w:rFonts w:eastAsia="Times New Roman" w:cstheme="minorHAnsi"/>
          <w:sz w:val="24"/>
          <w:szCs w:val="24"/>
          <w:lang w:eastAsia="pl-PL"/>
        </w:rPr>
        <w:t>Realizację obowiązkowych szczepień osób narażonych w sposób szczególny na zakażenie w</w:t>
      </w:r>
      <w:r w:rsidR="00D6619C">
        <w:rPr>
          <w:rFonts w:eastAsia="Times New Roman" w:cstheme="minorHAnsi"/>
          <w:sz w:val="24"/>
          <w:szCs w:val="24"/>
          <w:lang w:eastAsia="pl-PL"/>
        </w:rPr>
        <w:t> </w:t>
      </w:r>
      <w:r w:rsidRPr="008A2170">
        <w:rPr>
          <w:rFonts w:eastAsia="Times New Roman" w:cstheme="minorHAnsi"/>
          <w:sz w:val="24"/>
          <w:szCs w:val="24"/>
          <w:lang w:eastAsia="pl-PL"/>
        </w:rPr>
        <w:t>związku z przesłankami klinicznymi lub epidemiologicznymi oraz obowiązkowe szczepienia po</w:t>
      </w:r>
      <w:r w:rsidR="00B84251">
        <w:rPr>
          <w:rFonts w:eastAsia="Times New Roman" w:cstheme="minorHAnsi"/>
          <w:sz w:val="24"/>
          <w:szCs w:val="24"/>
          <w:lang w:eastAsia="pl-PL"/>
        </w:rPr>
        <w:t xml:space="preserve"> </w:t>
      </w:r>
      <w:r w:rsidRPr="008A2170">
        <w:rPr>
          <w:rFonts w:eastAsia="Times New Roman" w:cstheme="minorHAnsi"/>
          <w:sz w:val="24"/>
          <w:szCs w:val="24"/>
          <w:lang w:eastAsia="pl-PL"/>
        </w:rPr>
        <w:t>ekspozycyjne w roku 2024 przedstawia tabela 2</w:t>
      </w:r>
      <w:r>
        <w:rPr>
          <w:rFonts w:eastAsia="Times New Roman" w:cstheme="minorHAnsi"/>
          <w:sz w:val="24"/>
          <w:szCs w:val="24"/>
          <w:lang w:eastAsia="pl-PL"/>
        </w:rPr>
        <w:t>5</w:t>
      </w:r>
      <w:r w:rsidRPr="008A2170">
        <w:rPr>
          <w:rFonts w:eastAsia="Times New Roman" w:cstheme="minorHAnsi"/>
          <w:sz w:val="24"/>
          <w:szCs w:val="24"/>
          <w:lang w:eastAsia="pl-PL"/>
        </w:rPr>
        <w:t>.</w:t>
      </w:r>
    </w:p>
    <w:p w14:paraId="1E271086" w14:textId="77777777" w:rsidR="00B84251" w:rsidRDefault="00B84251" w:rsidP="00597239">
      <w:pPr>
        <w:pStyle w:val="Legenda"/>
        <w:spacing w:after="0"/>
        <w:rPr>
          <w:i w:val="0"/>
          <w:iCs w:val="0"/>
          <w:color w:val="000000" w:themeColor="text1"/>
        </w:rPr>
      </w:pPr>
    </w:p>
    <w:p w14:paraId="3C5E3120" w14:textId="61A7AED1" w:rsidR="000B4D72" w:rsidRPr="00D42F0A" w:rsidRDefault="00D42F0A" w:rsidP="00597239">
      <w:pPr>
        <w:pStyle w:val="Legenda"/>
        <w:spacing w:after="0"/>
        <w:rPr>
          <w:rFonts w:eastAsia="Times New Roman" w:cstheme="minorHAnsi"/>
          <w:i w:val="0"/>
          <w:iCs w:val="0"/>
          <w:color w:val="000000" w:themeColor="text1"/>
          <w:lang w:eastAsia="pl-PL"/>
        </w:rPr>
      </w:pPr>
      <w:bookmarkStart w:id="158" w:name="_Toc193805995"/>
      <w:bookmarkStart w:id="159" w:name="_Toc193969543"/>
      <w:bookmarkStart w:id="160" w:name="_Toc194060003"/>
      <w:r w:rsidRPr="00D42F0A">
        <w:rPr>
          <w:i w:val="0"/>
          <w:iCs w:val="0"/>
          <w:color w:val="000000" w:themeColor="text1"/>
        </w:rPr>
        <w:t xml:space="preserve">Tabela </w:t>
      </w:r>
      <w:r w:rsidRPr="00D42F0A">
        <w:rPr>
          <w:i w:val="0"/>
          <w:iCs w:val="0"/>
          <w:color w:val="000000" w:themeColor="text1"/>
        </w:rPr>
        <w:fldChar w:fldCharType="begin"/>
      </w:r>
      <w:r w:rsidRPr="00D42F0A">
        <w:rPr>
          <w:i w:val="0"/>
          <w:iCs w:val="0"/>
          <w:color w:val="000000" w:themeColor="text1"/>
        </w:rPr>
        <w:instrText xml:space="preserve"> SEQ Tabela \* ARABIC </w:instrText>
      </w:r>
      <w:r w:rsidRPr="00D42F0A">
        <w:rPr>
          <w:i w:val="0"/>
          <w:iCs w:val="0"/>
          <w:color w:val="000000" w:themeColor="text1"/>
        </w:rPr>
        <w:fldChar w:fldCharType="separate"/>
      </w:r>
      <w:r w:rsidR="00FB6F6A">
        <w:rPr>
          <w:i w:val="0"/>
          <w:iCs w:val="0"/>
          <w:noProof/>
          <w:color w:val="000000" w:themeColor="text1"/>
        </w:rPr>
        <w:t>25</w:t>
      </w:r>
      <w:r w:rsidRPr="00D42F0A">
        <w:rPr>
          <w:i w:val="0"/>
          <w:iCs w:val="0"/>
          <w:color w:val="000000" w:themeColor="text1"/>
        </w:rPr>
        <w:fldChar w:fldCharType="end"/>
      </w:r>
      <w:r w:rsidR="00E75D31">
        <w:rPr>
          <w:i w:val="0"/>
          <w:iCs w:val="0"/>
          <w:color w:val="000000" w:themeColor="text1"/>
        </w:rPr>
        <w:t>.</w:t>
      </w:r>
      <w:r w:rsidRPr="00D42F0A">
        <w:rPr>
          <w:i w:val="0"/>
          <w:iCs w:val="0"/>
          <w:color w:val="000000" w:themeColor="text1"/>
        </w:rPr>
        <w:t xml:space="preserve"> Liczba szczepień u osób narażonych w sposób szczególny na zakażenie w roku 2024 na terenie woj. zachodniopomorskiego</w:t>
      </w:r>
      <w:bookmarkEnd w:id="158"/>
      <w:bookmarkEnd w:id="159"/>
      <w:bookmarkEnd w:id="160"/>
    </w:p>
    <w:tbl>
      <w:tblPr>
        <w:tblStyle w:val="Tabelasiatki4akcent1"/>
        <w:tblW w:w="5000" w:type="pct"/>
        <w:tblLook w:val="01E0" w:firstRow="1" w:lastRow="1" w:firstColumn="1" w:lastColumn="1" w:noHBand="0" w:noVBand="0"/>
        <w:tblCaption w:val="Liczba szczepień u osób narażonych w sposób szczególny na zakażenie w roku 2024 na terenie woj. zachodniopomorskiego"/>
        <w:tblDescription w:val="Tabela przedstawia liczbę szczepień u osób narażonych w sposób szczególny na zakażenia w roku 2024 na terenie województwa zachodniopomorskiego. Najwięcej szczepień wykonano przeciwko tężcowi - 14809 szczepień - oraz przeciw WZW typu B - 1308 przypadków. "/>
      </w:tblPr>
      <w:tblGrid>
        <w:gridCol w:w="6577"/>
        <w:gridCol w:w="2485"/>
      </w:tblGrid>
      <w:tr w:rsidR="000B4D72" w:rsidRPr="00FF50CD" w14:paraId="6C783A89" w14:textId="77777777" w:rsidTr="0063333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048F6967"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Rok</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0CCB408E"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2024</w:t>
            </w:r>
          </w:p>
        </w:tc>
      </w:tr>
      <w:tr w:rsidR="000B4D72" w:rsidRPr="00FF50CD" w14:paraId="39C7915D" w14:textId="77777777" w:rsidTr="00633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5B6A8763"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Błonica</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20D8D747"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385</w:t>
            </w:r>
          </w:p>
        </w:tc>
      </w:tr>
      <w:tr w:rsidR="000B4D72" w:rsidRPr="00FF50CD" w14:paraId="0BED6319" w14:textId="77777777" w:rsidTr="0063333E">
        <w:trPr>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38207D12"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Krztusiec</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516ADEAD"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385</w:t>
            </w:r>
          </w:p>
        </w:tc>
      </w:tr>
      <w:tr w:rsidR="000B4D72" w:rsidRPr="00FF50CD" w14:paraId="3DA1C116" w14:textId="77777777" w:rsidTr="00633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2CFF7E2A"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Odra, świnka i różyczka</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6097E10E"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14</w:t>
            </w:r>
          </w:p>
        </w:tc>
      </w:tr>
      <w:tr w:rsidR="000B4D72" w:rsidRPr="00FF50CD" w14:paraId="6B6191A9" w14:textId="77777777" w:rsidTr="0063333E">
        <w:trPr>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01792B28"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Poliomyelitis</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20795FEC"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27</w:t>
            </w:r>
          </w:p>
        </w:tc>
      </w:tr>
      <w:tr w:rsidR="000B4D72" w:rsidRPr="00FF50CD" w14:paraId="0A7897EB" w14:textId="77777777" w:rsidTr="00633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191DFD31"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Tężec – szczepienie profilaktyczne</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2E86F52D"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792</w:t>
            </w:r>
          </w:p>
        </w:tc>
      </w:tr>
      <w:tr w:rsidR="000B4D72" w:rsidRPr="00FF50CD" w14:paraId="0CB46618" w14:textId="77777777" w:rsidTr="0063333E">
        <w:trPr>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4F68BA4F"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WZW typu B</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7FC03B6B"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1308</w:t>
            </w:r>
          </w:p>
        </w:tc>
      </w:tr>
      <w:tr w:rsidR="000B4D72" w:rsidRPr="00FF50CD" w14:paraId="45E6A559" w14:textId="77777777" w:rsidTr="00633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7FBD61AF"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Haemophilus influenzae typu b</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1F5974E8"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177</w:t>
            </w:r>
          </w:p>
        </w:tc>
      </w:tr>
      <w:tr w:rsidR="000B4D72" w:rsidRPr="00FF50CD" w14:paraId="7C6BF057" w14:textId="77777777" w:rsidTr="0063333E">
        <w:trPr>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3C622298"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Streptococcus pneumoniae</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1BD60434"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431</w:t>
            </w:r>
          </w:p>
        </w:tc>
      </w:tr>
      <w:tr w:rsidR="000B4D72" w:rsidRPr="00FF50CD" w14:paraId="6C12D1D4" w14:textId="77777777" w:rsidTr="0063333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53F03550"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Ospa wietrzna</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413A13B5"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3265</w:t>
            </w:r>
          </w:p>
        </w:tc>
      </w:tr>
      <w:tr w:rsidR="000B4D72" w:rsidRPr="00FF50CD" w14:paraId="6593867E" w14:textId="77777777" w:rsidTr="0063333E">
        <w:trPr>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2908B25F"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Tężec – szczepienie poekspozycyjne</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4DAF9FD5"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14809</w:t>
            </w:r>
          </w:p>
        </w:tc>
      </w:tr>
      <w:tr w:rsidR="000B4D72" w:rsidRPr="00FF50CD" w14:paraId="2EC77008" w14:textId="77777777" w:rsidTr="0063333E">
        <w:trPr>
          <w:cnfStyle w:val="010000000000" w:firstRow="0" w:lastRow="1"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629" w:type="pct"/>
            <w:vAlign w:val="center"/>
          </w:tcPr>
          <w:p w14:paraId="679B80FD"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Wścieklizna – szczepienie poekspozycyjne</w:t>
            </w:r>
          </w:p>
        </w:tc>
        <w:tc>
          <w:tcPr>
            <w:cnfStyle w:val="000100000000" w:firstRow="0" w:lastRow="0" w:firstColumn="0" w:lastColumn="1" w:oddVBand="0" w:evenVBand="0" w:oddHBand="0" w:evenHBand="0" w:firstRowFirstColumn="0" w:firstRowLastColumn="0" w:lastRowFirstColumn="0" w:lastRowLastColumn="0"/>
            <w:tcW w:w="1371" w:type="pct"/>
            <w:vAlign w:val="center"/>
          </w:tcPr>
          <w:p w14:paraId="53B0555B" w14:textId="77777777" w:rsidR="000B4D72" w:rsidRPr="00FF50CD" w:rsidRDefault="000B4D7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542</w:t>
            </w:r>
          </w:p>
        </w:tc>
      </w:tr>
    </w:tbl>
    <w:p w14:paraId="3421B2EE" w14:textId="312EFC66" w:rsidR="000B4D72" w:rsidRPr="00F31E01" w:rsidRDefault="000B4D72" w:rsidP="00597239">
      <w:pPr>
        <w:spacing w:before="240" w:after="0" w:line="276" w:lineRule="auto"/>
        <w:rPr>
          <w:rFonts w:eastAsia="Times New Roman" w:cstheme="minorHAnsi"/>
          <w:sz w:val="24"/>
          <w:szCs w:val="24"/>
          <w:lang w:eastAsia="pl-PL"/>
        </w:rPr>
      </w:pPr>
      <w:r>
        <w:rPr>
          <w:rFonts w:eastAsia="Times New Roman" w:cstheme="minorHAnsi"/>
          <w:sz w:val="24"/>
          <w:szCs w:val="24"/>
          <w:lang w:eastAsia="pl-PL"/>
        </w:rPr>
        <w:t>O</w:t>
      </w:r>
      <w:r w:rsidRPr="009B2345">
        <w:rPr>
          <w:rFonts w:eastAsia="Times New Roman" w:cstheme="minorHAnsi"/>
          <w:sz w:val="24"/>
          <w:szCs w:val="24"/>
          <w:lang w:eastAsia="pl-PL"/>
        </w:rPr>
        <w:t xml:space="preserve">soby </w:t>
      </w:r>
      <w:r>
        <w:rPr>
          <w:rFonts w:eastAsia="Times New Roman" w:cstheme="minorHAnsi"/>
          <w:sz w:val="24"/>
          <w:szCs w:val="24"/>
          <w:lang w:eastAsia="pl-PL"/>
        </w:rPr>
        <w:t xml:space="preserve">nierealizujące </w:t>
      </w:r>
      <w:r w:rsidRPr="009B2345">
        <w:rPr>
          <w:rFonts w:eastAsia="Times New Roman" w:cstheme="minorHAnsi"/>
          <w:sz w:val="24"/>
          <w:szCs w:val="24"/>
          <w:lang w:eastAsia="pl-PL"/>
        </w:rPr>
        <w:t>obowiązku szczepień ochronnych</w:t>
      </w:r>
      <w:r w:rsidRPr="009D2327">
        <w:rPr>
          <w:rFonts w:eastAsia="Times New Roman" w:cstheme="minorHAnsi"/>
          <w:sz w:val="24"/>
          <w:szCs w:val="24"/>
          <w:lang w:eastAsia="pl-PL"/>
        </w:rPr>
        <w:t xml:space="preserve"> </w:t>
      </w:r>
      <w:r w:rsidRPr="009B2345">
        <w:rPr>
          <w:rFonts w:eastAsia="Times New Roman" w:cstheme="minorHAnsi"/>
          <w:sz w:val="24"/>
          <w:szCs w:val="24"/>
          <w:lang w:eastAsia="pl-PL"/>
        </w:rPr>
        <w:t xml:space="preserve">stanowią </w:t>
      </w:r>
      <w:r>
        <w:rPr>
          <w:rFonts w:eastAsia="Times New Roman" w:cstheme="minorHAnsi"/>
          <w:sz w:val="24"/>
          <w:szCs w:val="24"/>
          <w:lang w:eastAsia="pl-PL"/>
        </w:rPr>
        <w:t>istotny p</w:t>
      </w:r>
      <w:r w:rsidRPr="009B2345">
        <w:rPr>
          <w:rFonts w:eastAsia="Times New Roman" w:cstheme="minorHAnsi"/>
          <w:sz w:val="24"/>
          <w:szCs w:val="24"/>
          <w:lang w:eastAsia="pl-PL"/>
        </w:rPr>
        <w:t>roblem na</w:t>
      </w:r>
      <w:r w:rsidR="007B1BEB">
        <w:rPr>
          <w:rFonts w:eastAsia="Times New Roman" w:cstheme="minorHAnsi"/>
          <w:sz w:val="24"/>
          <w:szCs w:val="24"/>
          <w:lang w:eastAsia="pl-PL"/>
        </w:rPr>
        <w:t> </w:t>
      </w:r>
      <w:r w:rsidRPr="009B2345">
        <w:rPr>
          <w:rFonts w:eastAsia="Times New Roman" w:cstheme="minorHAnsi"/>
          <w:sz w:val="24"/>
          <w:szCs w:val="24"/>
          <w:lang w:eastAsia="pl-PL"/>
        </w:rPr>
        <w:t>terenie województwa</w:t>
      </w:r>
      <w:r>
        <w:rPr>
          <w:rFonts w:eastAsia="Times New Roman" w:cstheme="minorHAnsi"/>
          <w:sz w:val="24"/>
          <w:szCs w:val="24"/>
          <w:lang w:eastAsia="pl-PL"/>
        </w:rPr>
        <w:t>.</w:t>
      </w:r>
      <w:r w:rsidRPr="009B2345">
        <w:rPr>
          <w:rFonts w:eastAsia="Times New Roman" w:cstheme="minorHAnsi"/>
          <w:sz w:val="24"/>
          <w:szCs w:val="24"/>
          <w:lang w:eastAsia="pl-PL"/>
        </w:rPr>
        <w:t xml:space="preserve"> Pomimo iż sukcesywnie</w:t>
      </w:r>
      <w:r w:rsidRPr="009B2345">
        <w:rPr>
          <w:rFonts w:eastAsia="Times New Roman" w:cstheme="minorHAnsi"/>
          <w:b/>
          <w:sz w:val="24"/>
          <w:szCs w:val="24"/>
          <w:lang w:eastAsia="pl-PL"/>
        </w:rPr>
        <w:t xml:space="preserve"> </w:t>
      </w:r>
      <w:r w:rsidRPr="009B2345">
        <w:rPr>
          <w:rFonts w:eastAsia="Times New Roman" w:cstheme="minorHAnsi"/>
          <w:sz w:val="24"/>
          <w:szCs w:val="24"/>
          <w:lang w:eastAsia="pl-PL"/>
        </w:rPr>
        <w:t>prowadzone są</w:t>
      </w:r>
      <w:r>
        <w:rPr>
          <w:rFonts w:eastAsia="Times New Roman" w:cstheme="minorHAnsi"/>
          <w:b/>
          <w:sz w:val="24"/>
          <w:szCs w:val="24"/>
          <w:lang w:eastAsia="pl-PL"/>
        </w:rPr>
        <w:t xml:space="preserve"> </w:t>
      </w:r>
      <w:r w:rsidRPr="009B2345">
        <w:rPr>
          <w:rFonts w:eastAsia="Times New Roman" w:cstheme="minorHAnsi"/>
          <w:sz w:val="24"/>
          <w:szCs w:val="24"/>
          <w:lang w:eastAsia="pl-PL"/>
        </w:rPr>
        <w:t>działania edukacyjne w</w:t>
      </w:r>
      <w:r w:rsidR="007B1BEB">
        <w:rPr>
          <w:rFonts w:eastAsia="Times New Roman" w:cstheme="minorHAnsi"/>
          <w:sz w:val="24"/>
          <w:szCs w:val="24"/>
          <w:lang w:eastAsia="pl-PL"/>
        </w:rPr>
        <w:t> </w:t>
      </w:r>
      <w:r w:rsidRPr="009B2345">
        <w:rPr>
          <w:rFonts w:eastAsia="Times New Roman" w:cstheme="minorHAnsi"/>
          <w:sz w:val="24"/>
          <w:szCs w:val="24"/>
          <w:lang w:eastAsia="pl-PL"/>
        </w:rPr>
        <w:t>stosunku do</w:t>
      </w:r>
      <w:r w:rsidR="00020A86">
        <w:rPr>
          <w:rFonts w:eastAsia="Times New Roman" w:cstheme="minorHAnsi"/>
          <w:sz w:val="24"/>
          <w:szCs w:val="24"/>
          <w:lang w:eastAsia="pl-PL"/>
        </w:rPr>
        <w:t> </w:t>
      </w:r>
      <w:r w:rsidRPr="009B2345">
        <w:rPr>
          <w:rFonts w:eastAsia="Times New Roman" w:cstheme="minorHAnsi"/>
          <w:sz w:val="24"/>
          <w:szCs w:val="24"/>
          <w:lang w:eastAsia="pl-PL"/>
        </w:rPr>
        <w:t xml:space="preserve">rodziców </w:t>
      </w:r>
      <w:r>
        <w:rPr>
          <w:rFonts w:eastAsia="Times New Roman" w:cstheme="minorHAnsi"/>
          <w:sz w:val="24"/>
          <w:szCs w:val="24"/>
          <w:lang w:eastAsia="pl-PL"/>
        </w:rPr>
        <w:t>nierealizując</w:t>
      </w:r>
      <w:r w:rsidRPr="009B2345">
        <w:rPr>
          <w:rFonts w:eastAsia="Times New Roman" w:cstheme="minorHAnsi"/>
          <w:sz w:val="24"/>
          <w:szCs w:val="24"/>
          <w:lang w:eastAsia="pl-PL"/>
        </w:rPr>
        <w:t xml:space="preserve">ych obowiązku poddania dziecka szczepieniom ochronnym oraz działania </w:t>
      </w:r>
      <w:r w:rsidRPr="00F31E01">
        <w:rPr>
          <w:rFonts w:eastAsia="Times New Roman" w:cstheme="minorHAnsi"/>
          <w:sz w:val="24"/>
          <w:szCs w:val="24"/>
          <w:lang w:eastAsia="pl-PL"/>
        </w:rPr>
        <w:t xml:space="preserve">przymuszające, w 2024 r. zaobserwowano dalszy wzrost liczby osób </w:t>
      </w:r>
      <w:r>
        <w:rPr>
          <w:rFonts w:eastAsia="Times New Roman" w:cstheme="minorHAnsi"/>
          <w:sz w:val="24"/>
          <w:szCs w:val="24"/>
          <w:lang w:eastAsia="pl-PL"/>
        </w:rPr>
        <w:t>nierealizujący</w:t>
      </w:r>
      <w:r w:rsidRPr="00F31E01">
        <w:rPr>
          <w:rFonts w:eastAsia="Times New Roman" w:cstheme="minorHAnsi"/>
          <w:sz w:val="24"/>
          <w:szCs w:val="24"/>
          <w:lang w:eastAsia="pl-PL"/>
        </w:rPr>
        <w:t>ch obowiązku szczepień</w:t>
      </w:r>
      <w:r>
        <w:rPr>
          <w:rFonts w:eastAsia="Times New Roman" w:cstheme="minorHAnsi"/>
          <w:sz w:val="24"/>
          <w:szCs w:val="24"/>
          <w:lang w:eastAsia="pl-PL"/>
        </w:rPr>
        <w:t xml:space="preserve"> (tabela 26).</w:t>
      </w:r>
    </w:p>
    <w:p w14:paraId="62B92535" w14:textId="77777777" w:rsidR="0063333E" w:rsidRDefault="0063333E" w:rsidP="00597239">
      <w:pPr>
        <w:spacing w:after="0" w:line="276" w:lineRule="auto"/>
        <w:rPr>
          <w:rFonts w:eastAsia="Times New Roman" w:cstheme="minorHAnsi"/>
          <w:sz w:val="24"/>
          <w:szCs w:val="24"/>
          <w:lang w:eastAsia="pl-PL"/>
        </w:rPr>
      </w:pPr>
    </w:p>
    <w:p w14:paraId="74FB4910" w14:textId="33812C2B" w:rsidR="0063333E" w:rsidRPr="001C4441" w:rsidRDefault="000B4D72" w:rsidP="00597239">
      <w:pPr>
        <w:spacing w:after="0" w:line="276" w:lineRule="auto"/>
        <w:rPr>
          <w:rFonts w:eastAsia="Times New Roman" w:cstheme="minorHAnsi"/>
          <w:sz w:val="24"/>
          <w:szCs w:val="24"/>
          <w:lang w:eastAsia="pl-PL"/>
        </w:rPr>
      </w:pPr>
      <w:r w:rsidRPr="00F31E01">
        <w:rPr>
          <w:rFonts w:eastAsia="Times New Roman" w:cstheme="minorHAnsi"/>
          <w:sz w:val="24"/>
          <w:szCs w:val="24"/>
          <w:lang w:eastAsia="pl-PL"/>
        </w:rPr>
        <w:lastRenderedPageBreak/>
        <w:t xml:space="preserve">W przypadkach uporczywego </w:t>
      </w:r>
      <w:r>
        <w:rPr>
          <w:rFonts w:eastAsia="Times New Roman" w:cstheme="minorHAnsi"/>
          <w:sz w:val="24"/>
          <w:szCs w:val="24"/>
          <w:lang w:eastAsia="pl-PL"/>
        </w:rPr>
        <w:t xml:space="preserve">nierealizowania </w:t>
      </w:r>
      <w:r w:rsidRPr="00F31E01">
        <w:rPr>
          <w:rFonts w:eastAsia="Times New Roman" w:cstheme="minorHAnsi"/>
          <w:sz w:val="24"/>
          <w:szCs w:val="24"/>
          <w:lang w:eastAsia="pl-PL"/>
        </w:rPr>
        <w:t>obowiązku poddania dzieci szczepieniom ochronnym wdrażane jest postępowanie egzekucyjne</w:t>
      </w:r>
      <w:r>
        <w:rPr>
          <w:rFonts w:eastAsia="Times New Roman" w:cstheme="minorHAnsi"/>
          <w:sz w:val="24"/>
          <w:szCs w:val="24"/>
          <w:lang w:eastAsia="pl-PL"/>
        </w:rPr>
        <w:t>.</w:t>
      </w:r>
      <w:r w:rsidRPr="00F31E01">
        <w:rPr>
          <w:rFonts w:eastAsia="Times New Roman" w:cstheme="minorHAnsi"/>
          <w:sz w:val="24"/>
          <w:szCs w:val="24"/>
          <w:lang w:eastAsia="pl-PL"/>
        </w:rPr>
        <w:t xml:space="preserve"> </w:t>
      </w:r>
      <w:bookmarkStart w:id="161" w:name="_Toc193805996"/>
    </w:p>
    <w:p w14:paraId="21173A78" w14:textId="77777777" w:rsidR="0063333E" w:rsidRDefault="0063333E" w:rsidP="00597239">
      <w:pPr>
        <w:pStyle w:val="Legenda"/>
        <w:rPr>
          <w:i w:val="0"/>
          <w:iCs w:val="0"/>
          <w:color w:val="000000" w:themeColor="text1"/>
        </w:rPr>
      </w:pPr>
    </w:p>
    <w:p w14:paraId="0BAB18C6" w14:textId="78EA7AF0" w:rsidR="000B4D72" w:rsidRPr="006858EC" w:rsidRDefault="006858EC" w:rsidP="00597239">
      <w:pPr>
        <w:pStyle w:val="Legenda"/>
        <w:spacing w:after="0"/>
        <w:rPr>
          <w:rFonts w:eastAsia="Times New Roman" w:cstheme="minorHAnsi"/>
          <w:i w:val="0"/>
          <w:iCs w:val="0"/>
          <w:color w:val="000000" w:themeColor="text1"/>
          <w:lang w:eastAsia="pl-PL"/>
        </w:rPr>
      </w:pPr>
      <w:bookmarkStart w:id="162" w:name="_Toc193969544"/>
      <w:bookmarkStart w:id="163" w:name="_Toc194060004"/>
      <w:r w:rsidRPr="006858EC">
        <w:rPr>
          <w:i w:val="0"/>
          <w:iCs w:val="0"/>
          <w:color w:val="000000" w:themeColor="text1"/>
        </w:rPr>
        <w:t xml:space="preserve">Tabela </w:t>
      </w:r>
      <w:r w:rsidRPr="006858EC">
        <w:rPr>
          <w:i w:val="0"/>
          <w:iCs w:val="0"/>
          <w:color w:val="000000" w:themeColor="text1"/>
        </w:rPr>
        <w:fldChar w:fldCharType="begin"/>
      </w:r>
      <w:r w:rsidRPr="006858EC">
        <w:rPr>
          <w:i w:val="0"/>
          <w:iCs w:val="0"/>
          <w:color w:val="000000" w:themeColor="text1"/>
        </w:rPr>
        <w:instrText xml:space="preserve"> SEQ Tabela \* ARABIC </w:instrText>
      </w:r>
      <w:r w:rsidRPr="006858EC">
        <w:rPr>
          <w:i w:val="0"/>
          <w:iCs w:val="0"/>
          <w:color w:val="000000" w:themeColor="text1"/>
        </w:rPr>
        <w:fldChar w:fldCharType="separate"/>
      </w:r>
      <w:r w:rsidR="00FB6F6A">
        <w:rPr>
          <w:i w:val="0"/>
          <w:iCs w:val="0"/>
          <w:noProof/>
          <w:color w:val="000000" w:themeColor="text1"/>
        </w:rPr>
        <w:t>26</w:t>
      </w:r>
      <w:r w:rsidRPr="006858EC">
        <w:rPr>
          <w:i w:val="0"/>
          <w:iCs w:val="0"/>
          <w:color w:val="000000" w:themeColor="text1"/>
        </w:rPr>
        <w:fldChar w:fldCharType="end"/>
      </w:r>
      <w:r w:rsidR="00E75D31">
        <w:rPr>
          <w:i w:val="0"/>
          <w:iCs w:val="0"/>
          <w:color w:val="000000" w:themeColor="text1"/>
        </w:rPr>
        <w:t>.</w:t>
      </w:r>
      <w:r w:rsidRPr="006858EC">
        <w:rPr>
          <w:i w:val="0"/>
          <w:iCs w:val="0"/>
          <w:color w:val="000000" w:themeColor="text1"/>
        </w:rPr>
        <w:t xml:space="preserve"> Liczba osób nierealizujących szczepień ochronnych w latach 2012–2024 na terenie woj. zachodniopomorskiego</w:t>
      </w:r>
      <w:bookmarkEnd w:id="161"/>
      <w:bookmarkEnd w:id="162"/>
      <w:bookmarkEnd w:id="163"/>
    </w:p>
    <w:tbl>
      <w:tblPr>
        <w:tblStyle w:val="Tabelasiatki4akcent1"/>
        <w:tblW w:w="5000" w:type="pct"/>
        <w:tblLook w:val="04A0" w:firstRow="1" w:lastRow="0" w:firstColumn="1" w:lastColumn="0" w:noHBand="0" w:noVBand="1"/>
        <w:tblCaption w:val="Liczba osób nierealizujących szczepień ochronnych w latach 2012–2024 na terenie woj. zachodniopomorskiego"/>
        <w:tblDescription w:val="Tabela przedstawia liczbę osób nierealizujących obowiązkowych szczepień ochronnych w latach 2012-2024 na terenie województwa zachodniopomorsk8iego. Widoczna jest tendencja wzrostowa w porównaniu do lat ubiegłych. W 2024 roku wykazano 4064 osóby nieralizujące szczepień ochronnych. "/>
      </w:tblPr>
      <w:tblGrid>
        <w:gridCol w:w="3182"/>
        <w:gridCol w:w="5880"/>
      </w:tblGrid>
      <w:tr w:rsidR="000B4D72" w:rsidRPr="00FF50CD" w14:paraId="23B1B916" w14:textId="77777777" w:rsidTr="00633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dxa"/>
            <w:gridSpan w:val="2"/>
          </w:tcPr>
          <w:p w14:paraId="3DE20A4B" w14:textId="77777777" w:rsidR="000B4D72" w:rsidRPr="00FF50CD" w:rsidRDefault="000B4D72" w:rsidP="00597239">
            <w:pPr>
              <w:spacing w:line="276" w:lineRule="auto"/>
              <w:rPr>
                <w:rFonts w:eastAsia="Times New Roman" w:cstheme="minorHAnsi"/>
                <w:b w:val="0"/>
                <w:bCs w:val="0"/>
                <w:color w:val="FF0000"/>
                <w:sz w:val="18"/>
                <w:szCs w:val="18"/>
                <w:lang w:eastAsia="pl-PL"/>
              </w:rPr>
            </w:pPr>
            <w:r w:rsidRPr="00FF50CD">
              <w:rPr>
                <w:rFonts w:eastAsia="Times New Roman" w:cstheme="minorHAnsi"/>
                <w:b w:val="0"/>
                <w:bCs w:val="0"/>
                <w:sz w:val="18"/>
                <w:szCs w:val="18"/>
                <w:lang w:eastAsia="pl-PL"/>
              </w:rPr>
              <w:t>Liczba osób nierealizujących obowiązku szczepień w woj. zachodniopomorskim</w:t>
            </w:r>
          </w:p>
        </w:tc>
      </w:tr>
      <w:tr w:rsidR="000B4D72" w:rsidRPr="00FF50CD" w14:paraId="7661091A"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741652A9"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2012</w:t>
            </w:r>
          </w:p>
        </w:tc>
        <w:tc>
          <w:tcPr>
            <w:tcW w:w="2197" w:type="dxa"/>
          </w:tcPr>
          <w:p w14:paraId="176E1D2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100</w:t>
            </w:r>
          </w:p>
        </w:tc>
      </w:tr>
      <w:tr w:rsidR="000B4D72" w:rsidRPr="00FF50CD" w14:paraId="424A4B99" w14:textId="77777777" w:rsidTr="0063333E">
        <w:tc>
          <w:tcPr>
            <w:cnfStyle w:val="001000000000" w:firstRow="0" w:lastRow="0" w:firstColumn="1" w:lastColumn="0" w:oddVBand="0" w:evenVBand="0" w:oddHBand="0" w:evenHBand="0" w:firstRowFirstColumn="0" w:firstRowLastColumn="0" w:lastRowFirstColumn="0" w:lastRowLastColumn="0"/>
            <w:tcW w:w="1189" w:type="dxa"/>
          </w:tcPr>
          <w:p w14:paraId="03A72389"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2013</w:t>
            </w:r>
          </w:p>
        </w:tc>
        <w:tc>
          <w:tcPr>
            <w:tcW w:w="2197" w:type="dxa"/>
          </w:tcPr>
          <w:p w14:paraId="3E0AE04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186</w:t>
            </w:r>
          </w:p>
        </w:tc>
      </w:tr>
      <w:tr w:rsidR="000B4D72" w:rsidRPr="00FF50CD" w14:paraId="47518493"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3742FD95"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2014</w:t>
            </w:r>
          </w:p>
        </w:tc>
        <w:tc>
          <w:tcPr>
            <w:tcW w:w="2197" w:type="dxa"/>
          </w:tcPr>
          <w:p w14:paraId="2006FE2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267</w:t>
            </w:r>
          </w:p>
        </w:tc>
      </w:tr>
      <w:tr w:rsidR="000B4D72" w:rsidRPr="00FF50CD" w14:paraId="29656008" w14:textId="77777777" w:rsidTr="0063333E">
        <w:tc>
          <w:tcPr>
            <w:cnfStyle w:val="001000000000" w:firstRow="0" w:lastRow="0" w:firstColumn="1" w:lastColumn="0" w:oddVBand="0" w:evenVBand="0" w:oddHBand="0" w:evenHBand="0" w:firstRowFirstColumn="0" w:firstRowLastColumn="0" w:lastRowFirstColumn="0" w:lastRowLastColumn="0"/>
            <w:tcW w:w="1189" w:type="dxa"/>
          </w:tcPr>
          <w:p w14:paraId="1D57C3C9"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2015</w:t>
            </w:r>
          </w:p>
        </w:tc>
        <w:tc>
          <w:tcPr>
            <w:tcW w:w="2197" w:type="dxa"/>
          </w:tcPr>
          <w:p w14:paraId="4AFEBB5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323</w:t>
            </w:r>
          </w:p>
        </w:tc>
      </w:tr>
      <w:tr w:rsidR="000B4D72" w:rsidRPr="00FF50CD" w14:paraId="51570234"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3121D691"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2016</w:t>
            </w:r>
          </w:p>
        </w:tc>
        <w:tc>
          <w:tcPr>
            <w:tcW w:w="2197" w:type="dxa"/>
          </w:tcPr>
          <w:p w14:paraId="7A31535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543</w:t>
            </w:r>
          </w:p>
        </w:tc>
      </w:tr>
      <w:tr w:rsidR="000B4D72" w:rsidRPr="00FF50CD" w14:paraId="647B7369" w14:textId="77777777" w:rsidTr="0063333E">
        <w:tc>
          <w:tcPr>
            <w:cnfStyle w:val="001000000000" w:firstRow="0" w:lastRow="0" w:firstColumn="1" w:lastColumn="0" w:oddVBand="0" w:evenVBand="0" w:oddHBand="0" w:evenHBand="0" w:firstRowFirstColumn="0" w:firstRowLastColumn="0" w:lastRowFirstColumn="0" w:lastRowLastColumn="0"/>
            <w:tcW w:w="1189" w:type="dxa"/>
          </w:tcPr>
          <w:p w14:paraId="11FC5764"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2017</w:t>
            </w:r>
          </w:p>
        </w:tc>
        <w:tc>
          <w:tcPr>
            <w:tcW w:w="2197" w:type="dxa"/>
          </w:tcPr>
          <w:p w14:paraId="18B14A4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799</w:t>
            </w:r>
          </w:p>
        </w:tc>
      </w:tr>
      <w:tr w:rsidR="000B4D72" w:rsidRPr="00FF50CD" w14:paraId="00855F60"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6F077961"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2018</w:t>
            </w:r>
          </w:p>
        </w:tc>
        <w:tc>
          <w:tcPr>
            <w:tcW w:w="2197" w:type="dxa"/>
          </w:tcPr>
          <w:p w14:paraId="0CC8703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1354</w:t>
            </w:r>
          </w:p>
        </w:tc>
      </w:tr>
      <w:tr w:rsidR="000B4D72" w:rsidRPr="00FF50CD" w14:paraId="716F838B" w14:textId="77777777" w:rsidTr="0063333E">
        <w:tc>
          <w:tcPr>
            <w:cnfStyle w:val="001000000000" w:firstRow="0" w:lastRow="0" w:firstColumn="1" w:lastColumn="0" w:oddVBand="0" w:evenVBand="0" w:oddHBand="0" w:evenHBand="0" w:firstRowFirstColumn="0" w:firstRowLastColumn="0" w:lastRowFirstColumn="0" w:lastRowLastColumn="0"/>
            <w:tcW w:w="1189" w:type="dxa"/>
          </w:tcPr>
          <w:p w14:paraId="17A8893E"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2019</w:t>
            </w:r>
          </w:p>
        </w:tc>
        <w:tc>
          <w:tcPr>
            <w:tcW w:w="2197" w:type="dxa"/>
          </w:tcPr>
          <w:p w14:paraId="37A5DF2D"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1716</w:t>
            </w:r>
          </w:p>
        </w:tc>
      </w:tr>
      <w:tr w:rsidR="000B4D72" w:rsidRPr="00FF50CD" w14:paraId="5F78B69E"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5E166ADF"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2020</w:t>
            </w:r>
          </w:p>
        </w:tc>
        <w:tc>
          <w:tcPr>
            <w:tcW w:w="2197" w:type="dxa"/>
          </w:tcPr>
          <w:p w14:paraId="1D0EE520"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2037</w:t>
            </w:r>
          </w:p>
        </w:tc>
      </w:tr>
      <w:tr w:rsidR="000B4D72" w:rsidRPr="00FF50CD" w14:paraId="797A3DBF" w14:textId="77777777" w:rsidTr="0063333E">
        <w:tc>
          <w:tcPr>
            <w:cnfStyle w:val="001000000000" w:firstRow="0" w:lastRow="0" w:firstColumn="1" w:lastColumn="0" w:oddVBand="0" w:evenVBand="0" w:oddHBand="0" w:evenHBand="0" w:firstRowFirstColumn="0" w:firstRowLastColumn="0" w:lastRowFirstColumn="0" w:lastRowLastColumn="0"/>
            <w:tcW w:w="1189" w:type="dxa"/>
          </w:tcPr>
          <w:p w14:paraId="3502BBDE"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2021</w:t>
            </w:r>
          </w:p>
        </w:tc>
        <w:tc>
          <w:tcPr>
            <w:tcW w:w="2197" w:type="dxa"/>
          </w:tcPr>
          <w:p w14:paraId="44EDFFC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2421</w:t>
            </w:r>
          </w:p>
        </w:tc>
      </w:tr>
      <w:tr w:rsidR="000B4D72" w:rsidRPr="00FF50CD" w14:paraId="174667F7"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619FBB06"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2022</w:t>
            </w:r>
          </w:p>
        </w:tc>
        <w:tc>
          <w:tcPr>
            <w:tcW w:w="2197" w:type="dxa"/>
          </w:tcPr>
          <w:p w14:paraId="47D6D21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3031</w:t>
            </w:r>
          </w:p>
        </w:tc>
      </w:tr>
      <w:tr w:rsidR="000B4D72" w:rsidRPr="00FF50CD" w14:paraId="202DED79" w14:textId="77777777" w:rsidTr="0063333E">
        <w:tc>
          <w:tcPr>
            <w:cnfStyle w:val="001000000000" w:firstRow="0" w:lastRow="0" w:firstColumn="1" w:lastColumn="0" w:oddVBand="0" w:evenVBand="0" w:oddHBand="0" w:evenHBand="0" w:firstRowFirstColumn="0" w:firstRowLastColumn="0" w:lastRowFirstColumn="0" w:lastRowLastColumn="0"/>
            <w:tcW w:w="1189" w:type="dxa"/>
          </w:tcPr>
          <w:p w14:paraId="030F3DA2"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2023</w:t>
            </w:r>
          </w:p>
        </w:tc>
        <w:tc>
          <w:tcPr>
            <w:tcW w:w="2197" w:type="dxa"/>
          </w:tcPr>
          <w:p w14:paraId="7ABC2D9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3821</w:t>
            </w:r>
          </w:p>
        </w:tc>
      </w:tr>
      <w:tr w:rsidR="000B4D72" w:rsidRPr="00FF50CD" w14:paraId="45283043" w14:textId="77777777" w:rsidTr="00633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tcPr>
          <w:p w14:paraId="1CFC0FDA" w14:textId="77777777" w:rsidR="000B4D72" w:rsidRPr="00FF50CD" w:rsidRDefault="000B4D72" w:rsidP="00597239">
            <w:pPr>
              <w:spacing w:line="276" w:lineRule="auto"/>
              <w:rPr>
                <w:rFonts w:eastAsia="Times New Roman" w:cstheme="minorHAnsi"/>
                <w:b w:val="0"/>
                <w:bCs w:val="0"/>
                <w:sz w:val="18"/>
                <w:szCs w:val="18"/>
                <w:lang w:eastAsia="pl-PL"/>
              </w:rPr>
            </w:pPr>
            <w:r w:rsidRPr="00FF50CD">
              <w:rPr>
                <w:rFonts w:eastAsia="Times New Roman" w:cstheme="minorHAnsi"/>
                <w:b w:val="0"/>
                <w:bCs w:val="0"/>
                <w:sz w:val="18"/>
                <w:szCs w:val="18"/>
                <w:lang w:eastAsia="pl-PL"/>
              </w:rPr>
              <w:t>2024</w:t>
            </w:r>
          </w:p>
        </w:tc>
        <w:tc>
          <w:tcPr>
            <w:tcW w:w="2197" w:type="dxa"/>
          </w:tcPr>
          <w:p w14:paraId="0CF8F052"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F50CD">
              <w:rPr>
                <w:rFonts w:eastAsia="Times New Roman" w:cstheme="minorHAnsi"/>
                <w:sz w:val="18"/>
                <w:szCs w:val="18"/>
                <w:lang w:eastAsia="pl-PL"/>
              </w:rPr>
              <w:t>4064</w:t>
            </w:r>
          </w:p>
        </w:tc>
      </w:tr>
    </w:tbl>
    <w:p w14:paraId="76D19B06" w14:textId="77777777" w:rsidR="0063333E" w:rsidRDefault="0063333E" w:rsidP="00597239">
      <w:pPr>
        <w:spacing w:after="0" w:line="276" w:lineRule="auto"/>
        <w:rPr>
          <w:rFonts w:eastAsia="Times New Roman" w:cstheme="minorHAnsi"/>
          <w:sz w:val="24"/>
          <w:szCs w:val="24"/>
          <w:lang w:eastAsia="pl-PL"/>
        </w:rPr>
      </w:pPr>
    </w:p>
    <w:p w14:paraId="31D05634" w14:textId="70FF1468" w:rsidR="000B4D72" w:rsidRPr="006B7F61" w:rsidRDefault="000B4D72" w:rsidP="00597239">
      <w:pPr>
        <w:spacing w:after="0" w:line="276" w:lineRule="auto"/>
        <w:rPr>
          <w:rFonts w:eastAsia="Times New Roman" w:cstheme="minorHAnsi"/>
          <w:sz w:val="24"/>
          <w:szCs w:val="24"/>
          <w:lang w:eastAsia="pl-PL"/>
        </w:rPr>
      </w:pPr>
      <w:r w:rsidRPr="006B7F61">
        <w:rPr>
          <w:rFonts w:eastAsia="Times New Roman" w:cstheme="minorHAnsi"/>
          <w:sz w:val="24"/>
          <w:szCs w:val="24"/>
          <w:lang w:eastAsia="pl-PL"/>
        </w:rPr>
        <w:t xml:space="preserve">W 2024 r. pracownicy Państwowej Inspekcji Sanitarnej podjęli </w:t>
      </w:r>
      <w:r>
        <w:rPr>
          <w:rFonts w:eastAsia="Times New Roman" w:cstheme="minorHAnsi"/>
          <w:sz w:val="24"/>
          <w:szCs w:val="24"/>
          <w:lang w:eastAsia="pl-PL"/>
        </w:rPr>
        <w:t xml:space="preserve">n/w </w:t>
      </w:r>
      <w:r w:rsidRPr="006B7F61">
        <w:rPr>
          <w:rFonts w:eastAsia="Times New Roman" w:cstheme="minorHAnsi"/>
          <w:sz w:val="24"/>
          <w:szCs w:val="24"/>
          <w:lang w:eastAsia="pl-PL"/>
        </w:rPr>
        <w:t>działania w stosunku do</w:t>
      </w:r>
      <w:r w:rsidR="00020A86">
        <w:rPr>
          <w:rFonts w:eastAsia="Times New Roman" w:cstheme="minorHAnsi"/>
          <w:sz w:val="24"/>
          <w:szCs w:val="24"/>
          <w:lang w:eastAsia="pl-PL"/>
        </w:rPr>
        <w:t> </w:t>
      </w:r>
      <w:r w:rsidRPr="006B7F61">
        <w:rPr>
          <w:rFonts w:eastAsia="Times New Roman" w:cstheme="minorHAnsi"/>
          <w:sz w:val="24"/>
          <w:szCs w:val="24"/>
          <w:lang w:eastAsia="pl-PL"/>
        </w:rPr>
        <w:t xml:space="preserve">osób </w:t>
      </w:r>
      <w:r>
        <w:rPr>
          <w:rFonts w:eastAsia="Times New Roman" w:cstheme="minorHAnsi"/>
          <w:sz w:val="24"/>
          <w:szCs w:val="24"/>
          <w:lang w:eastAsia="pl-PL"/>
        </w:rPr>
        <w:t xml:space="preserve">nierealizujących </w:t>
      </w:r>
      <w:r w:rsidRPr="006B7F61">
        <w:rPr>
          <w:rFonts w:eastAsia="Times New Roman" w:cstheme="minorHAnsi"/>
          <w:sz w:val="24"/>
          <w:szCs w:val="24"/>
          <w:lang w:eastAsia="pl-PL"/>
        </w:rPr>
        <w:t>obowiązku szczepień ochronnych</w:t>
      </w:r>
      <w:r>
        <w:rPr>
          <w:rFonts w:eastAsia="Times New Roman" w:cstheme="minorHAnsi"/>
          <w:sz w:val="24"/>
          <w:szCs w:val="24"/>
          <w:lang w:eastAsia="pl-PL"/>
        </w:rPr>
        <w:t>,</w:t>
      </w:r>
      <w:r w:rsidRPr="006B7F61">
        <w:rPr>
          <w:rFonts w:eastAsia="Times New Roman" w:cstheme="minorHAnsi"/>
          <w:sz w:val="24"/>
          <w:szCs w:val="24"/>
          <w:lang w:eastAsia="pl-PL"/>
        </w:rPr>
        <w:t xml:space="preserve"> m. in.:</w:t>
      </w:r>
    </w:p>
    <w:p w14:paraId="2087D6E5" w14:textId="77777777" w:rsidR="000B4D72" w:rsidRPr="00F31E01" w:rsidRDefault="000B4D72" w:rsidP="00597239">
      <w:pPr>
        <w:numPr>
          <w:ilvl w:val="0"/>
          <w:numId w:val="24"/>
        </w:numPr>
        <w:spacing w:after="0" w:line="276" w:lineRule="auto"/>
        <w:rPr>
          <w:rFonts w:eastAsia="Times New Roman" w:cstheme="minorHAnsi"/>
          <w:sz w:val="24"/>
          <w:szCs w:val="24"/>
          <w:lang w:eastAsia="pl-PL"/>
        </w:rPr>
      </w:pPr>
      <w:r w:rsidRPr="00F31E01">
        <w:rPr>
          <w:rFonts w:eastAsia="Times New Roman" w:cstheme="minorHAnsi"/>
          <w:bCs/>
          <w:sz w:val="24"/>
          <w:szCs w:val="24"/>
          <w:lang w:eastAsia="pl-PL"/>
        </w:rPr>
        <w:t>wysłan</w:t>
      </w:r>
      <w:r>
        <w:rPr>
          <w:rFonts w:eastAsia="Times New Roman" w:cstheme="minorHAnsi"/>
          <w:bCs/>
          <w:sz w:val="24"/>
          <w:szCs w:val="24"/>
          <w:lang w:eastAsia="pl-PL"/>
        </w:rPr>
        <w:t>o</w:t>
      </w:r>
      <w:r w:rsidRPr="00F31E01">
        <w:rPr>
          <w:rFonts w:eastAsia="Times New Roman" w:cstheme="minorHAnsi"/>
          <w:bCs/>
          <w:sz w:val="24"/>
          <w:szCs w:val="24"/>
          <w:lang w:eastAsia="pl-PL"/>
        </w:rPr>
        <w:t xml:space="preserve"> 1</w:t>
      </w:r>
      <w:r>
        <w:rPr>
          <w:rFonts w:eastAsia="Times New Roman" w:cstheme="minorHAnsi"/>
          <w:bCs/>
          <w:sz w:val="24"/>
          <w:szCs w:val="24"/>
          <w:lang w:eastAsia="pl-PL"/>
        </w:rPr>
        <w:t>882</w:t>
      </w:r>
      <w:r w:rsidRPr="00F31E01">
        <w:rPr>
          <w:rFonts w:eastAsia="Times New Roman" w:cstheme="minorHAnsi"/>
          <w:bCs/>
          <w:sz w:val="24"/>
          <w:szCs w:val="24"/>
          <w:lang w:eastAsia="pl-PL"/>
        </w:rPr>
        <w:t xml:space="preserve"> pism</w:t>
      </w:r>
      <w:r>
        <w:rPr>
          <w:rFonts w:eastAsia="Times New Roman" w:cstheme="minorHAnsi"/>
          <w:bCs/>
          <w:sz w:val="24"/>
          <w:szCs w:val="24"/>
          <w:lang w:eastAsia="pl-PL"/>
        </w:rPr>
        <w:t>a</w:t>
      </w:r>
      <w:r w:rsidRPr="00F31E01">
        <w:rPr>
          <w:rFonts w:eastAsia="Times New Roman" w:cstheme="minorHAnsi"/>
          <w:bCs/>
          <w:sz w:val="24"/>
          <w:szCs w:val="24"/>
          <w:lang w:eastAsia="pl-PL"/>
        </w:rPr>
        <w:t xml:space="preserve"> informacyjn</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do rodziców/ opiekunów prawnych dziec</w:t>
      </w:r>
      <w:r>
        <w:rPr>
          <w:rFonts w:eastAsia="Times New Roman" w:cstheme="minorHAnsi"/>
          <w:bCs/>
          <w:sz w:val="24"/>
          <w:szCs w:val="24"/>
          <w:lang w:eastAsia="pl-PL"/>
        </w:rPr>
        <w:t>i,</w:t>
      </w:r>
      <w:r w:rsidRPr="00F31E01">
        <w:rPr>
          <w:rFonts w:eastAsia="Times New Roman" w:cstheme="minorHAnsi"/>
          <w:bCs/>
          <w:sz w:val="24"/>
          <w:szCs w:val="24"/>
          <w:lang w:eastAsia="pl-PL"/>
        </w:rPr>
        <w:t xml:space="preserve"> uświadamiając</w:t>
      </w:r>
      <w:r>
        <w:rPr>
          <w:rFonts w:eastAsia="Times New Roman" w:cstheme="minorHAnsi"/>
          <w:bCs/>
          <w:sz w:val="24"/>
          <w:szCs w:val="24"/>
          <w:lang w:eastAsia="pl-PL"/>
        </w:rPr>
        <w:t xml:space="preserve">e </w:t>
      </w:r>
      <w:r w:rsidRPr="00F31E01">
        <w:rPr>
          <w:rFonts w:eastAsia="Times New Roman" w:cstheme="minorHAnsi"/>
          <w:bCs/>
          <w:sz w:val="24"/>
          <w:szCs w:val="24"/>
          <w:lang w:eastAsia="pl-PL"/>
        </w:rPr>
        <w:t>korzyści</w:t>
      </w:r>
      <w:r>
        <w:rPr>
          <w:rFonts w:eastAsia="Times New Roman" w:cstheme="minorHAnsi"/>
          <w:bCs/>
          <w:sz w:val="24"/>
          <w:szCs w:val="24"/>
          <w:lang w:eastAsia="pl-PL"/>
        </w:rPr>
        <w:t xml:space="preserve"> </w:t>
      </w:r>
      <w:r w:rsidRPr="00F31E01">
        <w:rPr>
          <w:rFonts w:eastAsia="Times New Roman" w:cstheme="minorHAnsi"/>
          <w:bCs/>
          <w:sz w:val="24"/>
          <w:szCs w:val="24"/>
          <w:lang w:eastAsia="pl-PL"/>
        </w:rPr>
        <w:t>wynikając</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z uodpornienia dziecka oraz zagrożenia związan</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z chorobami, na które istnieje możliwość uodpornienia poprzez szczepienie, a także konsekwencj</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prawn</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wynikając</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z odmowy poddania dziecka obowiązkowym szczepieniom ochronnym</w:t>
      </w:r>
      <w:r>
        <w:rPr>
          <w:rFonts w:eastAsia="Times New Roman" w:cstheme="minorHAnsi"/>
          <w:bCs/>
          <w:sz w:val="24"/>
          <w:szCs w:val="24"/>
          <w:lang w:eastAsia="pl-PL"/>
        </w:rPr>
        <w:t>,</w:t>
      </w:r>
    </w:p>
    <w:p w14:paraId="164BC60B" w14:textId="77DCA908" w:rsidR="000B4D72" w:rsidRPr="00F31E01" w:rsidRDefault="000B4D72" w:rsidP="00597239">
      <w:pPr>
        <w:numPr>
          <w:ilvl w:val="0"/>
          <w:numId w:val="24"/>
        </w:numPr>
        <w:spacing w:after="0" w:line="276" w:lineRule="auto"/>
        <w:rPr>
          <w:rFonts w:eastAsia="Times New Roman" w:cstheme="minorHAnsi"/>
          <w:sz w:val="24"/>
          <w:szCs w:val="24"/>
          <w:lang w:eastAsia="pl-PL"/>
        </w:rPr>
      </w:pPr>
      <w:r w:rsidRPr="00F31E01">
        <w:rPr>
          <w:rFonts w:eastAsia="Times New Roman" w:cstheme="minorHAnsi"/>
          <w:bCs/>
          <w:sz w:val="24"/>
          <w:szCs w:val="24"/>
          <w:lang w:eastAsia="pl-PL"/>
        </w:rPr>
        <w:t>przeprowadz</w:t>
      </w:r>
      <w:r>
        <w:rPr>
          <w:rFonts w:eastAsia="Times New Roman" w:cstheme="minorHAnsi"/>
          <w:bCs/>
          <w:sz w:val="24"/>
          <w:szCs w:val="24"/>
          <w:lang w:eastAsia="pl-PL"/>
        </w:rPr>
        <w:t>ono</w:t>
      </w:r>
      <w:r w:rsidRPr="00F31E01">
        <w:rPr>
          <w:rFonts w:eastAsia="Times New Roman" w:cstheme="minorHAnsi"/>
          <w:bCs/>
          <w:sz w:val="24"/>
          <w:szCs w:val="24"/>
          <w:lang w:eastAsia="pl-PL"/>
        </w:rPr>
        <w:t xml:space="preserve"> 170 instruktaży edukacyjnych w środowisku domowym z zakresu szczepień ochronnych mając</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na celu pouczenie rodziców lub opiekunów prawnych o</w:t>
      </w:r>
      <w:r w:rsidR="007B1BEB">
        <w:rPr>
          <w:rFonts w:eastAsia="Times New Roman" w:cstheme="minorHAnsi"/>
          <w:bCs/>
          <w:sz w:val="24"/>
          <w:szCs w:val="24"/>
          <w:lang w:eastAsia="pl-PL"/>
        </w:rPr>
        <w:t> </w:t>
      </w:r>
      <w:r w:rsidRPr="00F31E01">
        <w:rPr>
          <w:rFonts w:eastAsia="Times New Roman" w:cstheme="minorHAnsi"/>
          <w:bCs/>
          <w:sz w:val="24"/>
          <w:szCs w:val="24"/>
          <w:lang w:eastAsia="pl-PL"/>
        </w:rPr>
        <w:t>korzyściach szczepień oraz o skutkach ich</w:t>
      </w:r>
      <w:r>
        <w:rPr>
          <w:rFonts w:eastAsia="Times New Roman" w:cstheme="minorHAnsi"/>
          <w:bCs/>
          <w:sz w:val="24"/>
          <w:szCs w:val="24"/>
          <w:lang w:eastAsia="pl-PL"/>
        </w:rPr>
        <w:t xml:space="preserve"> nierealizowania,</w:t>
      </w:r>
    </w:p>
    <w:p w14:paraId="73F945F8" w14:textId="77777777" w:rsidR="000B4D72" w:rsidRPr="00F31E01" w:rsidRDefault="000B4D72" w:rsidP="00597239">
      <w:pPr>
        <w:numPr>
          <w:ilvl w:val="0"/>
          <w:numId w:val="24"/>
        </w:numPr>
        <w:spacing w:after="0" w:line="276" w:lineRule="auto"/>
        <w:rPr>
          <w:rFonts w:eastAsia="Times New Roman" w:cstheme="minorHAnsi"/>
          <w:sz w:val="24"/>
          <w:szCs w:val="24"/>
          <w:lang w:eastAsia="pl-PL"/>
        </w:rPr>
      </w:pPr>
      <w:r w:rsidRPr="00F31E01">
        <w:rPr>
          <w:rFonts w:eastAsia="Calibri" w:cstheme="minorHAnsi"/>
          <w:sz w:val="24"/>
          <w:szCs w:val="24"/>
          <w:lang w:eastAsia="pl-PL"/>
        </w:rPr>
        <w:t>wysłan</w:t>
      </w:r>
      <w:r>
        <w:rPr>
          <w:rFonts w:eastAsia="Calibri" w:cstheme="minorHAnsi"/>
          <w:sz w:val="24"/>
          <w:szCs w:val="24"/>
          <w:lang w:eastAsia="pl-PL"/>
        </w:rPr>
        <w:t>o</w:t>
      </w:r>
      <w:r w:rsidRPr="00F31E01">
        <w:rPr>
          <w:rFonts w:eastAsia="Calibri" w:cstheme="minorHAnsi"/>
          <w:sz w:val="24"/>
          <w:szCs w:val="24"/>
          <w:lang w:eastAsia="pl-PL"/>
        </w:rPr>
        <w:t xml:space="preserve"> 7</w:t>
      </w:r>
      <w:r>
        <w:rPr>
          <w:rFonts w:eastAsia="Calibri" w:cstheme="minorHAnsi"/>
          <w:sz w:val="24"/>
          <w:szCs w:val="24"/>
          <w:lang w:eastAsia="pl-PL"/>
        </w:rPr>
        <w:t>6</w:t>
      </w:r>
      <w:r w:rsidRPr="00F31E01">
        <w:rPr>
          <w:rFonts w:eastAsia="Calibri" w:cstheme="minorHAnsi"/>
          <w:sz w:val="24"/>
          <w:szCs w:val="24"/>
          <w:lang w:eastAsia="pl-PL"/>
        </w:rPr>
        <w:t>6 upomnień zawierających wezwanie do wykonania obowiązku szczepień ochronnych z zagrożeniem skierowania sprawy na drogę egzekucji administracyjnej</w:t>
      </w:r>
      <w:r>
        <w:rPr>
          <w:rFonts w:eastAsia="Calibri" w:cstheme="minorHAnsi"/>
          <w:sz w:val="24"/>
          <w:szCs w:val="24"/>
          <w:lang w:eastAsia="pl-PL"/>
        </w:rPr>
        <w:t>,</w:t>
      </w:r>
    </w:p>
    <w:p w14:paraId="3CFE4137" w14:textId="77777777" w:rsidR="000B4D72" w:rsidRDefault="000B4D72" w:rsidP="00597239">
      <w:pPr>
        <w:numPr>
          <w:ilvl w:val="0"/>
          <w:numId w:val="24"/>
        </w:numPr>
        <w:spacing w:after="0" w:line="276" w:lineRule="auto"/>
        <w:rPr>
          <w:rFonts w:eastAsia="Times New Roman" w:cstheme="minorHAnsi"/>
          <w:sz w:val="24"/>
          <w:szCs w:val="24"/>
          <w:lang w:eastAsia="pl-PL"/>
        </w:rPr>
      </w:pPr>
      <w:r w:rsidRPr="00F31E01">
        <w:rPr>
          <w:rFonts w:eastAsia="Times New Roman" w:cstheme="minorHAnsi"/>
          <w:bCs/>
          <w:sz w:val="24"/>
          <w:szCs w:val="24"/>
          <w:lang w:eastAsia="pl-PL"/>
        </w:rPr>
        <w:t>wystawi</w:t>
      </w:r>
      <w:r>
        <w:rPr>
          <w:rFonts w:eastAsia="Times New Roman" w:cstheme="minorHAnsi"/>
          <w:bCs/>
          <w:sz w:val="24"/>
          <w:szCs w:val="24"/>
          <w:lang w:eastAsia="pl-PL"/>
        </w:rPr>
        <w:t>ono</w:t>
      </w:r>
      <w:r w:rsidRPr="00F31E01">
        <w:rPr>
          <w:rFonts w:eastAsia="Times New Roman" w:cstheme="minorHAnsi"/>
          <w:bCs/>
          <w:sz w:val="24"/>
          <w:szCs w:val="24"/>
          <w:lang w:eastAsia="pl-PL"/>
        </w:rPr>
        <w:t xml:space="preserve"> 50</w:t>
      </w:r>
      <w:r>
        <w:rPr>
          <w:rFonts w:eastAsia="Times New Roman" w:cstheme="minorHAnsi"/>
          <w:bCs/>
          <w:sz w:val="24"/>
          <w:szCs w:val="24"/>
          <w:lang w:eastAsia="pl-PL"/>
        </w:rPr>
        <w:t>3</w:t>
      </w:r>
      <w:r w:rsidRPr="00F31E01">
        <w:rPr>
          <w:rFonts w:eastAsia="Times New Roman" w:cstheme="minorHAnsi"/>
          <w:bCs/>
          <w:sz w:val="24"/>
          <w:szCs w:val="24"/>
          <w:lang w:eastAsia="pl-PL"/>
        </w:rPr>
        <w:t xml:space="preserve"> tytuł</w:t>
      </w:r>
      <w:r>
        <w:rPr>
          <w:rFonts w:eastAsia="Times New Roman" w:cstheme="minorHAnsi"/>
          <w:bCs/>
          <w:sz w:val="24"/>
          <w:szCs w:val="24"/>
          <w:lang w:eastAsia="pl-PL"/>
        </w:rPr>
        <w:t>y</w:t>
      </w:r>
      <w:r w:rsidRPr="00F31E01">
        <w:rPr>
          <w:rFonts w:eastAsia="Times New Roman" w:cstheme="minorHAnsi"/>
          <w:bCs/>
          <w:sz w:val="24"/>
          <w:szCs w:val="24"/>
          <w:lang w:eastAsia="pl-PL"/>
        </w:rPr>
        <w:t xml:space="preserve"> wykonawcz</w:t>
      </w:r>
      <w:r>
        <w:rPr>
          <w:rFonts w:eastAsia="Times New Roman" w:cstheme="minorHAnsi"/>
          <w:bCs/>
          <w:sz w:val="24"/>
          <w:szCs w:val="24"/>
          <w:lang w:eastAsia="pl-PL"/>
        </w:rPr>
        <w:t>e</w:t>
      </w:r>
      <w:r w:rsidRPr="00F31E01">
        <w:rPr>
          <w:rFonts w:eastAsia="Times New Roman" w:cstheme="minorHAnsi"/>
          <w:bCs/>
          <w:sz w:val="24"/>
          <w:szCs w:val="24"/>
          <w:lang w:eastAsia="pl-PL"/>
        </w:rPr>
        <w:t xml:space="preserve"> na rodziców/opiekunów</w:t>
      </w:r>
      <w:r>
        <w:rPr>
          <w:rFonts w:eastAsia="Times New Roman" w:cstheme="minorHAnsi"/>
          <w:bCs/>
          <w:sz w:val="24"/>
          <w:szCs w:val="24"/>
          <w:lang w:eastAsia="pl-PL"/>
        </w:rPr>
        <w:t xml:space="preserve"> </w:t>
      </w:r>
      <w:r>
        <w:rPr>
          <w:rFonts w:eastAsia="Times New Roman" w:cstheme="minorHAnsi"/>
          <w:sz w:val="24"/>
          <w:szCs w:val="24"/>
          <w:lang w:eastAsia="pl-PL"/>
        </w:rPr>
        <w:t>nierealizując</w:t>
      </w:r>
      <w:r w:rsidRPr="00F31E01">
        <w:rPr>
          <w:rFonts w:eastAsia="Times New Roman" w:cstheme="minorHAnsi"/>
          <w:sz w:val="24"/>
          <w:szCs w:val="24"/>
          <w:lang w:eastAsia="pl-PL"/>
        </w:rPr>
        <w:t xml:space="preserve">ych obowiązku szczepień ochronnych </w:t>
      </w:r>
      <w:r>
        <w:rPr>
          <w:rFonts w:eastAsia="Times New Roman" w:cstheme="minorHAnsi"/>
          <w:sz w:val="24"/>
          <w:szCs w:val="24"/>
          <w:lang w:eastAsia="pl-PL"/>
        </w:rPr>
        <w:t xml:space="preserve">u </w:t>
      </w:r>
      <w:r w:rsidRPr="00F31E01">
        <w:rPr>
          <w:rFonts w:eastAsia="Times New Roman" w:cstheme="minorHAnsi"/>
          <w:sz w:val="24"/>
          <w:szCs w:val="24"/>
          <w:lang w:eastAsia="pl-PL"/>
        </w:rPr>
        <w:t>dziecka oraz skierowan</w:t>
      </w:r>
      <w:r>
        <w:rPr>
          <w:rFonts w:eastAsia="Times New Roman" w:cstheme="minorHAnsi"/>
          <w:sz w:val="24"/>
          <w:szCs w:val="24"/>
          <w:lang w:eastAsia="pl-PL"/>
        </w:rPr>
        <w:t>o</w:t>
      </w:r>
      <w:r w:rsidRPr="00F31E01">
        <w:rPr>
          <w:rFonts w:eastAsia="Times New Roman" w:cstheme="minorHAnsi"/>
          <w:sz w:val="24"/>
          <w:szCs w:val="24"/>
          <w:lang w:eastAsia="pl-PL"/>
        </w:rPr>
        <w:t xml:space="preserve"> wniosk</w:t>
      </w:r>
      <w:r>
        <w:rPr>
          <w:rFonts w:eastAsia="Times New Roman" w:cstheme="minorHAnsi"/>
          <w:sz w:val="24"/>
          <w:szCs w:val="24"/>
          <w:lang w:eastAsia="pl-PL"/>
        </w:rPr>
        <w:t>i</w:t>
      </w:r>
      <w:r w:rsidRPr="00F31E01">
        <w:rPr>
          <w:rFonts w:eastAsia="Times New Roman" w:cstheme="minorHAnsi"/>
          <w:sz w:val="24"/>
          <w:szCs w:val="24"/>
          <w:lang w:eastAsia="pl-PL"/>
        </w:rPr>
        <w:t xml:space="preserve"> do organu egzekucyjnego o nałożenie grzywny.</w:t>
      </w:r>
    </w:p>
    <w:p w14:paraId="383B372B" w14:textId="77777777" w:rsidR="0063333E" w:rsidRPr="00F31E01" w:rsidRDefault="0063333E" w:rsidP="00597239">
      <w:pPr>
        <w:spacing w:after="0" w:line="276" w:lineRule="auto"/>
        <w:ind w:left="360"/>
        <w:rPr>
          <w:rFonts w:eastAsia="Times New Roman" w:cstheme="minorHAnsi"/>
          <w:sz w:val="24"/>
          <w:szCs w:val="24"/>
          <w:lang w:eastAsia="pl-PL"/>
        </w:rPr>
      </w:pPr>
    </w:p>
    <w:p w14:paraId="0118BA38" w14:textId="4265B70A" w:rsidR="000B4D72" w:rsidRPr="00B572C6" w:rsidRDefault="000B4D72" w:rsidP="00597239">
      <w:pPr>
        <w:pStyle w:val="Nagwek3"/>
        <w:numPr>
          <w:ilvl w:val="0"/>
          <w:numId w:val="38"/>
        </w:numPr>
        <w:spacing w:before="0" w:after="0"/>
        <w:ind w:left="568" w:hanging="284"/>
      </w:pPr>
      <w:bookmarkStart w:id="164" w:name="_Toc192678714"/>
      <w:bookmarkStart w:id="165" w:name="_Toc193694454"/>
      <w:bookmarkStart w:id="166" w:name="_Toc194059792"/>
      <w:r w:rsidRPr="00B572C6">
        <w:t>Niepożądane odczyny poszczepienne (NOP)</w:t>
      </w:r>
      <w:bookmarkEnd w:id="164"/>
      <w:bookmarkEnd w:id="165"/>
      <w:bookmarkEnd w:id="166"/>
    </w:p>
    <w:p w14:paraId="2CACA4A7" w14:textId="23DA5E10" w:rsidR="000B4D72" w:rsidRPr="00B572C6" w:rsidRDefault="000B4D72" w:rsidP="00597239">
      <w:pPr>
        <w:spacing w:after="0" w:line="276" w:lineRule="auto"/>
        <w:rPr>
          <w:rFonts w:eastAsia="Times New Roman" w:cstheme="minorHAnsi"/>
          <w:strike/>
          <w:sz w:val="24"/>
          <w:szCs w:val="24"/>
          <w:lang w:eastAsia="pl-PL"/>
        </w:rPr>
      </w:pPr>
      <w:r w:rsidRPr="00B572C6">
        <w:rPr>
          <w:rFonts w:eastAsia="Times New Roman" w:cstheme="minorHAnsi"/>
          <w:sz w:val="24"/>
          <w:szCs w:val="24"/>
          <w:lang w:eastAsia="pl-PL"/>
        </w:rPr>
        <w:t>W Polsce system monitorowania NOP został wprowadzony w 1996 roku i opiera się na</w:t>
      </w:r>
      <w:r w:rsidR="007B1BEB">
        <w:rPr>
          <w:rFonts w:eastAsia="Times New Roman" w:cstheme="minorHAnsi"/>
          <w:sz w:val="24"/>
          <w:szCs w:val="24"/>
          <w:lang w:eastAsia="pl-PL"/>
        </w:rPr>
        <w:t> </w:t>
      </w:r>
      <w:r w:rsidRPr="00B572C6">
        <w:rPr>
          <w:rFonts w:eastAsia="Times New Roman" w:cstheme="minorHAnsi"/>
          <w:sz w:val="24"/>
          <w:szCs w:val="24"/>
          <w:lang w:eastAsia="pl-PL"/>
        </w:rPr>
        <w:t>zaleceniach Światowej Organizacji Zdrowia (WHO) w zakresie monitorowania bezpieczeństwa szczepień (WHO Drug Monitoring Programme, Extended Programme Immunization).</w:t>
      </w:r>
    </w:p>
    <w:p w14:paraId="32930E9D" w14:textId="77777777" w:rsidR="0063333E" w:rsidRDefault="0063333E" w:rsidP="00597239">
      <w:pPr>
        <w:spacing w:after="0" w:line="276" w:lineRule="auto"/>
        <w:rPr>
          <w:rFonts w:eastAsia="Times New Roman" w:cstheme="minorHAnsi"/>
          <w:sz w:val="24"/>
          <w:szCs w:val="24"/>
          <w:lang w:eastAsia="pl-PL"/>
        </w:rPr>
      </w:pPr>
    </w:p>
    <w:p w14:paraId="763557E2" w14:textId="52C033E1" w:rsidR="000B4D72" w:rsidRPr="00083A16" w:rsidRDefault="000B4D72" w:rsidP="00597239">
      <w:pPr>
        <w:spacing w:after="0" w:line="276" w:lineRule="auto"/>
        <w:rPr>
          <w:rFonts w:eastAsia="Times New Roman" w:cstheme="minorHAnsi"/>
          <w:sz w:val="24"/>
          <w:szCs w:val="24"/>
          <w:lang w:eastAsia="pl-PL"/>
        </w:rPr>
      </w:pPr>
      <w:r w:rsidRPr="00B572C6">
        <w:rPr>
          <w:rFonts w:eastAsia="Times New Roman" w:cstheme="minorHAnsi"/>
          <w:sz w:val="24"/>
          <w:szCs w:val="24"/>
          <w:lang w:eastAsia="pl-PL"/>
        </w:rPr>
        <w:t>W 2024 r. na terenie woj. zachodniopomorskiego zgłoszono łącznie 112 niepożądanych odczynów poszczepiennych</w:t>
      </w:r>
      <w:r w:rsidRPr="00B572C6">
        <w:rPr>
          <w:rFonts w:cstheme="minorHAnsi"/>
          <w:sz w:val="24"/>
          <w:szCs w:val="24"/>
        </w:rPr>
        <w:t>,</w:t>
      </w:r>
      <w:r w:rsidRPr="00B572C6">
        <w:rPr>
          <w:rFonts w:eastAsia="Times New Roman" w:cstheme="minorHAnsi"/>
          <w:sz w:val="24"/>
          <w:szCs w:val="24"/>
          <w:lang w:eastAsia="pl-PL"/>
        </w:rPr>
        <w:t xml:space="preserve"> </w:t>
      </w:r>
      <w:r>
        <w:rPr>
          <w:rFonts w:eastAsia="Times New Roman" w:cstheme="minorHAnsi"/>
          <w:sz w:val="24"/>
          <w:szCs w:val="24"/>
          <w:lang w:eastAsia="pl-PL"/>
        </w:rPr>
        <w:t xml:space="preserve">z których 100 stanowiły odczyny łagodne, </w:t>
      </w:r>
      <w:r w:rsidRPr="00083A16">
        <w:rPr>
          <w:rFonts w:eastAsia="Times New Roman" w:cstheme="minorHAnsi"/>
          <w:sz w:val="24"/>
          <w:szCs w:val="24"/>
          <w:lang w:eastAsia="pl-PL"/>
        </w:rPr>
        <w:t xml:space="preserve">najczęściej pod postacią nasilonego odczynu w miejscu wstrzyknięcia </w:t>
      </w:r>
      <w:r>
        <w:rPr>
          <w:rFonts w:eastAsia="Times New Roman" w:cstheme="minorHAnsi"/>
          <w:sz w:val="24"/>
          <w:szCs w:val="24"/>
          <w:lang w:eastAsia="pl-PL"/>
        </w:rPr>
        <w:t>lub</w:t>
      </w:r>
      <w:r w:rsidRPr="00083A16">
        <w:rPr>
          <w:rFonts w:eastAsia="Times New Roman" w:cstheme="minorHAnsi"/>
          <w:sz w:val="24"/>
          <w:szCs w:val="24"/>
          <w:lang w:eastAsia="pl-PL"/>
        </w:rPr>
        <w:t xml:space="preserve"> gorączki</w:t>
      </w:r>
      <w:r>
        <w:rPr>
          <w:rFonts w:eastAsia="Times New Roman" w:cstheme="minorHAnsi"/>
          <w:sz w:val="24"/>
          <w:szCs w:val="24"/>
          <w:lang w:eastAsia="pl-PL"/>
        </w:rPr>
        <w:t>. (tabela 27).</w:t>
      </w:r>
    </w:p>
    <w:p w14:paraId="144F199F" w14:textId="77777777" w:rsidR="0063333E" w:rsidRDefault="0063333E" w:rsidP="00597239">
      <w:pPr>
        <w:spacing w:after="0" w:line="276" w:lineRule="auto"/>
        <w:rPr>
          <w:rFonts w:eastAsia="Times New Roman" w:cstheme="minorHAnsi"/>
          <w:sz w:val="24"/>
          <w:szCs w:val="24"/>
          <w:lang w:eastAsia="pl-PL"/>
        </w:rPr>
      </w:pPr>
    </w:p>
    <w:p w14:paraId="77796DCD" w14:textId="4EA468A3" w:rsidR="000B4D72" w:rsidRDefault="000B4D72" w:rsidP="00597239">
      <w:pPr>
        <w:spacing w:after="0" w:line="276" w:lineRule="auto"/>
        <w:rPr>
          <w:rFonts w:eastAsia="Times New Roman" w:cstheme="minorHAnsi"/>
          <w:sz w:val="24"/>
          <w:szCs w:val="24"/>
          <w:lang w:eastAsia="pl-PL"/>
        </w:rPr>
      </w:pPr>
      <w:r w:rsidRPr="00B572C6">
        <w:rPr>
          <w:rFonts w:eastAsia="Times New Roman" w:cstheme="minorHAnsi"/>
          <w:sz w:val="24"/>
          <w:szCs w:val="24"/>
          <w:lang w:eastAsia="pl-PL"/>
        </w:rPr>
        <w:t>Powyższe dane odzwierciedlają częstość występowania, rozpoznania i zgłaszania w</w:t>
      </w:r>
      <w:r w:rsidR="007B1BEB">
        <w:rPr>
          <w:rFonts w:eastAsia="Times New Roman" w:cstheme="minorHAnsi"/>
          <w:sz w:val="24"/>
          <w:szCs w:val="24"/>
          <w:lang w:eastAsia="pl-PL"/>
        </w:rPr>
        <w:t> </w:t>
      </w:r>
      <w:r w:rsidRPr="00B572C6">
        <w:rPr>
          <w:rFonts w:eastAsia="Times New Roman" w:cstheme="minorHAnsi"/>
          <w:sz w:val="24"/>
          <w:szCs w:val="24"/>
          <w:lang w:eastAsia="pl-PL"/>
        </w:rPr>
        <w:t xml:space="preserve">naszym regionie niepożądanych odczynów poszczepiennych, nie są natomiast bezpośrednim wskaźnikiem odczynowości poszczególnych szczepionek, do czego niezbędne są analizy porównawcze. </w:t>
      </w:r>
    </w:p>
    <w:p w14:paraId="3979083B" w14:textId="77777777" w:rsidR="001C4441" w:rsidRDefault="001C4441" w:rsidP="00597239">
      <w:pPr>
        <w:spacing w:after="0" w:line="276" w:lineRule="auto"/>
        <w:rPr>
          <w:rFonts w:eastAsia="Times New Roman" w:cstheme="minorHAnsi"/>
          <w:sz w:val="24"/>
          <w:szCs w:val="24"/>
          <w:lang w:eastAsia="pl-PL"/>
        </w:rPr>
      </w:pPr>
    </w:p>
    <w:p w14:paraId="199EAD1A" w14:textId="77777777" w:rsidR="001C4441" w:rsidRDefault="001C4441" w:rsidP="00597239">
      <w:pPr>
        <w:spacing w:after="0" w:line="276" w:lineRule="auto"/>
        <w:rPr>
          <w:rFonts w:eastAsia="Times New Roman" w:cstheme="minorHAnsi"/>
          <w:sz w:val="24"/>
          <w:szCs w:val="24"/>
          <w:lang w:eastAsia="pl-PL"/>
        </w:rPr>
      </w:pPr>
    </w:p>
    <w:p w14:paraId="3D557990" w14:textId="77777777" w:rsidR="001C4441" w:rsidRDefault="001C4441" w:rsidP="00597239">
      <w:pPr>
        <w:spacing w:after="0" w:line="276" w:lineRule="auto"/>
        <w:rPr>
          <w:rFonts w:eastAsia="Times New Roman" w:cstheme="minorHAnsi"/>
          <w:sz w:val="24"/>
          <w:szCs w:val="24"/>
          <w:lang w:eastAsia="pl-PL"/>
        </w:rPr>
      </w:pPr>
    </w:p>
    <w:p w14:paraId="6ECC8CCE" w14:textId="77777777" w:rsidR="00BB5ABA" w:rsidRPr="00B572C6" w:rsidRDefault="00BB5ABA" w:rsidP="00597239">
      <w:pPr>
        <w:spacing w:after="0" w:line="276" w:lineRule="auto"/>
        <w:ind w:firstLine="567"/>
        <w:rPr>
          <w:rFonts w:eastAsia="Times New Roman" w:cstheme="minorHAnsi"/>
          <w:sz w:val="24"/>
          <w:szCs w:val="24"/>
          <w:lang w:eastAsia="pl-PL"/>
        </w:rPr>
      </w:pPr>
    </w:p>
    <w:p w14:paraId="08763AE7" w14:textId="567B426C" w:rsidR="000B4D72" w:rsidRPr="00E5622B" w:rsidRDefault="00E5622B" w:rsidP="00597239">
      <w:pPr>
        <w:pStyle w:val="Legenda"/>
        <w:spacing w:after="0" w:line="276" w:lineRule="auto"/>
        <w:rPr>
          <w:i w:val="0"/>
          <w:iCs w:val="0"/>
          <w:color w:val="000000" w:themeColor="text1"/>
        </w:rPr>
      </w:pPr>
      <w:bookmarkStart w:id="167" w:name="_Toc193805997"/>
      <w:bookmarkStart w:id="168" w:name="_Toc193969545"/>
      <w:bookmarkStart w:id="169" w:name="_Toc194060005"/>
      <w:r w:rsidRPr="00E5622B">
        <w:rPr>
          <w:i w:val="0"/>
          <w:iCs w:val="0"/>
          <w:color w:val="000000" w:themeColor="text1"/>
        </w:rPr>
        <w:t xml:space="preserve">Tabela </w:t>
      </w:r>
      <w:r w:rsidRPr="00E5622B">
        <w:rPr>
          <w:i w:val="0"/>
          <w:iCs w:val="0"/>
          <w:color w:val="000000" w:themeColor="text1"/>
        </w:rPr>
        <w:fldChar w:fldCharType="begin"/>
      </w:r>
      <w:r w:rsidRPr="00E5622B">
        <w:rPr>
          <w:i w:val="0"/>
          <w:iCs w:val="0"/>
          <w:color w:val="000000" w:themeColor="text1"/>
        </w:rPr>
        <w:instrText xml:space="preserve"> SEQ Tabela \* ARABIC </w:instrText>
      </w:r>
      <w:r w:rsidRPr="00E5622B">
        <w:rPr>
          <w:i w:val="0"/>
          <w:iCs w:val="0"/>
          <w:color w:val="000000" w:themeColor="text1"/>
        </w:rPr>
        <w:fldChar w:fldCharType="separate"/>
      </w:r>
      <w:r w:rsidR="00FB6F6A">
        <w:rPr>
          <w:i w:val="0"/>
          <w:iCs w:val="0"/>
          <w:noProof/>
          <w:color w:val="000000" w:themeColor="text1"/>
        </w:rPr>
        <w:t>27</w:t>
      </w:r>
      <w:r w:rsidRPr="00E5622B">
        <w:rPr>
          <w:i w:val="0"/>
          <w:iCs w:val="0"/>
          <w:color w:val="000000" w:themeColor="text1"/>
        </w:rPr>
        <w:fldChar w:fldCharType="end"/>
      </w:r>
      <w:r w:rsidR="00E75D31">
        <w:rPr>
          <w:i w:val="0"/>
          <w:iCs w:val="0"/>
          <w:color w:val="000000" w:themeColor="text1"/>
        </w:rPr>
        <w:t>.</w:t>
      </w:r>
      <w:r w:rsidRPr="00E5622B">
        <w:rPr>
          <w:i w:val="0"/>
          <w:iCs w:val="0"/>
          <w:color w:val="000000" w:themeColor="text1"/>
        </w:rPr>
        <w:t xml:space="preserve"> Liczba zgłoszonych NOP w latach 2021–2024 na terenie woj. zachodniopomorskiego.</w:t>
      </w:r>
      <w:bookmarkEnd w:id="167"/>
      <w:bookmarkEnd w:id="168"/>
      <w:bookmarkEnd w:id="169"/>
    </w:p>
    <w:tbl>
      <w:tblPr>
        <w:tblStyle w:val="Tabelasiatki4akcent1"/>
        <w:tblW w:w="5000" w:type="pct"/>
        <w:tblLook w:val="04A0" w:firstRow="1" w:lastRow="0" w:firstColumn="1" w:lastColumn="0" w:noHBand="0" w:noVBand="1"/>
        <w:tblCaption w:val="Liczba zgłoszonych NOP w latach 2021–2024 na terenie woj. zachodniopomorskiego"/>
        <w:tblDescription w:val="Tabela przedstawia liczbę zgłoszonych niepożądanych odczynów poszczepiennych w latach 2021-2024. W 2024 roku w województwie zachodniopomorskim odnotowano wystąpienie 112 niepożądanych odczynów poszczepiennych, tj. o 11 więcej niż w roku 2023."/>
      </w:tblPr>
      <w:tblGrid>
        <w:gridCol w:w="904"/>
        <w:gridCol w:w="468"/>
        <w:gridCol w:w="293"/>
        <w:gridCol w:w="342"/>
        <w:gridCol w:w="501"/>
        <w:gridCol w:w="422"/>
        <w:gridCol w:w="273"/>
        <w:gridCol w:w="263"/>
        <w:gridCol w:w="224"/>
        <w:gridCol w:w="224"/>
        <w:gridCol w:w="263"/>
        <w:gridCol w:w="224"/>
        <w:gridCol w:w="224"/>
        <w:gridCol w:w="378"/>
        <w:gridCol w:w="324"/>
        <w:gridCol w:w="324"/>
        <w:gridCol w:w="324"/>
        <w:gridCol w:w="324"/>
        <w:gridCol w:w="506"/>
        <w:gridCol w:w="411"/>
        <w:gridCol w:w="447"/>
        <w:gridCol w:w="285"/>
        <w:gridCol w:w="334"/>
        <w:gridCol w:w="390"/>
        <w:gridCol w:w="390"/>
      </w:tblGrid>
      <w:tr w:rsidR="000B4D72" w:rsidRPr="003A793F" w14:paraId="0C60A618" w14:textId="77777777" w:rsidTr="009232D1">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vMerge w:val="restart"/>
            <w:tcMar>
              <w:left w:w="0" w:type="dxa"/>
              <w:right w:w="0" w:type="dxa"/>
            </w:tcMar>
            <w:hideMark/>
          </w:tcPr>
          <w:p w14:paraId="3ABE52E9" w14:textId="77777777" w:rsidR="000B4D72" w:rsidRPr="00B572C6" w:rsidRDefault="000B4D72" w:rsidP="00597239">
            <w:pPr>
              <w:rPr>
                <w:rFonts w:ascii="Calibri" w:eastAsia="Times New Roman" w:hAnsi="Calibri" w:cs="Calibri"/>
                <w:b w:val="0"/>
                <w:sz w:val="16"/>
                <w:szCs w:val="16"/>
                <w:lang w:eastAsia="pl-PL"/>
              </w:rPr>
            </w:pPr>
            <w:r w:rsidRPr="00B572C6">
              <w:rPr>
                <w:rFonts w:ascii="Calibri" w:eastAsia="Times New Roman" w:hAnsi="Calibri" w:cs="Calibri"/>
                <w:sz w:val="16"/>
                <w:szCs w:val="16"/>
                <w:lang w:eastAsia="pl-PL"/>
              </w:rPr>
              <w:t>PSSE</w:t>
            </w:r>
          </w:p>
        </w:tc>
        <w:tc>
          <w:tcPr>
            <w:tcW w:w="2194" w:type="dxa"/>
            <w:gridSpan w:val="6"/>
            <w:tcMar>
              <w:left w:w="0" w:type="dxa"/>
              <w:right w:w="0" w:type="dxa"/>
            </w:tcMar>
            <w:hideMark/>
          </w:tcPr>
          <w:p w14:paraId="327F87D1" w14:textId="77777777" w:rsidR="000B4D72" w:rsidRPr="00B572C6"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6"/>
                <w:szCs w:val="16"/>
                <w:lang w:eastAsia="pl-PL"/>
              </w:rPr>
            </w:pPr>
            <w:r w:rsidRPr="00B572C6">
              <w:rPr>
                <w:rFonts w:ascii="Calibri" w:eastAsia="Times New Roman" w:hAnsi="Calibri" w:cs="Calibri"/>
                <w:sz w:val="16"/>
                <w:szCs w:val="16"/>
                <w:lang w:eastAsia="pl-PL"/>
              </w:rPr>
              <w:t>2021</w:t>
            </w:r>
          </w:p>
        </w:tc>
        <w:tc>
          <w:tcPr>
            <w:tcW w:w="0" w:type="auto"/>
            <w:gridSpan w:val="6"/>
            <w:tcMar>
              <w:left w:w="0" w:type="dxa"/>
              <w:right w:w="0" w:type="dxa"/>
            </w:tcMar>
            <w:hideMark/>
          </w:tcPr>
          <w:p w14:paraId="618A283A" w14:textId="77777777" w:rsidR="000B4D72" w:rsidRPr="00B572C6"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6"/>
                <w:szCs w:val="16"/>
                <w:lang w:eastAsia="pl-PL"/>
              </w:rPr>
            </w:pPr>
            <w:r w:rsidRPr="00B572C6">
              <w:rPr>
                <w:rFonts w:ascii="Calibri" w:eastAsia="Times New Roman" w:hAnsi="Calibri" w:cs="Calibri"/>
                <w:sz w:val="16"/>
                <w:szCs w:val="16"/>
                <w:lang w:eastAsia="pl-PL"/>
              </w:rPr>
              <w:t>2022</w:t>
            </w:r>
          </w:p>
        </w:tc>
        <w:tc>
          <w:tcPr>
            <w:tcW w:w="2123" w:type="dxa"/>
            <w:gridSpan w:val="6"/>
            <w:tcMar>
              <w:left w:w="0" w:type="dxa"/>
              <w:right w:w="0" w:type="dxa"/>
            </w:tcMar>
            <w:hideMark/>
          </w:tcPr>
          <w:p w14:paraId="0C3627F8" w14:textId="77777777" w:rsidR="000B4D72" w:rsidRPr="00B572C6"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6"/>
                <w:szCs w:val="16"/>
                <w:lang w:eastAsia="pl-PL"/>
              </w:rPr>
            </w:pPr>
            <w:r w:rsidRPr="00B572C6">
              <w:rPr>
                <w:rFonts w:ascii="Calibri" w:eastAsia="Times New Roman" w:hAnsi="Calibri" w:cs="Calibri"/>
                <w:sz w:val="16"/>
                <w:szCs w:val="16"/>
                <w:lang w:eastAsia="pl-PL"/>
              </w:rPr>
              <w:t>2023</w:t>
            </w:r>
          </w:p>
        </w:tc>
        <w:tc>
          <w:tcPr>
            <w:tcW w:w="2112" w:type="dxa"/>
            <w:gridSpan w:val="6"/>
            <w:tcMar>
              <w:left w:w="0" w:type="dxa"/>
              <w:right w:w="0" w:type="dxa"/>
            </w:tcMar>
            <w:hideMark/>
          </w:tcPr>
          <w:p w14:paraId="14A801FB" w14:textId="77777777" w:rsidR="000B4D72" w:rsidRPr="00B572C6"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sz w:val="16"/>
                <w:szCs w:val="16"/>
                <w:lang w:eastAsia="pl-PL"/>
              </w:rPr>
            </w:pPr>
            <w:r w:rsidRPr="00B572C6">
              <w:rPr>
                <w:rFonts w:ascii="Calibri" w:eastAsia="Times New Roman" w:hAnsi="Calibri" w:cs="Calibri"/>
                <w:sz w:val="16"/>
                <w:szCs w:val="16"/>
                <w:lang w:eastAsia="pl-PL"/>
              </w:rPr>
              <w:t>2024</w:t>
            </w:r>
          </w:p>
        </w:tc>
      </w:tr>
      <w:tr w:rsidR="009232D1" w:rsidRPr="003A793F" w14:paraId="217ABBAF" w14:textId="77777777" w:rsidTr="009232D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904" w:type="dxa"/>
            <w:vMerge/>
            <w:tcMar>
              <w:left w:w="0" w:type="dxa"/>
              <w:right w:w="0" w:type="dxa"/>
            </w:tcMar>
            <w:hideMark/>
          </w:tcPr>
          <w:p w14:paraId="72D0AB20" w14:textId="77777777" w:rsidR="000B4D72" w:rsidRPr="00B572C6" w:rsidRDefault="000B4D72" w:rsidP="00597239">
            <w:pPr>
              <w:rPr>
                <w:rFonts w:ascii="Calibri" w:eastAsia="Times New Roman" w:hAnsi="Calibri" w:cs="Calibri"/>
                <w:b w:val="0"/>
                <w:sz w:val="16"/>
                <w:szCs w:val="16"/>
                <w:lang w:eastAsia="pl-PL"/>
              </w:rPr>
            </w:pPr>
          </w:p>
        </w:tc>
        <w:tc>
          <w:tcPr>
            <w:tcW w:w="385" w:type="dxa"/>
            <w:vMerge w:val="restart"/>
            <w:tcMar>
              <w:left w:w="0" w:type="dxa"/>
              <w:right w:w="0" w:type="dxa"/>
            </w:tcMar>
            <w:textDirection w:val="btLr"/>
            <w:hideMark/>
          </w:tcPr>
          <w:p w14:paraId="4A41E49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Ogółem</w:t>
            </w:r>
          </w:p>
        </w:tc>
        <w:tc>
          <w:tcPr>
            <w:tcW w:w="1115" w:type="dxa"/>
            <w:gridSpan w:val="3"/>
            <w:tcMar>
              <w:left w:w="0" w:type="dxa"/>
              <w:right w:w="0" w:type="dxa"/>
            </w:tcMar>
            <w:hideMark/>
          </w:tcPr>
          <w:p w14:paraId="5CEC036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w tym:</w:t>
            </w:r>
          </w:p>
        </w:tc>
        <w:tc>
          <w:tcPr>
            <w:tcW w:w="347" w:type="dxa"/>
            <w:vMerge w:val="restart"/>
            <w:tcMar>
              <w:left w:w="0" w:type="dxa"/>
              <w:right w:w="0" w:type="dxa"/>
            </w:tcMar>
            <w:textDirection w:val="btLr"/>
            <w:hideMark/>
          </w:tcPr>
          <w:p w14:paraId="654C1C6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Hospitalizacje</w:t>
            </w:r>
          </w:p>
        </w:tc>
        <w:tc>
          <w:tcPr>
            <w:tcW w:w="0" w:type="auto"/>
            <w:vMerge w:val="restart"/>
            <w:tcMar>
              <w:left w:w="0" w:type="dxa"/>
              <w:right w:w="0" w:type="dxa"/>
            </w:tcMar>
            <w:textDirection w:val="btLr"/>
            <w:hideMark/>
          </w:tcPr>
          <w:p w14:paraId="33EA70E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Zgony</w:t>
            </w:r>
          </w:p>
        </w:tc>
        <w:tc>
          <w:tcPr>
            <w:tcW w:w="0" w:type="auto"/>
            <w:vMerge w:val="restart"/>
            <w:tcMar>
              <w:left w:w="0" w:type="dxa"/>
              <w:right w:w="0" w:type="dxa"/>
            </w:tcMar>
            <w:textDirection w:val="btLr"/>
            <w:hideMark/>
          </w:tcPr>
          <w:p w14:paraId="43FA7E2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Ogółem</w:t>
            </w:r>
          </w:p>
        </w:tc>
        <w:tc>
          <w:tcPr>
            <w:tcW w:w="0" w:type="auto"/>
            <w:gridSpan w:val="3"/>
            <w:tcMar>
              <w:left w:w="0" w:type="dxa"/>
              <w:right w:w="0" w:type="dxa"/>
            </w:tcMar>
            <w:hideMark/>
          </w:tcPr>
          <w:p w14:paraId="7BC65A0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w tym:</w:t>
            </w:r>
          </w:p>
        </w:tc>
        <w:tc>
          <w:tcPr>
            <w:tcW w:w="0" w:type="auto"/>
            <w:vMerge w:val="restart"/>
            <w:tcMar>
              <w:left w:w="0" w:type="dxa"/>
              <w:right w:w="0" w:type="dxa"/>
            </w:tcMar>
            <w:textDirection w:val="btLr"/>
            <w:hideMark/>
          </w:tcPr>
          <w:p w14:paraId="0378EA2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Hospitalizacje</w:t>
            </w:r>
          </w:p>
        </w:tc>
        <w:tc>
          <w:tcPr>
            <w:tcW w:w="0" w:type="auto"/>
            <w:vMerge w:val="restart"/>
            <w:tcMar>
              <w:left w:w="0" w:type="dxa"/>
              <w:right w:w="0" w:type="dxa"/>
            </w:tcMar>
            <w:textDirection w:val="btLr"/>
            <w:hideMark/>
          </w:tcPr>
          <w:p w14:paraId="50BACC5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Zgony</w:t>
            </w:r>
          </w:p>
        </w:tc>
        <w:tc>
          <w:tcPr>
            <w:tcW w:w="0" w:type="auto"/>
            <w:vMerge w:val="restart"/>
            <w:tcMar>
              <w:left w:w="0" w:type="dxa"/>
              <w:right w:w="0" w:type="dxa"/>
            </w:tcMar>
            <w:textDirection w:val="btLr"/>
            <w:hideMark/>
          </w:tcPr>
          <w:p w14:paraId="293D924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Ogółem</w:t>
            </w:r>
          </w:p>
        </w:tc>
        <w:tc>
          <w:tcPr>
            <w:tcW w:w="0" w:type="auto"/>
            <w:gridSpan w:val="3"/>
            <w:tcMar>
              <w:left w:w="0" w:type="dxa"/>
              <w:right w:w="0" w:type="dxa"/>
            </w:tcMar>
            <w:hideMark/>
          </w:tcPr>
          <w:p w14:paraId="3A21668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w tym:</w:t>
            </w:r>
          </w:p>
        </w:tc>
        <w:tc>
          <w:tcPr>
            <w:tcW w:w="0" w:type="auto"/>
            <w:vMerge w:val="restart"/>
            <w:tcMar>
              <w:left w:w="0" w:type="dxa"/>
              <w:right w:w="0" w:type="dxa"/>
            </w:tcMar>
            <w:textDirection w:val="btLr"/>
            <w:hideMark/>
          </w:tcPr>
          <w:p w14:paraId="2E669CB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Hospitalizacje</w:t>
            </w:r>
          </w:p>
        </w:tc>
        <w:tc>
          <w:tcPr>
            <w:tcW w:w="351" w:type="dxa"/>
            <w:vMerge w:val="restart"/>
            <w:tcMar>
              <w:left w:w="0" w:type="dxa"/>
              <w:right w:w="0" w:type="dxa"/>
            </w:tcMar>
            <w:textDirection w:val="btLr"/>
            <w:hideMark/>
          </w:tcPr>
          <w:p w14:paraId="3195D16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Zgony</w:t>
            </w:r>
          </w:p>
        </w:tc>
        <w:tc>
          <w:tcPr>
            <w:tcW w:w="368" w:type="dxa"/>
            <w:vMerge w:val="restart"/>
            <w:tcMar>
              <w:left w:w="0" w:type="dxa"/>
              <w:right w:w="0" w:type="dxa"/>
            </w:tcMar>
            <w:textDirection w:val="btLr"/>
            <w:hideMark/>
          </w:tcPr>
          <w:p w14:paraId="5B8EF82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Ogółem</w:t>
            </w:r>
          </w:p>
        </w:tc>
        <w:tc>
          <w:tcPr>
            <w:tcW w:w="1046" w:type="dxa"/>
            <w:gridSpan w:val="3"/>
            <w:tcMar>
              <w:left w:w="0" w:type="dxa"/>
              <w:right w:w="0" w:type="dxa"/>
            </w:tcMar>
            <w:hideMark/>
          </w:tcPr>
          <w:p w14:paraId="16D25ED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w tym</w:t>
            </w:r>
          </w:p>
        </w:tc>
        <w:tc>
          <w:tcPr>
            <w:tcW w:w="349" w:type="dxa"/>
            <w:vMerge w:val="restart"/>
            <w:tcMar>
              <w:left w:w="0" w:type="dxa"/>
              <w:right w:w="0" w:type="dxa"/>
            </w:tcMar>
            <w:textDirection w:val="btLr"/>
            <w:hideMark/>
          </w:tcPr>
          <w:p w14:paraId="1F8DF95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Hospitalizacje</w:t>
            </w:r>
          </w:p>
        </w:tc>
        <w:tc>
          <w:tcPr>
            <w:tcW w:w="349" w:type="dxa"/>
            <w:vMerge w:val="restart"/>
            <w:tcMar>
              <w:left w:w="0" w:type="dxa"/>
              <w:right w:w="0" w:type="dxa"/>
            </w:tcMar>
            <w:textDirection w:val="btLr"/>
            <w:hideMark/>
          </w:tcPr>
          <w:p w14:paraId="24A322C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16"/>
                <w:szCs w:val="16"/>
                <w:lang w:eastAsia="pl-PL"/>
              </w:rPr>
            </w:pPr>
            <w:r w:rsidRPr="00B572C6">
              <w:rPr>
                <w:rFonts w:ascii="Calibri" w:eastAsia="Times New Roman" w:hAnsi="Calibri" w:cs="Calibri"/>
                <w:b/>
                <w:sz w:val="16"/>
                <w:szCs w:val="16"/>
                <w:lang w:eastAsia="pl-PL"/>
              </w:rPr>
              <w:t>Zgony</w:t>
            </w:r>
          </w:p>
        </w:tc>
      </w:tr>
      <w:tr w:rsidR="009232D1" w:rsidRPr="003A793F" w14:paraId="11CE583A" w14:textId="77777777" w:rsidTr="009232D1">
        <w:trPr>
          <w:trHeight w:val="944"/>
        </w:trPr>
        <w:tc>
          <w:tcPr>
            <w:cnfStyle w:val="001000000000" w:firstRow="0" w:lastRow="0" w:firstColumn="1" w:lastColumn="0" w:oddVBand="0" w:evenVBand="0" w:oddHBand="0" w:evenHBand="0" w:firstRowFirstColumn="0" w:firstRowLastColumn="0" w:lastRowFirstColumn="0" w:lastRowLastColumn="0"/>
            <w:tcW w:w="904" w:type="dxa"/>
            <w:vMerge/>
            <w:tcMar>
              <w:left w:w="0" w:type="dxa"/>
              <w:right w:w="0" w:type="dxa"/>
            </w:tcMar>
            <w:hideMark/>
          </w:tcPr>
          <w:p w14:paraId="7C7EFEAA" w14:textId="77777777" w:rsidR="000B4D72" w:rsidRPr="00B572C6" w:rsidRDefault="000B4D72" w:rsidP="00597239">
            <w:pPr>
              <w:rPr>
                <w:rFonts w:ascii="Calibri" w:eastAsia="Times New Roman" w:hAnsi="Calibri" w:cs="Calibri"/>
                <w:b w:val="0"/>
                <w:sz w:val="16"/>
                <w:szCs w:val="16"/>
                <w:lang w:eastAsia="pl-PL"/>
              </w:rPr>
            </w:pPr>
          </w:p>
        </w:tc>
        <w:tc>
          <w:tcPr>
            <w:tcW w:w="385" w:type="dxa"/>
            <w:vMerge/>
            <w:tcMar>
              <w:left w:w="0" w:type="dxa"/>
              <w:right w:w="0" w:type="dxa"/>
            </w:tcMar>
            <w:textDirection w:val="btLr"/>
            <w:hideMark/>
          </w:tcPr>
          <w:p w14:paraId="2EFCB4A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tcMar>
              <w:left w:w="0" w:type="dxa"/>
              <w:right w:w="0" w:type="dxa"/>
            </w:tcMar>
            <w:textDirection w:val="btLr"/>
            <w:hideMark/>
          </w:tcPr>
          <w:p w14:paraId="2FAB059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ciężki</w:t>
            </w:r>
          </w:p>
        </w:tc>
        <w:tc>
          <w:tcPr>
            <w:tcW w:w="0" w:type="auto"/>
            <w:tcMar>
              <w:left w:w="0" w:type="dxa"/>
              <w:right w:w="0" w:type="dxa"/>
            </w:tcMar>
            <w:textDirection w:val="btLr"/>
            <w:hideMark/>
          </w:tcPr>
          <w:p w14:paraId="4F016D8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poważny</w:t>
            </w:r>
          </w:p>
        </w:tc>
        <w:tc>
          <w:tcPr>
            <w:tcW w:w="384" w:type="dxa"/>
            <w:tcMar>
              <w:left w:w="0" w:type="dxa"/>
              <w:right w:w="0" w:type="dxa"/>
            </w:tcMar>
            <w:textDirection w:val="btLr"/>
            <w:hideMark/>
          </w:tcPr>
          <w:p w14:paraId="04D3DCC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łagodny</w:t>
            </w:r>
          </w:p>
        </w:tc>
        <w:tc>
          <w:tcPr>
            <w:tcW w:w="347" w:type="dxa"/>
            <w:vMerge/>
            <w:tcMar>
              <w:left w:w="0" w:type="dxa"/>
              <w:right w:w="0" w:type="dxa"/>
            </w:tcMar>
            <w:textDirection w:val="btLr"/>
            <w:hideMark/>
          </w:tcPr>
          <w:p w14:paraId="4EC9F7D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vMerge/>
            <w:tcMar>
              <w:left w:w="0" w:type="dxa"/>
              <w:right w:w="0" w:type="dxa"/>
            </w:tcMar>
            <w:textDirection w:val="btLr"/>
            <w:hideMark/>
          </w:tcPr>
          <w:p w14:paraId="3534DCE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vMerge/>
            <w:tcMar>
              <w:left w:w="0" w:type="dxa"/>
              <w:right w:w="0" w:type="dxa"/>
            </w:tcMar>
            <w:textDirection w:val="btLr"/>
            <w:hideMark/>
          </w:tcPr>
          <w:p w14:paraId="480A4FF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tcMar>
              <w:left w:w="0" w:type="dxa"/>
              <w:right w:w="0" w:type="dxa"/>
            </w:tcMar>
            <w:textDirection w:val="btLr"/>
            <w:hideMark/>
          </w:tcPr>
          <w:p w14:paraId="4EA9D73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ciężki</w:t>
            </w:r>
          </w:p>
        </w:tc>
        <w:tc>
          <w:tcPr>
            <w:tcW w:w="0" w:type="auto"/>
            <w:tcMar>
              <w:left w:w="0" w:type="dxa"/>
              <w:right w:w="0" w:type="dxa"/>
            </w:tcMar>
            <w:textDirection w:val="btLr"/>
            <w:hideMark/>
          </w:tcPr>
          <w:p w14:paraId="64B182A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poważny</w:t>
            </w:r>
          </w:p>
        </w:tc>
        <w:tc>
          <w:tcPr>
            <w:tcW w:w="0" w:type="auto"/>
            <w:tcMar>
              <w:left w:w="0" w:type="dxa"/>
              <w:right w:w="0" w:type="dxa"/>
            </w:tcMar>
            <w:textDirection w:val="btLr"/>
            <w:hideMark/>
          </w:tcPr>
          <w:p w14:paraId="08EE840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łagodny</w:t>
            </w:r>
          </w:p>
        </w:tc>
        <w:tc>
          <w:tcPr>
            <w:tcW w:w="0" w:type="auto"/>
            <w:vMerge/>
            <w:tcMar>
              <w:left w:w="0" w:type="dxa"/>
              <w:right w:w="0" w:type="dxa"/>
            </w:tcMar>
            <w:textDirection w:val="btLr"/>
            <w:hideMark/>
          </w:tcPr>
          <w:p w14:paraId="414B08C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vMerge/>
            <w:tcMar>
              <w:left w:w="0" w:type="dxa"/>
              <w:right w:w="0" w:type="dxa"/>
            </w:tcMar>
            <w:textDirection w:val="btLr"/>
            <w:hideMark/>
          </w:tcPr>
          <w:p w14:paraId="769DBCF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vMerge/>
            <w:tcMar>
              <w:left w:w="0" w:type="dxa"/>
              <w:right w:w="0" w:type="dxa"/>
            </w:tcMar>
            <w:textDirection w:val="btLr"/>
            <w:hideMark/>
          </w:tcPr>
          <w:p w14:paraId="1C686DA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0" w:type="auto"/>
            <w:tcMar>
              <w:left w:w="0" w:type="dxa"/>
              <w:right w:w="0" w:type="dxa"/>
            </w:tcMar>
            <w:textDirection w:val="btLr"/>
            <w:hideMark/>
          </w:tcPr>
          <w:p w14:paraId="6D42C86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ciężki</w:t>
            </w:r>
          </w:p>
        </w:tc>
        <w:tc>
          <w:tcPr>
            <w:tcW w:w="0" w:type="auto"/>
            <w:tcMar>
              <w:left w:w="0" w:type="dxa"/>
              <w:right w:w="0" w:type="dxa"/>
            </w:tcMar>
            <w:textDirection w:val="btLr"/>
            <w:hideMark/>
          </w:tcPr>
          <w:p w14:paraId="360DF3A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poważny</w:t>
            </w:r>
          </w:p>
        </w:tc>
        <w:tc>
          <w:tcPr>
            <w:tcW w:w="0" w:type="auto"/>
            <w:tcMar>
              <w:left w:w="0" w:type="dxa"/>
              <w:right w:w="0" w:type="dxa"/>
            </w:tcMar>
            <w:textDirection w:val="btLr"/>
            <w:hideMark/>
          </w:tcPr>
          <w:p w14:paraId="5048189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łagodny</w:t>
            </w:r>
          </w:p>
        </w:tc>
        <w:tc>
          <w:tcPr>
            <w:tcW w:w="0" w:type="auto"/>
            <w:vMerge/>
            <w:tcMar>
              <w:left w:w="0" w:type="dxa"/>
              <w:right w:w="0" w:type="dxa"/>
            </w:tcMar>
            <w:textDirection w:val="btLr"/>
            <w:hideMark/>
          </w:tcPr>
          <w:p w14:paraId="78E34B8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351" w:type="dxa"/>
            <w:vMerge/>
            <w:tcMar>
              <w:left w:w="0" w:type="dxa"/>
              <w:right w:w="0" w:type="dxa"/>
            </w:tcMar>
            <w:textDirection w:val="btLr"/>
            <w:hideMark/>
          </w:tcPr>
          <w:p w14:paraId="42D5D74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368" w:type="dxa"/>
            <w:vMerge/>
            <w:tcMar>
              <w:left w:w="0" w:type="dxa"/>
              <w:right w:w="0" w:type="dxa"/>
            </w:tcMar>
            <w:textDirection w:val="btLr"/>
            <w:hideMark/>
          </w:tcPr>
          <w:p w14:paraId="20B1B40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352" w:type="dxa"/>
            <w:tcMar>
              <w:left w:w="0" w:type="dxa"/>
              <w:right w:w="0" w:type="dxa"/>
            </w:tcMar>
            <w:textDirection w:val="btLr"/>
            <w:hideMark/>
          </w:tcPr>
          <w:p w14:paraId="5C53A76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ciężki</w:t>
            </w:r>
          </w:p>
        </w:tc>
        <w:tc>
          <w:tcPr>
            <w:tcW w:w="0" w:type="auto"/>
            <w:tcMar>
              <w:left w:w="0" w:type="dxa"/>
              <w:right w:w="0" w:type="dxa"/>
            </w:tcMar>
            <w:textDirection w:val="btLr"/>
            <w:hideMark/>
          </w:tcPr>
          <w:p w14:paraId="104A5C8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poważny</w:t>
            </w:r>
          </w:p>
        </w:tc>
        <w:tc>
          <w:tcPr>
            <w:tcW w:w="0" w:type="auto"/>
            <w:tcMar>
              <w:left w:w="0" w:type="dxa"/>
              <w:right w:w="0" w:type="dxa"/>
            </w:tcMar>
            <w:textDirection w:val="btLr"/>
            <w:hideMark/>
          </w:tcPr>
          <w:p w14:paraId="0FCDA5A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łagodny</w:t>
            </w:r>
          </w:p>
        </w:tc>
        <w:tc>
          <w:tcPr>
            <w:tcW w:w="349" w:type="dxa"/>
            <w:vMerge/>
            <w:tcMar>
              <w:left w:w="0" w:type="dxa"/>
              <w:right w:w="0" w:type="dxa"/>
            </w:tcMar>
            <w:textDirection w:val="btLr"/>
            <w:hideMark/>
          </w:tcPr>
          <w:p w14:paraId="5F57D67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c>
          <w:tcPr>
            <w:tcW w:w="349" w:type="dxa"/>
            <w:vMerge/>
            <w:tcMar>
              <w:left w:w="0" w:type="dxa"/>
              <w:right w:w="0" w:type="dxa"/>
            </w:tcMar>
            <w:textDirection w:val="btLr"/>
            <w:hideMark/>
          </w:tcPr>
          <w:p w14:paraId="47CCAB2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sz w:val="16"/>
                <w:szCs w:val="16"/>
                <w:lang w:eastAsia="pl-PL"/>
              </w:rPr>
            </w:pPr>
          </w:p>
        </w:tc>
      </w:tr>
      <w:tr w:rsidR="009232D1" w:rsidRPr="003A793F" w14:paraId="2A04729E" w14:textId="77777777" w:rsidTr="0006329F">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341B5BDF"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woj. zachodnio-pomorskie</w:t>
            </w:r>
          </w:p>
        </w:tc>
        <w:tc>
          <w:tcPr>
            <w:tcW w:w="385" w:type="dxa"/>
            <w:tcMar>
              <w:left w:w="0" w:type="dxa"/>
              <w:right w:w="0" w:type="dxa"/>
            </w:tcMar>
            <w:vAlign w:val="center"/>
          </w:tcPr>
          <w:p w14:paraId="18A059B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721</w:t>
            </w:r>
          </w:p>
        </w:tc>
        <w:tc>
          <w:tcPr>
            <w:tcW w:w="0" w:type="auto"/>
            <w:tcMar>
              <w:left w:w="0" w:type="dxa"/>
              <w:right w:w="0" w:type="dxa"/>
            </w:tcMar>
            <w:vAlign w:val="center"/>
          </w:tcPr>
          <w:p w14:paraId="5A9DD9C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11</w:t>
            </w:r>
          </w:p>
        </w:tc>
        <w:tc>
          <w:tcPr>
            <w:tcW w:w="0" w:type="auto"/>
            <w:tcMar>
              <w:left w:w="0" w:type="dxa"/>
              <w:right w:w="0" w:type="dxa"/>
            </w:tcMar>
            <w:vAlign w:val="center"/>
          </w:tcPr>
          <w:p w14:paraId="74B8988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113</w:t>
            </w:r>
          </w:p>
        </w:tc>
        <w:tc>
          <w:tcPr>
            <w:tcW w:w="384" w:type="dxa"/>
            <w:tcMar>
              <w:left w:w="0" w:type="dxa"/>
              <w:right w:w="0" w:type="dxa"/>
            </w:tcMar>
            <w:vAlign w:val="center"/>
          </w:tcPr>
          <w:p w14:paraId="68BF9EA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597</w:t>
            </w:r>
          </w:p>
        </w:tc>
        <w:tc>
          <w:tcPr>
            <w:tcW w:w="347" w:type="dxa"/>
            <w:tcMar>
              <w:left w:w="0" w:type="dxa"/>
              <w:right w:w="0" w:type="dxa"/>
            </w:tcMar>
            <w:vAlign w:val="center"/>
          </w:tcPr>
          <w:p w14:paraId="1A37189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38</w:t>
            </w:r>
          </w:p>
        </w:tc>
        <w:tc>
          <w:tcPr>
            <w:tcW w:w="0" w:type="auto"/>
            <w:tcMar>
              <w:left w:w="0" w:type="dxa"/>
              <w:right w:w="0" w:type="dxa"/>
            </w:tcMar>
            <w:vAlign w:val="center"/>
          </w:tcPr>
          <w:p w14:paraId="4EB7D04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7CBDB85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179</w:t>
            </w:r>
          </w:p>
        </w:tc>
        <w:tc>
          <w:tcPr>
            <w:tcW w:w="0" w:type="auto"/>
            <w:tcMar>
              <w:left w:w="0" w:type="dxa"/>
              <w:right w:w="0" w:type="dxa"/>
            </w:tcMar>
            <w:vAlign w:val="center"/>
          </w:tcPr>
          <w:p w14:paraId="1556A4B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7</w:t>
            </w:r>
          </w:p>
        </w:tc>
        <w:tc>
          <w:tcPr>
            <w:tcW w:w="0" w:type="auto"/>
            <w:tcMar>
              <w:left w:w="0" w:type="dxa"/>
              <w:right w:w="0" w:type="dxa"/>
            </w:tcMar>
            <w:vAlign w:val="center"/>
          </w:tcPr>
          <w:p w14:paraId="37F9237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29</w:t>
            </w:r>
          </w:p>
        </w:tc>
        <w:tc>
          <w:tcPr>
            <w:tcW w:w="0" w:type="auto"/>
            <w:tcMar>
              <w:left w:w="0" w:type="dxa"/>
              <w:right w:w="0" w:type="dxa"/>
            </w:tcMar>
            <w:vAlign w:val="center"/>
          </w:tcPr>
          <w:p w14:paraId="6BD3890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143</w:t>
            </w:r>
          </w:p>
        </w:tc>
        <w:tc>
          <w:tcPr>
            <w:tcW w:w="0" w:type="auto"/>
            <w:tcMar>
              <w:left w:w="0" w:type="dxa"/>
              <w:right w:w="0" w:type="dxa"/>
            </w:tcMar>
            <w:vAlign w:val="center"/>
          </w:tcPr>
          <w:p w14:paraId="2D3C3C0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26</w:t>
            </w:r>
          </w:p>
        </w:tc>
        <w:tc>
          <w:tcPr>
            <w:tcW w:w="0" w:type="auto"/>
            <w:tcMar>
              <w:left w:w="0" w:type="dxa"/>
              <w:right w:w="0" w:type="dxa"/>
            </w:tcMar>
            <w:vAlign w:val="center"/>
          </w:tcPr>
          <w:p w14:paraId="7AD8208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5064AD2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101</w:t>
            </w:r>
          </w:p>
        </w:tc>
        <w:tc>
          <w:tcPr>
            <w:tcW w:w="0" w:type="auto"/>
            <w:tcMar>
              <w:left w:w="0" w:type="dxa"/>
              <w:right w:w="0" w:type="dxa"/>
            </w:tcMar>
            <w:vAlign w:val="center"/>
          </w:tcPr>
          <w:p w14:paraId="4154011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0" w:type="auto"/>
            <w:tcMar>
              <w:left w:w="0" w:type="dxa"/>
              <w:right w:w="0" w:type="dxa"/>
            </w:tcMar>
            <w:vAlign w:val="center"/>
          </w:tcPr>
          <w:p w14:paraId="4EBAD19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14</w:t>
            </w:r>
          </w:p>
        </w:tc>
        <w:tc>
          <w:tcPr>
            <w:tcW w:w="0" w:type="auto"/>
            <w:tcMar>
              <w:left w:w="0" w:type="dxa"/>
              <w:right w:w="0" w:type="dxa"/>
            </w:tcMar>
            <w:vAlign w:val="center"/>
          </w:tcPr>
          <w:p w14:paraId="70070F2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84</w:t>
            </w:r>
          </w:p>
        </w:tc>
        <w:tc>
          <w:tcPr>
            <w:tcW w:w="0" w:type="auto"/>
            <w:tcMar>
              <w:left w:w="0" w:type="dxa"/>
              <w:right w:w="0" w:type="dxa"/>
            </w:tcMar>
            <w:vAlign w:val="center"/>
          </w:tcPr>
          <w:p w14:paraId="59DC423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16</w:t>
            </w:r>
          </w:p>
        </w:tc>
        <w:tc>
          <w:tcPr>
            <w:tcW w:w="351" w:type="dxa"/>
            <w:tcMar>
              <w:left w:w="0" w:type="dxa"/>
              <w:right w:w="0" w:type="dxa"/>
            </w:tcMar>
            <w:vAlign w:val="center"/>
          </w:tcPr>
          <w:p w14:paraId="71E476D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64B10268" w14:textId="738F07A3"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112</w:t>
            </w:r>
          </w:p>
        </w:tc>
        <w:tc>
          <w:tcPr>
            <w:tcW w:w="352" w:type="dxa"/>
            <w:tcMar>
              <w:left w:w="0" w:type="dxa"/>
              <w:right w:w="0" w:type="dxa"/>
            </w:tcMar>
            <w:vAlign w:val="center"/>
          </w:tcPr>
          <w:p w14:paraId="75B62F0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w:t>
            </w:r>
          </w:p>
        </w:tc>
        <w:tc>
          <w:tcPr>
            <w:tcW w:w="0" w:type="auto"/>
            <w:tcMar>
              <w:left w:w="0" w:type="dxa"/>
              <w:right w:w="0" w:type="dxa"/>
            </w:tcMar>
            <w:vAlign w:val="center"/>
          </w:tcPr>
          <w:p w14:paraId="6936811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10</w:t>
            </w:r>
          </w:p>
        </w:tc>
        <w:tc>
          <w:tcPr>
            <w:tcW w:w="0" w:type="auto"/>
            <w:tcMar>
              <w:left w:w="0" w:type="dxa"/>
              <w:right w:w="0" w:type="dxa"/>
            </w:tcMar>
            <w:vAlign w:val="center"/>
          </w:tcPr>
          <w:p w14:paraId="6B0465F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100</w:t>
            </w:r>
          </w:p>
        </w:tc>
        <w:tc>
          <w:tcPr>
            <w:tcW w:w="349" w:type="dxa"/>
            <w:tcMar>
              <w:left w:w="0" w:type="dxa"/>
              <w:right w:w="0" w:type="dxa"/>
            </w:tcMar>
            <w:vAlign w:val="center"/>
          </w:tcPr>
          <w:p w14:paraId="22C9920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20</w:t>
            </w:r>
          </w:p>
        </w:tc>
        <w:tc>
          <w:tcPr>
            <w:tcW w:w="349" w:type="dxa"/>
            <w:tcMar>
              <w:left w:w="0" w:type="dxa"/>
              <w:right w:w="0" w:type="dxa"/>
            </w:tcMar>
            <w:vAlign w:val="center"/>
          </w:tcPr>
          <w:p w14:paraId="29F4A90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693A644C"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07ADD66B"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Białogard</w:t>
            </w:r>
          </w:p>
        </w:tc>
        <w:tc>
          <w:tcPr>
            <w:tcW w:w="385" w:type="dxa"/>
            <w:tcMar>
              <w:left w:w="0" w:type="dxa"/>
              <w:right w:w="0" w:type="dxa"/>
            </w:tcMar>
            <w:vAlign w:val="center"/>
          </w:tcPr>
          <w:p w14:paraId="3307712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0" w:type="auto"/>
            <w:tcMar>
              <w:left w:w="0" w:type="dxa"/>
              <w:right w:w="0" w:type="dxa"/>
            </w:tcMar>
            <w:vAlign w:val="center"/>
          </w:tcPr>
          <w:p w14:paraId="3F8BE9E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599713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84" w:type="dxa"/>
            <w:tcMar>
              <w:left w:w="0" w:type="dxa"/>
              <w:right w:w="0" w:type="dxa"/>
            </w:tcMar>
            <w:vAlign w:val="center"/>
          </w:tcPr>
          <w:p w14:paraId="1A989E6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347" w:type="dxa"/>
            <w:tcMar>
              <w:left w:w="0" w:type="dxa"/>
              <w:right w:w="0" w:type="dxa"/>
            </w:tcMar>
            <w:vAlign w:val="center"/>
          </w:tcPr>
          <w:p w14:paraId="6C01860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1804FC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28161D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4</w:t>
            </w:r>
          </w:p>
        </w:tc>
        <w:tc>
          <w:tcPr>
            <w:tcW w:w="0" w:type="auto"/>
            <w:tcMar>
              <w:left w:w="0" w:type="dxa"/>
              <w:right w:w="0" w:type="dxa"/>
            </w:tcMar>
            <w:vAlign w:val="center"/>
          </w:tcPr>
          <w:p w14:paraId="3892E85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6E93CA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CC8059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4</w:t>
            </w:r>
          </w:p>
        </w:tc>
        <w:tc>
          <w:tcPr>
            <w:tcW w:w="0" w:type="auto"/>
            <w:tcMar>
              <w:left w:w="0" w:type="dxa"/>
              <w:right w:w="0" w:type="dxa"/>
            </w:tcMar>
            <w:vAlign w:val="center"/>
          </w:tcPr>
          <w:p w14:paraId="508A691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8EF447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3E23702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7091CAC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41DFD6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D8E431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45B07C7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1EA369B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7E1ABFA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3</w:t>
            </w:r>
          </w:p>
        </w:tc>
        <w:tc>
          <w:tcPr>
            <w:tcW w:w="352" w:type="dxa"/>
            <w:tcMar>
              <w:left w:w="0" w:type="dxa"/>
              <w:right w:w="0" w:type="dxa"/>
            </w:tcMar>
            <w:vAlign w:val="center"/>
          </w:tcPr>
          <w:p w14:paraId="633782B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639FB6D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135838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3</w:t>
            </w:r>
          </w:p>
        </w:tc>
        <w:tc>
          <w:tcPr>
            <w:tcW w:w="349" w:type="dxa"/>
            <w:tcMar>
              <w:left w:w="0" w:type="dxa"/>
              <w:right w:w="0" w:type="dxa"/>
            </w:tcMar>
            <w:vAlign w:val="center"/>
          </w:tcPr>
          <w:p w14:paraId="7D03F22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1B6E157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3A793F" w14:paraId="223F8D25"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0026B14C"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Choszczno</w:t>
            </w:r>
          </w:p>
        </w:tc>
        <w:tc>
          <w:tcPr>
            <w:tcW w:w="385" w:type="dxa"/>
            <w:tcMar>
              <w:left w:w="0" w:type="dxa"/>
              <w:right w:w="0" w:type="dxa"/>
            </w:tcMar>
            <w:vAlign w:val="center"/>
          </w:tcPr>
          <w:p w14:paraId="676C637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23</w:t>
            </w:r>
          </w:p>
        </w:tc>
        <w:tc>
          <w:tcPr>
            <w:tcW w:w="0" w:type="auto"/>
            <w:tcMar>
              <w:left w:w="0" w:type="dxa"/>
              <w:right w:w="0" w:type="dxa"/>
            </w:tcMar>
            <w:vAlign w:val="center"/>
          </w:tcPr>
          <w:p w14:paraId="443172B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80A1F6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5</w:t>
            </w:r>
          </w:p>
        </w:tc>
        <w:tc>
          <w:tcPr>
            <w:tcW w:w="384" w:type="dxa"/>
            <w:tcMar>
              <w:left w:w="0" w:type="dxa"/>
              <w:right w:w="0" w:type="dxa"/>
            </w:tcMar>
            <w:vAlign w:val="center"/>
          </w:tcPr>
          <w:p w14:paraId="7763C59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18</w:t>
            </w:r>
          </w:p>
        </w:tc>
        <w:tc>
          <w:tcPr>
            <w:tcW w:w="347" w:type="dxa"/>
            <w:tcMar>
              <w:left w:w="0" w:type="dxa"/>
              <w:right w:w="0" w:type="dxa"/>
            </w:tcMar>
            <w:vAlign w:val="center"/>
          </w:tcPr>
          <w:p w14:paraId="499F8EB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0932D52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E2713D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3C325DC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34385C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0071481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14E777C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EEB6DA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8D9986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EB7D67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DAB297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A6351D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F4860A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56AFD60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32B3C18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52" w:type="dxa"/>
            <w:tcMar>
              <w:left w:w="0" w:type="dxa"/>
              <w:right w:w="0" w:type="dxa"/>
            </w:tcMar>
            <w:vAlign w:val="center"/>
          </w:tcPr>
          <w:p w14:paraId="3515690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116C43B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16D653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49" w:type="dxa"/>
            <w:tcMar>
              <w:left w:w="0" w:type="dxa"/>
              <w:right w:w="0" w:type="dxa"/>
            </w:tcMar>
            <w:vAlign w:val="center"/>
          </w:tcPr>
          <w:p w14:paraId="5CD1DF1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7A68D1A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1CF4319F"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7B1694FC"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Drawsko Pom.</w:t>
            </w:r>
          </w:p>
        </w:tc>
        <w:tc>
          <w:tcPr>
            <w:tcW w:w="385" w:type="dxa"/>
            <w:tcMar>
              <w:left w:w="0" w:type="dxa"/>
              <w:right w:w="0" w:type="dxa"/>
            </w:tcMar>
            <w:vAlign w:val="center"/>
          </w:tcPr>
          <w:p w14:paraId="2C5E91D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0" w:type="auto"/>
            <w:tcMar>
              <w:left w:w="0" w:type="dxa"/>
              <w:right w:w="0" w:type="dxa"/>
            </w:tcMar>
            <w:vAlign w:val="center"/>
          </w:tcPr>
          <w:p w14:paraId="430EB11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5AD799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vAlign w:val="center"/>
          </w:tcPr>
          <w:p w14:paraId="0B1F018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12</w:t>
            </w:r>
          </w:p>
        </w:tc>
        <w:tc>
          <w:tcPr>
            <w:tcW w:w="347" w:type="dxa"/>
            <w:tcMar>
              <w:left w:w="0" w:type="dxa"/>
              <w:right w:w="0" w:type="dxa"/>
            </w:tcMar>
            <w:vAlign w:val="center"/>
          </w:tcPr>
          <w:p w14:paraId="3F8995A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C3F98D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ED824A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5503411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8E4ACB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7C33D3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80FC17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2F7CE5E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58C2D7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DBA60E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223D90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44AB9D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1C8391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6942D28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4392DD6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52" w:type="dxa"/>
            <w:tcMar>
              <w:left w:w="0" w:type="dxa"/>
              <w:right w:w="0" w:type="dxa"/>
            </w:tcMar>
            <w:vAlign w:val="center"/>
          </w:tcPr>
          <w:p w14:paraId="7444B53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AEA234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535747B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5666D57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42178FC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3A793F" w14:paraId="501292F0"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5F205031"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Goleniów</w:t>
            </w:r>
          </w:p>
        </w:tc>
        <w:tc>
          <w:tcPr>
            <w:tcW w:w="385" w:type="dxa"/>
            <w:tcMar>
              <w:left w:w="0" w:type="dxa"/>
              <w:right w:w="0" w:type="dxa"/>
            </w:tcMar>
            <w:vAlign w:val="center"/>
          </w:tcPr>
          <w:p w14:paraId="75B140D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12</w:t>
            </w:r>
          </w:p>
        </w:tc>
        <w:tc>
          <w:tcPr>
            <w:tcW w:w="0" w:type="auto"/>
            <w:tcMar>
              <w:left w:w="0" w:type="dxa"/>
              <w:right w:w="0" w:type="dxa"/>
            </w:tcMar>
            <w:vAlign w:val="center"/>
          </w:tcPr>
          <w:p w14:paraId="2C1063A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0BCC9DE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384" w:type="dxa"/>
            <w:tcMar>
              <w:left w:w="0" w:type="dxa"/>
              <w:right w:w="0" w:type="dxa"/>
            </w:tcMar>
            <w:vAlign w:val="center"/>
          </w:tcPr>
          <w:p w14:paraId="43D3117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8</w:t>
            </w:r>
          </w:p>
        </w:tc>
        <w:tc>
          <w:tcPr>
            <w:tcW w:w="347" w:type="dxa"/>
            <w:tcMar>
              <w:left w:w="0" w:type="dxa"/>
              <w:right w:w="0" w:type="dxa"/>
            </w:tcMar>
            <w:vAlign w:val="center"/>
          </w:tcPr>
          <w:p w14:paraId="13510A6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0" w:type="auto"/>
            <w:tcMar>
              <w:left w:w="0" w:type="dxa"/>
              <w:right w:w="0" w:type="dxa"/>
            </w:tcMar>
            <w:vAlign w:val="center"/>
          </w:tcPr>
          <w:p w14:paraId="27099A1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66846E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5976009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F024CF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364EA57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022DF5D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383CCA0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F1FBD6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4FB2B64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6074D5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312E8EA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6224195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51" w:type="dxa"/>
            <w:tcMar>
              <w:left w:w="0" w:type="dxa"/>
              <w:right w:w="0" w:type="dxa"/>
            </w:tcMar>
            <w:vAlign w:val="center"/>
          </w:tcPr>
          <w:p w14:paraId="1DEC71E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12D9675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w:t>
            </w:r>
          </w:p>
        </w:tc>
        <w:tc>
          <w:tcPr>
            <w:tcW w:w="352" w:type="dxa"/>
            <w:tcMar>
              <w:left w:w="0" w:type="dxa"/>
              <w:right w:w="0" w:type="dxa"/>
            </w:tcMar>
            <w:vAlign w:val="center"/>
          </w:tcPr>
          <w:p w14:paraId="395EE4C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87A79A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5D9A0F0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w:t>
            </w:r>
          </w:p>
        </w:tc>
        <w:tc>
          <w:tcPr>
            <w:tcW w:w="349" w:type="dxa"/>
            <w:tcMar>
              <w:left w:w="0" w:type="dxa"/>
              <w:right w:w="0" w:type="dxa"/>
            </w:tcMar>
            <w:vAlign w:val="center"/>
          </w:tcPr>
          <w:p w14:paraId="7A404A9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0F79D5F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30AF2117"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739BE716"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Gryfice</w:t>
            </w:r>
          </w:p>
        </w:tc>
        <w:tc>
          <w:tcPr>
            <w:tcW w:w="385" w:type="dxa"/>
            <w:tcMar>
              <w:left w:w="0" w:type="dxa"/>
              <w:right w:w="0" w:type="dxa"/>
            </w:tcMar>
            <w:vAlign w:val="center"/>
          </w:tcPr>
          <w:p w14:paraId="3EFD386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5</w:t>
            </w:r>
          </w:p>
        </w:tc>
        <w:tc>
          <w:tcPr>
            <w:tcW w:w="0" w:type="auto"/>
            <w:tcMar>
              <w:left w:w="0" w:type="dxa"/>
              <w:right w:w="0" w:type="dxa"/>
            </w:tcMar>
            <w:vAlign w:val="center"/>
          </w:tcPr>
          <w:p w14:paraId="136948D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91C4B4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384" w:type="dxa"/>
            <w:tcMar>
              <w:left w:w="0" w:type="dxa"/>
              <w:right w:w="0" w:type="dxa"/>
            </w:tcMar>
            <w:vAlign w:val="center"/>
          </w:tcPr>
          <w:p w14:paraId="5D7FCCB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347" w:type="dxa"/>
            <w:tcMar>
              <w:left w:w="0" w:type="dxa"/>
              <w:right w:w="0" w:type="dxa"/>
            </w:tcMar>
            <w:vAlign w:val="center"/>
          </w:tcPr>
          <w:p w14:paraId="0ADD42A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6551CC2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E12518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5</w:t>
            </w:r>
          </w:p>
        </w:tc>
        <w:tc>
          <w:tcPr>
            <w:tcW w:w="0" w:type="auto"/>
            <w:tcMar>
              <w:left w:w="0" w:type="dxa"/>
              <w:right w:w="0" w:type="dxa"/>
            </w:tcMar>
            <w:vAlign w:val="center"/>
          </w:tcPr>
          <w:p w14:paraId="6FCDB16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411CB48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0547A58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3</w:t>
            </w:r>
          </w:p>
        </w:tc>
        <w:tc>
          <w:tcPr>
            <w:tcW w:w="0" w:type="auto"/>
            <w:tcMar>
              <w:left w:w="0" w:type="dxa"/>
              <w:right w:w="0" w:type="dxa"/>
            </w:tcMar>
            <w:vAlign w:val="center"/>
          </w:tcPr>
          <w:p w14:paraId="28A4C0E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5389D1A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93D158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76F299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E9C62D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089E1F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4AFDD7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69CED77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3F2C0E6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4</w:t>
            </w:r>
          </w:p>
        </w:tc>
        <w:tc>
          <w:tcPr>
            <w:tcW w:w="352" w:type="dxa"/>
            <w:tcMar>
              <w:left w:w="0" w:type="dxa"/>
              <w:right w:w="0" w:type="dxa"/>
            </w:tcMar>
            <w:vAlign w:val="center"/>
          </w:tcPr>
          <w:p w14:paraId="18304A2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F9A56E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w:t>
            </w:r>
          </w:p>
        </w:tc>
        <w:tc>
          <w:tcPr>
            <w:tcW w:w="0" w:type="auto"/>
            <w:tcMar>
              <w:left w:w="0" w:type="dxa"/>
              <w:right w:w="0" w:type="dxa"/>
            </w:tcMar>
            <w:vAlign w:val="center"/>
          </w:tcPr>
          <w:p w14:paraId="2F04720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w:t>
            </w:r>
          </w:p>
        </w:tc>
        <w:tc>
          <w:tcPr>
            <w:tcW w:w="349" w:type="dxa"/>
            <w:tcMar>
              <w:left w:w="0" w:type="dxa"/>
              <w:right w:w="0" w:type="dxa"/>
            </w:tcMar>
            <w:vAlign w:val="center"/>
          </w:tcPr>
          <w:p w14:paraId="58971A0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2</w:t>
            </w:r>
          </w:p>
        </w:tc>
        <w:tc>
          <w:tcPr>
            <w:tcW w:w="349" w:type="dxa"/>
            <w:tcMar>
              <w:left w:w="0" w:type="dxa"/>
              <w:right w:w="0" w:type="dxa"/>
            </w:tcMar>
            <w:vAlign w:val="center"/>
          </w:tcPr>
          <w:p w14:paraId="37CF8F0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A703E2" w14:paraId="7E3C1747"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49953A82"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Gryfino</w:t>
            </w:r>
          </w:p>
        </w:tc>
        <w:tc>
          <w:tcPr>
            <w:tcW w:w="385" w:type="dxa"/>
            <w:tcMar>
              <w:left w:w="0" w:type="dxa"/>
              <w:right w:w="0" w:type="dxa"/>
            </w:tcMar>
            <w:vAlign w:val="center"/>
          </w:tcPr>
          <w:p w14:paraId="7CF26E2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24</w:t>
            </w:r>
          </w:p>
        </w:tc>
        <w:tc>
          <w:tcPr>
            <w:tcW w:w="0" w:type="auto"/>
            <w:tcMar>
              <w:left w:w="0" w:type="dxa"/>
              <w:right w:w="0" w:type="dxa"/>
            </w:tcMar>
            <w:vAlign w:val="center"/>
          </w:tcPr>
          <w:p w14:paraId="7B79DC8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D0F51E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vAlign w:val="center"/>
          </w:tcPr>
          <w:p w14:paraId="1FC62A2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23</w:t>
            </w:r>
          </w:p>
        </w:tc>
        <w:tc>
          <w:tcPr>
            <w:tcW w:w="347" w:type="dxa"/>
            <w:tcMar>
              <w:left w:w="0" w:type="dxa"/>
              <w:right w:w="0" w:type="dxa"/>
            </w:tcMar>
            <w:vAlign w:val="center"/>
          </w:tcPr>
          <w:p w14:paraId="104B806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B8969F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1B25F2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5</w:t>
            </w:r>
          </w:p>
        </w:tc>
        <w:tc>
          <w:tcPr>
            <w:tcW w:w="0" w:type="auto"/>
            <w:tcMar>
              <w:left w:w="0" w:type="dxa"/>
              <w:right w:w="0" w:type="dxa"/>
            </w:tcMar>
            <w:vAlign w:val="center"/>
          </w:tcPr>
          <w:p w14:paraId="52F926C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3B5137F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35DD0E3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4</w:t>
            </w:r>
          </w:p>
        </w:tc>
        <w:tc>
          <w:tcPr>
            <w:tcW w:w="0" w:type="auto"/>
            <w:tcMar>
              <w:left w:w="0" w:type="dxa"/>
              <w:right w:w="0" w:type="dxa"/>
            </w:tcMar>
            <w:vAlign w:val="center"/>
          </w:tcPr>
          <w:p w14:paraId="7C774E1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07FC8B3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E75D7B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w:t>
            </w:r>
          </w:p>
        </w:tc>
        <w:tc>
          <w:tcPr>
            <w:tcW w:w="0" w:type="auto"/>
            <w:tcMar>
              <w:left w:w="0" w:type="dxa"/>
              <w:right w:w="0" w:type="dxa"/>
            </w:tcMar>
            <w:vAlign w:val="center"/>
          </w:tcPr>
          <w:p w14:paraId="09E117F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B61371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B8A8D4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w:t>
            </w:r>
          </w:p>
        </w:tc>
        <w:tc>
          <w:tcPr>
            <w:tcW w:w="0" w:type="auto"/>
            <w:tcMar>
              <w:left w:w="0" w:type="dxa"/>
              <w:right w:w="0" w:type="dxa"/>
            </w:tcMar>
            <w:vAlign w:val="center"/>
          </w:tcPr>
          <w:p w14:paraId="0D5B7BB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51" w:type="dxa"/>
            <w:tcMar>
              <w:left w:w="0" w:type="dxa"/>
              <w:right w:w="0" w:type="dxa"/>
            </w:tcMar>
            <w:vAlign w:val="center"/>
          </w:tcPr>
          <w:p w14:paraId="09A5227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1F28486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8</w:t>
            </w:r>
          </w:p>
        </w:tc>
        <w:tc>
          <w:tcPr>
            <w:tcW w:w="352" w:type="dxa"/>
            <w:tcMar>
              <w:left w:w="0" w:type="dxa"/>
              <w:right w:w="0" w:type="dxa"/>
            </w:tcMar>
            <w:vAlign w:val="center"/>
          </w:tcPr>
          <w:p w14:paraId="676DBBE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77CF7B9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0" w:type="auto"/>
            <w:tcMar>
              <w:left w:w="0" w:type="dxa"/>
              <w:right w:w="0" w:type="dxa"/>
            </w:tcMar>
            <w:vAlign w:val="center"/>
          </w:tcPr>
          <w:p w14:paraId="6DC6344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7</w:t>
            </w:r>
          </w:p>
        </w:tc>
        <w:tc>
          <w:tcPr>
            <w:tcW w:w="349" w:type="dxa"/>
            <w:tcMar>
              <w:left w:w="0" w:type="dxa"/>
              <w:right w:w="0" w:type="dxa"/>
            </w:tcMar>
            <w:vAlign w:val="center"/>
          </w:tcPr>
          <w:p w14:paraId="67D0D74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51DF4A8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19F97683"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6255FBFF"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Łobez</w:t>
            </w:r>
          </w:p>
        </w:tc>
        <w:tc>
          <w:tcPr>
            <w:tcW w:w="385" w:type="dxa"/>
            <w:tcMar>
              <w:left w:w="0" w:type="dxa"/>
              <w:right w:w="0" w:type="dxa"/>
            </w:tcMar>
            <w:vAlign w:val="center"/>
          </w:tcPr>
          <w:p w14:paraId="17B1538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08DF5A5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B99505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vAlign w:val="center"/>
          </w:tcPr>
          <w:p w14:paraId="43ACBF5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47" w:type="dxa"/>
            <w:tcMar>
              <w:left w:w="0" w:type="dxa"/>
              <w:right w:w="0" w:type="dxa"/>
            </w:tcMar>
            <w:vAlign w:val="center"/>
          </w:tcPr>
          <w:p w14:paraId="5534AE3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10B5BE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BD0848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597A0FC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3ABD31F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732D2A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43C84F8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69F8F0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23E3CE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8B4646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B7BC8F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6DA4D0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FC9EB7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205A4F7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43A6E33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52" w:type="dxa"/>
            <w:tcMar>
              <w:left w:w="0" w:type="dxa"/>
              <w:right w:w="0" w:type="dxa"/>
            </w:tcMar>
            <w:vAlign w:val="center"/>
          </w:tcPr>
          <w:p w14:paraId="7467992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456B8E1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4A37CEA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5A0051A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594A7F1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A703E2" w14:paraId="7C3D9C12" w14:textId="77777777" w:rsidTr="0006329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12443012"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Kamień Pom.</w:t>
            </w:r>
          </w:p>
        </w:tc>
        <w:tc>
          <w:tcPr>
            <w:tcW w:w="385" w:type="dxa"/>
            <w:tcMar>
              <w:left w:w="0" w:type="dxa"/>
              <w:right w:w="0" w:type="dxa"/>
            </w:tcMar>
            <w:vAlign w:val="center"/>
          </w:tcPr>
          <w:p w14:paraId="5CF4EA0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3AC2A69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87DFAD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84" w:type="dxa"/>
            <w:tcMar>
              <w:left w:w="0" w:type="dxa"/>
              <w:right w:w="0" w:type="dxa"/>
            </w:tcMar>
            <w:vAlign w:val="center"/>
          </w:tcPr>
          <w:p w14:paraId="740C2FD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47" w:type="dxa"/>
            <w:tcMar>
              <w:left w:w="0" w:type="dxa"/>
              <w:right w:w="0" w:type="dxa"/>
            </w:tcMar>
            <w:vAlign w:val="center"/>
          </w:tcPr>
          <w:p w14:paraId="1293437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690CEE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C5D579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53F725F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4B79097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D6C062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3435A2D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8B42E3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35E3C0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13224B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BB7A5E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F652AF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72E5CF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18B02BC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398CE4F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52" w:type="dxa"/>
            <w:tcMar>
              <w:left w:w="0" w:type="dxa"/>
              <w:right w:w="0" w:type="dxa"/>
            </w:tcMar>
            <w:vAlign w:val="center"/>
          </w:tcPr>
          <w:p w14:paraId="6D387F8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2B80D61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8A273B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49" w:type="dxa"/>
            <w:tcMar>
              <w:left w:w="0" w:type="dxa"/>
              <w:right w:w="0" w:type="dxa"/>
            </w:tcMar>
            <w:vAlign w:val="center"/>
          </w:tcPr>
          <w:p w14:paraId="5B3D3BB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5729DE2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179EB326"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62994710"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Kołobrzeg</w:t>
            </w:r>
          </w:p>
        </w:tc>
        <w:tc>
          <w:tcPr>
            <w:tcW w:w="385" w:type="dxa"/>
            <w:tcMar>
              <w:left w:w="0" w:type="dxa"/>
              <w:right w:w="0" w:type="dxa"/>
            </w:tcMar>
            <w:vAlign w:val="center"/>
          </w:tcPr>
          <w:p w14:paraId="2D4819A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19</w:t>
            </w:r>
          </w:p>
        </w:tc>
        <w:tc>
          <w:tcPr>
            <w:tcW w:w="0" w:type="auto"/>
            <w:tcMar>
              <w:left w:w="0" w:type="dxa"/>
              <w:right w:w="0" w:type="dxa"/>
            </w:tcMar>
            <w:vAlign w:val="center"/>
          </w:tcPr>
          <w:p w14:paraId="420C607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FDDEF2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7</w:t>
            </w:r>
          </w:p>
        </w:tc>
        <w:tc>
          <w:tcPr>
            <w:tcW w:w="384" w:type="dxa"/>
            <w:tcMar>
              <w:left w:w="0" w:type="dxa"/>
              <w:right w:w="0" w:type="dxa"/>
            </w:tcMar>
            <w:vAlign w:val="center"/>
          </w:tcPr>
          <w:p w14:paraId="302B916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12</w:t>
            </w:r>
          </w:p>
        </w:tc>
        <w:tc>
          <w:tcPr>
            <w:tcW w:w="347" w:type="dxa"/>
            <w:tcMar>
              <w:left w:w="0" w:type="dxa"/>
              <w:right w:w="0" w:type="dxa"/>
            </w:tcMar>
            <w:vAlign w:val="center"/>
          </w:tcPr>
          <w:p w14:paraId="127673D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w:t>
            </w:r>
          </w:p>
        </w:tc>
        <w:tc>
          <w:tcPr>
            <w:tcW w:w="0" w:type="auto"/>
            <w:tcMar>
              <w:left w:w="0" w:type="dxa"/>
              <w:right w:w="0" w:type="dxa"/>
            </w:tcMar>
            <w:vAlign w:val="center"/>
          </w:tcPr>
          <w:p w14:paraId="6546BAE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57CE17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8</w:t>
            </w:r>
          </w:p>
        </w:tc>
        <w:tc>
          <w:tcPr>
            <w:tcW w:w="0" w:type="auto"/>
            <w:tcMar>
              <w:left w:w="0" w:type="dxa"/>
              <w:right w:w="0" w:type="dxa"/>
            </w:tcMar>
            <w:vAlign w:val="center"/>
          </w:tcPr>
          <w:p w14:paraId="02E1AEB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26F8E70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5</w:t>
            </w:r>
          </w:p>
        </w:tc>
        <w:tc>
          <w:tcPr>
            <w:tcW w:w="0" w:type="auto"/>
            <w:tcMar>
              <w:left w:w="0" w:type="dxa"/>
              <w:right w:w="0" w:type="dxa"/>
            </w:tcMar>
            <w:vAlign w:val="center"/>
          </w:tcPr>
          <w:p w14:paraId="35C36F4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3</w:t>
            </w:r>
          </w:p>
        </w:tc>
        <w:tc>
          <w:tcPr>
            <w:tcW w:w="0" w:type="auto"/>
            <w:tcMar>
              <w:left w:w="0" w:type="dxa"/>
              <w:right w:w="0" w:type="dxa"/>
            </w:tcMar>
            <w:vAlign w:val="center"/>
          </w:tcPr>
          <w:p w14:paraId="2591CE9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4</w:t>
            </w:r>
          </w:p>
        </w:tc>
        <w:tc>
          <w:tcPr>
            <w:tcW w:w="0" w:type="auto"/>
            <w:tcMar>
              <w:left w:w="0" w:type="dxa"/>
              <w:right w:w="0" w:type="dxa"/>
            </w:tcMar>
            <w:vAlign w:val="center"/>
          </w:tcPr>
          <w:p w14:paraId="65AE523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B95C58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w:t>
            </w:r>
          </w:p>
        </w:tc>
        <w:tc>
          <w:tcPr>
            <w:tcW w:w="0" w:type="auto"/>
            <w:tcMar>
              <w:left w:w="0" w:type="dxa"/>
              <w:right w:w="0" w:type="dxa"/>
            </w:tcMar>
            <w:vAlign w:val="center"/>
          </w:tcPr>
          <w:p w14:paraId="6BC79DF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402EE8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F86ACD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w:t>
            </w:r>
          </w:p>
        </w:tc>
        <w:tc>
          <w:tcPr>
            <w:tcW w:w="0" w:type="auto"/>
            <w:tcMar>
              <w:left w:w="0" w:type="dxa"/>
              <w:right w:w="0" w:type="dxa"/>
            </w:tcMar>
            <w:vAlign w:val="center"/>
          </w:tcPr>
          <w:p w14:paraId="4CA21D4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024A373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7433F2B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3</w:t>
            </w:r>
          </w:p>
        </w:tc>
        <w:tc>
          <w:tcPr>
            <w:tcW w:w="352" w:type="dxa"/>
            <w:tcMar>
              <w:left w:w="0" w:type="dxa"/>
              <w:right w:w="0" w:type="dxa"/>
            </w:tcMar>
            <w:vAlign w:val="center"/>
          </w:tcPr>
          <w:p w14:paraId="07F3653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1F7F072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6742865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3</w:t>
            </w:r>
          </w:p>
        </w:tc>
        <w:tc>
          <w:tcPr>
            <w:tcW w:w="349" w:type="dxa"/>
            <w:tcMar>
              <w:left w:w="0" w:type="dxa"/>
              <w:right w:w="0" w:type="dxa"/>
            </w:tcMar>
            <w:vAlign w:val="center"/>
          </w:tcPr>
          <w:p w14:paraId="7E2968C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15A5E06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3A793F" w14:paraId="2701E297"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3E4B8994"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Koszalin</w:t>
            </w:r>
          </w:p>
        </w:tc>
        <w:tc>
          <w:tcPr>
            <w:tcW w:w="385" w:type="dxa"/>
            <w:tcMar>
              <w:left w:w="0" w:type="dxa"/>
              <w:right w:w="0" w:type="dxa"/>
            </w:tcMar>
            <w:vAlign w:val="center"/>
          </w:tcPr>
          <w:p w14:paraId="72E9C54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38</w:t>
            </w:r>
          </w:p>
        </w:tc>
        <w:tc>
          <w:tcPr>
            <w:tcW w:w="0" w:type="auto"/>
            <w:tcMar>
              <w:left w:w="0" w:type="dxa"/>
              <w:right w:w="0" w:type="dxa"/>
            </w:tcMar>
            <w:vAlign w:val="center"/>
          </w:tcPr>
          <w:p w14:paraId="0D4174A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2325184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384" w:type="dxa"/>
            <w:tcMar>
              <w:left w:w="0" w:type="dxa"/>
              <w:right w:w="0" w:type="dxa"/>
            </w:tcMar>
            <w:vAlign w:val="center"/>
          </w:tcPr>
          <w:p w14:paraId="61219EC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23</w:t>
            </w:r>
          </w:p>
        </w:tc>
        <w:tc>
          <w:tcPr>
            <w:tcW w:w="347" w:type="dxa"/>
            <w:tcMar>
              <w:left w:w="0" w:type="dxa"/>
              <w:right w:w="0" w:type="dxa"/>
            </w:tcMar>
            <w:vAlign w:val="center"/>
          </w:tcPr>
          <w:p w14:paraId="61D4441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0" w:type="auto"/>
            <w:tcMar>
              <w:left w:w="0" w:type="dxa"/>
              <w:right w:w="0" w:type="dxa"/>
            </w:tcMar>
            <w:vAlign w:val="center"/>
          </w:tcPr>
          <w:p w14:paraId="274497A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0D7B644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99</w:t>
            </w:r>
          </w:p>
        </w:tc>
        <w:tc>
          <w:tcPr>
            <w:tcW w:w="0" w:type="auto"/>
            <w:tcMar>
              <w:left w:w="0" w:type="dxa"/>
              <w:right w:w="0" w:type="dxa"/>
            </w:tcMar>
            <w:vAlign w:val="center"/>
          </w:tcPr>
          <w:p w14:paraId="51C198A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0B0A41B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2387FDC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8</w:t>
            </w:r>
          </w:p>
        </w:tc>
        <w:tc>
          <w:tcPr>
            <w:tcW w:w="0" w:type="auto"/>
            <w:tcMar>
              <w:left w:w="0" w:type="dxa"/>
              <w:right w:w="0" w:type="dxa"/>
            </w:tcMar>
            <w:vAlign w:val="center"/>
          </w:tcPr>
          <w:p w14:paraId="331F44C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519F95A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23D53C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6</w:t>
            </w:r>
          </w:p>
        </w:tc>
        <w:tc>
          <w:tcPr>
            <w:tcW w:w="0" w:type="auto"/>
            <w:tcMar>
              <w:left w:w="0" w:type="dxa"/>
              <w:right w:w="0" w:type="dxa"/>
            </w:tcMar>
            <w:vAlign w:val="center"/>
          </w:tcPr>
          <w:p w14:paraId="35C3DBE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5D7E1E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601D1C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6</w:t>
            </w:r>
          </w:p>
        </w:tc>
        <w:tc>
          <w:tcPr>
            <w:tcW w:w="0" w:type="auto"/>
            <w:tcMar>
              <w:left w:w="0" w:type="dxa"/>
              <w:right w:w="0" w:type="dxa"/>
            </w:tcMar>
            <w:vAlign w:val="center"/>
          </w:tcPr>
          <w:p w14:paraId="7ED992F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51" w:type="dxa"/>
            <w:tcMar>
              <w:left w:w="0" w:type="dxa"/>
              <w:right w:w="0" w:type="dxa"/>
            </w:tcMar>
            <w:vAlign w:val="center"/>
          </w:tcPr>
          <w:p w14:paraId="7BE8C9A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2C8BF78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5</w:t>
            </w:r>
          </w:p>
        </w:tc>
        <w:tc>
          <w:tcPr>
            <w:tcW w:w="352" w:type="dxa"/>
            <w:tcMar>
              <w:left w:w="0" w:type="dxa"/>
              <w:right w:w="0" w:type="dxa"/>
            </w:tcMar>
            <w:vAlign w:val="center"/>
          </w:tcPr>
          <w:p w14:paraId="10A418B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254E51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DE4AD0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5</w:t>
            </w:r>
          </w:p>
        </w:tc>
        <w:tc>
          <w:tcPr>
            <w:tcW w:w="349" w:type="dxa"/>
            <w:tcMar>
              <w:left w:w="0" w:type="dxa"/>
              <w:right w:w="0" w:type="dxa"/>
            </w:tcMar>
            <w:vAlign w:val="center"/>
          </w:tcPr>
          <w:p w14:paraId="18CF601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49" w:type="dxa"/>
            <w:tcMar>
              <w:left w:w="0" w:type="dxa"/>
              <w:right w:w="0" w:type="dxa"/>
            </w:tcMar>
            <w:vAlign w:val="center"/>
          </w:tcPr>
          <w:p w14:paraId="66A6C5D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1E1E1EB7"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0E5E87E3"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Myślibórz</w:t>
            </w:r>
          </w:p>
        </w:tc>
        <w:tc>
          <w:tcPr>
            <w:tcW w:w="385" w:type="dxa"/>
            <w:tcMar>
              <w:left w:w="0" w:type="dxa"/>
              <w:right w:w="0" w:type="dxa"/>
            </w:tcMar>
            <w:vAlign w:val="center"/>
          </w:tcPr>
          <w:p w14:paraId="5B8FB87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41</w:t>
            </w:r>
          </w:p>
        </w:tc>
        <w:tc>
          <w:tcPr>
            <w:tcW w:w="0" w:type="auto"/>
            <w:tcMar>
              <w:left w:w="0" w:type="dxa"/>
              <w:right w:w="0" w:type="dxa"/>
            </w:tcMar>
            <w:vAlign w:val="center"/>
          </w:tcPr>
          <w:p w14:paraId="33A3FB5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34EDA06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384" w:type="dxa"/>
            <w:tcMar>
              <w:left w:w="0" w:type="dxa"/>
              <w:right w:w="0" w:type="dxa"/>
            </w:tcMar>
            <w:vAlign w:val="center"/>
          </w:tcPr>
          <w:p w14:paraId="1B2F75E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37</w:t>
            </w:r>
          </w:p>
        </w:tc>
        <w:tc>
          <w:tcPr>
            <w:tcW w:w="347" w:type="dxa"/>
            <w:tcMar>
              <w:left w:w="0" w:type="dxa"/>
              <w:right w:w="0" w:type="dxa"/>
            </w:tcMar>
            <w:vAlign w:val="center"/>
          </w:tcPr>
          <w:p w14:paraId="06CBA4C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4D7DD33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6F1CCC2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18</w:t>
            </w:r>
          </w:p>
        </w:tc>
        <w:tc>
          <w:tcPr>
            <w:tcW w:w="0" w:type="auto"/>
            <w:tcMar>
              <w:left w:w="0" w:type="dxa"/>
              <w:right w:w="0" w:type="dxa"/>
            </w:tcMar>
            <w:vAlign w:val="center"/>
          </w:tcPr>
          <w:p w14:paraId="3ED0F8F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1EB0A4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60F6C9C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17</w:t>
            </w:r>
          </w:p>
        </w:tc>
        <w:tc>
          <w:tcPr>
            <w:tcW w:w="0" w:type="auto"/>
            <w:tcMar>
              <w:left w:w="0" w:type="dxa"/>
              <w:right w:w="0" w:type="dxa"/>
            </w:tcMar>
            <w:vAlign w:val="center"/>
          </w:tcPr>
          <w:p w14:paraId="76A855F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32F71A8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4CC0BA2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0" w:type="auto"/>
            <w:tcMar>
              <w:left w:w="0" w:type="dxa"/>
              <w:right w:w="0" w:type="dxa"/>
            </w:tcMar>
            <w:vAlign w:val="center"/>
          </w:tcPr>
          <w:p w14:paraId="18B33F1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F88410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933840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0" w:type="auto"/>
            <w:tcMar>
              <w:left w:w="0" w:type="dxa"/>
              <w:right w:w="0" w:type="dxa"/>
            </w:tcMar>
            <w:vAlign w:val="center"/>
          </w:tcPr>
          <w:p w14:paraId="685DF71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77DDC7D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12482E5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7</w:t>
            </w:r>
          </w:p>
        </w:tc>
        <w:tc>
          <w:tcPr>
            <w:tcW w:w="352" w:type="dxa"/>
            <w:tcMar>
              <w:left w:w="0" w:type="dxa"/>
              <w:right w:w="0" w:type="dxa"/>
            </w:tcMar>
            <w:vAlign w:val="center"/>
          </w:tcPr>
          <w:p w14:paraId="7626921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40BFC8C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1885A81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7</w:t>
            </w:r>
          </w:p>
        </w:tc>
        <w:tc>
          <w:tcPr>
            <w:tcW w:w="349" w:type="dxa"/>
            <w:tcMar>
              <w:left w:w="0" w:type="dxa"/>
              <w:right w:w="0" w:type="dxa"/>
            </w:tcMar>
            <w:vAlign w:val="center"/>
          </w:tcPr>
          <w:p w14:paraId="5A8E96F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2B42009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A703E2" w14:paraId="15558361"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048D153F"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Police</w:t>
            </w:r>
          </w:p>
        </w:tc>
        <w:tc>
          <w:tcPr>
            <w:tcW w:w="385" w:type="dxa"/>
            <w:tcMar>
              <w:left w:w="0" w:type="dxa"/>
              <w:right w:w="0" w:type="dxa"/>
            </w:tcMar>
            <w:vAlign w:val="center"/>
          </w:tcPr>
          <w:p w14:paraId="3374BF4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40</w:t>
            </w:r>
          </w:p>
        </w:tc>
        <w:tc>
          <w:tcPr>
            <w:tcW w:w="0" w:type="auto"/>
            <w:tcMar>
              <w:left w:w="0" w:type="dxa"/>
              <w:right w:w="0" w:type="dxa"/>
            </w:tcMar>
            <w:vAlign w:val="center"/>
          </w:tcPr>
          <w:p w14:paraId="20DB7CE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1F54AAC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6</w:t>
            </w:r>
          </w:p>
        </w:tc>
        <w:tc>
          <w:tcPr>
            <w:tcW w:w="384" w:type="dxa"/>
            <w:tcMar>
              <w:left w:w="0" w:type="dxa"/>
              <w:right w:w="0" w:type="dxa"/>
            </w:tcMar>
            <w:vAlign w:val="center"/>
          </w:tcPr>
          <w:p w14:paraId="0E275DF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33</w:t>
            </w:r>
          </w:p>
        </w:tc>
        <w:tc>
          <w:tcPr>
            <w:tcW w:w="347" w:type="dxa"/>
            <w:tcMar>
              <w:left w:w="0" w:type="dxa"/>
              <w:right w:w="0" w:type="dxa"/>
            </w:tcMar>
            <w:vAlign w:val="center"/>
          </w:tcPr>
          <w:p w14:paraId="174DB5B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0" w:type="auto"/>
            <w:tcMar>
              <w:left w:w="0" w:type="dxa"/>
              <w:right w:w="0" w:type="dxa"/>
            </w:tcMar>
            <w:vAlign w:val="center"/>
          </w:tcPr>
          <w:p w14:paraId="1B41CCA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65611D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17</w:t>
            </w:r>
          </w:p>
        </w:tc>
        <w:tc>
          <w:tcPr>
            <w:tcW w:w="0" w:type="auto"/>
            <w:tcMar>
              <w:left w:w="0" w:type="dxa"/>
              <w:right w:w="0" w:type="dxa"/>
            </w:tcMar>
            <w:vAlign w:val="center"/>
          </w:tcPr>
          <w:p w14:paraId="6EF65A4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7BF1A64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2</w:t>
            </w:r>
          </w:p>
        </w:tc>
        <w:tc>
          <w:tcPr>
            <w:tcW w:w="0" w:type="auto"/>
            <w:tcMar>
              <w:left w:w="0" w:type="dxa"/>
              <w:right w:w="0" w:type="dxa"/>
            </w:tcMar>
            <w:vAlign w:val="center"/>
          </w:tcPr>
          <w:p w14:paraId="008538B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14</w:t>
            </w:r>
          </w:p>
        </w:tc>
        <w:tc>
          <w:tcPr>
            <w:tcW w:w="0" w:type="auto"/>
            <w:tcMar>
              <w:left w:w="0" w:type="dxa"/>
              <w:right w:w="0" w:type="dxa"/>
            </w:tcMar>
            <w:vAlign w:val="center"/>
          </w:tcPr>
          <w:p w14:paraId="11DE1B4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0CA29C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36B0626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12</w:t>
            </w:r>
          </w:p>
        </w:tc>
        <w:tc>
          <w:tcPr>
            <w:tcW w:w="0" w:type="auto"/>
            <w:tcMar>
              <w:left w:w="0" w:type="dxa"/>
              <w:right w:w="0" w:type="dxa"/>
            </w:tcMar>
            <w:vAlign w:val="center"/>
          </w:tcPr>
          <w:p w14:paraId="27BB319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3694F4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0A14560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11</w:t>
            </w:r>
          </w:p>
        </w:tc>
        <w:tc>
          <w:tcPr>
            <w:tcW w:w="0" w:type="auto"/>
            <w:tcMar>
              <w:left w:w="0" w:type="dxa"/>
              <w:right w:w="0" w:type="dxa"/>
            </w:tcMar>
            <w:vAlign w:val="center"/>
          </w:tcPr>
          <w:p w14:paraId="49360E1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39C721E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276C98C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9</w:t>
            </w:r>
          </w:p>
        </w:tc>
        <w:tc>
          <w:tcPr>
            <w:tcW w:w="352" w:type="dxa"/>
            <w:tcMar>
              <w:left w:w="0" w:type="dxa"/>
              <w:right w:w="0" w:type="dxa"/>
            </w:tcMar>
            <w:vAlign w:val="center"/>
          </w:tcPr>
          <w:p w14:paraId="0C2EA9F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0" w:type="auto"/>
            <w:tcMar>
              <w:left w:w="0" w:type="dxa"/>
              <w:right w:w="0" w:type="dxa"/>
            </w:tcMar>
            <w:vAlign w:val="center"/>
          </w:tcPr>
          <w:p w14:paraId="753A689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5CCBC4E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8</w:t>
            </w:r>
          </w:p>
        </w:tc>
        <w:tc>
          <w:tcPr>
            <w:tcW w:w="349" w:type="dxa"/>
            <w:tcMar>
              <w:left w:w="0" w:type="dxa"/>
              <w:right w:w="0" w:type="dxa"/>
            </w:tcMar>
            <w:vAlign w:val="center"/>
          </w:tcPr>
          <w:p w14:paraId="104E57A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49" w:type="dxa"/>
            <w:tcMar>
              <w:left w:w="0" w:type="dxa"/>
              <w:right w:w="0" w:type="dxa"/>
            </w:tcMar>
            <w:vAlign w:val="center"/>
          </w:tcPr>
          <w:p w14:paraId="28851A7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35619454"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0C9DD78A"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Pyrzyce</w:t>
            </w:r>
          </w:p>
        </w:tc>
        <w:tc>
          <w:tcPr>
            <w:tcW w:w="385" w:type="dxa"/>
            <w:tcMar>
              <w:left w:w="0" w:type="dxa"/>
              <w:right w:w="0" w:type="dxa"/>
            </w:tcMar>
            <w:vAlign w:val="center"/>
          </w:tcPr>
          <w:p w14:paraId="1E627E8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439DFAF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EB2508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vAlign w:val="center"/>
          </w:tcPr>
          <w:p w14:paraId="39C7AFE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47" w:type="dxa"/>
            <w:tcMar>
              <w:left w:w="0" w:type="dxa"/>
              <w:right w:w="0" w:type="dxa"/>
            </w:tcMar>
            <w:vAlign w:val="center"/>
          </w:tcPr>
          <w:p w14:paraId="3CB4ADA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A76ACF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5D7777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26101A4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52CCF92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C7EFB1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4E73D52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4CC6438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D18F7D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71E7F71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AFF62C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627C7CD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5CCF737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1D8D911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5B05138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52" w:type="dxa"/>
            <w:tcMar>
              <w:left w:w="0" w:type="dxa"/>
              <w:right w:w="0" w:type="dxa"/>
            </w:tcMar>
            <w:vAlign w:val="center"/>
          </w:tcPr>
          <w:p w14:paraId="6CCADD8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3DA1B32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7F62A5A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067AB4C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2C7591A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A703E2" w14:paraId="112519F9"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7B841A20"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Sławno</w:t>
            </w:r>
          </w:p>
        </w:tc>
        <w:tc>
          <w:tcPr>
            <w:tcW w:w="385" w:type="dxa"/>
            <w:tcMar>
              <w:left w:w="0" w:type="dxa"/>
              <w:right w:w="0" w:type="dxa"/>
            </w:tcMar>
            <w:vAlign w:val="center"/>
          </w:tcPr>
          <w:p w14:paraId="15EB45F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14</w:t>
            </w:r>
          </w:p>
        </w:tc>
        <w:tc>
          <w:tcPr>
            <w:tcW w:w="0" w:type="auto"/>
            <w:tcMar>
              <w:left w:w="0" w:type="dxa"/>
              <w:right w:w="0" w:type="dxa"/>
            </w:tcMar>
            <w:vAlign w:val="center"/>
          </w:tcPr>
          <w:p w14:paraId="7DE9119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154B26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vAlign w:val="center"/>
          </w:tcPr>
          <w:p w14:paraId="594D36F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347" w:type="dxa"/>
            <w:tcMar>
              <w:left w:w="0" w:type="dxa"/>
              <w:right w:w="0" w:type="dxa"/>
            </w:tcMar>
            <w:vAlign w:val="center"/>
          </w:tcPr>
          <w:p w14:paraId="024387D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3BE12B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DE12D1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6</w:t>
            </w:r>
          </w:p>
        </w:tc>
        <w:tc>
          <w:tcPr>
            <w:tcW w:w="0" w:type="auto"/>
            <w:tcMar>
              <w:left w:w="0" w:type="dxa"/>
              <w:right w:w="0" w:type="dxa"/>
            </w:tcMar>
            <w:vAlign w:val="center"/>
          </w:tcPr>
          <w:p w14:paraId="228B625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5849343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B6434A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6</w:t>
            </w:r>
          </w:p>
        </w:tc>
        <w:tc>
          <w:tcPr>
            <w:tcW w:w="0" w:type="auto"/>
            <w:tcMar>
              <w:left w:w="0" w:type="dxa"/>
              <w:right w:w="0" w:type="dxa"/>
            </w:tcMar>
            <w:vAlign w:val="center"/>
          </w:tcPr>
          <w:p w14:paraId="1E4510B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5A9EDD5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B9F7BC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05B405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7C0A11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3F1253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52D360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527E60D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5556F29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52" w:type="dxa"/>
            <w:tcMar>
              <w:left w:w="0" w:type="dxa"/>
              <w:right w:w="0" w:type="dxa"/>
            </w:tcMar>
            <w:vAlign w:val="center"/>
          </w:tcPr>
          <w:p w14:paraId="03A4C7A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638BE16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8530BC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349" w:type="dxa"/>
            <w:tcMar>
              <w:left w:w="0" w:type="dxa"/>
              <w:right w:w="0" w:type="dxa"/>
            </w:tcMar>
            <w:vAlign w:val="center"/>
          </w:tcPr>
          <w:p w14:paraId="74F89A1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003BCC9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20F3D95A" w14:textId="77777777" w:rsidTr="0006329F">
        <w:trPr>
          <w:trHeight w:val="302"/>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576219C2"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Stargard</w:t>
            </w:r>
          </w:p>
        </w:tc>
        <w:tc>
          <w:tcPr>
            <w:tcW w:w="385" w:type="dxa"/>
            <w:tcMar>
              <w:left w:w="0" w:type="dxa"/>
              <w:right w:w="0" w:type="dxa"/>
            </w:tcMar>
            <w:vAlign w:val="center"/>
          </w:tcPr>
          <w:p w14:paraId="6983077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90</w:t>
            </w:r>
          </w:p>
        </w:tc>
        <w:tc>
          <w:tcPr>
            <w:tcW w:w="0" w:type="auto"/>
            <w:tcMar>
              <w:left w:w="0" w:type="dxa"/>
              <w:right w:w="0" w:type="dxa"/>
            </w:tcMar>
            <w:vAlign w:val="center"/>
          </w:tcPr>
          <w:p w14:paraId="62C14F8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2D156B0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8</w:t>
            </w:r>
          </w:p>
        </w:tc>
        <w:tc>
          <w:tcPr>
            <w:tcW w:w="384" w:type="dxa"/>
            <w:tcMar>
              <w:left w:w="0" w:type="dxa"/>
              <w:right w:w="0" w:type="dxa"/>
            </w:tcMar>
            <w:vAlign w:val="center"/>
          </w:tcPr>
          <w:p w14:paraId="29B6C13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81</w:t>
            </w:r>
          </w:p>
        </w:tc>
        <w:tc>
          <w:tcPr>
            <w:tcW w:w="347" w:type="dxa"/>
            <w:tcMar>
              <w:left w:w="0" w:type="dxa"/>
              <w:right w:w="0" w:type="dxa"/>
            </w:tcMar>
            <w:vAlign w:val="center"/>
          </w:tcPr>
          <w:p w14:paraId="631FD34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5</w:t>
            </w:r>
          </w:p>
        </w:tc>
        <w:tc>
          <w:tcPr>
            <w:tcW w:w="0" w:type="auto"/>
            <w:tcMar>
              <w:left w:w="0" w:type="dxa"/>
              <w:right w:w="0" w:type="dxa"/>
            </w:tcMar>
            <w:vAlign w:val="center"/>
          </w:tcPr>
          <w:p w14:paraId="56F9BC7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5BEE68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17</w:t>
            </w:r>
          </w:p>
        </w:tc>
        <w:tc>
          <w:tcPr>
            <w:tcW w:w="0" w:type="auto"/>
            <w:tcMar>
              <w:left w:w="0" w:type="dxa"/>
              <w:right w:w="0" w:type="dxa"/>
            </w:tcMar>
            <w:vAlign w:val="center"/>
          </w:tcPr>
          <w:p w14:paraId="479DF08D"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1223D9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6</w:t>
            </w:r>
          </w:p>
        </w:tc>
        <w:tc>
          <w:tcPr>
            <w:tcW w:w="0" w:type="auto"/>
            <w:tcMar>
              <w:left w:w="0" w:type="dxa"/>
              <w:right w:w="0" w:type="dxa"/>
            </w:tcMar>
            <w:vAlign w:val="center"/>
          </w:tcPr>
          <w:p w14:paraId="69A0D68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11</w:t>
            </w:r>
          </w:p>
        </w:tc>
        <w:tc>
          <w:tcPr>
            <w:tcW w:w="0" w:type="auto"/>
            <w:tcMar>
              <w:left w:w="0" w:type="dxa"/>
              <w:right w:w="0" w:type="dxa"/>
            </w:tcMar>
            <w:vAlign w:val="center"/>
          </w:tcPr>
          <w:p w14:paraId="5A53576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5</w:t>
            </w:r>
          </w:p>
        </w:tc>
        <w:tc>
          <w:tcPr>
            <w:tcW w:w="0" w:type="auto"/>
            <w:tcMar>
              <w:left w:w="0" w:type="dxa"/>
              <w:right w:w="0" w:type="dxa"/>
            </w:tcMar>
            <w:vAlign w:val="center"/>
          </w:tcPr>
          <w:p w14:paraId="4A4DF4F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2BBCB2E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8</w:t>
            </w:r>
          </w:p>
        </w:tc>
        <w:tc>
          <w:tcPr>
            <w:tcW w:w="0" w:type="auto"/>
            <w:tcMar>
              <w:left w:w="0" w:type="dxa"/>
              <w:right w:w="0" w:type="dxa"/>
            </w:tcMar>
            <w:vAlign w:val="center"/>
          </w:tcPr>
          <w:p w14:paraId="012820B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7B7BA2F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51277DB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7</w:t>
            </w:r>
          </w:p>
        </w:tc>
        <w:tc>
          <w:tcPr>
            <w:tcW w:w="0" w:type="auto"/>
            <w:tcMar>
              <w:left w:w="0" w:type="dxa"/>
              <w:right w:w="0" w:type="dxa"/>
            </w:tcMar>
            <w:vAlign w:val="center"/>
          </w:tcPr>
          <w:p w14:paraId="730F1D2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351" w:type="dxa"/>
            <w:tcMar>
              <w:left w:w="0" w:type="dxa"/>
              <w:right w:w="0" w:type="dxa"/>
            </w:tcMar>
            <w:vAlign w:val="center"/>
          </w:tcPr>
          <w:p w14:paraId="25DEB0D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6B3421F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4</w:t>
            </w:r>
          </w:p>
        </w:tc>
        <w:tc>
          <w:tcPr>
            <w:tcW w:w="352" w:type="dxa"/>
            <w:tcMar>
              <w:left w:w="0" w:type="dxa"/>
              <w:right w:w="0" w:type="dxa"/>
            </w:tcMar>
            <w:vAlign w:val="center"/>
          </w:tcPr>
          <w:p w14:paraId="4A08017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302CC1B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4011608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4</w:t>
            </w:r>
          </w:p>
        </w:tc>
        <w:tc>
          <w:tcPr>
            <w:tcW w:w="349" w:type="dxa"/>
            <w:tcMar>
              <w:left w:w="0" w:type="dxa"/>
              <w:right w:w="0" w:type="dxa"/>
            </w:tcMar>
            <w:vAlign w:val="center"/>
          </w:tcPr>
          <w:p w14:paraId="75AFFD7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7B9BBEC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A703E2" w14:paraId="7AEE0BA2"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45E6168E"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Szczecin</w:t>
            </w:r>
          </w:p>
        </w:tc>
        <w:tc>
          <w:tcPr>
            <w:tcW w:w="385" w:type="dxa"/>
            <w:tcMar>
              <w:left w:w="0" w:type="dxa"/>
              <w:right w:w="0" w:type="dxa"/>
            </w:tcMar>
            <w:vAlign w:val="center"/>
          </w:tcPr>
          <w:p w14:paraId="26FC1CA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359</w:t>
            </w:r>
          </w:p>
        </w:tc>
        <w:tc>
          <w:tcPr>
            <w:tcW w:w="0" w:type="auto"/>
            <w:tcMar>
              <w:left w:w="0" w:type="dxa"/>
              <w:right w:w="0" w:type="dxa"/>
            </w:tcMar>
            <w:vAlign w:val="center"/>
          </w:tcPr>
          <w:p w14:paraId="30E40F0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w:t>
            </w:r>
          </w:p>
        </w:tc>
        <w:tc>
          <w:tcPr>
            <w:tcW w:w="0" w:type="auto"/>
            <w:tcMar>
              <w:left w:w="0" w:type="dxa"/>
              <w:right w:w="0" w:type="dxa"/>
            </w:tcMar>
            <w:vAlign w:val="center"/>
          </w:tcPr>
          <w:p w14:paraId="3822648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57</w:t>
            </w:r>
          </w:p>
        </w:tc>
        <w:tc>
          <w:tcPr>
            <w:tcW w:w="384" w:type="dxa"/>
            <w:tcMar>
              <w:left w:w="0" w:type="dxa"/>
              <w:right w:w="0" w:type="dxa"/>
            </w:tcMar>
            <w:vAlign w:val="center"/>
          </w:tcPr>
          <w:p w14:paraId="1A76693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298</w:t>
            </w:r>
          </w:p>
        </w:tc>
        <w:tc>
          <w:tcPr>
            <w:tcW w:w="347" w:type="dxa"/>
            <w:tcMar>
              <w:left w:w="0" w:type="dxa"/>
              <w:right w:w="0" w:type="dxa"/>
            </w:tcMar>
            <w:vAlign w:val="center"/>
          </w:tcPr>
          <w:p w14:paraId="4BAFB10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0" w:type="auto"/>
            <w:tcMar>
              <w:left w:w="0" w:type="dxa"/>
              <w:right w:w="0" w:type="dxa"/>
            </w:tcMar>
            <w:vAlign w:val="center"/>
          </w:tcPr>
          <w:p w14:paraId="2E276D6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399BE42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72</w:t>
            </w:r>
          </w:p>
        </w:tc>
        <w:tc>
          <w:tcPr>
            <w:tcW w:w="0" w:type="auto"/>
            <w:tcMar>
              <w:left w:w="0" w:type="dxa"/>
              <w:right w:w="0" w:type="dxa"/>
            </w:tcMar>
            <w:vAlign w:val="center"/>
          </w:tcPr>
          <w:p w14:paraId="2C8D663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3</w:t>
            </w:r>
          </w:p>
        </w:tc>
        <w:tc>
          <w:tcPr>
            <w:tcW w:w="0" w:type="auto"/>
            <w:tcMar>
              <w:left w:w="0" w:type="dxa"/>
              <w:right w:w="0" w:type="dxa"/>
            </w:tcMar>
            <w:vAlign w:val="center"/>
          </w:tcPr>
          <w:p w14:paraId="4796497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13</w:t>
            </w:r>
          </w:p>
        </w:tc>
        <w:tc>
          <w:tcPr>
            <w:tcW w:w="0" w:type="auto"/>
            <w:tcMar>
              <w:left w:w="0" w:type="dxa"/>
              <w:right w:w="0" w:type="dxa"/>
            </w:tcMar>
            <w:vAlign w:val="center"/>
          </w:tcPr>
          <w:p w14:paraId="6B8CD74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56</w:t>
            </w:r>
          </w:p>
        </w:tc>
        <w:tc>
          <w:tcPr>
            <w:tcW w:w="0" w:type="auto"/>
            <w:tcMar>
              <w:left w:w="0" w:type="dxa"/>
              <w:right w:w="0" w:type="dxa"/>
            </w:tcMar>
            <w:vAlign w:val="center"/>
          </w:tcPr>
          <w:p w14:paraId="152CC85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10</w:t>
            </w:r>
          </w:p>
        </w:tc>
        <w:tc>
          <w:tcPr>
            <w:tcW w:w="0" w:type="auto"/>
            <w:tcMar>
              <w:left w:w="0" w:type="dxa"/>
              <w:right w:w="0" w:type="dxa"/>
            </w:tcMar>
            <w:vAlign w:val="center"/>
          </w:tcPr>
          <w:p w14:paraId="720DA45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06774E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46</w:t>
            </w:r>
          </w:p>
        </w:tc>
        <w:tc>
          <w:tcPr>
            <w:tcW w:w="0" w:type="auto"/>
            <w:tcMar>
              <w:left w:w="0" w:type="dxa"/>
              <w:right w:w="0" w:type="dxa"/>
            </w:tcMar>
            <w:vAlign w:val="center"/>
          </w:tcPr>
          <w:p w14:paraId="6BFD8CB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0" w:type="auto"/>
            <w:tcMar>
              <w:left w:w="0" w:type="dxa"/>
              <w:right w:w="0" w:type="dxa"/>
            </w:tcMar>
            <w:vAlign w:val="center"/>
          </w:tcPr>
          <w:p w14:paraId="790C933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8</w:t>
            </w:r>
          </w:p>
        </w:tc>
        <w:tc>
          <w:tcPr>
            <w:tcW w:w="0" w:type="auto"/>
            <w:tcMar>
              <w:left w:w="0" w:type="dxa"/>
              <w:right w:w="0" w:type="dxa"/>
            </w:tcMar>
            <w:vAlign w:val="center"/>
          </w:tcPr>
          <w:p w14:paraId="727952B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35</w:t>
            </w:r>
          </w:p>
        </w:tc>
        <w:tc>
          <w:tcPr>
            <w:tcW w:w="0" w:type="auto"/>
            <w:tcMar>
              <w:left w:w="0" w:type="dxa"/>
              <w:right w:w="0" w:type="dxa"/>
            </w:tcMar>
            <w:vAlign w:val="center"/>
          </w:tcPr>
          <w:p w14:paraId="3367224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9</w:t>
            </w:r>
          </w:p>
        </w:tc>
        <w:tc>
          <w:tcPr>
            <w:tcW w:w="351" w:type="dxa"/>
            <w:tcMar>
              <w:left w:w="0" w:type="dxa"/>
              <w:right w:w="0" w:type="dxa"/>
            </w:tcMar>
            <w:vAlign w:val="center"/>
          </w:tcPr>
          <w:p w14:paraId="169BCC8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72010CE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60</w:t>
            </w:r>
          </w:p>
        </w:tc>
        <w:tc>
          <w:tcPr>
            <w:tcW w:w="352" w:type="dxa"/>
            <w:tcMar>
              <w:left w:w="0" w:type="dxa"/>
              <w:right w:w="0" w:type="dxa"/>
            </w:tcMar>
            <w:vAlign w:val="center"/>
          </w:tcPr>
          <w:p w14:paraId="2D5837C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w:t>
            </w:r>
          </w:p>
        </w:tc>
        <w:tc>
          <w:tcPr>
            <w:tcW w:w="0" w:type="auto"/>
            <w:tcMar>
              <w:left w:w="0" w:type="dxa"/>
              <w:right w:w="0" w:type="dxa"/>
            </w:tcMar>
            <w:vAlign w:val="center"/>
          </w:tcPr>
          <w:p w14:paraId="2C5FD87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7</w:t>
            </w:r>
          </w:p>
        </w:tc>
        <w:tc>
          <w:tcPr>
            <w:tcW w:w="0" w:type="auto"/>
            <w:tcMar>
              <w:left w:w="0" w:type="dxa"/>
              <w:right w:w="0" w:type="dxa"/>
            </w:tcMar>
            <w:vAlign w:val="center"/>
          </w:tcPr>
          <w:p w14:paraId="7400B9B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52</w:t>
            </w:r>
          </w:p>
        </w:tc>
        <w:tc>
          <w:tcPr>
            <w:tcW w:w="349" w:type="dxa"/>
            <w:tcMar>
              <w:left w:w="0" w:type="dxa"/>
              <w:right w:w="0" w:type="dxa"/>
            </w:tcMar>
            <w:vAlign w:val="center"/>
          </w:tcPr>
          <w:p w14:paraId="5AE1121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16</w:t>
            </w:r>
          </w:p>
        </w:tc>
        <w:tc>
          <w:tcPr>
            <w:tcW w:w="349" w:type="dxa"/>
            <w:tcMar>
              <w:left w:w="0" w:type="dxa"/>
              <w:right w:w="0" w:type="dxa"/>
            </w:tcMar>
            <w:vAlign w:val="center"/>
          </w:tcPr>
          <w:p w14:paraId="0781001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A703E2" w14:paraId="0342C371" w14:textId="77777777" w:rsidTr="0006329F">
        <w:trPr>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19414169"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Szczecinek</w:t>
            </w:r>
          </w:p>
        </w:tc>
        <w:tc>
          <w:tcPr>
            <w:tcW w:w="385" w:type="dxa"/>
            <w:tcMar>
              <w:left w:w="0" w:type="dxa"/>
              <w:right w:w="0" w:type="dxa"/>
            </w:tcMar>
            <w:vAlign w:val="center"/>
          </w:tcPr>
          <w:p w14:paraId="777720D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13</w:t>
            </w:r>
          </w:p>
        </w:tc>
        <w:tc>
          <w:tcPr>
            <w:tcW w:w="0" w:type="auto"/>
            <w:tcMar>
              <w:left w:w="0" w:type="dxa"/>
              <w:right w:w="0" w:type="dxa"/>
            </w:tcMar>
            <w:vAlign w:val="center"/>
          </w:tcPr>
          <w:p w14:paraId="30341E8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A83873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3</w:t>
            </w:r>
          </w:p>
        </w:tc>
        <w:tc>
          <w:tcPr>
            <w:tcW w:w="384" w:type="dxa"/>
            <w:tcMar>
              <w:left w:w="0" w:type="dxa"/>
              <w:right w:w="0" w:type="dxa"/>
            </w:tcMar>
            <w:vAlign w:val="center"/>
          </w:tcPr>
          <w:p w14:paraId="02E6497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10</w:t>
            </w:r>
          </w:p>
        </w:tc>
        <w:tc>
          <w:tcPr>
            <w:tcW w:w="347" w:type="dxa"/>
            <w:tcMar>
              <w:left w:w="0" w:type="dxa"/>
              <w:right w:w="0" w:type="dxa"/>
            </w:tcMar>
            <w:vAlign w:val="center"/>
          </w:tcPr>
          <w:p w14:paraId="579CBB2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32C3F8F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332347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6</w:t>
            </w:r>
          </w:p>
        </w:tc>
        <w:tc>
          <w:tcPr>
            <w:tcW w:w="0" w:type="auto"/>
            <w:tcMar>
              <w:left w:w="0" w:type="dxa"/>
              <w:right w:w="0" w:type="dxa"/>
            </w:tcMar>
            <w:vAlign w:val="center"/>
          </w:tcPr>
          <w:p w14:paraId="581420F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1742364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6228BCE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6</w:t>
            </w:r>
          </w:p>
        </w:tc>
        <w:tc>
          <w:tcPr>
            <w:tcW w:w="0" w:type="auto"/>
            <w:tcMar>
              <w:left w:w="0" w:type="dxa"/>
              <w:right w:w="0" w:type="dxa"/>
            </w:tcMar>
            <w:vAlign w:val="center"/>
          </w:tcPr>
          <w:p w14:paraId="4FE48AF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DB5034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44B5577"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vAlign w:val="center"/>
          </w:tcPr>
          <w:p w14:paraId="091AA98C"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5EE7285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650277B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2AB70AC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51" w:type="dxa"/>
            <w:tcMar>
              <w:left w:w="0" w:type="dxa"/>
              <w:right w:w="0" w:type="dxa"/>
            </w:tcMar>
            <w:vAlign w:val="center"/>
          </w:tcPr>
          <w:p w14:paraId="4B25850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796E413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4</w:t>
            </w:r>
          </w:p>
        </w:tc>
        <w:tc>
          <w:tcPr>
            <w:tcW w:w="352" w:type="dxa"/>
            <w:tcMar>
              <w:left w:w="0" w:type="dxa"/>
              <w:right w:w="0" w:type="dxa"/>
            </w:tcMar>
            <w:vAlign w:val="center"/>
          </w:tcPr>
          <w:p w14:paraId="15C9316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6279F70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7C072FA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4</w:t>
            </w:r>
          </w:p>
        </w:tc>
        <w:tc>
          <w:tcPr>
            <w:tcW w:w="349" w:type="dxa"/>
            <w:tcMar>
              <w:left w:w="0" w:type="dxa"/>
              <w:right w:w="0" w:type="dxa"/>
            </w:tcMar>
            <w:vAlign w:val="center"/>
          </w:tcPr>
          <w:p w14:paraId="3ABCA8A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72A01B4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A703E2" w14:paraId="5210D84D" w14:textId="77777777" w:rsidTr="0006329F">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vAlign w:val="center"/>
            <w:hideMark/>
          </w:tcPr>
          <w:p w14:paraId="33508152"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Świdwin</w:t>
            </w:r>
          </w:p>
        </w:tc>
        <w:tc>
          <w:tcPr>
            <w:tcW w:w="385" w:type="dxa"/>
            <w:tcMar>
              <w:left w:w="0" w:type="dxa"/>
              <w:right w:w="0" w:type="dxa"/>
            </w:tcMar>
            <w:vAlign w:val="center"/>
          </w:tcPr>
          <w:p w14:paraId="327DF44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15</w:t>
            </w:r>
          </w:p>
        </w:tc>
        <w:tc>
          <w:tcPr>
            <w:tcW w:w="0" w:type="auto"/>
            <w:tcMar>
              <w:left w:w="0" w:type="dxa"/>
              <w:right w:w="0" w:type="dxa"/>
            </w:tcMar>
            <w:vAlign w:val="center"/>
          </w:tcPr>
          <w:p w14:paraId="2510BE8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E6920A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vAlign w:val="center"/>
          </w:tcPr>
          <w:p w14:paraId="721551B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14</w:t>
            </w:r>
          </w:p>
        </w:tc>
        <w:tc>
          <w:tcPr>
            <w:tcW w:w="347" w:type="dxa"/>
            <w:tcMar>
              <w:left w:w="0" w:type="dxa"/>
              <w:right w:w="0" w:type="dxa"/>
            </w:tcMar>
            <w:vAlign w:val="center"/>
          </w:tcPr>
          <w:p w14:paraId="36ECF78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vAlign w:val="center"/>
          </w:tcPr>
          <w:p w14:paraId="3BDFECD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188E2AA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21064E9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0A0294A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200CDC2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vAlign w:val="center"/>
          </w:tcPr>
          <w:p w14:paraId="28667AB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7E7EA14F"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vAlign w:val="center"/>
          </w:tcPr>
          <w:p w14:paraId="5AFF43F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0DDE524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25079D4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30296FB5"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vAlign w:val="center"/>
          </w:tcPr>
          <w:p w14:paraId="40AF2E1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vAlign w:val="center"/>
          </w:tcPr>
          <w:p w14:paraId="1B88498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vAlign w:val="center"/>
          </w:tcPr>
          <w:p w14:paraId="56798EB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52" w:type="dxa"/>
            <w:tcMar>
              <w:left w:w="0" w:type="dxa"/>
              <w:right w:w="0" w:type="dxa"/>
            </w:tcMar>
            <w:vAlign w:val="center"/>
          </w:tcPr>
          <w:p w14:paraId="1064F80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C8C979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vAlign w:val="center"/>
          </w:tcPr>
          <w:p w14:paraId="08A11EC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2827843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vAlign w:val="center"/>
          </w:tcPr>
          <w:p w14:paraId="0F08722D"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0B4D72" w:rsidRPr="003A793F" w14:paraId="78AF454A" w14:textId="77777777" w:rsidTr="009232D1">
        <w:trPr>
          <w:trHeight w:val="261"/>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hideMark/>
          </w:tcPr>
          <w:p w14:paraId="6B46E566"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Świnoujście</w:t>
            </w:r>
          </w:p>
        </w:tc>
        <w:tc>
          <w:tcPr>
            <w:tcW w:w="385" w:type="dxa"/>
            <w:tcMar>
              <w:left w:w="0" w:type="dxa"/>
              <w:right w:w="0" w:type="dxa"/>
            </w:tcMar>
          </w:tcPr>
          <w:p w14:paraId="19DB7BAF"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7</w:t>
            </w:r>
          </w:p>
        </w:tc>
        <w:tc>
          <w:tcPr>
            <w:tcW w:w="0" w:type="auto"/>
            <w:tcMar>
              <w:left w:w="0" w:type="dxa"/>
              <w:right w:w="0" w:type="dxa"/>
            </w:tcMar>
          </w:tcPr>
          <w:p w14:paraId="1424A558"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5CE7E05B"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84" w:type="dxa"/>
            <w:tcMar>
              <w:left w:w="0" w:type="dxa"/>
              <w:right w:w="0" w:type="dxa"/>
            </w:tcMar>
          </w:tcPr>
          <w:p w14:paraId="4696F68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6</w:t>
            </w:r>
          </w:p>
        </w:tc>
        <w:tc>
          <w:tcPr>
            <w:tcW w:w="347" w:type="dxa"/>
            <w:tcMar>
              <w:left w:w="0" w:type="dxa"/>
              <w:right w:w="0" w:type="dxa"/>
            </w:tcMar>
          </w:tcPr>
          <w:p w14:paraId="287C490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4309421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5538617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3</w:t>
            </w:r>
          </w:p>
        </w:tc>
        <w:tc>
          <w:tcPr>
            <w:tcW w:w="0" w:type="auto"/>
            <w:tcMar>
              <w:left w:w="0" w:type="dxa"/>
              <w:right w:w="0" w:type="dxa"/>
            </w:tcMar>
          </w:tcPr>
          <w:p w14:paraId="6EFEE8A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4430BFF0"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1D402F8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3</w:t>
            </w:r>
          </w:p>
        </w:tc>
        <w:tc>
          <w:tcPr>
            <w:tcW w:w="0" w:type="auto"/>
            <w:tcMar>
              <w:left w:w="0" w:type="dxa"/>
              <w:right w:w="0" w:type="dxa"/>
            </w:tcMar>
          </w:tcPr>
          <w:p w14:paraId="426C49F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tcPr>
          <w:p w14:paraId="4F5EBFE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00F5EB9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tcPr>
          <w:p w14:paraId="755B1F45"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43CB951A"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2</w:t>
            </w:r>
          </w:p>
        </w:tc>
        <w:tc>
          <w:tcPr>
            <w:tcW w:w="0" w:type="auto"/>
            <w:tcMar>
              <w:left w:w="0" w:type="dxa"/>
              <w:right w:w="0" w:type="dxa"/>
            </w:tcMar>
          </w:tcPr>
          <w:p w14:paraId="7423CF33"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1CD0BFAE"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tcPr>
          <w:p w14:paraId="0F563C4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tcPr>
          <w:p w14:paraId="7A52F689"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52" w:type="dxa"/>
            <w:tcMar>
              <w:left w:w="0" w:type="dxa"/>
              <w:right w:w="0" w:type="dxa"/>
            </w:tcMar>
          </w:tcPr>
          <w:p w14:paraId="5BC8CCF2"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tcPr>
          <w:p w14:paraId="416B3E66"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tcPr>
          <w:p w14:paraId="4A45AAC4"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tcPr>
          <w:p w14:paraId="6DB507A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tcPr>
          <w:p w14:paraId="54F290F1" w14:textId="77777777" w:rsidR="000B4D72" w:rsidRPr="00B572C6"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r w:rsidR="009232D1" w:rsidRPr="003A793F" w14:paraId="64380965" w14:textId="77777777" w:rsidTr="009232D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904" w:type="dxa"/>
            <w:tcMar>
              <w:left w:w="0" w:type="dxa"/>
              <w:right w:w="0" w:type="dxa"/>
            </w:tcMar>
            <w:hideMark/>
          </w:tcPr>
          <w:p w14:paraId="77021C9E" w14:textId="77777777" w:rsidR="000B4D72" w:rsidRPr="00B572C6" w:rsidRDefault="000B4D72" w:rsidP="00597239">
            <w:pPr>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Wałcz</w:t>
            </w:r>
          </w:p>
        </w:tc>
        <w:tc>
          <w:tcPr>
            <w:tcW w:w="385" w:type="dxa"/>
            <w:tcMar>
              <w:left w:w="0" w:type="dxa"/>
              <w:right w:w="0" w:type="dxa"/>
            </w:tcMar>
          </w:tcPr>
          <w:p w14:paraId="2710D99A"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0" w:type="auto"/>
            <w:tcMar>
              <w:left w:w="0" w:type="dxa"/>
              <w:right w:w="0" w:type="dxa"/>
            </w:tcMar>
          </w:tcPr>
          <w:p w14:paraId="4C78BAB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4E9EF8A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84" w:type="dxa"/>
            <w:tcMar>
              <w:left w:w="0" w:type="dxa"/>
              <w:right w:w="0" w:type="dxa"/>
            </w:tcMar>
          </w:tcPr>
          <w:p w14:paraId="43B63580"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1</w:t>
            </w:r>
          </w:p>
        </w:tc>
        <w:tc>
          <w:tcPr>
            <w:tcW w:w="347" w:type="dxa"/>
            <w:tcMar>
              <w:left w:w="0" w:type="dxa"/>
              <w:right w:w="0" w:type="dxa"/>
            </w:tcMar>
          </w:tcPr>
          <w:p w14:paraId="402F3BA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6F0F57F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3AADAB3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tcPr>
          <w:p w14:paraId="338D4D5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4EDCFAF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0E93BE7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1</w:t>
            </w:r>
          </w:p>
        </w:tc>
        <w:tc>
          <w:tcPr>
            <w:tcW w:w="0" w:type="auto"/>
            <w:tcMar>
              <w:left w:w="0" w:type="dxa"/>
              <w:right w:w="0" w:type="dxa"/>
            </w:tcMar>
          </w:tcPr>
          <w:p w14:paraId="54FE25E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35001C5B"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highlight w:val="yellow"/>
                <w:lang w:eastAsia="pl-PL"/>
              </w:rPr>
            </w:pPr>
            <w:r w:rsidRPr="00B572C6">
              <w:rPr>
                <w:rFonts w:ascii="Calibri" w:hAnsi="Calibri" w:cs="Calibri"/>
                <w:sz w:val="16"/>
                <w:szCs w:val="16"/>
              </w:rPr>
              <w:t>0</w:t>
            </w:r>
          </w:p>
        </w:tc>
        <w:tc>
          <w:tcPr>
            <w:tcW w:w="0" w:type="auto"/>
            <w:tcMar>
              <w:left w:w="0" w:type="dxa"/>
              <w:right w:w="0" w:type="dxa"/>
            </w:tcMar>
          </w:tcPr>
          <w:p w14:paraId="604C8CF3"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73C8217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5FB8AE3E"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4B015C7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0" w:type="auto"/>
            <w:tcMar>
              <w:left w:w="0" w:type="dxa"/>
              <w:right w:w="0" w:type="dxa"/>
            </w:tcMar>
          </w:tcPr>
          <w:p w14:paraId="0E44EFD7"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51" w:type="dxa"/>
            <w:tcMar>
              <w:left w:w="0" w:type="dxa"/>
              <w:right w:w="0" w:type="dxa"/>
            </w:tcMar>
          </w:tcPr>
          <w:p w14:paraId="05B1BDD6"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hAnsi="Calibri" w:cs="Calibri"/>
                <w:sz w:val="16"/>
                <w:szCs w:val="16"/>
              </w:rPr>
              <w:t>0</w:t>
            </w:r>
          </w:p>
        </w:tc>
        <w:tc>
          <w:tcPr>
            <w:tcW w:w="368" w:type="dxa"/>
            <w:tcMar>
              <w:left w:w="0" w:type="dxa"/>
              <w:right w:w="0" w:type="dxa"/>
            </w:tcMar>
          </w:tcPr>
          <w:p w14:paraId="0ECC6D19"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52" w:type="dxa"/>
            <w:tcMar>
              <w:left w:w="0" w:type="dxa"/>
              <w:right w:w="0" w:type="dxa"/>
            </w:tcMar>
          </w:tcPr>
          <w:p w14:paraId="53820DF4"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tcPr>
          <w:p w14:paraId="3F5E3A7C"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0" w:type="auto"/>
            <w:tcMar>
              <w:left w:w="0" w:type="dxa"/>
              <w:right w:w="0" w:type="dxa"/>
            </w:tcMar>
          </w:tcPr>
          <w:p w14:paraId="1CF66FA8"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tcPr>
          <w:p w14:paraId="352633E2"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c>
          <w:tcPr>
            <w:tcW w:w="349" w:type="dxa"/>
            <w:tcMar>
              <w:left w:w="0" w:type="dxa"/>
              <w:right w:w="0" w:type="dxa"/>
            </w:tcMar>
          </w:tcPr>
          <w:p w14:paraId="15A13341" w14:textId="77777777" w:rsidR="000B4D72" w:rsidRPr="00B572C6"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B572C6">
              <w:rPr>
                <w:rFonts w:ascii="Calibri" w:eastAsia="Times New Roman" w:hAnsi="Calibri" w:cs="Calibri"/>
                <w:sz w:val="16"/>
                <w:szCs w:val="16"/>
                <w:lang w:eastAsia="pl-PL"/>
              </w:rPr>
              <w:t>0</w:t>
            </w:r>
          </w:p>
        </w:tc>
      </w:tr>
    </w:tbl>
    <w:p w14:paraId="308C84E3" w14:textId="77777777" w:rsidR="0063333E" w:rsidRDefault="0063333E" w:rsidP="00597239">
      <w:pPr>
        <w:pStyle w:val="Nagwek3"/>
        <w:spacing w:before="0" w:after="0"/>
        <w:ind w:left="0" w:firstLine="0"/>
      </w:pPr>
      <w:bookmarkStart w:id="170" w:name="_Toc192678715"/>
      <w:bookmarkStart w:id="171" w:name="_Toc193694455"/>
    </w:p>
    <w:p w14:paraId="54CD5E27" w14:textId="282F102E" w:rsidR="000B4D72" w:rsidRPr="00552AD2" w:rsidRDefault="000B4D72" w:rsidP="00597239">
      <w:pPr>
        <w:pStyle w:val="Nagwek3"/>
        <w:numPr>
          <w:ilvl w:val="0"/>
          <w:numId w:val="38"/>
        </w:numPr>
        <w:spacing w:before="0" w:after="0"/>
        <w:ind w:left="568" w:hanging="284"/>
      </w:pPr>
      <w:bookmarkStart w:id="172" w:name="_Toc194059793"/>
      <w:r w:rsidRPr="00552AD2">
        <w:t>Podsumowanie</w:t>
      </w:r>
      <w:bookmarkEnd w:id="170"/>
      <w:bookmarkEnd w:id="171"/>
      <w:bookmarkEnd w:id="172"/>
    </w:p>
    <w:p w14:paraId="0DE86AE4" w14:textId="442636AF" w:rsidR="000B4D72" w:rsidRDefault="000B4D72" w:rsidP="00597239">
      <w:pPr>
        <w:spacing w:after="0" w:line="276" w:lineRule="auto"/>
        <w:rPr>
          <w:rFonts w:eastAsia="Times New Roman" w:cstheme="minorHAnsi"/>
          <w:sz w:val="24"/>
          <w:szCs w:val="24"/>
          <w:lang w:eastAsia="pl-PL"/>
        </w:rPr>
      </w:pPr>
      <w:r w:rsidRPr="00136453">
        <w:rPr>
          <w:rFonts w:eastAsia="Times New Roman" w:cstheme="minorHAnsi"/>
          <w:sz w:val="24"/>
          <w:szCs w:val="24"/>
          <w:lang w:eastAsia="pl-PL"/>
        </w:rPr>
        <w:t xml:space="preserve">W 2024 r. w woj. zachodniopomorskim szczepienia obowiązkowe i zalecane przeprowadzane były zgodnie z Programem Szczepień Ochronnych (PSO) na 2024 r. </w:t>
      </w:r>
      <w:r>
        <w:rPr>
          <w:rFonts w:eastAsia="Times New Roman" w:cstheme="minorHAnsi"/>
          <w:sz w:val="24"/>
          <w:szCs w:val="24"/>
          <w:lang w:eastAsia="pl-PL"/>
        </w:rPr>
        <w:t>Nadal</w:t>
      </w:r>
      <w:r>
        <w:rPr>
          <w:rFonts w:eastAsia="Times New Roman" w:cstheme="minorHAnsi"/>
          <w:color w:val="FF0000"/>
          <w:sz w:val="24"/>
          <w:szCs w:val="24"/>
          <w:lang w:eastAsia="pl-PL"/>
        </w:rPr>
        <w:t xml:space="preserve"> </w:t>
      </w:r>
      <w:r>
        <w:rPr>
          <w:rFonts w:eastAsia="Times New Roman" w:cstheme="minorHAnsi"/>
          <w:sz w:val="24"/>
          <w:szCs w:val="24"/>
          <w:lang w:eastAsia="pl-PL"/>
        </w:rPr>
        <w:t>u</w:t>
      </w:r>
      <w:r w:rsidRPr="002B55CE">
        <w:rPr>
          <w:rFonts w:eastAsia="Times New Roman" w:cstheme="minorHAnsi"/>
          <w:sz w:val="24"/>
          <w:szCs w:val="24"/>
          <w:lang w:eastAsia="pl-PL"/>
        </w:rPr>
        <w:t xml:space="preserve">trzymuje się </w:t>
      </w:r>
      <w:r w:rsidRPr="002B55CE">
        <w:rPr>
          <w:rFonts w:eastAsia="Times New Roman" w:cstheme="minorHAnsi"/>
          <w:sz w:val="24"/>
          <w:szCs w:val="24"/>
          <w:lang w:eastAsia="pl-PL"/>
        </w:rPr>
        <w:lastRenderedPageBreak/>
        <w:t xml:space="preserve">tendencja wzrostowa </w:t>
      </w:r>
      <w:r>
        <w:rPr>
          <w:rFonts w:eastAsia="Times New Roman" w:cstheme="minorHAnsi"/>
          <w:sz w:val="24"/>
          <w:szCs w:val="24"/>
          <w:lang w:eastAsia="pl-PL"/>
        </w:rPr>
        <w:t xml:space="preserve">liczby </w:t>
      </w:r>
      <w:r w:rsidRPr="002B55CE">
        <w:rPr>
          <w:rFonts w:eastAsia="Times New Roman" w:cstheme="minorHAnsi"/>
          <w:sz w:val="24"/>
          <w:szCs w:val="24"/>
          <w:lang w:eastAsia="pl-PL"/>
        </w:rPr>
        <w:t xml:space="preserve">osób, które nie realizują ustawowego obowiązku szczepień. </w:t>
      </w:r>
      <w:r>
        <w:rPr>
          <w:rFonts w:eastAsia="Times New Roman" w:cstheme="minorHAnsi"/>
          <w:sz w:val="24"/>
          <w:szCs w:val="24"/>
          <w:lang w:eastAsia="pl-PL"/>
        </w:rPr>
        <w:t>W</w:t>
      </w:r>
      <w:r w:rsidR="0063333E">
        <w:rPr>
          <w:rFonts w:eastAsia="Times New Roman" w:cstheme="minorHAnsi"/>
          <w:sz w:val="24"/>
          <w:szCs w:val="24"/>
          <w:lang w:eastAsia="pl-PL"/>
        </w:rPr>
        <w:t> </w:t>
      </w:r>
      <w:r w:rsidRPr="002B55CE">
        <w:rPr>
          <w:rFonts w:eastAsia="Times New Roman" w:cstheme="minorHAnsi"/>
          <w:sz w:val="24"/>
          <w:szCs w:val="24"/>
          <w:lang w:eastAsia="pl-PL"/>
        </w:rPr>
        <w:t xml:space="preserve">2024 r. </w:t>
      </w:r>
      <w:r>
        <w:rPr>
          <w:rFonts w:eastAsia="Times New Roman" w:cstheme="minorHAnsi"/>
          <w:sz w:val="24"/>
          <w:szCs w:val="24"/>
          <w:lang w:eastAsia="pl-PL"/>
        </w:rPr>
        <w:t>liczba ta przekroczyła 4 tysiące osób.</w:t>
      </w:r>
      <w:r w:rsidRPr="002B55CE">
        <w:rPr>
          <w:rFonts w:eastAsia="Times New Roman" w:cstheme="minorHAnsi"/>
          <w:sz w:val="24"/>
          <w:szCs w:val="24"/>
          <w:lang w:eastAsia="pl-PL"/>
        </w:rPr>
        <w:t xml:space="preserve"> Przyczyny te mają niekorzystny wpływ na stan zaszczepienia dzieci oraz na odporność zbiorowiskową. </w:t>
      </w:r>
      <w:r w:rsidRPr="00951278">
        <w:rPr>
          <w:rFonts w:eastAsia="Times New Roman" w:cstheme="minorHAnsi"/>
          <w:sz w:val="24"/>
          <w:szCs w:val="24"/>
          <w:lang w:eastAsia="pl-PL"/>
        </w:rPr>
        <w:t xml:space="preserve">Z uwagi na konieczność stałego monitorowania stanu uodpornienia populacji w kontekście odporności zbiorowiskowej należy obserwować i rzetelnie monitorować sytuację dot. niedopełniania obowiązku szczepień, bowiem ma to istotny wpływ na ocenę bezpieczeństwa epidemiologicznego populacji. </w:t>
      </w:r>
      <w:bookmarkStart w:id="173" w:name="_Toc192678716"/>
    </w:p>
    <w:p w14:paraId="75FEB4D0" w14:textId="77777777" w:rsidR="00822341" w:rsidRDefault="00822341" w:rsidP="00597239">
      <w:pPr>
        <w:spacing w:after="0" w:line="276" w:lineRule="auto"/>
        <w:rPr>
          <w:rFonts w:eastAsia="Times New Roman" w:cstheme="minorHAnsi"/>
          <w:sz w:val="24"/>
          <w:szCs w:val="24"/>
          <w:lang w:eastAsia="pl-PL"/>
        </w:rPr>
      </w:pPr>
    </w:p>
    <w:p w14:paraId="0A45E5B0" w14:textId="4DF27956" w:rsidR="000B4D72" w:rsidRDefault="000B4D72" w:rsidP="00597239">
      <w:pPr>
        <w:pStyle w:val="Nagwek2"/>
        <w:numPr>
          <w:ilvl w:val="0"/>
          <w:numId w:val="33"/>
        </w:numPr>
        <w:spacing w:before="0" w:after="0"/>
        <w:ind w:left="284" w:hanging="284"/>
        <w:jc w:val="left"/>
      </w:pPr>
      <w:bookmarkStart w:id="174" w:name="_Toc194059794"/>
      <w:r w:rsidRPr="00BD1834">
        <w:t>Sytuacja epidemiologiczna w szpitalach</w:t>
      </w:r>
      <w:bookmarkEnd w:id="173"/>
      <w:bookmarkEnd w:id="174"/>
    </w:p>
    <w:p w14:paraId="1F2EF9EA" w14:textId="77777777" w:rsidR="0063333E" w:rsidRPr="0063333E" w:rsidRDefault="0063333E" w:rsidP="00597239"/>
    <w:p w14:paraId="3689562C" w14:textId="32FD351A" w:rsidR="000B4D72" w:rsidRPr="00A93712" w:rsidRDefault="000B4D72" w:rsidP="00597239">
      <w:pPr>
        <w:pStyle w:val="Nagwek3"/>
        <w:numPr>
          <w:ilvl w:val="1"/>
          <w:numId w:val="33"/>
        </w:numPr>
        <w:spacing w:before="0" w:after="0"/>
        <w:ind w:left="568" w:hanging="284"/>
      </w:pPr>
      <w:bookmarkStart w:id="175" w:name="_Toc192678717"/>
      <w:bookmarkStart w:id="176" w:name="_Toc193694456"/>
      <w:bookmarkStart w:id="177" w:name="_Toc194059795"/>
      <w:r w:rsidRPr="00A93712">
        <w:t>Zakażenia szpitalne i działalnoś</w:t>
      </w:r>
      <w:r>
        <w:t>ć</w:t>
      </w:r>
      <w:r w:rsidRPr="00A93712">
        <w:t xml:space="preserve"> zespołów kontroli zakażeń szpitalnych</w:t>
      </w:r>
      <w:bookmarkEnd w:id="175"/>
      <w:bookmarkEnd w:id="176"/>
      <w:bookmarkEnd w:id="177"/>
    </w:p>
    <w:p w14:paraId="4DBBA987" w14:textId="77777777" w:rsidR="000B4D72" w:rsidRPr="003A793F" w:rsidRDefault="000B4D72" w:rsidP="00597239">
      <w:pPr>
        <w:spacing w:after="0" w:line="276" w:lineRule="auto"/>
        <w:rPr>
          <w:rFonts w:cstheme="minorHAnsi"/>
          <w:bCs/>
          <w:color w:val="FF0000"/>
          <w:spacing w:val="-8"/>
          <w:sz w:val="24"/>
          <w:szCs w:val="24"/>
        </w:rPr>
      </w:pPr>
      <w:bookmarkStart w:id="178" w:name="_Hlk162336094"/>
      <w:r w:rsidRPr="00826D33">
        <w:rPr>
          <w:rFonts w:cstheme="minorHAnsi"/>
          <w:bCs/>
          <w:sz w:val="24"/>
          <w:szCs w:val="24"/>
        </w:rPr>
        <w:t>Na przestrzeni ostatnich lat zauważalna jest poprawa zgłaszalności występowania ognisk zakażeń szpitalnych, na co niewątpliwy wpływ ma aktywna współpraca przedstawicieli Państwowej Inspekcji Sanitarnej z członkami Zespołów Kontroli Zakażeń Szpitalnych.</w:t>
      </w:r>
    </w:p>
    <w:p w14:paraId="4BB0475A" w14:textId="77777777" w:rsidR="0063333E" w:rsidRDefault="0063333E" w:rsidP="00597239">
      <w:pPr>
        <w:spacing w:after="0" w:line="276" w:lineRule="auto"/>
        <w:contextualSpacing/>
        <w:rPr>
          <w:rFonts w:cstheme="minorHAnsi"/>
          <w:bCs/>
          <w:sz w:val="24"/>
          <w:szCs w:val="24"/>
        </w:rPr>
      </w:pPr>
    </w:p>
    <w:p w14:paraId="33638E30" w14:textId="0EE03DD2" w:rsidR="000B4D72" w:rsidRDefault="000B4D72" w:rsidP="00597239">
      <w:pPr>
        <w:spacing w:after="0" w:line="276" w:lineRule="auto"/>
        <w:contextualSpacing/>
        <w:rPr>
          <w:rFonts w:eastAsia="Times New Roman" w:cstheme="minorHAnsi"/>
          <w:sz w:val="24"/>
          <w:szCs w:val="24"/>
        </w:rPr>
      </w:pPr>
      <w:r w:rsidRPr="00826D33">
        <w:rPr>
          <w:rFonts w:cstheme="minorHAnsi"/>
          <w:bCs/>
          <w:sz w:val="24"/>
          <w:szCs w:val="24"/>
        </w:rPr>
        <w:t>Analogicznie do lat ubiegłych, organy Państwowej Inspekcji Sanitarnej kontynuowały współpracę z członkami Zespołów Kontroli Zakażeń Szpitalnych. W związku z pojawiającymi się na terenie woj. zachodniopomorskiego zachorowaniami sporadycznymi oraz ogniskami epidemicznymi wywołanymi szczepami alarmowymi wytwarzającymi karbapenemazy MBL (+) typ NDM, KPC, OXA-48 oraz VIM, a</w:t>
      </w:r>
      <w:r>
        <w:rPr>
          <w:rFonts w:cstheme="minorHAnsi"/>
          <w:bCs/>
          <w:sz w:val="24"/>
          <w:szCs w:val="24"/>
        </w:rPr>
        <w:t xml:space="preserve"> </w:t>
      </w:r>
      <w:r w:rsidRPr="00826D33">
        <w:rPr>
          <w:rFonts w:cstheme="minorHAnsi"/>
          <w:bCs/>
          <w:sz w:val="24"/>
          <w:szCs w:val="24"/>
        </w:rPr>
        <w:t xml:space="preserve">także utrzymującą się niekorzystną sytuacją epidemiologiczną w tym zakresie, kontynuowano wzmożony nadzór przeciwepidemiczny m.in. poprzez ocenę wdrożenia procedur postępowania w przypadku stwierdzenia ww. zachorowań i bieżące zgłaszanie każdego przypadku podejrzenia zakażenia/zakażenia szczepami alarmowymi (w tym także przypadki nosicielstwa) do właściwych państwowych inspektorów sanitarnych. </w:t>
      </w:r>
      <w:r w:rsidRPr="00826D33">
        <w:rPr>
          <w:rFonts w:eastAsia="Calibri" w:cstheme="minorHAnsi"/>
          <w:sz w:val="24"/>
          <w:szCs w:val="24"/>
        </w:rPr>
        <w:t>W ramach prowadzonego wzmożonego nadzoru nad czynnikami alarmowymi na terenie województwa działa powołany z</w:t>
      </w:r>
      <w:r w:rsidRPr="00826D33">
        <w:rPr>
          <w:rFonts w:cstheme="minorHAnsi"/>
          <w:sz w:val="24"/>
          <w:szCs w:val="24"/>
        </w:rPr>
        <w:t xml:space="preserve">arządzeniem </w:t>
      </w:r>
      <w:r>
        <w:rPr>
          <w:rFonts w:cstheme="minorHAnsi"/>
          <w:sz w:val="24"/>
          <w:szCs w:val="24"/>
        </w:rPr>
        <w:t>przez</w:t>
      </w:r>
      <w:r w:rsidRPr="00826D33">
        <w:rPr>
          <w:rFonts w:cstheme="minorHAnsi"/>
          <w:sz w:val="24"/>
          <w:szCs w:val="24"/>
        </w:rPr>
        <w:t xml:space="preserve"> Wojewod</w:t>
      </w:r>
      <w:r>
        <w:rPr>
          <w:rFonts w:cstheme="minorHAnsi"/>
          <w:sz w:val="24"/>
          <w:szCs w:val="24"/>
        </w:rPr>
        <w:t>ę</w:t>
      </w:r>
      <w:r w:rsidRPr="00826D33">
        <w:rPr>
          <w:rFonts w:cstheme="minorHAnsi"/>
          <w:sz w:val="24"/>
          <w:szCs w:val="24"/>
        </w:rPr>
        <w:t xml:space="preserve"> Zachodniopomorskiego, Wojewódzki Zespół ds. Monitorowania i Zwalczania Zakażeń Drobnoustrojami Opornymi na Antybiotyki Kluczowe dla Leczenia. W ramach działania Zespołu, prowadzone były spotkania i narady. Zespół </w:t>
      </w:r>
      <w:r w:rsidRPr="00826D33">
        <w:rPr>
          <w:rFonts w:cstheme="minorHAnsi"/>
          <w:kern w:val="32"/>
          <w:sz w:val="24"/>
          <w:szCs w:val="24"/>
        </w:rPr>
        <w:t xml:space="preserve">realizował działania związane z m.in. monitorowaniem sytuacji epidemiologicznej w zakresie występowania pałeczek wielolekoopornych Enterobacterales CPE, podejmowaniem doraźnych działań przeciwepidemicznych w zależności od sytuacji epidemiologicznej, a także ustalania strategii regionalnej działań zapobiegających rozprzestrzenianiu drobnoustrojów wielolekoopornych. Podczas spotkań </w:t>
      </w:r>
      <w:r w:rsidRPr="00826D33">
        <w:rPr>
          <w:rFonts w:cstheme="minorHAnsi"/>
          <w:sz w:val="24"/>
          <w:szCs w:val="24"/>
        </w:rPr>
        <w:t xml:space="preserve">poruszane </w:t>
      </w:r>
      <w:r w:rsidRPr="00826D33">
        <w:rPr>
          <w:rFonts w:eastAsia="Times New Roman" w:cstheme="minorHAnsi"/>
          <w:sz w:val="24"/>
          <w:szCs w:val="24"/>
        </w:rPr>
        <w:t xml:space="preserve">były </w:t>
      </w:r>
      <w:r w:rsidRPr="00826D33">
        <w:rPr>
          <w:rFonts w:cstheme="minorHAnsi"/>
          <w:sz w:val="24"/>
          <w:szCs w:val="24"/>
        </w:rPr>
        <w:t>zagadnienia</w:t>
      </w:r>
      <w:r w:rsidRPr="00826D33">
        <w:rPr>
          <w:rFonts w:eastAsia="Times New Roman" w:cstheme="minorHAnsi"/>
          <w:sz w:val="24"/>
          <w:szCs w:val="24"/>
        </w:rPr>
        <w:t xml:space="preserve"> dot. aktualnych problemów związanych z</w:t>
      </w:r>
      <w:r w:rsidR="007B1BEB">
        <w:rPr>
          <w:rFonts w:eastAsia="Times New Roman" w:cstheme="minorHAnsi"/>
          <w:sz w:val="24"/>
          <w:szCs w:val="24"/>
        </w:rPr>
        <w:t> </w:t>
      </w:r>
      <w:r w:rsidRPr="00826D33">
        <w:rPr>
          <w:rFonts w:eastAsia="Times New Roman" w:cstheme="minorHAnsi"/>
          <w:sz w:val="24"/>
          <w:szCs w:val="24"/>
        </w:rPr>
        <w:t>transmisją szczepów wielolekoopornych w szpitalach woj. zachodniopomorskiego.</w:t>
      </w:r>
    </w:p>
    <w:p w14:paraId="08332314" w14:textId="77777777" w:rsidR="0063333E" w:rsidRPr="00826D33" w:rsidRDefault="0063333E" w:rsidP="00597239">
      <w:pPr>
        <w:spacing w:after="0" w:line="276" w:lineRule="auto"/>
        <w:contextualSpacing/>
        <w:rPr>
          <w:rFonts w:cstheme="minorHAnsi"/>
          <w:bCs/>
          <w:sz w:val="24"/>
          <w:szCs w:val="24"/>
        </w:rPr>
      </w:pPr>
    </w:p>
    <w:p w14:paraId="0D52A1BB" w14:textId="37542105" w:rsidR="000B4D72" w:rsidRPr="00272FD0" w:rsidRDefault="000B4D72" w:rsidP="00597239">
      <w:pPr>
        <w:pStyle w:val="Nagwek3"/>
        <w:numPr>
          <w:ilvl w:val="1"/>
          <w:numId w:val="33"/>
        </w:numPr>
        <w:spacing w:before="0" w:after="0"/>
        <w:ind w:left="568" w:hanging="284"/>
      </w:pPr>
      <w:bookmarkStart w:id="179" w:name="_Toc192678718"/>
      <w:bookmarkStart w:id="180" w:name="_Toc193694457"/>
      <w:bookmarkStart w:id="181" w:name="_Toc194059796"/>
      <w:r w:rsidRPr="00272FD0">
        <w:t>Nadzór nad czynnikami alarmowymi w podmiotach leczniczych</w:t>
      </w:r>
      <w:bookmarkEnd w:id="179"/>
      <w:bookmarkEnd w:id="180"/>
      <w:bookmarkEnd w:id="181"/>
    </w:p>
    <w:p w14:paraId="5F5FF94E" w14:textId="18EFAAE1" w:rsidR="00B84251" w:rsidRDefault="000B4D72" w:rsidP="00597239">
      <w:pPr>
        <w:spacing w:after="0" w:line="276" w:lineRule="auto"/>
        <w:contextualSpacing/>
        <w:rPr>
          <w:rFonts w:cstheme="minorHAnsi"/>
          <w:bCs/>
          <w:color w:val="000000" w:themeColor="text1"/>
          <w:sz w:val="24"/>
          <w:szCs w:val="24"/>
        </w:rPr>
      </w:pPr>
      <w:r w:rsidRPr="005C6B2A">
        <w:rPr>
          <w:rFonts w:cstheme="minorHAnsi"/>
          <w:bCs/>
          <w:color w:val="000000" w:themeColor="text1"/>
          <w:sz w:val="24"/>
          <w:szCs w:val="24"/>
        </w:rPr>
        <w:t xml:space="preserve">W 2024 roku w podmiotach leczniczych woj. zachodniopomorskiego nastąpił spadek liczby ognisk epidemicznych. Zgłoszono </w:t>
      </w:r>
      <w:r w:rsidR="00F26F51">
        <w:rPr>
          <w:rFonts w:cstheme="minorHAnsi"/>
          <w:bCs/>
          <w:color w:val="000000" w:themeColor="text1"/>
          <w:sz w:val="24"/>
          <w:szCs w:val="24"/>
        </w:rPr>
        <w:t>ponad 20%</w:t>
      </w:r>
      <w:r>
        <w:rPr>
          <w:rFonts w:cstheme="minorHAnsi"/>
          <w:bCs/>
          <w:color w:val="000000" w:themeColor="text1"/>
          <w:sz w:val="24"/>
          <w:szCs w:val="24"/>
        </w:rPr>
        <w:t xml:space="preserve"> </w:t>
      </w:r>
      <w:r w:rsidRPr="005C6B2A">
        <w:rPr>
          <w:rFonts w:cstheme="minorHAnsi"/>
          <w:bCs/>
          <w:color w:val="000000" w:themeColor="text1"/>
          <w:sz w:val="24"/>
          <w:szCs w:val="24"/>
        </w:rPr>
        <w:t xml:space="preserve">ognisk mniej niż w roku poprzedzającym. Liczba ognisk zakażeń szpitalnych w podmiotach leczniczych woj. zachodniopomorskiego </w:t>
      </w:r>
      <w:r w:rsidRPr="005C6B2A">
        <w:rPr>
          <w:rFonts w:cstheme="minorHAnsi"/>
          <w:bCs/>
          <w:color w:val="000000" w:themeColor="text1"/>
          <w:sz w:val="24"/>
          <w:szCs w:val="24"/>
        </w:rPr>
        <w:lastRenderedPageBreak/>
        <w:t>na</w:t>
      </w:r>
      <w:r w:rsidR="002E1F9D">
        <w:rPr>
          <w:rFonts w:cstheme="minorHAnsi"/>
          <w:bCs/>
          <w:color w:val="000000" w:themeColor="text1"/>
          <w:sz w:val="24"/>
          <w:szCs w:val="24"/>
        </w:rPr>
        <w:t> </w:t>
      </w:r>
      <w:r w:rsidRPr="005C6B2A">
        <w:rPr>
          <w:rFonts w:cstheme="minorHAnsi"/>
          <w:bCs/>
          <w:color w:val="000000" w:themeColor="text1"/>
          <w:sz w:val="24"/>
          <w:szCs w:val="24"/>
        </w:rPr>
        <w:t xml:space="preserve">przestrzeni lat 2020-2024 przedstawiona została na </w:t>
      </w:r>
      <w:r w:rsidR="00BE2476">
        <w:rPr>
          <w:rFonts w:cstheme="minorHAnsi"/>
          <w:bCs/>
          <w:color w:val="000000" w:themeColor="text1"/>
          <w:sz w:val="24"/>
          <w:szCs w:val="24"/>
        </w:rPr>
        <w:t>wykresie</w:t>
      </w:r>
      <w:r w:rsidRPr="005C6B2A">
        <w:rPr>
          <w:rFonts w:cstheme="minorHAnsi"/>
          <w:bCs/>
          <w:color w:val="000000" w:themeColor="text1"/>
          <w:sz w:val="24"/>
          <w:szCs w:val="24"/>
        </w:rPr>
        <w:t xml:space="preserve"> </w:t>
      </w:r>
      <w:r>
        <w:rPr>
          <w:rFonts w:cstheme="minorHAnsi"/>
          <w:bCs/>
          <w:color w:val="000000" w:themeColor="text1"/>
          <w:sz w:val="24"/>
          <w:szCs w:val="24"/>
        </w:rPr>
        <w:t>7</w:t>
      </w:r>
      <w:r w:rsidRPr="005C6B2A">
        <w:rPr>
          <w:rFonts w:cstheme="minorHAnsi"/>
          <w:bCs/>
          <w:color w:val="000000" w:themeColor="text1"/>
          <w:sz w:val="24"/>
          <w:szCs w:val="24"/>
        </w:rPr>
        <w:t>. Analiza uwzględnia ogniska, w</w:t>
      </w:r>
      <w:r w:rsidR="007B1BEB">
        <w:rPr>
          <w:rFonts w:cstheme="minorHAnsi"/>
          <w:bCs/>
          <w:color w:val="000000" w:themeColor="text1"/>
          <w:sz w:val="24"/>
          <w:szCs w:val="24"/>
        </w:rPr>
        <w:t> </w:t>
      </w:r>
      <w:r w:rsidRPr="005C6B2A">
        <w:rPr>
          <w:rFonts w:cstheme="minorHAnsi"/>
          <w:bCs/>
          <w:color w:val="000000" w:themeColor="text1"/>
          <w:sz w:val="24"/>
          <w:szCs w:val="24"/>
        </w:rPr>
        <w:t>których czynnikiem etiologicznym był wirus SARS-CoV-2.</w:t>
      </w:r>
    </w:p>
    <w:p w14:paraId="4614BE9A" w14:textId="77777777" w:rsidR="0063333E" w:rsidRPr="00B449A4" w:rsidRDefault="0063333E" w:rsidP="00597239">
      <w:pPr>
        <w:spacing w:after="0" w:line="276" w:lineRule="auto"/>
        <w:contextualSpacing/>
        <w:rPr>
          <w:rFonts w:cstheme="minorHAnsi"/>
          <w:bCs/>
          <w:color w:val="000000" w:themeColor="text1"/>
          <w:sz w:val="24"/>
          <w:szCs w:val="24"/>
        </w:rPr>
      </w:pPr>
    </w:p>
    <w:p w14:paraId="1A31B9AC" w14:textId="77777777" w:rsidR="001C4441" w:rsidRDefault="001C4441" w:rsidP="00597239">
      <w:pPr>
        <w:pStyle w:val="Legenda"/>
        <w:rPr>
          <w:i w:val="0"/>
          <w:iCs w:val="0"/>
          <w:color w:val="000000" w:themeColor="text1"/>
        </w:rPr>
      </w:pPr>
      <w:bookmarkStart w:id="182" w:name="_Toc193969464"/>
      <w:bookmarkStart w:id="183" w:name="_Toc194059924"/>
    </w:p>
    <w:p w14:paraId="7F477C6D" w14:textId="77777777" w:rsidR="001C4441" w:rsidRDefault="001C4441" w:rsidP="00597239">
      <w:pPr>
        <w:pStyle w:val="Legenda"/>
        <w:rPr>
          <w:i w:val="0"/>
          <w:iCs w:val="0"/>
          <w:color w:val="000000" w:themeColor="text1"/>
        </w:rPr>
      </w:pPr>
    </w:p>
    <w:p w14:paraId="0A9941B1" w14:textId="77777777" w:rsidR="001C4441" w:rsidRDefault="001C4441" w:rsidP="00597239">
      <w:pPr>
        <w:pStyle w:val="Legenda"/>
        <w:rPr>
          <w:i w:val="0"/>
          <w:iCs w:val="0"/>
          <w:color w:val="000000" w:themeColor="text1"/>
        </w:rPr>
      </w:pPr>
    </w:p>
    <w:p w14:paraId="40FDA44B" w14:textId="77777777" w:rsidR="001C4441" w:rsidRDefault="001C4441" w:rsidP="00597239">
      <w:pPr>
        <w:pStyle w:val="Legenda"/>
        <w:rPr>
          <w:i w:val="0"/>
          <w:iCs w:val="0"/>
          <w:color w:val="000000" w:themeColor="text1"/>
        </w:rPr>
      </w:pPr>
    </w:p>
    <w:p w14:paraId="2B0141D7" w14:textId="77777777" w:rsidR="001C4441" w:rsidRDefault="001C4441" w:rsidP="00597239">
      <w:pPr>
        <w:pStyle w:val="Legenda"/>
        <w:rPr>
          <w:i w:val="0"/>
          <w:iCs w:val="0"/>
          <w:color w:val="000000" w:themeColor="text1"/>
        </w:rPr>
      </w:pPr>
    </w:p>
    <w:p w14:paraId="56F33AEB" w14:textId="77777777" w:rsidR="001C4441" w:rsidRDefault="001C4441" w:rsidP="00597239">
      <w:pPr>
        <w:pStyle w:val="Legenda"/>
        <w:rPr>
          <w:i w:val="0"/>
          <w:iCs w:val="0"/>
          <w:color w:val="000000" w:themeColor="text1"/>
        </w:rPr>
      </w:pPr>
    </w:p>
    <w:p w14:paraId="196613F7" w14:textId="6A479385" w:rsidR="000B4D72" w:rsidRPr="00BE2476" w:rsidRDefault="00BE2476" w:rsidP="00597239">
      <w:pPr>
        <w:pStyle w:val="Legenda"/>
        <w:rPr>
          <w:rFonts w:cstheme="minorHAnsi"/>
          <w:bCs/>
          <w:i w:val="0"/>
          <w:iCs w:val="0"/>
          <w:color w:val="000000" w:themeColor="text1"/>
          <w:sz w:val="24"/>
          <w:szCs w:val="24"/>
        </w:rPr>
      </w:pPr>
      <w:r w:rsidRPr="00BE2476">
        <w:rPr>
          <w:i w:val="0"/>
          <w:iCs w:val="0"/>
          <w:color w:val="000000" w:themeColor="text1"/>
        </w:rPr>
        <w:t xml:space="preserve">Wykres </w:t>
      </w:r>
      <w:r w:rsidRPr="00BE2476">
        <w:rPr>
          <w:i w:val="0"/>
          <w:iCs w:val="0"/>
          <w:color w:val="000000" w:themeColor="text1"/>
        </w:rPr>
        <w:fldChar w:fldCharType="begin"/>
      </w:r>
      <w:r w:rsidRPr="00BE2476">
        <w:rPr>
          <w:i w:val="0"/>
          <w:iCs w:val="0"/>
          <w:color w:val="000000" w:themeColor="text1"/>
        </w:rPr>
        <w:instrText xml:space="preserve"> SEQ Wykres \* ARABIC </w:instrText>
      </w:r>
      <w:r w:rsidRPr="00BE2476">
        <w:rPr>
          <w:i w:val="0"/>
          <w:iCs w:val="0"/>
          <w:color w:val="000000" w:themeColor="text1"/>
        </w:rPr>
        <w:fldChar w:fldCharType="separate"/>
      </w:r>
      <w:r w:rsidR="00FB6F6A">
        <w:rPr>
          <w:i w:val="0"/>
          <w:iCs w:val="0"/>
          <w:noProof/>
          <w:color w:val="000000" w:themeColor="text1"/>
        </w:rPr>
        <w:t>7</w:t>
      </w:r>
      <w:r w:rsidRPr="00BE2476">
        <w:rPr>
          <w:i w:val="0"/>
          <w:iCs w:val="0"/>
          <w:color w:val="000000" w:themeColor="text1"/>
        </w:rPr>
        <w:fldChar w:fldCharType="end"/>
      </w:r>
      <w:r>
        <w:rPr>
          <w:i w:val="0"/>
          <w:iCs w:val="0"/>
          <w:color w:val="000000" w:themeColor="text1"/>
        </w:rPr>
        <w:t xml:space="preserve"> </w:t>
      </w:r>
      <w:r w:rsidRPr="00BE2476">
        <w:rPr>
          <w:i w:val="0"/>
          <w:iCs w:val="0"/>
          <w:color w:val="000000" w:themeColor="text1"/>
        </w:rPr>
        <w:t>Liczba ognisk zakażeń szpitalnych w woj. zachodniopomorskim zgłoszonych do Państwowej Inspekcji Sanitarnej w</w:t>
      </w:r>
      <w:r w:rsidR="007B1BEB">
        <w:rPr>
          <w:i w:val="0"/>
          <w:iCs w:val="0"/>
          <w:color w:val="000000" w:themeColor="text1"/>
        </w:rPr>
        <w:t> </w:t>
      </w:r>
      <w:r w:rsidRPr="00BE2476">
        <w:rPr>
          <w:i w:val="0"/>
          <w:iCs w:val="0"/>
          <w:color w:val="000000" w:themeColor="text1"/>
        </w:rPr>
        <w:t>latach 2020 -2024</w:t>
      </w:r>
      <w:bookmarkEnd w:id="182"/>
      <w:bookmarkEnd w:id="183"/>
    </w:p>
    <w:p w14:paraId="5BD296E0" w14:textId="77777777" w:rsidR="000B4D72" w:rsidRPr="00BB370F" w:rsidRDefault="000B4D72" w:rsidP="00597239">
      <w:pPr>
        <w:rPr>
          <w:color w:val="CC0066"/>
        </w:rPr>
      </w:pPr>
      <w:r w:rsidRPr="00BB370F">
        <w:rPr>
          <w:noProof/>
          <w:color w:val="CC0066"/>
        </w:rPr>
        <w:drawing>
          <wp:inline distT="0" distB="0" distL="0" distR="0" wp14:anchorId="5803089C" wp14:editId="6275FD4F">
            <wp:extent cx="5756400" cy="2833200"/>
            <wp:effectExtent l="0" t="0" r="15875" b="5715"/>
            <wp:docPr id="1692086560" name="Wykres 1692086560" descr="Wykres przedstawia liczbę ognisk zakażeń szpitalnych w woj. zachodniopomorskim zgłoszonych do Państwowej Inspekcji Sanitarnej w latach 2020 -2024&#10;W 2024 r. zarejestrowano 126 ognisk w tym 50 o etiologii SARS-CoV-2, w porównaniu do 158 ognisk rejestrowanych w 2023 roku wśród których 92 wywołał SARS-CoV-2.">
              <a:extLst xmlns:a="http://schemas.openxmlformats.org/drawingml/2006/main">
                <a:ext uri="{FF2B5EF4-FFF2-40B4-BE49-F238E27FC236}">
                  <a16:creationId xmlns:a16="http://schemas.microsoft.com/office/drawing/2014/main" id="{7AEF05D8-70BC-50E6-F26F-32055834D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F2F940" w14:textId="7B5EA323" w:rsidR="000B4D72" w:rsidRPr="002C2BB6" w:rsidRDefault="000B4D72" w:rsidP="00597239">
      <w:pPr>
        <w:spacing w:after="0" w:line="276" w:lineRule="auto"/>
        <w:contextualSpacing/>
        <w:rPr>
          <w:rFonts w:cstheme="minorHAnsi"/>
          <w:bCs/>
          <w:color w:val="000000" w:themeColor="text1"/>
          <w:sz w:val="24"/>
          <w:szCs w:val="24"/>
        </w:rPr>
      </w:pPr>
      <w:r w:rsidRPr="002C2BB6">
        <w:rPr>
          <w:rFonts w:cstheme="minorHAnsi"/>
          <w:bCs/>
          <w:color w:val="000000" w:themeColor="text1"/>
          <w:sz w:val="24"/>
          <w:szCs w:val="24"/>
        </w:rPr>
        <w:t xml:space="preserve">Mimo tendencji spadkowej w liczbie ognisk zakażeń szpitalnych wywołanych wirusem SARS-CoV-2, biorąc pod uwagę wszystkie występujące w 2024 r. na terenie woj. zachodniopomorskiego czynniki etiologiczne zakażeń szpitalnych, należy wskazać, iż podobnie jak w latach poprzedzających, wirus stanowił główny czynnik etiologiczny ognisk zakażeń szpitalnych (50 ognisk). Odsetek zgłoszonych w 2024 r. w woj. zachodniopomorskim ognisk epidemicznych o etiologii SARS-CoV-2 wyniósł </w:t>
      </w:r>
      <w:r w:rsidR="00F53E15">
        <w:rPr>
          <w:rFonts w:cstheme="minorHAnsi"/>
          <w:bCs/>
          <w:color w:val="000000" w:themeColor="text1"/>
          <w:sz w:val="24"/>
          <w:szCs w:val="24"/>
        </w:rPr>
        <w:t>prawie</w:t>
      </w:r>
      <w:r>
        <w:rPr>
          <w:rFonts w:cstheme="minorHAnsi"/>
          <w:bCs/>
          <w:color w:val="000000" w:themeColor="text1"/>
          <w:sz w:val="24"/>
          <w:szCs w:val="24"/>
        </w:rPr>
        <w:t xml:space="preserve"> </w:t>
      </w:r>
      <w:r w:rsidRPr="002C2BB6">
        <w:rPr>
          <w:rFonts w:cstheme="minorHAnsi"/>
          <w:bCs/>
          <w:color w:val="000000" w:themeColor="text1"/>
          <w:sz w:val="24"/>
          <w:szCs w:val="24"/>
        </w:rPr>
        <w:t>4</w:t>
      </w:r>
      <w:r w:rsidR="00F53E15">
        <w:rPr>
          <w:rFonts w:cstheme="minorHAnsi"/>
          <w:bCs/>
          <w:color w:val="000000" w:themeColor="text1"/>
          <w:sz w:val="24"/>
          <w:szCs w:val="24"/>
        </w:rPr>
        <w:t xml:space="preserve">0 </w:t>
      </w:r>
      <w:r w:rsidRPr="002C2BB6">
        <w:rPr>
          <w:rFonts w:cstheme="minorHAnsi"/>
          <w:bCs/>
          <w:color w:val="000000" w:themeColor="text1"/>
          <w:sz w:val="24"/>
          <w:szCs w:val="24"/>
        </w:rPr>
        <w:t>%</w:t>
      </w:r>
      <w:r>
        <w:rPr>
          <w:rFonts w:cstheme="minorHAnsi"/>
          <w:bCs/>
          <w:color w:val="000000" w:themeColor="text1"/>
          <w:sz w:val="24"/>
          <w:szCs w:val="24"/>
        </w:rPr>
        <w:t>.</w:t>
      </w:r>
    </w:p>
    <w:p w14:paraId="5EA04180" w14:textId="77777777" w:rsidR="0063333E" w:rsidRDefault="0063333E" w:rsidP="00597239">
      <w:pPr>
        <w:spacing w:after="0" w:line="276" w:lineRule="auto"/>
        <w:contextualSpacing/>
        <w:rPr>
          <w:rFonts w:cstheme="minorHAnsi"/>
          <w:bCs/>
          <w:color w:val="000000" w:themeColor="text1"/>
          <w:sz w:val="24"/>
          <w:szCs w:val="24"/>
        </w:rPr>
      </w:pPr>
    </w:p>
    <w:p w14:paraId="5C50D8FA" w14:textId="5B0B614A" w:rsidR="000B4D72" w:rsidRDefault="000B4D72" w:rsidP="00597239">
      <w:pPr>
        <w:spacing w:after="0" w:line="276" w:lineRule="auto"/>
        <w:contextualSpacing/>
        <w:rPr>
          <w:rFonts w:cstheme="minorHAnsi"/>
          <w:bCs/>
          <w:color w:val="000000" w:themeColor="text1"/>
          <w:sz w:val="24"/>
          <w:szCs w:val="24"/>
        </w:rPr>
      </w:pPr>
      <w:r w:rsidRPr="00CB6158">
        <w:rPr>
          <w:rFonts w:cstheme="minorHAnsi"/>
          <w:bCs/>
          <w:color w:val="000000" w:themeColor="text1"/>
          <w:sz w:val="24"/>
          <w:szCs w:val="24"/>
        </w:rPr>
        <w:t>Wśród pozostałych 7</w:t>
      </w:r>
      <w:r w:rsidR="00F53E15">
        <w:rPr>
          <w:rFonts w:cstheme="minorHAnsi"/>
          <w:bCs/>
          <w:color w:val="000000" w:themeColor="text1"/>
          <w:sz w:val="24"/>
          <w:szCs w:val="24"/>
        </w:rPr>
        <w:t>6</w:t>
      </w:r>
      <w:r w:rsidRPr="00CB6158">
        <w:rPr>
          <w:rFonts w:cstheme="minorHAnsi"/>
          <w:bCs/>
          <w:color w:val="000000" w:themeColor="text1"/>
          <w:sz w:val="24"/>
          <w:szCs w:val="24"/>
        </w:rPr>
        <w:t xml:space="preserve"> ognisk epidemicznych, najwięcej wywołan</w:t>
      </w:r>
      <w:r>
        <w:rPr>
          <w:rFonts w:cstheme="minorHAnsi"/>
          <w:bCs/>
          <w:color w:val="000000" w:themeColor="text1"/>
          <w:sz w:val="24"/>
          <w:szCs w:val="24"/>
        </w:rPr>
        <w:t>ych było</w:t>
      </w:r>
      <w:r w:rsidRPr="00CB6158">
        <w:rPr>
          <w:rFonts w:cstheme="minorHAnsi"/>
          <w:bCs/>
          <w:color w:val="000000" w:themeColor="text1"/>
          <w:sz w:val="24"/>
          <w:szCs w:val="24"/>
        </w:rPr>
        <w:t xml:space="preserve"> przez</w:t>
      </w:r>
      <w:r w:rsidR="002E1F9D">
        <w:rPr>
          <w:rFonts w:cstheme="minorHAnsi"/>
          <w:bCs/>
          <w:color w:val="000000" w:themeColor="text1"/>
          <w:sz w:val="24"/>
          <w:szCs w:val="24"/>
        </w:rPr>
        <w:t> </w:t>
      </w:r>
      <w:r w:rsidRPr="00CB6158">
        <w:rPr>
          <w:rFonts w:cstheme="minorHAnsi"/>
          <w:bCs/>
          <w:color w:val="000000" w:themeColor="text1"/>
          <w:sz w:val="24"/>
          <w:szCs w:val="24"/>
        </w:rPr>
        <w:t>Klebsiella pneumoniae z różnymi mechanizmami oporności (2</w:t>
      </w:r>
      <w:r w:rsidR="00F53E15">
        <w:rPr>
          <w:rFonts w:cstheme="minorHAnsi"/>
          <w:bCs/>
          <w:color w:val="000000" w:themeColor="text1"/>
          <w:sz w:val="24"/>
          <w:szCs w:val="24"/>
        </w:rPr>
        <w:t>3</w:t>
      </w:r>
      <w:r w:rsidRPr="00CB6158">
        <w:rPr>
          <w:rFonts w:cstheme="minorHAnsi"/>
          <w:bCs/>
          <w:color w:val="000000" w:themeColor="text1"/>
          <w:sz w:val="24"/>
          <w:szCs w:val="24"/>
        </w:rPr>
        <w:t xml:space="preserve"> ognisk</w:t>
      </w:r>
      <w:r w:rsidR="00F53E15">
        <w:rPr>
          <w:rFonts w:cstheme="minorHAnsi"/>
          <w:bCs/>
          <w:color w:val="000000" w:themeColor="text1"/>
          <w:sz w:val="24"/>
          <w:szCs w:val="24"/>
        </w:rPr>
        <w:t>a</w:t>
      </w:r>
      <w:r w:rsidRPr="00CB6158">
        <w:rPr>
          <w:rFonts w:cstheme="minorHAnsi"/>
          <w:bCs/>
          <w:color w:val="000000" w:themeColor="text1"/>
          <w:sz w:val="24"/>
          <w:szCs w:val="24"/>
        </w:rPr>
        <w:t>)</w:t>
      </w:r>
      <w:r>
        <w:rPr>
          <w:rFonts w:cstheme="minorHAnsi"/>
          <w:bCs/>
          <w:color w:val="000000" w:themeColor="text1"/>
          <w:sz w:val="24"/>
          <w:szCs w:val="24"/>
        </w:rPr>
        <w:t>,</w:t>
      </w:r>
      <w:r w:rsidRPr="00CB6158">
        <w:rPr>
          <w:rFonts w:cstheme="minorHAnsi"/>
          <w:bCs/>
          <w:color w:val="000000" w:themeColor="text1"/>
          <w:sz w:val="24"/>
          <w:szCs w:val="24"/>
        </w:rPr>
        <w:t xml:space="preserve"> Clostridioides difficile (16 ognisk), </w:t>
      </w:r>
      <w:r>
        <w:rPr>
          <w:rFonts w:cstheme="minorHAnsi"/>
          <w:bCs/>
          <w:color w:val="000000" w:themeColor="text1"/>
          <w:sz w:val="24"/>
          <w:szCs w:val="24"/>
        </w:rPr>
        <w:t>wirusa grypy (</w:t>
      </w:r>
      <w:r w:rsidRPr="00CB6158">
        <w:rPr>
          <w:rFonts w:cstheme="minorHAnsi"/>
          <w:bCs/>
          <w:color w:val="000000" w:themeColor="text1"/>
          <w:sz w:val="24"/>
          <w:szCs w:val="24"/>
        </w:rPr>
        <w:t>14 ognisk</w:t>
      </w:r>
      <w:r>
        <w:rPr>
          <w:rFonts w:cstheme="minorHAnsi"/>
          <w:bCs/>
          <w:color w:val="000000" w:themeColor="text1"/>
          <w:sz w:val="24"/>
          <w:szCs w:val="24"/>
        </w:rPr>
        <w:t>),</w:t>
      </w:r>
      <w:r w:rsidRPr="00CB6158">
        <w:rPr>
          <w:rFonts w:cstheme="minorHAnsi"/>
          <w:bCs/>
          <w:color w:val="000000" w:themeColor="text1"/>
          <w:sz w:val="24"/>
          <w:szCs w:val="24"/>
        </w:rPr>
        <w:t xml:space="preserve"> Acinetobacter baumannii z różnymi mechanizmami oporności </w:t>
      </w:r>
      <w:r>
        <w:rPr>
          <w:rFonts w:cstheme="minorHAnsi"/>
          <w:bCs/>
          <w:color w:val="000000" w:themeColor="text1"/>
          <w:sz w:val="24"/>
          <w:szCs w:val="24"/>
        </w:rPr>
        <w:t>(</w:t>
      </w:r>
      <w:r w:rsidRPr="00CB6158">
        <w:rPr>
          <w:rFonts w:cstheme="minorHAnsi"/>
          <w:bCs/>
          <w:color w:val="000000" w:themeColor="text1"/>
          <w:sz w:val="24"/>
          <w:szCs w:val="24"/>
        </w:rPr>
        <w:t>1</w:t>
      </w:r>
      <w:r w:rsidR="00072023">
        <w:rPr>
          <w:rFonts w:cstheme="minorHAnsi"/>
          <w:bCs/>
          <w:color w:val="000000" w:themeColor="text1"/>
          <w:sz w:val="24"/>
          <w:szCs w:val="24"/>
        </w:rPr>
        <w:t>3</w:t>
      </w:r>
      <w:r w:rsidRPr="00CB6158">
        <w:rPr>
          <w:rFonts w:cstheme="minorHAnsi"/>
          <w:bCs/>
          <w:color w:val="000000" w:themeColor="text1"/>
          <w:sz w:val="24"/>
          <w:szCs w:val="24"/>
        </w:rPr>
        <w:t xml:space="preserve"> ognisk</w:t>
      </w:r>
      <w:r>
        <w:rPr>
          <w:rFonts w:cstheme="minorHAnsi"/>
          <w:bCs/>
          <w:color w:val="000000" w:themeColor="text1"/>
          <w:sz w:val="24"/>
          <w:szCs w:val="24"/>
        </w:rPr>
        <w:t xml:space="preserve">). </w:t>
      </w:r>
      <w:r w:rsidRPr="00CB6158">
        <w:rPr>
          <w:rFonts w:cstheme="minorHAnsi"/>
          <w:bCs/>
          <w:color w:val="000000" w:themeColor="text1"/>
          <w:sz w:val="24"/>
          <w:szCs w:val="24"/>
        </w:rPr>
        <w:t>Pozostałe, pojedyncze ogniska epidemiczne, wywołane zostały przez inne czynniki etiologiczne o</w:t>
      </w:r>
      <w:r>
        <w:rPr>
          <w:rFonts w:cstheme="minorHAnsi"/>
          <w:bCs/>
          <w:color w:val="000000" w:themeColor="text1"/>
          <w:sz w:val="24"/>
          <w:szCs w:val="24"/>
        </w:rPr>
        <w:t xml:space="preserve"> </w:t>
      </w:r>
      <w:r w:rsidRPr="00CB6158">
        <w:rPr>
          <w:rFonts w:cstheme="minorHAnsi"/>
          <w:bCs/>
          <w:color w:val="000000" w:themeColor="text1"/>
          <w:sz w:val="24"/>
          <w:szCs w:val="24"/>
        </w:rPr>
        <w:t xml:space="preserve">różnych mechanizmach oporności: </w:t>
      </w:r>
      <w:r w:rsidRPr="00930CCC">
        <w:rPr>
          <w:rFonts w:cstheme="minorHAnsi"/>
          <w:bCs/>
          <w:i/>
          <w:iCs/>
          <w:color w:val="000000" w:themeColor="text1"/>
          <w:sz w:val="24"/>
          <w:szCs w:val="24"/>
        </w:rPr>
        <w:t>Enterobacter hormaechei, Enterococcus faecium, Norowirus, Pseudomonas aeruginosa, Staphylococcus aureus, Streptococcus pyogenes</w:t>
      </w:r>
      <w:r w:rsidRPr="00CB6158">
        <w:rPr>
          <w:rFonts w:cstheme="minorHAnsi"/>
          <w:bCs/>
          <w:color w:val="000000" w:themeColor="text1"/>
          <w:sz w:val="24"/>
          <w:szCs w:val="24"/>
        </w:rPr>
        <w:t xml:space="preserve">, świerzbowiec ludzki. </w:t>
      </w:r>
    </w:p>
    <w:p w14:paraId="55FE3B43" w14:textId="77777777" w:rsidR="0063333E" w:rsidRDefault="0063333E" w:rsidP="00597239">
      <w:pPr>
        <w:spacing w:after="0" w:line="276" w:lineRule="auto"/>
        <w:contextualSpacing/>
        <w:rPr>
          <w:rFonts w:cstheme="minorHAnsi"/>
          <w:bCs/>
          <w:color w:val="000000" w:themeColor="text1"/>
          <w:sz w:val="24"/>
          <w:szCs w:val="24"/>
        </w:rPr>
      </w:pPr>
    </w:p>
    <w:p w14:paraId="24A0C8A9" w14:textId="44FDC1BD" w:rsidR="000B4D72" w:rsidRDefault="000B4D72" w:rsidP="00597239">
      <w:pPr>
        <w:spacing w:after="0" w:line="276" w:lineRule="auto"/>
        <w:contextualSpacing/>
        <w:rPr>
          <w:rFonts w:cstheme="minorHAnsi"/>
          <w:bCs/>
          <w:color w:val="000000" w:themeColor="text1"/>
          <w:sz w:val="24"/>
          <w:szCs w:val="24"/>
        </w:rPr>
      </w:pPr>
      <w:r w:rsidRPr="00CB6158">
        <w:rPr>
          <w:rFonts w:cstheme="minorHAnsi"/>
          <w:bCs/>
          <w:color w:val="000000" w:themeColor="text1"/>
          <w:sz w:val="24"/>
          <w:szCs w:val="24"/>
        </w:rPr>
        <w:lastRenderedPageBreak/>
        <w:t>Dochodzenia epidemiologiczne ujawniły, iż potwierdzonym lub prawdopodobnym źródłem zakażenia w</w:t>
      </w:r>
      <w:r>
        <w:rPr>
          <w:rFonts w:cstheme="minorHAnsi"/>
          <w:bCs/>
          <w:color w:val="000000" w:themeColor="text1"/>
          <w:sz w:val="24"/>
          <w:szCs w:val="24"/>
        </w:rPr>
        <w:t xml:space="preserve"> </w:t>
      </w:r>
      <w:r w:rsidRPr="00CB6158">
        <w:rPr>
          <w:rFonts w:cstheme="minorHAnsi"/>
          <w:bCs/>
          <w:color w:val="000000" w:themeColor="text1"/>
          <w:sz w:val="24"/>
          <w:szCs w:val="24"/>
        </w:rPr>
        <w:t>większości ognisk był skolonizowany lub zakażony pacjent i/lub personel, a także osoby odwiedzjące.</w:t>
      </w:r>
    </w:p>
    <w:p w14:paraId="1F847034" w14:textId="77777777" w:rsidR="0063333E" w:rsidRPr="00CB6158" w:rsidRDefault="0063333E" w:rsidP="00597239">
      <w:pPr>
        <w:spacing w:after="0" w:line="276" w:lineRule="auto"/>
        <w:contextualSpacing/>
        <w:rPr>
          <w:rFonts w:cstheme="minorHAnsi"/>
          <w:bCs/>
          <w:color w:val="000000" w:themeColor="text1"/>
          <w:sz w:val="24"/>
          <w:szCs w:val="24"/>
        </w:rPr>
      </w:pPr>
    </w:p>
    <w:p w14:paraId="473ECD11" w14:textId="5867EDAF" w:rsidR="000B4D72" w:rsidRPr="006F17B6" w:rsidRDefault="000B4D72" w:rsidP="00597239">
      <w:pPr>
        <w:pStyle w:val="Nagwek3"/>
        <w:numPr>
          <w:ilvl w:val="1"/>
          <w:numId w:val="33"/>
        </w:numPr>
        <w:spacing w:before="0" w:after="0"/>
        <w:ind w:left="568" w:hanging="284"/>
      </w:pPr>
      <w:bookmarkStart w:id="184" w:name="_Toc192678719"/>
      <w:bookmarkStart w:id="185" w:name="_Toc193694458"/>
      <w:bookmarkStart w:id="186" w:name="_Toc194059797"/>
      <w:r w:rsidRPr="006F17B6">
        <w:t>Podsumowanie</w:t>
      </w:r>
      <w:bookmarkEnd w:id="184"/>
      <w:bookmarkEnd w:id="185"/>
      <w:bookmarkEnd w:id="186"/>
    </w:p>
    <w:p w14:paraId="4F4DDE91" w14:textId="0745006E" w:rsidR="000B4D72" w:rsidRPr="003A793F" w:rsidRDefault="000B4D72" w:rsidP="00597239">
      <w:pPr>
        <w:spacing w:after="0" w:line="276" w:lineRule="auto"/>
        <w:contextualSpacing/>
        <w:rPr>
          <w:rFonts w:cstheme="minorHAnsi"/>
          <w:bCs/>
          <w:color w:val="FF0000"/>
          <w:sz w:val="24"/>
          <w:szCs w:val="24"/>
        </w:rPr>
      </w:pPr>
      <w:r w:rsidRPr="00A32C0B">
        <w:rPr>
          <w:rFonts w:cstheme="minorHAnsi"/>
          <w:sz w:val="24"/>
          <w:szCs w:val="24"/>
        </w:rPr>
        <w:t>Zapobieganie zakażeniom szpitalnym w podmiotach działalności leczniczej w</w:t>
      </w:r>
      <w:r w:rsidR="007B1BEB">
        <w:rPr>
          <w:rFonts w:cstheme="minorHAnsi"/>
          <w:sz w:val="24"/>
          <w:szCs w:val="24"/>
        </w:rPr>
        <w:t> </w:t>
      </w:r>
      <w:r w:rsidRPr="00A32C0B">
        <w:rPr>
          <w:rFonts w:cstheme="minorHAnsi"/>
          <w:sz w:val="24"/>
          <w:szCs w:val="24"/>
        </w:rPr>
        <w:t>szczególności realizujących stacjonarne świadczenia szpitalne stanowi jeden z kluczowych elementów świadczących o jakości usług i tym samym o bezpieczeństwie pacjentów i</w:t>
      </w:r>
      <w:r w:rsidR="007B1BEB">
        <w:rPr>
          <w:rFonts w:cstheme="minorHAnsi"/>
          <w:sz w:val="24"/>
          <w:szCs w:val="24"/>
        </w:rPr>
        <w:t> </w:t>
      </w:r>
      <w:r w:rsidRPr="00A32C0B">
        <w:rPr>
          <w:rFonts w:cstheme="minorHAnsi"/>
          <w:sz w:val="24"/>
          <w:szCs w:val="24"/>
        </w:rPr>
        <w:t>personelu. Jednocześnie nadzór nad realizacją działań zapobiegających szerzeniu się zakażeń i chorób zakaźnych oraz prowadzeniem dokumentacji w tym zakresie jest jednym z</w:t>
      </w:r>
      <w:r w:rsidR="007B1BEB">
        <w:rPr>
          <w:rFonts w:cstheme="minorHAnsi"/>
          <w:sz w:val="24"/>
          <w:szCs w:val="24"/>
        </w:rPr>
        <w:t> </w:t>
      </w:r>
      <w:r w:rsidRPr="00A32C0B">
        <w:rPr>
          <w:rFonts w:cstheme="minorHAnsi"/>
          <w:sz w:val="24"/>
          <w:szCs w:val="24"/>
        </w:rPr>
        <w:t>priorytetowych zagadnień nadzorowych dla Państwowej Inspekcji Sanitarnej.</w:t>
      </w:r>
      <w:r w:rsidRPr="00BD1834">
        <w:rPr>
          <w:rFonts w:cstheme="minorHAnsi"/>
          <w:bCs/>
          <w:sz w:val="24"/>
          <w:szCs w:val="24"/>
        </w:rPr>
        <w:t xml:space="preserve"> </w:t>
      </w:r>
      <w:r w:rsidRPr="00826D33">
        <w:rPr>
          <w:rFonts w:cstheme="minorHAnsi"/>
          <w:bCs/>
          <w:sz w:val="24"/>
          <w:szCs w:val="24"/>
        </w:rPr>
        <w:t>Kluczowe znaczenie w</w:t>
      </w:r>
      <w:r w:rsidR="00C719C9">
        <w:rPr>
          <w:rFonts w:cstheme="minorHAnsi"/>
          <w:bCs/>
          <w:sz w:val="24"/>
          <w:szCs w:val="24"/>
        </w:rPr>
        <w:t> </w:t>
      </w:r>
      <w:r w:rsidRPr="00826D33">
        <w:rPr>
          <w:rFonts w:cstheme="minorHAnsi"/>
          <w:bCs/>
          <w:sz w:val="24"/>
          <w:szCs w:val="24"/>
        </w:rPr>
        <w:t>zapobieganiu zakażeniom ma właściwy monitoring, aktywnie prowadzony przez Zespoły Kontroli Zakażeń Szpitalnych w oparciu o mikrobiologiczną ocenę zagrożeń występujących w</w:t>
      </w:r>
      <w:r w:rsidR="00C719C9">
        <w:rPr>
          <w:rFonts w:cstheme="minorHAnsi"/>
          <w:bCs/>
          <w:sz w:val="24"/>
          <w:szCs w:val="24"/>
        </w:rPr>
        <w:t> </w:t>
      </w:r>
      <w:r w:rsidRPr="00826D33">
        <w:rPr>
          <w:rFonts w:cstheme="minorHAnsi"/>
          <w:bCs/>
          <w:sz w:val="24"/>
          <w:szCs w:val="24"/>
        </w:rPr>
        <w:t>środowisku szpitalnym, który pozwala na ocenę skali zagrożenia w</w:t>
      </w:r>
      <w:r w:rsidR="007B1BEB">
        <w:rPr>
          <w:rFonts w:cstheme="minorHAnsi"/>
          <w:bCs/>
          <w:sz w:val="24"/>
          <w:szCs w:val="24"/>
        </w:rPr>
        <w:t> </w:t>
      </w:r>
      <w:r w:rsidRPr="00826D33">
        <w:rPr>
          <w:rFonts w:cstheme="minorHAnsi"/>
          <w:bCs/>
          <w:sz w:val="24"/>
          <w:szCs w:val="24"/>
        </w:rPr>
        <w:t>poszczególnych jednostkach szpitala oraz podjęcie działań przeciwepidemicznych.</w:t>
      </w:r>
    </w:p>
    <w:p w14:paraId="144842AA" w14:textId="77777777" w:rsidR="0063333E" w:rsidRDefault="0063333E" w:rsidP="00597239">
      <w:pPr>
        <w:spacing w:line="276" w:lineRule="auto"/>
        <w:contextualSpacing/>
        <w:rPr>
          <w:rFonts w:cstheme="minorHAnsi"/>
          <w:sz w:val="24"/>
          <w:szCs w:val="24"/>
        </w:rPr>
      </w:pPr>
    </w:p>
    <w:p w14:paraId="79F41FAB" w14:textId="36D13E1A" w:rsidR="000B4D72" w:rsidRDefault="000B4D72" w:rsidP="00597239">
      <w:pPr>
        <w:spacing w:line="276" w:lineRule="auto"/>
        <w:contextualSpacing/>
        <w:rPr>
          <w:rFonts w:cstheme="minorHAnsi"/>
          <w:sz w:val="24"/>
          <w:szCs w:val="24"/>
        </w:rPr>
      </w:pPr>
      <w:r w:rsidRPr="006F17B6">
        <w:rPr>
          <w:rFonts w:cstheme="minorHAnsi"/>
          <w:sz w:val="24"/>
          <w:szCs w:val="24"/>
        </w:rPr>
        <w:t>Prowadzone działania, poza cyklicznym monitorowaniem sytuacji epidemiologicznej ognisk zakażeń szpitalnych i analizie ujawnionych zagrożeń związanych z szerzeniem się zakażeń wielolekoopornych, skupione są zasadniczo na prawidłowości opracowanych i</w:t>
      </w:r>
      <w:r w:rsidR="007B1BEB">
        <w:rPr>
          <w:rFonts w:cstheme="minorHAnsi"/>
          <w:sz w:val="24"/>
          <w:szCs w:val="24"/>
        </w:rPr>
        <w:t> </w:t>
      </w:r>
      <w:r w:rsidRPr="006F17B6">
        <w:rPr>
          <w:rFonts w:cstheme="minorHAnsi"/>
          <w:sz w:val="24"/>
          <w:szCs w:val="24"/>
        </w:rPr>
        <w:t>wdrożonych procedur zapobiegających zakażeniom, w tym dekontaminacji jak również wsparciu zespołów zakażeń szpitalnych w działaniach przeciwepidemicznych realizowanych w</w:t>
      </w:r>
      <w:r w:rsidR="007B1BEB">
        <w:rPr>
          <w:rFonts w:cstheme="minorHAnsi"/>
          <w:sz w:val="24"/>
          <w:szCs w:val="24"/>
        </w:rPr>
        <w:t> </w:t>
      </w:r>
      <w:r w:rsidRPr="006F17B6">
        <w:rPr>
          <w:rFonts w:cstheme="minorHAnsi"/>
          <w:sz w:val="24"/>
          <w:szCs w:val="24"/>
        </w:rPr>
        <w:t>ogniskach.</w:t>
      </w:r>
    </w:p>
    <w:p w14:paraId="5A30F820" w14:textId="77777777" w:rsidR="008D0D62" w:rsidRPr="003A793F" w:rsidRDefault="008D0D62" w:rsidP="00597239">
      <w:pPr>
        <w:spacing w:line="276" w:lineRule="auto"/>
        <w:ind w:firstLine="567"/>
        <w:contextualSpacing/>
        <w:rPr>
          <w:rFonts w:cstheme="minorHAnsi"/>
          <w:color w:val="FF0000"/>
          <w:sz w:val="24"/>
          <w:szCs w:val="24"/>
        </w:rPr>
      </w:pPr>
    </w:p>
    <w:p w14:paraId="12B17B86" w14:textId="77777777" w:rsidR="00B449A4" w:rsidRDefault="00B449A4" w:rsidP="00597239">
      <w:pPr>
        <w:rPr>
          <w:rFonts w:ascii="Calibri" w:eastAsiaTheme="majorEastAsia" w:hAnsi="Calibri" w:cstheme="minorHAnsi"/>
          <w:b/>
          <w:color w:val="44546A" w:themeColor="text2"/>
          <w:sz w:val="28"/>
          <w:szCs w:val="32"/>
        </w:rPr>
      </w:pPr>
      <w:bookmarkStart w:id="187" w:name="_Toc192678720"/>
      <w:bookmarkStart w:id="188" w:name="_Toc193694459"/>
      <w:bookmarkEnd w:id="178"/>
      <w:r>
        <w:br w:type="page"/>
      </w:r>
    </w:p>
    <w:p w14:paraId="256FD58A" w14:textId="1988AD48" w:rsidR="000B4D72" w:rsidRPr="00125A78" w:rsidRDefault="000B4D72" w:rsidP="00597239">
      <w:pPr>
        <w:pStyle w:val="Nagwek1"/>
        <w:numPr>
          <w:ilvl w:val="0"/>
          <w:numId w:val="79"/>
        </w:numPr>
        <w:ind w:left="0" w:firstLine="0"/>
        <w:jc w:val="left"/>
      </w:pPr>
      <w:bookmarkStart w:id="189" w:name="_Toc194059798"/>
      <w:r w:rsidRPr="00125A78">
        <w:lastRenderedPageBreak/>
        <w:t>Stan sanitarny podmiotów działalności leczniczej</w:t>
      </w:r>
      <w:bookmarkEnd w:id="187"/>
      <w:bookmarkEnd w:id="188"/>
      <w:bookmarkEnd w:id="189"/>
    </w:p>
    <w:p w14:paraId="4E5FD0B2" w14:textId="77777777" w:rsidR="000B4D72" w:rsidRPr="00636DFC" w:rsidRDefault="000B4D72" w:rsidP="00597239">
      <w:pPr>
        <w:tabs>
          <w:tab w:val="left" w:pos="851"/>
        </w:tabs>
        <w:spacing w:after="0" w:line="276" w:lineRule="auto"/>
        <w:rPr>
          <w:rFonts w:eastAsia="Times New Roman" w:cstheme="minorHAnsi"/>
          <w:color w:val="000000" w:themeColor="text1"/>
          <w:sz w:val="24"/>
          <w:szCs w:val="24"/>
          <w:lang w:eastAsia="pl-PL"/>
        </w:rPr>
      </w:pPr>
      <w:r w:rsidRPr="00125A78">
        <w:rPr>
          <w:rFonts w:eastAsia="Times New Roman" w:cstheme="minorHAnsi"/>
          <w:sz w:val="24"/>
          <w:szCs w:val="24"/>
          <w:lang w:eastAsia="pl-PL"/>
        </w:rPr>
        <w:t xml:space="preserve">W 2024 r. pod nadzorem Państwowej Inspekcji Sanitarnej w woj. zachodniopomorskim </w:t>
      </w:r>
      <w:r w:rsidRPr="00014E92">
        <w:rPr>
          <w:rFonts w:eastAsia="Times New Roman" w:cstheme="minorHAnsi"/>
          <w:sz w:val="24"/>
          <w:szCs w:val="24"/>
          <w:lang w:eastAsia="pl-PL"/>
        </w:rPr>
        <w:t xml:space="preserve">były 1864 </w:t>
      </w:r>
      <w:r w:rsidRPr="00125A78">
        <w:rPr>
          <w:rFonts w:eastAsia="Times New Roman" w:cstheme="minorHAnsi"/>
          <w:sz w:val="24"/>
          <w:szCs w:val="24"/>
          <w:lang w:eastAsia="pl-PL"/>
        </w:rPr>
        <w:t>obiekt</w:t>
      </w:r>
      <w:r>
        <w:rPr>
          <w:rFonts w:eastAsia="Times New Roman" w:cstheme="minorHAnsi"/>
          <w:sz w:val="24"/>
          <w:szCs w:val="24"/>
          <w:lang w:eastAsia="pl-PL"/>
        </w:rPr>
        <w:t>y</w:t>
      </w:r>
      <w:r w:rsidRPr="003E44B6">
        <w:rPr>
          <w:rFonts w:eastAsia="Times New Roman" w:cstheme="minorHAnsi"/>
          <w:sz w:val="24"/>
          <w:szCs w:val="24"/>
          <w:lang w:eastAsia="pl-PL"/>
        </w:rPr>
        <w:t xml:space="preserve"> </w:t>
      </w:r>
      <w:r w:rsidRPr="00014E92">
        <w:rPr>
          <w:rFonts w:eastAsia="Times New Roman" w:cstheme="minorHAnsi"/>
          <w:sz w:val="24"/>
          <w:szCs w:val="24"/>
          <w:lang w:eastAsia="pl-PL"/>
        </w:rPr>
        <w:t>podmiot</w:t>
      </w:r>
      <w:r>
        <w:rPr>
          <w:rFonts w:eastAsia="Times New Roman" w:cstheme="minorHAnsi"/>
          <w:sz w:val="24"/>
          <w:szCs w:val="24"/>
          <w:lang w:eastAsia="pl-PL"/>
        </w:rPr>
        <w:t>ów</w:t>
      </w:r>
      <w:r w:rsidRPr="00125A78">
        <w:rPr>
          <w:rFonts w:eastAsia="Times New Roman" w:cstheme="minorHAnsi"/>
          <w:sz w:val="24"/>
          <w:szCs w:val="24"/>
          <w:lang w:eastAsia="pl-PL"/>
        </w:rPr>
        <w:t xml:space="preserve"> działalności leczniczej wykonując</w:t>
      </w:r>
      <w:r>
        <w:rPr>
          <w:rFonts w:eastAsia="Times New Roman" w:cstheme="minorHAnsi"/>
          <w:sz w:val="24"/>
          <w:szCs w:val="24"/>
          <w:lang w:eastAsia="pl-PL"/>
        </w:rPr>
        <w:t>e</w:t>
      </w:r>
      <w:r w:rsidRPr="00125A78">
        <w:rPr>
          <w:rFonts w:eastAsia="Times New Roman" w:cstheme="minorHAnsi"/>
          <w:sz w:val="24"/>
          <w:szCs w:val="24"/>
          <w:lang w:eastAsia="pl-PL"/>
        </w:rPr>
        <w:t xml:space="preserve"> stacjonarne i ambulatoryjne świadczenia, tj. szpitale, zakłady opiekuńczo-lecznicze, zakłady pielęgnacyjno-opiekuńcze, zakłady rehabilitacji leczniczej, sanatoria, hospicja, przychodnie, ośrodki, poradnie, ambulatoria, zakłady badań diagnostycznych oraz medyczne laboratoria </w:t>
      </w:r>
      <w:r w:rsidRPr="00636DFC">
        <w:rPr>
          <w:rFonts w:eastAsia="Times New Roman" w:cstheme="minorHAnsi"/>
          <w:color w:val="000000" w:themeColor="text1"/>
          <w:sz w:val="24"/>
          <w:szCs w:val="24"/>
          <w:lang w:eastAsia="pl-PL"/>
        </w:rPr>
        <w:t xml:space="preserve">diagnostyczne. </w:t>
      </w:r>
    </w:p>
    <w:p w14:paraId="28905E05" w14:textId="77777777" w:rsidR="0063333E" w:rsidRDefault="0063333E" w:rsidP="00597239">
      <w:pPr>
        <w:tabs>
          <w:tab w:val="left" w:pos="851"/>
        </w:tabs>
        <w:spacing w:after="0" w:line="276" w:lineRule="auto"/>
        <w:rPr>
          <w:rFonts w:eastAsia="Times New Roman" w:cstheme="minorHAnsi"/>
          <w:sz w:val="24"/>
          <w:szCs w:val="24"/>
          <w:lang w:eastAsia="pl-PL"/>
        </w:rPr>
      </w:pPr>
    </w:p>
    <w:p w14:paraId="4CD61408" w14:textId="7D2E3E1F" w:rsidR="000B4D72" w:rsidRDefault="000B4D72" w:rsidP="00597239">
      <w:pPr>
        <w:tabs>
          <w:tab w:val="left" w:pos="851"/>
        </w:tabs>
        <w:spacing w:after="0" w:line="276" w:lineRule="auto"/>
        <w:rPr>
          <w:rFonts w:eastAsia="Times New Roman" w:cstheme="minorHAnsi"/>
          <w:sz w:val="24"/>
          <w:szCs w:val="24"/>
          <w:lang w:eastAsia="pl-PL"/>
        </w:rPr>
      </w:pPr>
      <w:r w:rsidRPr="00125A78">
        <w:rPr>
          <w:rFonts w:eastAsia="Times New Roman" w:cstheme="minorHAnsi"/>
          <w:sz w:val="24"/>
          <w:szCs w:val="24"/>
          <w:lang w:eastAsia="pl-PL"/>
        </w:rPr>
        <w:t xml:space="preserve">W </w:t>
      </w:r>
      <w:r>
        <w:rPr>
          <w:rFonts w:eastAsia="Times New Roman" w:cstheme="minorHAnsi"/>
          <w:sz w:val="24"/>
          <w:szCs w:val="24"/>
          <w:lang w:eastAsia="pl-PL"/>
        </w:rPr>
        <w:t xml:space="preserve">2024 </w:t>
      </w:r>
      <w:r w:rsidRPr="00125A78">
        <w:rPr>
          <w:rFonts w:eastAsia="Times New Roman" w:cstheme="minorHAnsi"/>
          <w:sz w:val="24"/>
          <w:szCs w:val="24"/>
          <w:lang w:eastAsia="pl-PL"/>
        </w:rPr>
        <w:t xml:space="preserve">roku łącznie skontrolowano </w:t>
      </w:r>
      <w:r w:rsidRPr="00014E92">
        <w:rPr>
          <w:rFonts w:eastAsia="Times New Roman" w:cstheme="minorHAnsi"/>
          <w:sz w:val="24"/>
          <w:szCs w:val="24"/>
          <w:lang w:eastAsia="pl-PL"/>
        </w:rPr>
        <w:t>1143 podmioty</w:t>
      </w:r>
      <w:r w:rsidRPr="00125A78">
        <w:rPr>
          <w:rFonts w:eastAsia="Times New Roman" w:cstheme="minorHAnsi"/>
          <w:sz w:val="24"/>
          <w:szCs w:val="24"/>
          <w:lang w:eastAsia="pl-PL"/>
        </w:rPr>
        <w:t xml:space="preserve"> działalności leczniczej</w:t>
      </w:r>
      <w:r>
        <w:rPr>
          <w:rFonts w:eastAsia="Times New Roman" w:cstheme="minorHAnsi"/>
          <w:sz w:val="24"/>
          <w:szCs w:val="24"/>
          <w:lang w:eastAsia="pl-PL"/>
        </w:rPr>
        <w:t>, tj.</w:t>
      </w:r>
      <w:r w:rsidRPr="00125A78">
        <w:rPr>
          <w:rFonts w:eastAsia="Times New Roman" w:cstheme="minorHAnsi"/>
          <w:sz w:val="24"/>
          <w:szCs w:val="24"/>
          <w:lang w:eastAsia="pl-PL"/>
        </w:rPr>
        <w:t xml:space="preserve"> </w:t>
      </w:r>
      <w:r w:rsidRPr="00014E92">
        <w:rPr>
          <w:rFonts w:eastAsia="Times New Roman" w:cstheme="minorHAnsi"/>
          <w:sz w:val="24"/>
          <w:szCs w:val="24"/>
          <w:lang w:eastAsia="pl-PL"/>
        </w:rPr>
        <w:t xml:space="preserve">61,32% </w:t>
      </w:r>
      <w:r>
        <w:rPr>
          <w:rFonts w:eastAsia="Times New Roman" w:cstheme="minorHAnsi"/>
          <w:sz w:val="24"/>
          <w:szCs w:val="24"/>
          <w:lang w:eastAsia="pl-PL"/>
        </w:rPr>
        <w:t>wszystkich obiektów</w:t>
      </w:r>
      <w:r w:rsidRPr="00014E92">
        <w:rPr>
          <w:rFonts w:eastAsia="Times New Roman" w:cstheme="minorHAnsi"/>
          <w:sz w:val="24"/>
          <w:szCs w:val="24"/>
          <w:lang w:eastAsia="pl-PL"/>
        </w:rPr>
        <w:t>.</w:t>
      </w:r>
      <w:r w:rsidRPr="00125A78">
        <w:rPr>
          <w:rFonts w:eastAsia="Times New Roman" w:cstheme="minorHAnsi"/>
          <w:sz w:val="24"/>
          <w:szCs w:val="24"/>
          <w:lang w:eastAsia="pl-PL"/>
        </w:rPr>
        <w:t xml:space="preserve"> Kontroli poddano również 769 obiektów działalności leczniczej </w:t>
      </w:r>
      <w:r w:rsidRPr="00AD4BD1">
        <w:rPr>
          <w:rFonts w:eastAsia="Times New Roman" w:cstheme="minorHAnsi"/>
          <w:sz w:val="24"/>
          <w:szCs w:val="24"/>
          <w:lang w:eastAsia="pl-PL"/>
        </w:rPr>
        <w:t xml:space="preserve">wykonywanej przez praktykę zawodową, </w:t>
      </w:r>
      <w:r>
        <w:rPr>
          <w:rFonts w:eastAsia="Times New Roman" w:cstheme="minorHAnsi"/>
          <w:sz w:val="24"/>
          <w:szCs w:val="24"/>
          <w:lang w:eastAsia="pl-PL"/>
        </w:rPr>
        <w:t>tj. ponad</w:t>
      </w:r>
      <w:r w:rsidRPr="00AD4BD1">
        <w:rPr>
          <w:rFonts w:eastAsia="Times New Roman" w:cstheme="minorHAnsi"/>
          <w:sz w:val="24"/>
          <w:szCs w:val="24"/>
          <w:lang w:eastAsia="pl-PL"/>
        </w:rPr>
        <w:t xml:space="preserve"> 31% wszystkich </w:t>
      </w:r>
      <w:r>
        <w:rPr>
          <w:rFonts w:eastAsia="Times New Roman" w:cstheme="minorHAnsi"/>
          <w:sz w:val="24"/>
          <w:szCs w:val="24"/>
          <w:lang w:eastAsia="pl-PL"/>
        </w:rPr>
        <w:t xml:space="preserve">tego typu </w:t>
      </w:r>
      <w:r w:rsidRPr="00AD4BD1">
        <w:rPr>
          <w:rFonts w:eastAsia="Times New Roman" w:cstheme="minorHAnsi"/>
          <w:sz w:val="24"/>
          <w:szCs w:val="24"/>
          <w:lang w:eastAsia="pl-PL"/>
        </w:rPr>
        <w:t>podmiotów (tabela 2</w:t>
      </w:r>
      <w:r>
        <w:rPr>
          <w:rFonts w:eastAsia="Times New Roman" w:cstheme="minorHAnsi"/>
          <w:sz w:val="24"/>
          <w:szCs w:val="24"/>
          <w:lang w:eastAsia="pl-PL"/>
        </w:rPr>
        <w:t>8</w:t>
      </w:r>
      <w:r w:rsidRPr="00AD4BD1">
        <w:rPr>
          <w:rFonts w:eastAsia="Times New Roman" w:cstheme="minorHAnsi"/>
          <w:sz w:val="24"/>
          <w:szCs w:val="24"/>
          <w:lang w:eastAsia="pl-PL"/>
        </w:rPr>
        <w:t>).</w:t>
      </w:r>
    </w:p>
    <w:p w14:paraId="00D7CC63" w14:textId="77777777" w:rsidR="0063333E" w:rsidRDefault="0063333E" w:rsidP="00597239">
      <w:pPr>
        <w:tabs>
          <w:tab w:val="left" w:pos="851"/>
        </w:tabs>
        <w:spacing w:after="0" w:line="276" w:lineRule="auto"/>
        <w:rPr>
          <w:rFonts w:eastAsia="Times New Roman" w:cstheme="minorHAnsi"/>
          <w:color w:val="FF0000"/>
          <w:sz w:val="24"/>
          <w:szCs w:val="24"/>
          <w:lang w:eastAsia="pl-PL"/>
        </w:rPr>
      </w:pPr>
    </w:p>
    <w:p w14:paraId="4BCB48CD" w14:textId="51AFFF2D" w:rsidR="000B4D72" w:rsidRPr="00794C5E" w:rsidRDefault="00794C5E" w:rsidP="00597239">
      <w:pPr>
        <w:pStyle w:val="Legenda"/>
        <w:rPr>
          <w:i w:val="0"/>
          <w:iCs w:val="0"/>
          <w:color w:val="000000" w:themeColor="text1"/>
        </w:rPr>
      </w:pPr>
      <w:bookmarkStart w:id="190" w:name="_Toc193805998"/>
      <w:bookmarkStart w:id="191" w:name="_Toc193969546"/>
      <w:bookmarkStart w:id="192" w:name="_Toc194060006"/>
      <w:r w:rsidRPr="00794C5E">
        <w:rPr>
          <w:i w:val="0"/>
          <w:iCs w:val="0"/>
          <w:color w:val="000000" w:themeColor="text1"/>
        </w:rPr>
        <w:t xml:space="preserve">Tabela </w:t>
      </w:r>
      <w:r w:rsidRPr="00794C5E">
        <w:rPr>
          <w:i w:val="0"/>
          <w:iCs w:val="0"/>
          <w:color w:val="000000" w:themeColor="text1"/>
        </w:rPr>
        <w:fldChar w:fldCharType="begin"/>
      </w:r>
      <w:r w:rsidRPr="00794C5E">
        <w:rPr>
          <w:i w:val="0"/>
          <w:iCs w:val="0"/>
          <w:color w:val="000000" w:themeColor="text1"/>
        </w:rPr>
        <w:instrText xml:space="preserve"> SEQ Tabela \* ARABIC </w:instrText>
      </w:r>
      <w:r w:rsidRPr="00794C5E">
        <w:rPr>
          <w:i w:val="0"/>
          <w:iCs w:val="0"/>
          <w:color w:val="000000" w:themeColor="text1"/>
        </w:rPr>
        <w:fldChar w:fldCharType="separate"/>
      </w:r>
      <w:r w:rsidR="00FB6F6A">
        <w:rPr>
          <w:i w:val="0"/>
          <w:iCs w:val="0"/>
          <w:noProof/>
          <w:color w:val="000000" w:themeColor="text1"/>
        </w:rPr>
        <w:t>28</w:t>
      </w:r>
      <w:r w:rsidRPr="00794C5E">
        <w:rPr>
          <w:i w:val="0"/>
          <w:iCs w:val="0"/>
          <w:color w:val="000000" w:themeColor="text1"/>
        </w:rPr>
        <w:fldChar w:fldCharType="end"/>
      </w:r>
      <w:r w:rsidR="00E75D31">
        <w:rPr>
          <w:i w:val="0"/>
          <w:iCs w:val="0"/>
          <w:color w:val="000000" w:themeColor="text1"/>
        </w:rPr>
        <w:t>.</w:t>
      </w:r>
      <w:r w:rsidRPr="00794C5E">
        <w:rPr>
          <w:i w:val="0"/>
          <w:iCs w:val="0"/>
          <w:color w:val="000000" w:themeColor="text1"/>
        </w:rPr>
        <w:t xml:space="preserve"> Podmioty działalności leczniczej skontrolowane przez Państwową Inspekcję Sanitarną w woj. zachodniopomorskim w latach 2020-2024</w:t>
      </w:r>
      <w:bookmarkEnd w:id="190"/>
      <w:bookmarkEnd w:id="191"/>
      <w:bookmarkEnd w:id="192"/>
    </w:p>
    <w:tbl>
      <w:tblPr>
        <w:tblStyle w:val="Tabelasiatki4akcent1"/>
        <w:tblW w:w="5000" w:type="pct"/>
        <w:tblLook w:val="04A0" w:firstRow="1" w:lastRow="0" w:firstColumn="1" w:lastColumn="0" w:noHBand="0" w:noVBand="1"/>
        <w:tblCaption w:val="Podmioty działalności leczniczej skontrolowane przez Państwową Inspekcję Sanitarną w woj. zachodniopomorskim w latach 2020-2024"/>
        <w:tblDescription w:val="Tabela przedstawia liczbe podmiotów działalności leczniczej skontrolowanych przez Państwową Inspekcję Sanitarną w województwie zachodniopomorskim w latach 2020-2024. W 2024 roku na terenie województwa odnotowano 1864 podmioty wykonujace działalność leczniczą, z czego 1143 podmioty zostaly skontrolowane (61,32%). "/>
      </w:tblPr>
      <w:tblGrid>
        <w:gridCol w:w="2405"/>
        <w:gridCol w:w="845"/>
        <w:gridCol w:w="1904"/>
        <w:gridCol w:w="1954"/>
        <w:gridCol w:w="1954"/>
      </w:tblGrid>
      <w:tr w:rsidR="000B4D72" w:rsidRPr="00FF50CD" w14:paraId="74EC8A86" w14:textId="77777777" w:rsidTr="001814E9">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388" w:type="dxa"/>
            <w:vAlign w:val="center"/>
          </w:tcPr>
          <w:p w14:paraId="50B4CEC4" w14:textId="77777777" w:rsidR="000B4D72" w:rsidRPr="00FF50CD" w:rsidRDefault="000B4D72" w:rsidP="00597239">
            <w:pPr>
              <w:tabs>
                <w:tab w:val="center" w:pos="4536"/>
                <w:tab w:val="right" w:pos="9072"/>
              </w:tabs>
              <w:rPr>
                <w:rFonts w:ascii="Calibri" w:eastAsia="Times New Roman" w:hAnsi="Calibri" w:cs="Calibri"/>
                <w:b w:val="0"/>
                <w:bCs w:val="0"/>
                <w:lang w:eastAsia="pl-PL"/>
              </w:rPr>
            </w:pPr>
            <w:r w:rsidRPr="00FF50CD">
              <w:rPr>
                <w:rFonts w:ascii="Calibri" w:eastAsia="Times New Roman" w:hAnsi="Calibri" w:cs="Calibri"/>
                <w:b w:val="0"/>
                <w:bCs w:val="0"/>
                <w:lang w:eastAsia="pl-PL"/>
              </w:rPr>
              <w:t>Rodzaj placówki</w:t>
            </w:r>
          </w:p>
        </w:tc>
        <w:tc>
          <w:tcPr>
            <w:tcW w:w="839" w:type="dxa"/>
            <w:vAlign w:val="center"/>
          </w:tcPr>
          <w:p w14:paraId="436D1D6E" w14:textId="77777777" w:rsidR="000B4D72" w:rsidRPr="00FF50CD" w:rsidRDefault="000B4D72" w:rsidP="00597239">
            <w:pPr>
              <w:tabs>
                <w:tab w:val="center" w:pos="4536"/>
                <w:tab w:val="right" w:pos="9072"/>
              </w:tabs>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pl-PL"/>
              </w:rPr>
            </w:pPr>
            <w:r w:rsidRPr="00FF50CD">
              <w:rPr>
                <w:rFonts w:ascii="Calibri" w:eastAsia="Times New Roman" w:hAnsi="Calibri" w:cs="Calibri"/>
                <w:b w:val="0"/>
                <w:bCs w:val="0"/>
                <w:lang w:eastAsia="pl-PL"/>
              </w:rPr>
              <w:t>Rok</w:t>
            </w:r>
          </w:p>
        </w:tc>
        <w:tc>
          <w:tcPr>
            <w:tcW w:w="1890" w:type="dxa"/>
            <w:vAlign w:val="center"/>
          </w:tcPr>
          <w:p w14:paraId="4C0ED1D6" w14:textId="77777777" w:rsidR="000B4D72" w:rsidRPr="00FF50CD" w:rsidRDefault="000B4D72" w:rsidP="00597239">
            <w:pPr>
              <w:tabs>
                <w:tab w:val="center" w:pos="4536"/>
                <w:tab w:val="right" w:pos="9072"/>
              </w:tabs>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pl-PL"/>
              </w:rPr>
            </w:pPr>
            <w:r w:rsidRPr="00FF50CD">
              <w:rPr>
                <w:rFonts w:ascii="Calibri" w:eastAsia="Times New Roman" w:hAnsi="Calibri" w:cs="Calibri"/>
                <w:b w:val="0"/>
                <w:bCs w:val="0"/>
                <w:lang w:eastAsia="pl-PL"/>
              </w:rPr>
              <w:t>Liczba obiektów wg ewidencji</w:t>
            </w:r>
          </w:p>
        </w:tc>
        <w:tc>
          <w:tcPr>
            <w:tcW w:w="1940" w:type="dxa"/>
            <w:vAlign w:val="center"/>
          </w:tcPr>
          <w:p w14:paraId="6F94E684" w14:textId="77777777" w:rsidR="000B4D72" w:rsidRPr="00FF50CD" w:rsidRDefault="000B4D72" w:rsidP="00597239">
            <w:pPr>
              <w:tabs>
                <w:tab w:val="center" w:pos="4536"/>
                <w:tab w:val="right" w:pos="9072"/>
              </w:tabs>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pl-PL"/>
              </w:rPr>
            </w:pPr>
            <w:r w:rsidRPr="00FF50CD">
              <w:rPr>
                <w:rFonts w:ascii="Calibri" w:eastAsia="Times New Roman" w:hAnsi="Calibri" w:cs="Calibri"/>
                <w:b w:val="0"/>
                <w:bCs w:val="0"/>
                <w:lang w:eastAsia="pl-PL"/>
              </w:rPr>
              <w:t>Liczba skontrolowanych obiektów</w:t>
            </w:r>
          </w:p>
        </w:tc>
        <w:tc>
          <w:tcPr>
            <w:tcW w:w="1940" w:type="dxa"/>
            <w:vAlign w:val="center"/>
          </w:tcPr>
          <w:p w14:paraId="3E5C45BF" w14:textId="77777777" w:rsidR="000B4D72" w:rsidRPr="00FF50CD" w:rsidRDefault="000B4D72" w:rsidP="00597239">
            <w:pPr>
              <w:tabs>
                <w:tab w:val="center" w:pos="4536"/>
                <w:tab w:val="right" w:pos="9072"/>
              </w:tabs>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lang w:eastAsia="pl-PL"/>
              </w:rPr>
            </w:pPr>
            <w:r w:rsidRPr="00FF50CD">
              <w:rPr>
                <w:rFonts w:ascii="Calibri" w:eastAsia="Times New Roman" w:hAnsi="Calibri" w:cs="Calibri"/>
                <w:b w:val="0"/>
                <w:bCs w:val="0"/>
                <w:lang w:eastAsia="pl-PL"/>
              </w:rPr>
              <w:t>% obiektów skontrolowanych</w:t>
            </w:r>
          </w:p>
        </w:tc>
      </w:tr>
      <w:tr w:rsidR="000B4D72" w:rsidRPr="00FF50CD" w14:paraId="68F03B01" w14:textId="77777777" w:rsidTr="001814E9">
        <w:trPr>
          <w:cnfStyle w:val="000000100000" w:firstRow="0" w:lastRow="0" w:firstColumn="0" w:lastColumn="0" w:oddVBand="0" w:evenVBand="0" w:oddHBand="1" w:evenHBand="0" w:firstRowFirstColumn="0" w:firstRowLastColumn="0" w:lastRowFirstColumn="0" w:lastRowLastColumn="0"/>
          <w:trHeight w:val="1555"/>
        </w:trPr>
        <w:tc>
          <w:tcPr>
            <w:cnfStyle w:val="001000000000" w:firstRow="0" w:lastRow="0" w:firstColumn="1" w:lastColumn="0" w:oddVBand="0" w:evenVBand="0" w:oddHBand="0" w:evenHBand="0" w:firstRowFirstColumn="0" w:firstRowLastColumn="0" w:lastRowFirstColumn="0" w:lastRowLastColumn="0"/>
            <w:tcW w:w="2388" w:type="dxa"/>
            <w:vAlign w:val="center"/>
          </w:tcPr>
          <w:p w14:paraId="318B243A" w14:textId="77777777" w:rsidR="000B4D72" w:rsidRPr="00FF50CD" w:rsidRDefault="000B4D72" w:rsidP="00597239">
            <w:pPr>
              <w:tabs>
                <w:tab w:val="center" w:pos="4536"/>
                <w:tab w:val="right" w:pos="9072"/>
              </w:tabs>
              <w:rPr>
                <w:rFonts w:ascii="Calibri" w:eastAsia="Times New Roman" w:hAnsi="Calibri" w:cs="Calibri"/>
                <w:b w:val="0"/>
                <w:bCs w:val="0"/>
                <w:vertAlign w:val="superscript"/>
                <w:lang w:eastAsia="pl-PL"/>
              </w:rPr>
            </w:pPr>
            <w:r w:rsidRPr="00FF50CD">
              <w:rPr>
                <w:rFonts w:ascii="Calibri" w:eastAsia="Times New Roman" w:hAnsi="Calibri" w:cs="Calibri"/>
                <w:b w:val="0"/>
                <w:bCs w:val="0"/>
                <w:lang w:eastAsia="pl-PL"/>
              </w:rPr>
              <w:t>Działalność lecznicza wykonywana przez podmioty lecznicze</w:t>
            </w:r>
            <w:r w:rsidRPr="00FF50CD">
              <w:rPr>
                <w:rFonts w:ascii="Calibri" w:eastAsia="Times New Roman" w:hAnsi="Calibri" w:cs="Calibri"/>
                <w:b w:val="0"/>
                <w:bCs w:val="0"/>
                <w:vertAlign w:val="superscript"/>
                <w:lang w:eastAsia="pl-PL"/>
              </w:rPr>
              <w:t>*</w:t>
            </w:r>
          </w:p>
        </w:tc>
        <w:tc>
          <w:tcPr>
            <w:tcW w:w="839" w:type="dxa"/>
            <w:vAlign w:val="center"/>
          </w:tcPr>
          <w:p w14:paraId="41F98E20"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2024</w:t>
            </w:r>
          </w:p>
          <w:p w14:paraId="1DCE3F4A"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2023</w:t>
            </w:r>
          </w:p>
          <w:p w14:paraId="0C5EAF4F"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2022</w:t>
            </w:r>
          </w:p>
          <w:p w14:paraId="277830BC"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2021</w:t>
            </w:r>
          </w:p>
          <w:p w14:paraId="48F25744"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2020</w:t>
            </w:r>
          </w:p>
        </w:tc>
        <w:tc>
          <w:tcPr>
            <w:tcW w:w="1890" w:type="dxa"/>
            <w:vAlign w:val="center"/>
          </w:tcPr>
          <w:p w14:paraId="140AA3AC"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1864</w:t>
            </w:r>
          </w:p>
          <w:p w14:paraId="7735BA66"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1831</w:t>
            </w:r>
          </w:p>
          <w:p w14:paraId="633CCEBE"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1702</w:t>
            </w:r>
          </w:p>
          <w:p w14:paraId="2ED43A3F"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1742</w:t>
            </w:r>
          </w:p>
          <w:p w14:paraId="1ECB59F5"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1721</w:t>
            </w:r>
          </w:p>
        </w:tc>
        <w:tc>
          <w:tcPr>
            <w:tcW w:w="1940" w:type="dxa"/>
            <w:vAlign w:val="center"/>
          </w:tcPr>
          <w:p w14:paraId="7A46C206"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1143</w:t>
            </w:r>
          </w:p>
          <w:p w14:paraId="078E5EF6"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1017</w:t>
            </w:r>
          </w:p>
          <w:p w14:paraId="7BDDC3BA"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854</w:t>
            </w:r>
          </w:p>
          <w:p w14:paraId="05AAB7E7"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585</w:t>
            </w:r>
          </w:p>
          <w:p w14:paraId="015DB9D1"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349</w:t>
            </w:r>
          </w:p>
        </w:tc>
        <w:tc>
          <w:tcPr>
            <w:tcW w:w="1940" w:type="dxa"/>
            <w:vAlign w:val="center"/>
          </w:tcPr>
          <w:p w14:paraId="03AE3071"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61,32</w:t>
            </w:r>
          </w:p>
          <w:p w14:paraId="4C85044A"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55,54</w:t>
            </w:r>
          </w:p>
          <w:p w14:paraId="26027AC9"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50,17</w:t>
            </w:r>
          </w:p>
          <w:p w14:paraId="482D3AD3"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33,58</w:t>
            </w:r>
          </w:p>
          <w:p w14:paraId="0A368746" w14:textId="77777777" w:rsidR="000B4D72" w:rsidRPr="00FF50CD" w:rsidRDefault="000B4D72" w:rsidP="00597239">
            <w:pPr>
              <w:tabs>
                <w:tab w:val="center" w:pos="4536"/>
                <w:tab w:val="right" w:pos="9072"/>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20,28</w:t>
            </w:r>
          </w:p>
        </w:tc>
      </w:tr>
      <w:tr w:rsidR="000B4D72" w:rsidRPr="00FF50CD" w14:paraId="3342A929" w14:textId="77777777" w:rsidTr="001814E9">
        <w:trPr>
          <w:trHeight w:val="1152"/>
        </w:trPr>
        <w:tc>
          <w:tcPr>
            <w:cnfStyle w:val="001000000000" w:firstRow="0" w:lastRow="0" w:firstColumn="1" w:lastColumn="0" w:oddVBand="0" w:evenVBand="0" w:oddHBand="0" w:evenHBand="0" w:firstRowFirstColumn="0" w:firstRowLastColumn="0" w:lastRowFirstColumn="0" w:lastRowLastColumn="0"/>
            <w:tcW w:w="2388" w:type="dxa"/>
            <w:vAlign w:val="center"/>
          </w:tcPr>
          <w:p w14:paraId="63148681" w14:textId="77777777" w:rsidR="000B4D72" w:rsidRPr="00FF50CD" w:rsidRDefault="000B4D72" w:rsidP="00597239">
            <w:pPr>
              <w:tabs>
                <w:tab w:val="center" w:pos="4536"/>
                <w:tab w:val="right" w:pos="9072"/>
              </w:tabs>
              <w:rPr>
                <w:rFonts w:ascii="Calibri" w:eastAsia="Times New Roman" w:hAnsi="Calibri" w:cs="Calibri"/>
                <w:b w:val="0"/>
                <w:bCs w:val="0"/>
                <w:lang w:eastAsia="pl-PL"/>
              </w:rPr>
            </w:pPr>
            <w:r w:rsidRPr="00FF50CD">
              <w:rPr>
                <w:rFonts w:ascii="Calibri" w:eastAsia="Times New Roman" w:hAnsi="Calibri" w:cs="Calibri"/>
                <w:b w:val="0"/>
                <w:bCs w:val="0"/>
                <w:lang w:eastAsia="pl-PL"/>
              </w:rPr>
              <w:t>Działalność lecznicza wykonywana przez praktykę zawodową</w:t>
            </w:r>
          </w:p>
        </w:tc>
        <w:tc>
          <w:tcPr>
            <w:tcW w:w="839" w:type="dxa"/>
            <w:vAlign w:val="center"/>
          </w:tcPr>
          <w:p w14:paraId="2578E758" w14:textId="77777777" w:rsidR="000B4D72" w:rsidRPr="00FF50CD" w:rsidRDefault="000B4D72" w:rsidP="00597239">
            <w:pPr>
              <w:tabs>
                <w:tab w:val="left" w:pos="463"/>
                <w:tab w:val="center" w:pos="734"/>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2024</w:t>
            </w:r>
          </w:p>
          <w:p w14:paraId="2A4FE4B3" w14:textId="77777777" w:rsidR="000B4D72" w:rsidRPr="00FF50CD" w:rsidRDefault="000B4D72" w:rsidP="00597239">
            <w:pPr>
              <w:tabs>
                <w:tab w:val="left" w:pos="463"/>
                <w:tab w:val="center" w:pos="734"/>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2023</w:t>
            </w:r>
          </w:p>
          <w:p w14:paraId="560576AD" w14:textId="77777777" w:rsidR="000B4D72" w:rsidRPr="00FF50CD" w:rsidRDefault="000B4D72" w:rsidP="00597239">
            <w:pPr>
              <w:tabs>
                <w:tab w:val="left" w:pos="463"/>
                <w:tab w:val="center" w:pos="734"/>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2022</w:t>
            </w:r>
          </w:p>
          <w:p w14:paraId="2AA6A7E9" w14:textId="77777777" w:rsidR="000B4D72" w:rsidRPr="00FF50CD" w:rsidRDefault="000B4D72" w:rsidP="00597239">
            <w:pPr>
              <w:tabs>
                <w:tab w:val="left" w:pos="463"/>
                <w:tab w:val="center" w:pos="734"/>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2021</w:t>
            </w:r>
          </w:p>
          <w:p w14:paraId="5684600C" w14:textId="77777777" w:rsidR="000B4D72" w:rsidRPr="00FF50CD" w:rsidRDefault="000B4D72" w:rsidP="00597239">
            <w:pPr>
              <w:tabs>
                <w:tab w:val="left" w:pos="463"/>
                <w:tab w:val="center" w:pos="734"/>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2020</w:t>
            </w:r>
          </w:p>
        </w:tc>
        <w:tc>
          <w:tcPr>
            <w:tcW w:w="1890" w:type="dxa"/>
            <w:vAlign w:val="center"/>
          </w:tcPr>
          <w:p w14:paraId="2F65945C"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2466</w:t>
            </w:r>
          </w:p>
          <w:p w14:paraId="66F96BC1"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2606</w:t>
            </w:r>
          </w:p>
          <w:p w14:paraId="09A7BF41"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2530</w:t>
            </w:r>
          </w:p>
          <w:p w14:paraId="0360E8EC"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2557</w:t>
            </w:r>
          </w:p>
          <w:p w14:paraId="37D46413"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2573</w:t>
            </w:r>
          </w:p>
        </w:tc>
        <w:tc>
          <w:tcPr>
            <w:tcW w:w="1940" w:type="dxa"/>
            <w:vAlign w:val="center"/>
          </w:tcPr>
          <w:p w14:paraId="6A100B89"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769</w:t>
            </w:r>
          </w:p>
          <w:p w14:paraId="0497706C"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748</w:t>
            </w:r>
          </w:p>
          <w:p w14:paraId="40C0970E"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518</w:t>
            </w:r>
          </w:p>
          <w:p w14:paraId="376FDA4A"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201</w:t>
            </w:r>
          </w:p>
          <w:p w14:paraId="5916196E"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187</w:t>
            </w:r>
          </w:p>
        </w:tc>
        <w:tc>
          <w:tcPr>
            <w:tcW w:w="1940" w:type="dxa"/>
            <w:vAlign w:val="center"/>
          </w:tcPr>
          <w:p w14:paraId="3FDA74EA"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31,18</w:t>
            </w:r>
          </w:p>
          <w:p w14:paraId="3AC41AB0"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28,70</w:t>
            </w:r>
          </w:p>
          <w:p w14:paraId="10409813"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20,47</w:t>
            </w:r>
          </w:p>
          <w:p w14:paraId="1916C4FB"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7,86</w:t>
            </w:r>
          </w:p>
          <w:p w14:paraId="198F8DE1" w14:textId="77777777" w:rsidR="000B4D72" w:rsidRPr="00FF50CD" w:rsidRDefault="000B4D72" w:rsidP="00597239">
            <w:pPr>
              <w:tabs>
                <w:tab w:val="center" w:pos="4536"/>
                <w:tab w:val="right" w:pos="9072"/>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FF50CD">
              <w:rPr>
                <w:rFonts w:ascii="Calibri" w:eastAsia="Times New Roman" w:hAnsi="Calibri" w:cs="Calibri"/>
                <w:lang w:eastAsia="pl-PL"/>
              </w:rPr>
              <w:t>7,27</w:t>
            </w:r>
          </w:p>
        </w:tc>
      </w:tr>
    </w:tbl>
    <w:p w14:paraId="1F605B1E" w14:textId="77777777" w:rsidR="000B4D72" w:rsidRPr="00AD4BD1" w:rsidRDefault="000B4D72" w:rsidP="00597239">
      <w:pPr>
        <w:spacing w:after="240" w:line="240" w:lineRule="auto"/>
        <w:ind w:left="357"/>
        <w:rPr>
          <w:rFonts w:ascii="Calibri" w:eastAsia="Times New Roman" w:hAnsi="Calibri" w:cs="Calibri"/>
          <w:bCs/>
          <w:sz w:val="16"/>
          <w:szCs w:val="16"/>
          <w:lang w:eastAsia="pl-PL"/>
        </w:rPr>
      </w:pPr>
      <w:r w:rsidRPr="00125A78">
        <w:rPr>
          <w:rFonts w:ascii="Calibri" w:eastAsia="Times New Roman" w:hAnsi="Calibri" w:cs="Calibri"/>
          <w:b/>
          <w:sz w:val="16"/>
          <w:szCs w:val="16"/>
          <w:lang w:eastAsia="pl-PL"/>
        </w:rPr>
        <w:t>*</w:t>
      </w:r>
      <w:r w:rsidRPr="00125A78">
        <w:rPr>
          <w:rFonts w:ascii="Calibri" w:eastAsia="Times New Roman" w:hAnsi="Calibri" w:cs="Calibri"/>
          <w:bCs/>
          <w:sz w:val="16"/>
          <w:szCs w:val="16"/>
          <w:lang w:eastAsia="pl-PL"/>
        </w:rPr>
        <w:t xml:space="preserve">dane uwzględniają wszystkie podmioty lecznicze wykonujące działalność leczniczą (w tym stacjonarne szpitalne) </w:t>
      </w:r>
    </w:p>
    <w:p w14:paraId="49A606F4" w14:textId="3DDC850E" w:rsidR="000B4D72" w:rsidRPr="003A793F" w:rsidRDefault="000B4D72" w:rsidP="00597239">
      <w:pPr>
        <w:tabs>
          <w:tab w:val="left" w:pos="851"/>
        </w:tabs>
        <w:spacing w:after="240" w:line="276" w:lineRule="auto"/>
        <w:rPr>
          <w:rFonts w:eastAsia="Times New Roman" w:cstheme="minorHAnsi"/>
          <w:color w:val="FF0000"/>
          <w:sz w:val="24"/>
          <w:szCs w:val="24"/>
          <w:lang w:eastAsia="pl-PL"/>
        </w:rPr>
      </w:pPr>
      <w:r w:rsidRPr="003F3618">
        <w:rPr>
          <w:rFonts w:eastAsia="Times New Roman" w:cstheme="minorHAnsi"/>
          <w:sz w:val="24"/>
          <w:szCs w:val="24"/>
          <w:lang w:eastAsia="pl-PL"/>
        </w:rPr>
        <w:t xml:space="preserve">Stan higieniczno-sanitarny skontrolowanych obiektów był na ogół zachowany. </w:t>
      </w:r>
      <w:r w:rsidRPr="00014E92">
        <w:rPr>
          <w:rFonts w:eastAsia="Times New Roman" w:cstheme="minorHAnsi"/>
          <w:sz w:val="24"/>
          <w:szCs w:val="24"/>
          <w:lang w:eastAsia="pl-PL"/>
        </w:rPr>
        <w:t xml:space="preserve">Negatywnie oceniono </w:t>
      </w:r>
      <w:r>
        <w:rPr>
          <w:rFonts w:eastAsia="Times New Roman" w:cstheme="minorHAnsi"/>
          <w:sz w:val="24"/>
          <w:szCs w:val="24"/>
          <w:lang w:eastAsia="pl-PL"/>
        </w:rPr>
        <w:t>warunki higieniczno-sanitarne</w:t>
      </w:r>
      <w:r w:rsidRPr="00014E92">
        <w:rPr>
          <w:rFonts w:eastAsia="Times New Roman" w:cstheme="minorHAnsi"/>
          <w:sz w:val="24"/>
          <w:szCs w:val="24"/>
          <w:lang w:eastAsia="pl-PL"/>
        </w:rPr>
        <w:t xml:space="preserve"> w 212 obiektach, </w:t>
      </w:r>
      <w:r>
        <w:rPr>
          <w:rFonts w:eastAsia="Times New Roman" w:cstheme="minorHAnsi"/>
          <w:sz w:val="24"/>
          <w:szCs w:val="24"/>
          <w:lang w:eastAsia="pl-PL"/>
        </w:rPr>
        <w:t>tj. w blisko</w:t>
      </w:r>
      <w:r w:rsidRPr="00014E92">
        <w:rPr>
          <w:rFonts w:eastAsia="Times New Roman" w:cstheme="minorHAnsi"/>
          <w:sz w:val="24"/>
          <w:szCs w:val="24"/>
          <w:lang w:eastAsia="pl-PL"/>
        </w:rPr>
        <w:t xml:space="preserve"> </w:t>
      </w:r>
      <w:r>
        <w:rPr>
          <w:rFonts w:eastAsia="Times New Roman" w:cstheme="minorHAnsi"/>
          <w:sz w:val="24"/>
          <w:szCs w:val="24"/>
          <w:lang w:eastAsia="pl-PL"/>
        </w:rPr>
        <w:t>19</w:t>
      </w:r>
      <w:r w:rsidRPr="00014E92">
        <w:rPr>
          <w:rFonts w:eastAsia="Times New Roman" w:cstheme="minorHAnsi"/>
          <w:sz w:val="24"/>
          <w:szCs w:val="24"/>
          <w:lang w:eastAsia="pl-PL"/>
        </w:rPr>
        <w:t>% ogółu skontrolowanych podmiotów</w:t>
      </w:r>
      <w:r w:rsidRPr="00AD4BD1">
        <w:rPr>
          <w:rFonts w:eastAsia="Times New Roman" w:cstheme="minorHAnsi"/>
          <w:sz w:val="24"/>
          <w:szCs w:val="24"/>
          <w:lang w:eastAsia="pl-PL"/>
        </w:rPr>
        <w:t xml:space="preserve"> (tabela </w:t>
      </w:r>
      <w:r>
        <w:rPr>
          <w:rFonts w:eastAsia="Times New Roman" w:cstheme="minorHAnsi"/>
          <w:sz w:val="24"/>
          <w:szCs w:val="24"/>
          <w:lang w:eastAsia="pl-PL"/>
        </w:rPr>
        <w:t>29</w:t>
      </w:r>
      <w:r w:rsidRPr="00AD4BD1">
        <w:rPr>
          <w:rFonts w:eastAsia="Times New Roman" w:cstheme="minorHAnsi"/>
          <w:sz w:val="24"/>
          <w:szCs w:val="24"/>
          <w:lang w:eastAsia="pl-PL"/>
        </w:rPr>
        <w:t>).</w:t>
      </w:r>
    </w:p>
    <w:p w14:paraId="01659FC0" w14:textId="67DD484C" w:rsidR="000B4D72" w:rsidRPr="00202098" w:rsidRDefault="00202098" w:rsidP="00597239">
      <w:pPr>
        <w:pStyle w:val="Legenda"/>
        <w:rPr>
          <w:i w:val="0"/>
          <w:iCs w:val="0"/>
          <w:color w:val="000000" w:themeColor="text1"/>
        </w:rPr>
      </w:pPr>
      <w:bookmarkStart w:id="193" w:name="_Toc193805999"/>
      <w:bookmarkStart w:id="194" w:name="_Toc193969547"/>
      <w:bookmarkStart w:id="195" w:name="_Toc194060007"/>
      <w:r w:rsidRPr="00202098">
        <w:rPr>
          <w:i w:val="0"/>
          <w:iCs w:val="0"/>
          <w:color w:val="000000" w:themeColor="text1"/>
        </w:rPr>
        <w:t xml:space="preserve">Tabela </w:t>
      </w:r>
      <w:r w:rsidRPr="00202098">
        <w:rPr>
          <w:i w:val="0"/>
          <w:iCs w:val="0"/>
          <w:color w:val="000000" w:themeColor="text1"/>
        </w:rPr>
        <w:fldChar w:fldCharType="begin"/>
      </w:r>
      <w:r w:rsidRPr="00202098">
        <w:rPr>
          <w:i w:val="0"/>
          <w:iCs w:val="0"/>
          <w:color w:val="000000" w:themeColor="text1"/>
        </w:rPr>
        <w:instrText xml:space="preserve"> SEQ Tabela \* ARABIC </w:instrText>
      </w:r>
      <w:r w:rsidRPr="00202098">
        <w:rPr>
          <w:i w:val="0"/>
          <w:iCs w:val="0"/>
          <w:color w:val="000000" w:themeColor="text1"/>
        </w:rPr>
        <w:fldChar w:fldCharType="separate"/>
      </w:r>
      <w:r w:rsidR="00FB6F6A">
        <w:rPr>
          <w:i w:val="0"/>
          <w:iCs w:val="0"/>
          <w:noProof/>
          <w:color w:val="000000" w:themeColor="text1"/>
        </w:rPr>
        <w:t>29</w:t>
      </w:r>
      <w:r w:rsidRPr="00202098">
        <w:rPr>
          <w:i w:val="0"/>
          <w:iCs w:val="0"/>
          <w:color w:val="000000" w:themeColor="text1"/>
        </w:rPr>
        <w:fldChar w:fldCharType="end"/>
      </w:r>
      <w:r w:rsidR="00E75D31">
        <w:rPr>
          <w:i w:val="0"/>
          <w:iCs w:val="0"/>
          <w:color w:val="000000" w:themeColor="text1"/>
        </w:rPr>
        <w:t>.</w:t>
      </w:r>
      <w:r w:rsidRPr="00202098">
        <w:rPr>
          <w:i w:val="0"/>
          <w:iCs w:val="0"/>
          <w:color w:val="000000" w:themeColor="text1"/>
        </w:rPr>
        <w:t xml:space="preserve"> Nadzór nad stanem sanitarnym podmiotów działalności leczniczej wykonujących stacjonarne i ambulatoryjne świadczenia zdrowotne w woj. zachodniopomorskim w 2024 r.</w:t>
      </w:r>
      <w:bookmarkEnd w:id="193"/>
      <w:bookmarkEnd w:id="194"/>
      <w:bookmarkEnd w:id="195"/>
    </w:p>
    <w:tbl>
      <w:tblPr>
        <w:tblStyle w:val="Tabelasiatki4akcent1"/>
        <w:tblW w:w="5000" w:type="pct"/>
        <w:tblLook w:val="04A0" w:firstRow="1" w:lastRow="0" w:firstColumn="1" w:lastColumn="0" w:noHBand="0" w:noVBand="1"/>
        <w:tblCaption w:val="Nadzór nad stanem sanitarnym podmiotów działalności leczniczej wykonujących stacjonarne i ambulatoryjne świadczenia zdrowotne w woj. zachodniopomorskim w 2024 r."/>
        <w:tblDescription w:val="Tabela przedstawia liczbę podmiotów działalności leczniczej wykonujących stacjonarne i ambulatoryjne świadczenia zdrowotne w woj. zachodniopomorskim w 2024 r."/>
      </w:tblPr>
      <w:tblGrid>
        <w:gridCol w:w="922"/>
        <w:gridCol w:w="1707"/>
        <w:gridCol w:w="1276"/>
        <w:gridCol w:w="1614"/>
        <w:gridCol w:w="992"/>
        <w:gridCol w:w="1559"/>
        <w:gridCol w:w="992"/>
      </w:tblGrid>
      <w:tr w:rsidR="000B4D72" w:rsidRPr="00FF50CD" w14:paraId="2ACBF763" w14:textId="77777777" w:rsidTr="0063333E">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250" w:type="dxa"/>
            <w:gridSpan w:val="2"/>
            <w:vMerge w:val="restart"/>
            <w:vAlign w:val="center"/>
          </w:tcPr>
          <w:p w14:paraId="32AE4BD0"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Wyszczególnienie</w:t>
            </w:r>
          </w:p>
        </w:tc>
        <w:tc>
          <w:tcPr>
            <w:tcW w:w="6379" w:type="dxa"/>
            <w:gridSpan w:val="5"/>
            <w:vAlign w:val="center"/>
          </w:tcPr>
          <w:p w14:paraId="639F33D7"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Liczba obiektów</w:t>
            </w:r>
          </w:p>
          <w:p w14:paraId="6D94BD2B"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pl-PL"/>
              </w:rPr>
            </w:pPr>
          </w:p>
          <w:p w14:paraId="7E2A1F17"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pl-PL"/>
              </w:rPr>
            </w:pPr>
          </w:p>
          <w:p w14:paraId="30F7BAF4"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0"/>
                <w:szCs w:val="20"/>
                <w:lang w:eastAsia="pl-PL"/>
              </w:rPr>
            </w:pPr>
          </w:p>
        </w:tc>
      </w:tr>
      <w:tr w:rsidR="000B4D72" w:rsidRPr="00FF50CD" w14:paraId="3EDD1490" w14:textId="77777777" w:rsidTr="0063333E">
        <w:trPr>
          <w:cnfStyle w:val="000000100000" w:firstRow="0" w:lastRow="0" w:firstColumn="0" w:lastColumn="0" w:oddVBand="0" w:evenVBand="0" w:oddHBand="1" w:evenHBand="0" w:firstRowFirstColumn="0" w:firstRowLastColumn="0" w:lastRowFirstColumn="0" w:lastRowLastColumn="0"/>
          <w:trHeight w:hRule="exact" w:val="879"/>
        </w:trPr>
        <w:tc>
          <w:tcPr>
            <w:cnfStyle w:val="001000000000" w:firstRow="0" w:lastRow="0" w:firstColumn="1" w:lastColumn="0" w:oddVBand="0" w:evenVBand="0" w:oddHBand="0" w:evenHBand="0" w:firstRowFirstColumn="0" w:firstRowLastColumn="0" w:lastRowFirstColumn="0" w:lastRowLastColumn="0"/>
            <w:tcW w:w="3250" w:type="dxa"/>
            <w:gridSpan w:val="2"/>
            <w:vMerge/>
            <w:vAlign w:val="center"/>
          </w:tcPr>
          <w:p w14:paraId="6DDE5526" w14:textId="77777777" w:rsidR="000B4D72" w:rsidRPr="00FF50CD" w:rsidRDefault="000B4D72" w:rsidP="00597239">
            <w:pPr>
              <w:rPr>
                <w:rFonts w:ascii="Calibri" w:eastAsia="Times New Roman" w:hAnsi="Calibri" w:cs="Calibri"/>
                <w:b w:val="0"/>
                <w:bCs w:val="0"/>
                <w:sz w:val="20"/>
                <w:szCs w:val="20"/>
                <w:lang w:eastAsia="pl-PL"/>
              </w:rPr>
            </w:pPr>
          </w:p>
        </w:tc>
        <w:tc>
          <w:tcPr>
            <w:tcW w:w="1276" w:type="dxa"/>
            <w:vAlign w:val="center"/>
          </w:tcPr>
          <w:p w14:paraId="057577E3" w14:textId="2FAB76FD"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Ogółem wg</w:t>
            </w:r>
          </w:p>
          <w:p w14:paraId="0684F44B" w14:textId="6000887F"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ewidencji</w:t>
            </w:r>
          </w:p>
          <w:p w14:paraId="359C96E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pl-PL"/>
              </w:rPr>
            </w:pPr>
            <w:r w:rsidRPr="00FF50CD">
              <w:rPr>
                <w:rFonts w:ascii="Calibri" w:eastAsia="Times New Roman" w:hAnsi="Calibri" w:cs="Calibri"/>
                <w:sz w:val="20"/>
                <w:szCs w:val="20"/>
                <w:lang w:eastAsia="pl-PL"/>
              </w:rPr>
              <w:t>na 31.XII</w:t>
            </w:r>
          </w:p>
        </w:tc>
        <w:tc>
          <w:tcPr>
            <w:tcW w:w="1560" w:type="dxa"/>
            <w:vAlign w:val="center"/>
          </w:tcPr>
          <w:p w14:paraId="5355AB2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skontrolowanych</w:t>
            </w:r>
          </w:p>
        </w:tc>
        <w:tc>
          <w:tcPr>
            <w:tcW w:w="992" w:type="dxa"/>
            <w:noWrap/>
            <w:vAlign w:val="center"/>
          </w:tcPr>
          <w:p w14:paraId="1892E5F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w:t>
            </w:r>
          </w:p>
        </w:tc>
        <w:tc>
          <w:tcPr>
            <w:tcW w:w="1559" w:type="dxa"/>
            <w:vAlign w:val="center"/>
          </w:tcPr>
          <w:p w14:paraId="568CC118" w14:textId="0F816002"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pl-PL"/>
              </w:rPr>
            </w:pPr>
            <w:r w:rsidRPr="00FF50CD">
              <w:rPr>
                <w:rFonts w:ascii="Calibri" w:eastAsia="Times New Roman" w:hAnsi="Calibri" w:cs="Calibri"/>
                <w:sz w:val="16"/>
                <w:szCs w:val="16"/>
                <w:lang w:eastAsia="pl-PL"/>
              </w:rPr>
              <w:t>ze stwierdzonym nieprawidłowym stanem</w:t>
            </w:r>
          </w:p>
        </w:tc>
        <w:tc>
          <w:tcPr>
            <w:tcW w:w="992" w:type="dxa"/>
            <w:vAlign w:val="center"/>
          </w:tcPr>
          <w:p w14:paraId="70D88E6E"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w:t>
            </w:r>
          </w:p>
        </w:tc>
      </w:tr>
      <w:tr w:rsidR="000B4D72" w:rsidRPr="00FF50CD" w14:paraId="3BB2C709" w14:textId="77777777" w:rsidTr="0063333E">
        <w:trPr>
          <w:trHeight w:val="342"/>
        </w:trPr>
        <w:tc>
          <w:tcPr>
            <w:cnfStyle w:val="001000000000" w:firstRow="0" w:lastRow="0" w:firstColumn="1" w:lastColumn="0" w:oddVBand="0" w:evenVBand="0" w:oddHBand="0" w:evenHBand="0" w:firstRowFirstColumn="0" w:firstRowLastColumn="0" w:lastRowFirstColumn="0" w:lastRowLastColumn="0"/>
            <w:tcW w:w="1040" w:type="dxa"/>
            <w:vMerge w:val="restart"/>
            <w:vAlign w:val="center"/>
          </w:tcPr>
          <w:p w14:paraId="426AA2DE"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Szpitale</w:t>
            </w:r>
          </w:p>
        </w:tc>
        <w:tc>
          <w:tcPr>
            <w:tcW w:w="2210" w:type="dxa"/>
            <w:vAlign w:val="center"/>
          </w:tcPr>
          <w:p w14:paraId="0FF6EE3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ogółem</w:t>
            </w:r>
          </w:p>
        </w:tc>
        <w:tc>
          <w:tcPr>
            <w:tcW w:w="1276" w:type="dxa"/>
            <w:noWrap/>
            <w:vAlign w:val="center"/>
          </w:tcPr>
          <w:p w14:paraId="0F1DD6C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50</w:t>
            </w:r>
          </w:p>
        </w:tc>
        <w:tc>
          <w:tcPr>
            <w:tcW w:w="1560" w:type="dxa"/>
            <w:noWrap/>
            <w:vAlign w:val="center"/>
          </w:tcPr>
          <w:p w14:paraId="06C6450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50</w:t>
            </w:r>
          </w:p>
        </w:tc>
        <w:tc>
          <w:tcPr>
            <w:tcW w:w="992" w:type="dxa"/>
            <w:noWrap/>
            <w:vAlign w:val="center"/>
          </w:tcPr>
          <w:p w14:paraId="7F51D24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100</w:t>
            </w:r>
          </w:p>
        </w:tc>
        <w:tc>
          <w:tcPr>
            <w:tcW w:w="1559" w:type="dxa"/>
            <w:noWrap/>
            <w:vAlign w:val="center"/>
          </w:tcPr>
          <w:p w14:paraId="00FC363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28</w:t>
            </w:r>
          </w:p>
        </w:tc>
        <w:tc>
          <w:tcPr>
            <w:tcW w:w="992" w:type="dxa"/>
            <w:noWrap/>
            <w:vAlign w:val="center"/>
          </w:tcPr>
          <w:p w14:paraId="66B7FEB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cstheme="minorHAnsi"/>
              </w:rPr>
              <w:t>56</w:t>
            </w:r>
          </w:p>
        </w:tc>
      </w:tr>
      <w:tr w:rsidR="000B4D72" w:rsidRPr="00FF50CD" w14:paraId="77C4229F" w14:textId="77777777" w:rsidTr="0063333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040" w:type="dxa"/>
            <w:vMerge/>
            <w:vAlign w:val="center"/>
          </w:tcPr>
          <w:p w14:paraId="548A7770" w14:textId="77777777" w:rsidR="000B4D72" w:rsidRPr="00FF50CD" w:rsidRDefault="000B4D72" w:rsidP="00597239">
            <w:pPr>
              <w:rPr>
                <w:rFonts w:ascii="Calibri" w:eastAsia="Times New Roman" w:hAnsi="Calibri" w:cs="Calibri"/>
                <w:b w:val="0"/>
                <w:bCs w:val="0"/>
                <w:sz w:val="20"/>
                <w:szCs w:val="20"/>
                <w:lang w:eastAsia="pl-PL"/>
              </w:rPr>
            </w:pPr>
          </w:p>
        </w:tc>
        <w:tc>
          <w:tcPr>
            <w:tcW w:w="2210" w:type="dxa"/>
            <w:vAlign w:val="center"/>
          </w:tcPr>
          <w:p w14:paraId="5F14F55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w tym uzdrowiskowe</w:t>
            </w:r>
          </w:p>
        </w:tc>
        <w:tc>
          <w:tcPr>
            <w:tcW w:w="1276" w:type="dxa"/>
            <w:noWrap/>
            <w:vAlign w:val="center"/>
          </w:tcPr>
          <w:p w14:paraId="42156C9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5</w:t>
            </w:r>
          </w:p>
        </w:tc>
        <w:tc>
          <w:tcPr>
            <w:tcW w:w="1560" w:type="dxa"/>
            <w:noWrap/>
            <w:vAlign w:val="center"/>
          </w:tcPr>
          <w:p w14:paraId="4AF3B01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5</w:t>
            </w:r>
          </w:p>
        </w:tc>
        <w:tc>
          <w:tcPr>
            <w:tcW w:w="992" w:type="dxa"/>
            <w:noWrap/>
            <w:vAlign w:val="center"/>
          </w:tcPr>
          <w:p w14:paraId="01B7A7B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100</w:t>
            </w:r>
          </w:p>
        </w:tc>
        <w:tc>
          <w:tcPr>
            <w:tcW w:w="1559" w:type="dxa"/>
            <w:noWrap/>
            <w:vAlign w:val="center"/>
          </w:tcPr>
          <w:p w14:paraId="7DAA024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3</w:t>
            </w:r>
          </w:p>
        </w:tc>
        <w:tc>
          <w:tcPr>
            <w:tcW w:w="992" w:type="dxa"/>
            <w:noWrap/>
            <w:vAlign w:val="center"/>
          </w:tcPr>
          <w:p w14:paraId="7E254B3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60</w:t>
            </w:r>
          </w:p>
        </w:tc>
      </w:tr>
      <w:tr w:rsidR="000B4D72" w:rsidRPr="00FF50CD" w14:paraId="4F5595AA" w14:textId="77777777" w:rsidTr="0063333E">
        <w:trPr>
          <w:trHeight w:val="342"/>
        </w:trPr>
        <w:tc>
          <w:tcPr>
            <w:cnfStyle w:val="001000000000" w:firstRow="0" w:lastRow="0" w:firstColumn="1" w:lastColumn="0" w:oddVBand="0" w:evenVBand="0" w:oddHBand="0" w:evenHBand="0" w:firstRowFirstColumn="0" w:firstRowLastColumn="0" w:lastRowFirstColumn="0" w:lastRowLastColumn="0"/>
            <w:tcW w:w="1040" w:type="dxa"/>
            <w:vMerge/>
            <w:vAlign w:val="center"/>
          </w:tcPr>
          <w:p w14:paraId="3A712845" w14:textId="77777777" w:rsidR="000B4D72" w:rsidRPr="00FF50CD" w:rsidRDefault="000B4D72" w:rsidP="00597239">
            <w:pPr>
              <w:rPr>
                <w:rFonts w:ascii="Calibri" w:eastAsia="Times New Roman" w:hAnsi="Calibri" w:cs="Calibri"/>
                <w:b w:val="0"/>
                <w:bCs w:val="0"/>
                <w:sz w:val="20"/>
                <w:szCs w:val="20"/>
                <w:lang w:eastAsia="pl-PL"/>
              </w:rPr>
            </w:pPr>
          </w:p>
        </w:tc>
        <w:tc>
          <w:tcPr>
            <w:tcW w:w="2210" w:type="dxa"/>
            <w:vAlign w:val="center"/>
          </w:tcPr>
          <w:p w14:paraId="2222B84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pl-PL"/>
              </w:rPr>
            </w:pPr>
            <w:r w:rsidRPr="00FF50CD">
              <w:rPr>
                <w:rFonts w:ascii="Calibri" w:eastAsia="Times New Roman" w:hAnsi="Calibri" w:cs="Calibri"/>
                <w:sz w:val="20"/>
                <w:szCs w:val="20"/>
                <w:lang w:eastAsia="pl-PL"/>
              </w:rPr>
              <w:t>w tym jednodniowe</w:t>
            </w:r>
          </w:p>
        </w:tc>
        <w:tc>
          <w:tcPr>
            <w:tcW w:w="1276" w:type="dxa"/>
            <w:noWrap/>
            <w:vAlign w:val="center"/>
          </w:tcPr>
          <w:p w14:paraId="29056EF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7</w:t>
            </w:r>
          </w:p>
        </w:tc>
        <w:tc>
          <w:tcPr>
            <w:tcW w:w="1560" w:type="dxa"/>
            <w:noWrap/>
            <w:vAlign w:val="center"/>
          </w:tcPr>
          <w:p w14:paraId="507FB3E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7</w:t>
            </w:r>
          </w:p>
        </w:tc>
        <w:tc>
          <w:tcPr>
            <w:tcW w:w="992" w:type="dxa"/>
            <w:noWrap/>
            <w:vAlign w:val="center"/>
          </w:tcPr>
          <w:p w14:paraId="4E25968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100</w:t>
            </w:r>
          </w:p>
        </w:tc>
        <w:tc>
          <w:tcPr>
            <w:tcW w:w="1559" w:type="dxa"/>
            <w:noWrap/>
            <w:vAlign w:val="center"/>
          </w:tcPr>
          <w:p w14:paraId="130BE12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0</w:t>
            </w:r>
          </w:p>
        </w:tc>
        <w:tc>
          <w:tcPr>
            <w:tcW w:w="992" w:type="dxa"/>
            <w:noWrap/>
            <w:vAlign w:val="center"/>
          </w:tcPr>
          <w:p w14:paraId="49C96C8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cstheme="minorHAnsi"/>
              </w:rPr>
              <w:t>0</w:t>
            </w:r>
          </w:p>
        </w:tc>
      </w:tr>
      <w:tr w:rsidR="000B4D72" w:rsidRPr="00FF50CD" w14:paraId="7D1BA56D" w14:textId="77777777" w:rsidTr="0063333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215B890E"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lastRenderedPageBreak/>
              <w:t>Zakłady opiekuńczo - lecznicze</w:t>
            </w:r>
          </w:p>
        </w:tc>
        <w:tc>
          <w:tcPr>
            <w:tcW w:w="1276" w:type="dxa"/>
            <w:noWrap/>
            <w:vAlign w:val="center"/>
          </w:tcPr>
          <w:p w14:paraId="4FA59FF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7</w:t>
            </w:r>
          </w:p>
        </w:tc>
        <w:tc>
          <w:tcPr>
            <w:tcW w:w="1560" w:type="dxa"/>
            <w:noWrap/>
            <w:vAlign w:val="center"/>
          </w:tcPr>
          <w:p w14:paraId="1FF5FA28"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5</w:t>
            </w:r>
          </w:p>
        </w:tc>
        <w:tc>
          <w:tcPr>
            <w:tcW w:w="992" w:type="dxa"/>
            <w:noWrap/>
            <w:vAlign w:val="center"/>
          </w:tcPr>
          <w:p w14:paraId="3A8A91F2"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ascii="Calibri" w:hAnsi="Calibri" w:cs="Calibri"/>
              </w:rPr>
              <w:t>71,43</w:t>
            </w:r>
          </w:p>
        </w:tc>
        <w:tc>
          <w:tcPr>
            <w:tcW w:w="1559" w:type="dxa"/>
            <w:noWrap/>
            <w:vAlign w:val="center"/>
          </w:tcPr>
          <w:p w14:paraId="710DBA5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w:t>
            </w:r>
          </w:p>
        </w:tc>
        <w:tc>
          <w:tcPr>
            <w:tcW w:w="992" w:type="dxa"/>
            <w:noWrap/>
            <w:vAlign w:val="center"/>
          </w:tcPr>
          <w:p w14:paraId="36B29C1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40</w:t>
            </w:r>
          </w:p>
        </w:tc>
      </w:tr>
      <w:tr w:rsidR="000B4D72" w:rsidRPr="00FF50CD" w14:paraId="011C338A" w14:textId="77777777" w:rsidTr="0063333E">
        <w:trPr>
          <w:trHeight w:val="342"/>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28A63CD6"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Zakłady pielęgnacyjno - opiekuńcze</w:t>
            </w:r>
          </w:p>
        </w:tc>
        <w:tc>
          <w:tcPr>
            <w:tcW w:w="1276" w:type="dxa"/>
            <w:noWrap/>
            <w:vAlign w:val="center"/>
          </w:tcPr>
          <w:p w14:paraId="0C78A98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16</w:t>
            </w:r>
          </w:p>
        </w:tc>
        <w:tc>
          <w:tcPr>
            <w:tcW w:w="1560" w:type="dxa"/>
            <w:noWrap/>
            <w:vAlign w:val="center"/>
          </w:tcPr>
          <w:p w14:paraId="0C0B391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15</w:t>
            </w:r>
          </w:p>
        </w:tc>
        <w:tc>
          <w:tcPr>
            <w:tcW w:w="992" w:type="dxa"/>
            <w:noWrap/>
            <w:vAlign w:val="center"/>
          </w:tcPr>
          <w:p w14:paraId="259AEE6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ascii="Calibri" w:hAnsi="Calibri" w:cs="Calibri"/>
              </w:rPr>
              <w:t>93,75</w:t>
            </w:r>
          </w:p>
        </w:tc>
        <w:tc>
          <w:tcPr>
            <w:tcW w:w="1559" w:type="dxa"/>
            <w:noWrap/>
            <w:vAlign w:val="center"/>
          </w:tcPr>
          <w:p w14:paraId="43B9536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w:t>
            </w:r>
          </w:p>
        </w:tc>
        <w:tc>
          <w:tcPr>
            <w:tcW w:w="992" w:type="dxa"/>
            <w:noWrap/>
            <w:vAlign w:val="center"/>
          </w:tcPr>
          <w:p w14:paraId="37C0F8F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26,67</w:t>
            </w:r>
          </w:p>
        </w:tc>
      </w:tr>
      <w:tr w:rsidR="000B4D72" w:rsidRPr="00FF50CD" w14:paraId="321992DE" w14:textId="77777777" w:rsidTr="0063333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31F1E8C2"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Zakłady rehabilitacji leczniczej</w:t>
            </w:r>
          </w:p>
        </w:tc>
        <w:tc>
          <w:tcPr>
            <w:tcW w:w="1276" w:type="dxa"/>
            <w:noWrap/>
            <w:vAlign w:val="center"/>
          </w:tcPr>
          <w:p w14:paraId="287B3A1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35</w:t>
            </w:r>
          </w:p>
        </w:tc>
        <w:tc>
          <w:tcPr>
            <w:tcW w:w="1560" w:type="dxa"/>
            <w:noWrap/>
            <w:vAlign w:val="center"/>
          </w:tcPr>
          <w:p w14:paraId="1A703AA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18</w:t>
            </w:r>
          </w:p>
        </w:tc>
        <w:tc>
          <w:tcPr>
            <w:tcW w:w="992" w:type="dxa"/>
            <w:noWrap/>
            <w:vAlign w:val="center"/>
          </w:tcPr>
          <w:p w14:paraId="5E86833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ascii="Calibri" w:hAnsi="Calibri" w:cs="Calibri"/>
              </w:rPr>
              <w:t>51,43</w:t>
            </w:r>
          </w:p>
        </w:tc>
        <w:tc>
          <w:tcPr>
            <w:tcW w:w="1559" w:type="dxa"/>
            <w:noWrap/>
            <w:vAlign w:val="center"/>
          </w:tcPr>
          <w:p w14:paraId="6964270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w:t>
            </w:r>
          </w:p>
        </w:tc>
        <w:tc>
          <w:tcPr>
            <w:tcW w:w="992" w:type="dxa"/>
            <w:noWrap/>
            <w:vAlign w:val="center"/>
          </w:tcPr>
          <w:p w14:paraId="42397A6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11,11</w:t>
            </w:r>
          </w:p>
        </w:tc>
      </w:tr>
      <w:tr w:rsidR="000B4D72" w:rsidRPr="00FF50CD" w14:paraId="275E0A53" w14:textId="77777777" w:rsidTr="0063333E">
        <w:trPr>
          <w:trHeight w:val="342"/>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1A241323" w14:textId="714CE778"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Sanatoria</w:t>
            </w:r>
          </w:p>
        </w:tc>
        <w:tc>
          <w:tcPr>
            <w:tcW w:w="1276" w:type="dxa"/>
            <w:noWrap/>
            <w:vAlign w:val="center"/>
          </w:tcPr>
          <w:p w14:paraId="74FED9F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41</w:t>
            </w:r>
          </w:p>
        </w:tc>
        <w:tc>
          <w:tcPr>
            <w:tcW w:w="1560" w:type="dxa"/>
            <w:noWrap/>
            <w:vAlign w:val="center"/>
          </w:tcPr>
          <w:p w14:paraId="6FFBBD2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28</w:t>
            </w:r>
          </w:p>
        </w:tc>
        <w:tc>
          <w:tcPr>
            <w:tcW w:w="992" w:type="dxa"/>
            <w:noWrap/>
            <w:vAlign w:val="center"/>
          </w:tcPr>
          <w:p w14:paraId="2795644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ascii="Calibri" w:hAnsi="Calibri" w:cs="Calibri"/>
              </w:rPr>
              <w:t>68,29</w:t>
            </w:r>
          </w:p>
        </w:tc>
        <w:tc>
          <w:tcPr>
            <w:tcW w:w="1559" w:type="dxa"/>
            <w:noWrap/>
            <w:vAlign w:val="center"/>
          </w:tcPr>
          <w:p w14:paraId="2933E3A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13</w:t>
            </w:r>
          </w:p>
        </w:tc>
        <w:tc>
          <w:tcPr>
            <w:tcW w:w="992" w:type="dxa"/>
            <w:noWrap/>
            <w:vAlign w:val="center"/>
          </w:tcPr>
          <w:p w14:paraId="46B1A04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46,43</w:t>
            </w:r>
          </w:p>
        </w:tc>
      </w:tr>
      <w:tr w:rsidR="000B4D72" w:rsidRPr="00FF50CD" w14:paraId="1E8EBB48" w14:textId="77777777" w:rsidTr="0063333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5DBEDFC7" w14:textId="2E58D005"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Hospicja</w:t>
            </w:r>
          </w:p>
        </w:tc>
        <w:tc>
          <w:tcPr>
            <w:tcW w:w="1276" w:type="dxa"/>
            <w:noWrap/>
            <w:vAlign w:val="center"/>
          </w:tcPr>
          <w:p w14:paraId="7E9BB60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8</w:t>
            </w:r>
          </w:p>
        </w:tc>
        <w:tc>
          <w:tcPr>
            <w:tcW w:w="1560" w:type="dxa"/>
            <w:noWrap/>
            <w:vAlign w:val="center"/>
          </w:tcPr>
          <w:p w14:paraId="36A2F12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w:t>
            </w:r>
          </w:p>
        </w:tc>
        <w:tc>
          <w:tcPr>
            <w:tcW w:w="992" w:type="dxa"/>
            <w:noWrap/>
            <w:vAlign w:val="center"/>
          </w:tcPr>
          <w:p w14:paraId="240936A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ascii="Calibri" w:hAnsi="Calibri" w:cs="Calibri"/>
              </w:rPr>
              <w:t>50</w:t>
            </w:r>
          </w:p>
        </w:tc>
        <w:tc>
          <w:tcPr>
            <w:tcW w:w="1559" w:type="dxa"/>
            <w:noWrap/>
            <w:vAlign w:val="center"/>
          </w:tcPr>
          <w:p w14:paraId="1082C9A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w:t>
            </w:r>
          </w:p>
        </w:tc>
        <w:tc>
          <w:tcPr>
            <w:tcW w:w="992" w:type="dxa"/>
            <w:noWrap/>
            <w:vAlign w:val="center"/>
          </w:tcPr>
          <w:p w14:paraId="047F3130"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25</w:t>
            </w:r>
          </w:p>
        </w:tc>
      </w:tr>
      <w:tr w:rsidR="000B4D72" w:rsidRPr="00FF50CD" w14:paraId="7A336AFC" w14:textId="77777777" w:rsidTr="0063333E">
        <w:trPr>
          <w:trHeight w:val="342"/>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64B37F83"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Inne</w:t>
            </w:r>
          </w:p>
        </w:tc>
        <w:tc>
          <w:tcPr>
            <w:tcW w:w="1276" w:type="dxa"/>
            <w:noWrap/>
            <w:vAlign w:val="center"/>
          </w:tcPr>
          <w:p w14:paraId="552FB3EF"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16</w:t>
            </w:r>
          </w:p>
        </w:tc>
        <w:tc>
          <w:tcPr>
            <w:tcW w:w="1560" w:type="dxa"/>
            <w:noWrap/>
            <w:vAlign w:val="center"/>
          </w:tcPr>
          <w:p w14:paraId="2216AE85"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w:t>
            </w:r>
          </w:p>
        </w:tc>
        <w:tc>
          <w:tcPr>
            <w:tcW w:w="992" w:type="dxa"/>
            <w:noWrap/>
            <w:vAlign w:val="center"/>
          </w:tcPr>
          <w:p w14:paraId="5B31DDD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ascii="Calibri" w:hAnsi="Calibri" w:cs="Calibri"/>
              </w:rPr>
              <w:t>62,5</w:t>
            </w:r>
          </w:p>
        </w:tc>
        <w:tc>
          <w:tcPr>
            <w:tcW w:w="1559" w:type="dxa"/>
            <w:noWrap/>
            <w:vAlign w:val="center"/>
          </w:tcPr>
          <w:p w14:paraId="23192DF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w:t>
            </w:r>
          </w:p>
        </w:tc>
        <w:tc>
          <w:tcPr>
            <w:tcW w:w="992" w:type="dxa"/>
            <w:noWrap/>
            <w:vAlign w:val="center"/>
          </w:tcPr>
          <w:p w14:paraId="18045B6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20</w:t>
            </w:r>
          </w:p>
        </w:tc>
      </w:tr>
      <w:tr w:rsidR="000B4D72" w:rsidRPr="00FF50CD" w14:paraId="38B1A799" w14:textId="77777777" w:rsidTr="0063333E">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219C4D52"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Przychodnie, ośrodki, poradnie, ambulatoria - ogółem</w:t>
            </w:r>
          </w:p>
        </w:tc>
        <w:tc>
          <w:tcPr>
            <w:tcW w:w="1276" w:type="dxa"/>
            <w:noWrap/>
            <w:vAlign w:val="center"/>
          </w:tcPr>
          <w:p w14:paraId="044EFB5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1029</w:t>
            </w:r>
          </w:p>
        </w:tc>
        <w:tc>
          <w:tcPr>
            <w:tcW w:w="1560" w:type="dxa"/>
            <w:noWrap/>
            <w:vAlign w:val="center"/>
          </w:tcPr>
          <w:p w14:paraId="650DD79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695</w:t>
            </w:r>
          </w:p>
        </w:tc>
        <w:tc>
          <w:tcPr>
            <w:tcW w:w="992" w:type="dxa"/>
            <w:noWrap/>
            <w:vAlign w:val="center"/>
          </w:tcPr>
          <w:p w14:paraId="5F143CD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ascii="Calibri" w:hAnsi="Calibri" w:cs="Calibri"/>
              </w:rPr>
              <w:t>67,54</w:t>
            </w:r>
          </w:p>
        </w:tc>
        <w:tc>
          <w:tcPr>
            <w:tcW w:w="1559" w:type="dxa"/>
            <w:noWrap/>
            <w:vAlign w:val="center"/>
          </w:tcPr>
          <w:p w14:paraId="266E78B8"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123</w:t>
            </w:r>
          </w:p>
        </w:tc>
        <w:tc>
          <w:tcPr>
            <w:tcW w:w="992" w:type="dxa"/>
            <w:noWrap/>
            <w:vAlign w:val="center"/>
          </w:tcPr>
          <w:p w14:paraId="7719ED4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17,70</w:t>
            </w:r>
          </w:p>
        </w:tc>
      </w:tr>
      <w:tr w:rsidR="000B4D72" w:rsidRPr="00FF50CD" w14:paraId="6023CDDE" w14:textId="77777777" w:rsidTr="0063333E">
        <w:trPr>
          <w:trHeight w:val="540"/>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12775F8B"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Zakłady badań diagnostycznych i medyczne laboratoria diagnostyczne</w:t>
            </w:r>
          </w:p>
        </w:tc>
        <w:tc>
          <w:tcPr>
            <w:tcW w:w="1276" w:type="dxa"/>
            <w:noWrap/>
            <w:vAlign w:val="center"/>
          </w:tcPr>
          <w:p w14:paraId="08990B8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45</w:t>
            </w:r>
          </w:p>
        </w:tc>
        <w:tc>
          <w:tcPr>
            <w:tcW w:w="1560" w:type="dxa"/>
            <w:noWrap/>
            <w:vAlign w:val="center"/>
          </w:tcPr>
          <w:p w14:paraId="725AE33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31</w:t>
            </w:r>
          </w:p>
        </w:tc>
        <w:tc>
          <w:tcPr>
            <w:tcW w:w="992" w:type="dxa"/>
            <w:noWrap/>
            <w:vAlign w:val="center"/>
          </w:tcPr>
          <w:p w14:paraId="23CBE49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ascii="Calibri" w:hAnsi="Calibri" w:cs="Calibri"/>
              </w:rPr>
              <w:t>68,89</w:t>
            </w:r>
          </w:p>
        </w:tc>
        <w:tc>
          <w:tcPr>
            <w:tcW w:w="1559" w:type="dxa"/>
            <w:noWrap/>
            <w:vAlign w:val="center"/>
          </w:tcPr>
          <w:p w14:paraId="600E2BE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6</w:t>
            </w:r>
          </w:p>
        </w:tc>
        <w:tc>
          <w:tcPr>
            <w:tcW w:w="992" w:type="dxa"/>
            <w:noWrap/>
            <w:vAlign w:val="center"/>
          </w:tcPr>
          <w:p w14:paraId="1AB6569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19,35</w:t>
            </w:r>
          </w:p>
        </w:tc>
      </w:tr>
      <w:tr w:rsidR="000B4D72" w:rsidRPr="00FF50CD" w14:paraId="030B4D01" w14:textId="77777777" w:rsidTr="0063333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589DABA4"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Zakłady rehabilitacji leczniczej</w:t>
            </w:r>
          </w:p>
        </w:tc>
        <w:tc>
          <w:tcPr>
            <w:tcW w:w="1276" w:type="dxa"/>
            <w:noWrap/>
            <w:vAlign w:val="center"/>
          </w:tcPr>
          <w:p w14:paraId="33CEA54B"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101</w:t>
            </w:r>
          </w:p>
        </w:tc>
        <w:tc>
          <w:tcPr>
            <w:tcW w:w="1560" w:type="dxa"/>
            <w:noWrap/>
            <w:vAlign w:val="center"/>
          </w:tcPr>
          <w:p w14:paraId="19A80B9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37</w:t>
            </w:r>
          </w:p>
        </w:tc>
        <w:tc>
          <w:tcPr>
            <w:tcW w:w="992" w:type="dxa"/>
            <w:noWrap/>
            <w:vAlign w:val="center"/>
          </w:tcPr>
          <w:p w14:paraId="5ED21F9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ascii="Calibri" w:hAnsi="Calibri" w:cs="Calibri"/>
              </w:rPr>
              <w:t>36,63</w:t>
            </w:r>
          </w:p>
        </w:tc>
        <w:tc>
          <w:tcPr>
            <w:tcW w:w="1559" w:type="dxa"/>
            <w:noWrap/>
            <w:vAlign w:val="center"/>
          </w:tcPr>
          <w:p w14:paraId="3E129502"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4</w:t>
            </w:r>
          </w:p>
        </w:tc>
        <w:tc>
          <w:tcPr>
            <w:tcW w:w="992" w:type="dxa"/>
            <w:noWrap/>
            <w:vAlign w:val="center"/>
          </w:tcPr>
          <w:p w14:paraId="69EB4D8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10,81</w:t>
            </w:r>
          </w:p>
        </w:tc>
      </w:tr>
      <w:tr w:rsidR="000B4D72" w:rsidRPr="00FF50CD" w14:paraId="0FB834BA" w14:textId="77777777" w:rsidTr="0063333E">
        <w:trPr>
          <w:trHeight w:val="426"/>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6395E1F9" w14:textId="2031192C"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Inne ogółem</w:t>
            </w:r>
          </w:p>
        </w:tc>
        <w:tc>
          <w:tcPr>
            <w:tcW w:w="1276" w:type="dxa"/>
            <w:noWrap/>
            <w:vAlign w:val="center"/>
          </w:tcPr>
          <w:p w14:paraId="080AF9A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516</w:t>
            </w:r>
          </w:p>
        </w:tc>
        <w:tc>
          <w:tcPr>
            <w:tcW w:w="1560" w:type="dxa"/>
            <w:noWrap/>
            <w:vAlign w:val="center"/>
          </w:tcPr>
          <w:p w14:paraId="2818779A"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250</w:t>
            </w:r>
          </w:p>
        </w:tc>
        <w:tc>
          <w:tcPr>
            <w:tcW w:w="992" w:type="dxa"/>
            <w:noWrap/>
            <w:vAlign w:val="center"/>
          </w:tcPr>
          <w:p w14:paraId="4DB1130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ascii="Calibri" w:hAnsi="Calibri" w:cs="Calibri"/>
              </w:rPr>
              <w:t>48,45</w:t>
            </w:r>
          </w:p>
        </w:tc>
        <w:tc>
          <w:tcPr>
            <w:tcW w:w="1559" w:type="dxa"/>
            <w:noWrap/>
            <w:vAlign w:val="center"/>
          </w:tcPr>
          <w:p w14:paraId="1D34DE3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27</w:t>
            </w:r>
          </w:p>
        </w:tc>
        <w:tc>
          <w:tcPr>
            <w:tcW w:w="992" w:type="dxa"/>
            <w:noWrap/>
            <w:vAlign w:val="center"/>
          </w:tcPr>
          <w:p w14:paraId="103D036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10,8</w:t>
            </w:r>
          </w:p>
        </w:tc>
      </w:tr>
      <w:tr w:rsidR="000B4D72" w:rsidRPr="00FF50CD" w14:paraId="6233DC5E" w14:textId="77777777" w:rsidTr="0063333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28CB80CA"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w tym uzdrowiskowe</w:t>
            </w:r>
          </w:p>
        </w:tc>
        <w:tc>
          <w:tcPr>
            <w:tcW w:w="1276" w:type="dxa"/>
            <w:noWrap/>
            <w:vAlign w:val="center"/>
          </w:tcPr>
          <w:p w14:paraId="2218883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0</w:t>
            </w:r>
          </w:p>
        </w:tc>
        <w:tc>
          <w:tcPr>
            <w:tcW w:w="1560" w:type="dxa"/>
            <w:noWrap/>
            <w:vAlign w:val="center"/>
          </w:tcPr>
          <w:p w14:paraId="222EA716"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0</w:t>
            </w:r>
          </w:p>
        </w:tc>
        <w:tc>
          <w:tcPr>
            <w:tcW w:w="992" w:type="dxa"/>
            <w:noWrap/>
            <w:vAlign w:val="center"/>
          </w:tcPr>
          <w:p w14:paraId="72CCA93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ascii="Calibri" w:hAnsi="Calibri" w:cs="Calibri"/>
              </w:rPr>
              <w:t>0</w:t>
            </w:r>
          </w:p>
        </w:tc>
        <w:tc>
          <w:tcPr>
            <w:tcW w:w="1559" w:type="dxa"/>
            <w:noWrap/>
            <w:vAlign w:val="center"/>
          </w:tcPr>
          <w:p w14:paraId="3083B17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0</w:t>
            </w:r>
          </w:p>
        </w:tc>
        <w:tc>
          <w:tcPr>
            <w:tcW w:w="992" w:type="dxa"/>
            <w:noWrap/>
            <w:vAlign w:val="center"/>
          </w:tcPr>
          <w:p w14:paraId="473BF507"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0</w:t>
            </w:r>
          </w:p>
        </w:tc>
      </w:tr>
      <w:tr w:rsidR="000B4D72" w:rsidRPr="00FF50CD" w14:paraId="462719B0" w14:textId="77777777" w:rsidTr="0063333E">
        <w:trPr>
          <w:trHeight w:val="387"/>
        </w:trPr>
        <w:tc>
          <w:tcPr>
            <w:cnfStyle w:val="001000000000" w:firstRow="0" w:lastRow="0" w:firstColumn="1" w:lastColumn="0" w:oddVBand="0" w:evenVBand="0" w:oddHBand="0" w:evenHBand="0" w:firstRowFirstColumn="0" w:firstRowLastColumn="0" w:lastRowFirstColumn="0" w:lastRowLastColumn="0"/>
            <w:tcW w:w="3250" w:type="dxa"/>
            <w:gridSpan w:val="2"/>
            <w:vAlign w:val="center"/>
          </w:tcPr>
          <w:p w14:paraId="7A99DF48" w14:textId="77777777" w:rsidR="000B4D72" w:rsidRPr="00FF50CD" w:rsidRDefault="000B4D72" w:rsidP="00597239">
            <w:pPr>
              <w:rPr>
                <w:rFonts w:ascii="Calibri" w:eastAsia="Times New Roman" w:hAnsi="Calibri" w:cs="Calibri"/>
                <w:b w:val="0"/>
                <w:bCs w:val="0"/>
                <w:sz w:val="20"/>
                <w:szCs w:val="20"/>
                <w:lang w:eastAsia="pl-PL"/>
              </w:rPr>
            </w:pPr>
            <w:r w:rsidRPr="00FF50CD">
              <w:rPr>
                <w:rFonts w:ascii="Calibri" w:eastAsia="Times New Roman" w:hAnsi="Calibri" w:cs="Calibri"/>
                <w:b w:val="0"/>
                <w:bCs w:val="0"/>
                <w:sz w:val="20"/>
                <w:szCs w:val="20"/>
                <w:lang w:eastAsia="pl-PL"/>
              </w:rPr>
              <w:t>Ogółem:</w:t>
            </w:r>
          </w:p>
        </w:tc>
        <w:tc>
          <w:tcPr>
            <w:tcW w:w="1276" w:type="dxa"/>
            <w:noWrap/>
            <w:vAlign w:val="center"/>
          </w:tcPr>
          <w:p w14:paraId="7C17C4E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1864</w:t>
            </w:r>
          </w:p>
        </w:tc>
        <w:tc>
          <w:tcPr>
            <w:tcW w:w="1560" w:type="dxa"/>
            <w:noWrap/>
            <w:vAlign w:val="center"/>
          </w:tcPr>
          <w:p w14:paraId="36E942DC"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1143</w:t>
            </w:r>
          </w:p>
        </w:tc>
        <w:tc>
          <w:tcPr>
            <w:tcW w:w="992" w:type="dxa"/>
            <w:noWrap/>
            <w:vAlign w:val="center"/>
          </w:tcPr>
          <w:p w14:paraId="2DB6B848"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ascii="Calibri" w:hAnsi="Calibri" w:cs="Calibri"/>
              </w:rPr>
              <w:t>61,32</w:t>
            </w:r>
          </w:p>
        </w:tc>
        <w:tc>
          <w:tcPr>
            <w:tcW w:w="1559" w:type="dxa"/>
            <w:noWrap/>
            <w:vAlign w:val="center"/>
          </w:tcPr>
          <w:p w14:paraId="55C86B2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212</w:t>
            </w:r>
          </w:p>
        </w:tc>
        <w:tc>
          <w:tcPr>
            <w:tcW w:w="992" w:type="dxa"/>
            <w:noWrap/>
            <w:vAlign w:val="center"/>
          </w:tcPr>
          <w:p w14:paraId="04C2F469"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FF50CD">
              <w:rPr>
                <w:rFonts w:eastAsia="Times New Roman" w:cstheme="minorHAnsi"/>
                <w:lang w:eastAsia="pl-PL"/>
              </w:rPr>
              <w:t>18,55</w:t>
            </w:r>
          </w:p>
        </w:tc>
      </w:tr>
    </w:tbl>
    <w:p w14:paraId="1210B578" w14:textId="77777777" w:rsidR="0063333E" w:rsidRDefault="0063333E" w:rsidP="00597239">
      <w:pPr>
        <w:pStyle w:val="Nagwek2"/>
        <w:spacing w:before="0" w:after="0"/>
        <w:ind w:firstLine="0"/>
        <w:jc w:val="left"/>
      </w:pPr>
      <w:bookmarkStart w:id="196" w:name="_Toc192678721"/>
      <w:bookmarkStart w:id="197" w:name="_Toc193694460"/>
      <w:bookmarkStart w:id="198" w:name="_Hlk162336256"/>
    </w:p>
    <w:p w14:paraId="651161F5" w14:textId="25B7AA65" w:rsidR="000B4D72" w:rsidRPr="005F37AC" w:rsidRDefault="000B4D72" w:rsidP="00597239">
      <w:pPr>
        <w:pStyle w:val="Nagwek2"/>
        <w:numPr>
          <w:ilvl w:val="0"/>
          <w:numId w:val="34"/>
        </w:numPr>
        <w:spacing w:before="0" w:after="0"/>
        <w:ind w:left="284" w:hanging="284"/>
        <w:jc w:val="left"/>
      </w:pPr>
      <w:bookmarkStart w:id="199" w:name="_Toc194059799"/>
      <w:r w:rsidRPr="005F37AC">
        <w:t>Szpitale</w:t>
      </w:r>
      <w:bookmarkEnd w:id="196"/>
      <w:bookmarkEnd w:id="197"/>
      <w:bookmarkEnd w:id="199"/>
    </w:p>
    <w:p w14:paraId="66E7D8DB" w14:textId="552D46F0" w:rsidR="000B4D72" w:rsidRDefault="000B4D72" w:rsidP="00597239">
      <w:pPr>
        <w:spacing w:after="0" w:line="276" w:lineRule="auto"/>
        <w:rPr>
          <w:rFonts w:cstheme="minorHAnsi"/>
          <w:sz w:val="24"/>
          <w:szCs w:val="24"/>
        </w:rPr>
      </w:pPr>
      <w:bookmarkStart w:id="200" w:name="_Hlk193453495"/>
      <w:r w:rsidRPr="00BB370F">
        <w:rPr>
          <w:rFonts w:cstheme="minorHAnsi"/>
          <w:sz w:val="24"/>
          <w:szCs w:val="24"/>
        </w:rPr>
        <w:t xml:space="preserve">Na terenie woj. zachodniopomorskiego pod nadzorem Państwowej Inspekcji Sanitarnej </w:t>
      </w:r>
      <w:r w:rsidRPr="00211C76">
        <w:rPr>
          <w:rFonts w:cstheme="minorHAnsi"/>
          <w:sz w:val="24"/>
          <w:szCs w:val="24"/>
        </w:rPr>
        <w:t>w</w:t>
      </w:r>
      <w:r w:rsidR="0063333E">
        <w:rPr>
          <w:rFonts w:cstheme="minorHAnsi"/>
          <w:sz w:val="24"/>
          <w:szCs w:val="24"/>
        </w:rPr>
        <w:t> </w:t>
      </w:r>
      <w:r w:rsidRPr="00211C76">
        <w:rPr>
          <w:rFonts w:cstheme="minorHAnsi"/>
          <w:sz w:val="24"/>
          <w:szCs w:val="24"/>
        </w:rPr>
        <w:t>2024 r. znajdowało się łączni</w:t>
      </w:r>
      <w:r w:rsidRPr="00F5693B">
        <w:rPr>
          <w:rFonts w:cstheme="minorHAnsi"/>
          <w:sz w:val="24"/>
          <w:szCs w:val="24"/>
        </w:rPr>
        <w:t xml:space="preserve">e </w:t>
      </w:r>
      <w:r w:rsidRPr="00F5693B">
        <w:rPr>
          <w:rFonts w:cstheme="minorHAnsi"/>
          <w:color w:val="000000" w:themeColor="text1"/>
          <w:sz w:val="24"/>
          <w:szCs w:val="24"/>
        </w:rPr>
        <w:t>5</w:t>
      </w:r>
      <w:r>
        <w:rPr>
          <w:rFonts w:cstheme="minorHAnsi"/>
          <w:color w:val="000000" w:themeColor="text1"/>
          <w:sz w:val="24"/>
          <w:szCs w:val="24"/>
        </w:rPr>
        <w:t>0</w:t>
      </w:r>
      <w:r w:rsidRPr="00F5693B">
        <w:rPr>
          <w:rFonts w:cstheme="minorHAnsi"/>
          <w:sz w:val="24"/>
          <w:szCs w:val="24"/>
        </w:rPr>
        <w:t xml:space="preserve"> obiektów</w:t>
      </w:r>
      <w:r w:rsidRPr="00211C76">
        <w:rPr>
          <w:rFonts w:cstheme="minorHAnsi"/>
          <w:sz w:val="24"/>
          <w:szCs w:val="24"/>
        </w:rPr>
        <w:t xml:space="preserve"> leczniczych udzielających stacjonarnych i</w:t>
      </w:r>
      <w:r w:rsidR="007B1BEB">
        <w:rPr>
          <w:rFonts w:cstheme="minorHAnsi"/>
          <w:sz w:val="24"/>
          <w:szCs w:val="24"/>
        </w:rPr>
        <w:t> </w:t>
      </w:r>
      <w:r w:rsidRPr="00211C76">
        <w:rPr>
          <w:rFonts w:cstheme="minorHAnsi"/>
          <w:sz w:val="24"/>
          <w:szCs w:val="24"/>
        </w:rPr>
        <w:t>całodobowych świadczeń zdrowotnych (szpitalnych)</w:t>
      </w:r>
      <w:r>
        <w:rPr>
          <w:rFonts w:cstheme="minorHAnsi"/>
          <w:sz w:val="24"/>
          <w:szCs w:val="24"/>
        </w:rPr>
        <w:t>- tabela 30.</w:t>
      </w:r>
    </w:p>
    <w:p w14:paraId="4FA2C814" w14:textId="77777777" w:rsidR="0063333E" w:rsidRPr="004E6A98" w:rsidRDefault="0063333E" w:rsidP="00597239">
      <w:pPr>
        <w:spacing w:after="0" w:line="276" w:lineRule="auto"/>
        <w:rPr>
          <w:rFonts w:cstheme="minorHAnsi"/>
          <w:sz w:val="24"/>
          <w:szCs w:val="24"/>
          <w:highlight w:val="yellow"/>
        </w:rPr>
      </w:pPr>
    </w:p>
    <w:p w14:paraId="664C9A6D" w14:textId="4FE94336" w:rsidR="00B84251" w:rsidRDefault="000B4D72" w:rsidP="00597239">
      <w:pPr>
        <w:spacing w:after="0"/>
        <w:rPr>
          <w:rFonts w:cstheme="minorHAnsi"/>
          <w:sz w:val="24"/>
          <w:szCs w:val="24"/>
        </w:rPr>
      </w:pPr>
      <w:r>
        <w:rPr>
          <w:rFonts w:cstheme="minorHAnsi"/>
          <w:sz w:val="24"/>
          <w:szCs w:val="24"/>
        </w:rPr>
        <w:t>S</w:t>
      </w:r>
      <w:r w:rsidRPr="00BB370F">
        <w:rPr>
          <w:rFonts w:cstheme="minorHAnsi"/>
          <w:sz w:val="24"/>
          <w:szCs w:val="24"/>
        </w:rPr>
        <w:t xml:space="preserve">zpital </w:t>
      </w:r>
      <w:r w:rsidRPr="00847662">
        <w:rPr>
          <w:rFonts w:cstheme="minorHAnsi"/>
          <w:color w:val="000000" w:themeColor="text1"/>
          <w:sz w:val="24"/>
          <w:szCs w:val="24"/>
        </w:rPr>
        <w:t>USK</w:t>
      </w:r>
      <w:r w:rsidRPr="00BB370F">
        <w:rPr>
          <w:rFonts w:cstheme="minorHAnsi"/>
          <w:sz w:val="24"/>
          <w:szCs w:val="24"/>
        </w:rPr>
        <w:t xml:space="preserve"> Nr 1 PUM w Szczecinie funkcjonuj</w:t>
      </w:r>
      <w:r>
        <w:rPr>
          <w:rFonts w:cstheme="minorHAnsi"/>
          <w:sz w:val="24"/>
          <w:szCs w:val="24"/>
        </w:rPr>
        <w:t>e</w:t>
      </w:r>
      <w:r w:rsidRPr="00BB370F">
        <w:rPr>
          <w:rFonts w:cstheme="minorHAnsi"/>
          <w:sz w:val="24"/>
          <w:szCs w:val="24"/>
        </w:rPr>
        <w:t xml:space="preserve"> na terenie </w:t>
      </w:r>
      <w:r>
        <w:rPr>
          <w:rFonts w:cstheme="minorHAnsi"/>
          <w:sz w:val="24"/>
          <w:szCs w:val="24"/>
        </w:rPr>
        <w:t xml:space="preserve">dwóch </w:t>
      </w:r>
      <w:r w:rsidRPr="00BB370F">
        <w:rPr>
          <w:rFonts w:cstheme="minorHAnsi"/>
          <w:sz w:val="24"/>
          <w:szCs w:val="24"/>
        </w:rPr>
        <w:t>powiatów: miasta Szczecina i</w:t>
      </w:r>
      <w:r>
        <w:rPr>
          <w:rFonts w:cstheme="minorHAnsi"/>
          <w:sz w:val="24"/>
          <w:szCs w:val="24"/>
        </w:rPr>
        <w:t xml:space="preserve"> </w:t>
      </w:r>
      <w:r w:rsidRPr="00BB370F">
        <w:rPr>
          <w:rFonts w:cstheme="minorHAnsi"/>
          <w:sz w:val="24"/>
          <w:szCs w:val="24"/>
        </w:rPr>
        <w:t xml:space="preserve">powiatu polickiego. </w:t>
      </w:r>
      <w:r w:rsidRPr="00F5693B">
        <w:rPr>
          <w:rFonts w:cstheme="minorHAnsi"/>
          <w:sz w:val="24"/>
          <w:szCs w:val="24"/>
        </w:rPr>
        <w:t xml:space="preserve">Ponadto część podmiotów realizujących całodobowe świadczenia szpitalne realizuje również świadczenia </w:t>
      </w:r>
      <w:r w:rsidRPr="00F5693B">
        <w:rPr>
          <w:rFonts w:eastAsia="Calibri" w:cstheme="minorHAnsi"/>
          <w:sz w:val="24"/>
          <w:szCs w:val="24"/>
          <w:lang w:eastAsia="pl-PL"/>
        </w:rPr>
        <w:t>stacjonarne i całodobowe inne niż szpitalne,</w:t>
      </w:r>
      <w:r w:rsidRPr="00F5693B">
        <w:rPr>
          <w:rFonts w:eastAsia="Calibri" w:cstheme="minorHAnsi"/>
          <w:sz w:val="24"/>
          <w:szCs w:val="24"/>
        </w:rPr>
        <w:t xml:space="preserve"> m.in. SP</w:t>
      </w:r>
      <w:r w:rsidRPr="00F5693B">
        <w:rPr>
          <w:rFonts w:cstheme="minorHAnsi"/>
          <w:sz w:val="24"/>
          <w:szCs w:val="24"/>
        </w:rPr>
        <w:t xml:space="preserve"> Szpital Rejonowy w Nowogardzie prowadzi w Resku Zakład Opiekuńczo-Leczniczy</w:t>
      </w:r>
      <w:r>
        <w:rPr>
          <w:rFonts w:cstheme="minorHAnsi"/>
          <w:sz w:val="24"/>
          <w:szCs w:val="24"/>
        </w:rPr>
        <w:t xml:space="preserve"> </w:t>
      </w:r>
      <w:r w:rsidRPr="00F3666E">
        <w:rPr>
          <w:rFonts w:cstheme="minorHAnsi"/>
          <w:sz w:val="24"/>
          <w:szCs w:val="24"/>
        </w:rPr>
        <w:t xml:space="preserve">(liczba łóżek - 80, nadzorowany przez PPIS w Łobzie). </w:t>
      </w:r>
      <w:r>
        <w:rPr>
          <w:rFonts w:cstheme="minorHAnsi"/>
          <w:sz w:val="24"/>
          <w:szCs w:val="24"/>
        </w:rPr>
        <w:t>D</w:t>
      </w:r>
      <w:r w:rsidRPr="00F3666E">
        <w:rPr>
          <w:rFonts w:cstheme="minorHAnsi"/>
          <w:sz w:val="24"/>
          <w:szCs w:val="24"/>
        </w:rPr>
        <w:t xml:space="preserve">wa szpitale uzdrowiskowe zakończyły </w:t>
      </w:r>
      <w:r>
        <w:rPr>
          <w:rFonts w:cstheme="minorHAnsi"/>
          <w:sz w:val="24"/>
          <w:szCs w:val="24"/>
        </w:rPr>
        <w:t xml:space="preserve">w 2024 r. </w:t>
      </w:r>
      <w:r w:rsidRPr="00F3666E">
        <w:rPr>
          <w:rFonts w:cstheme="minorHAnsi"/>
          <w:sz w:val="24"/>
          <w:szCs w:val="24"/>
        </w:rPr>
        <w:t xml:space="preserve">działalność leczniczą, tj. </w:t>
      </w:r>
      <w:r w:rsidRPr="00F3666E">
        <w:rPr>
          <w:rFonts w:ascii="Calibri" w:eastAsia="Times New Roman" w:hAnsi="Calibri" w:cs="Calibri"/>
          <w:sz w:val="24"/>
          <w:szCs w:val="24"/>
          <w:lang w:eastAsia="pl-PL"/>
        </w:rPr>
        <w:t>Szpital Uzdrowiskowy „Światowid” Uzdrowisko Świnoujście S.A. oraz Szpital Uzdrowiskowy „Perła Bałtyku” Uzdrowisko Kołobrzeg S.A. Ponadto</w:t>
      </w:r>
      <w:r w:rsidRPr="00F3666E">
        <w:rPr>
          <w:rFonts w:cstheme="minorHAnsi"/>
          <w:sz w:val="24"/>
          <w:szCs w:val="24"/>
        </w:rPr>
        <w:t xml:space="preserve"> w </w:t>
      </w:r>
      <w:r w:rsidRPr="00F3666E">
        <w:rPr>
          <w:rFonts w:cstheme="minorHAnsi"/>
          <w:bCs/>
          <w:sz w:val="24"/>
          <w:szCs w:val="24"/>
        </w:rPr>
        <w:t>maju 2024 r.</w:t>
      </w:r>
      <w:r w:rsidRPr="00F3666E">
        <w:rPr>
          <w:rFonts w:cstheme="minorHAnsi"/>
          <w:sz w:val="24"/>
          <w:szCs w:val="24"/>
        </w:rPr>
        <w:t xml:space="preserve"> </w:t>
      </w:r>
      <w:r w:rsidRPr="00F3666E">
        <w:rPr>
          <w:rFonts w:ascii="Calibri" w:eastAsia="Times New Roman" w:hAnsi="Calibri" w:cs="Calibri"/>
          <w:sz w:val="24"/>
          <w:szCs w:val="24"/>
          <w:lang w:eastAsia="pl-PL"/>
        </w:rPr>
        <w:t xml:space="preserve">Zakład Opiekuńczo-Leczniczy Samodzielny Publiczny Zakład Opieki Zdrowotnej „Leśna Ustroń” w Tucznie </w:t>
      </w:r>
      <w:r w:rsidRPr="00F3666E">
        <w:rPr>
          <w:rFonts w:cstheme="minorHAnsi"/>
          <w:bCs/>
          <w:sz w:val="24"/>
          <w:szCs w:val="24"/>
        </w:rPr>
        <w:t>zmienił rodzaj prowadzonej działalności na stacjonarne i całodobowe świadczenie zdrowotne - inne niż szpitalne</w:t>
      </w:r>
      <w:r w:rsidRPr="00F3666E">
        <w:rPr>
          <w:rFonts w:cstheme="minorHAnsi"/>
          <w:sz w:val="24"/>
          <w:szCs w:val="24"/>
        </w:rPr>
        <w:t>.</w:t>
      </w:r>
    </w:p>
    <w:p w14:paraId="11D480E3" w14:textId="77777777" w:rsidR="0063333E" w:rsidRPr="00B449A4" w:rsidRDefault="0063333E" w:rsidP="00597239">
      <w:pPr>
        <w:spacing w:after="0"/>
        <w:rPr>
          <w:rFonts w:cstheme="minorHAnsi"/>
          <w:sz w:val="24"/>
          <w:szCs w:val="24"/>
        </w:rPr>
      </w:pPr>
    </w:p>
    <w:p w14:paraId="63647165" w14:textId="2F2B7B7B" w:rsidR="000B4D72" w:rsidRPr="00CE7DDD" w:rsidRDefault="00CE7DDD" w:rsidP="00597239">
      <w:pPr>
        <w:pStyle w:val="Legenda"/>
        <w:spacing w:after="0"/>
        <w:rPr>
          <w:b/>
          <w:bCs/>
          <w:i w:val="0"/>
          <w:iCs w:val="0"/>
          <w:color w:val="000000" w:themeColor="text1"/>
        </w:rPr>
      </w:pPr>
      <w:bookmarkStart w:id="201" w:name="_Toc193806000"/>
      <w:bookmarkStart w:id="202" w:name="_Toc193969548"/>
      <w:bookmarkStart w:id="203" w:name="_Toc194060008"/>
      <w:r w:rsidRPr="00CE7DDD">
        <w:rPr>
          <w:i w:val="0"/>
          <w:iCs w:val="0"/>
          <w:color w:val="000000" w:themeColor="text1"/>
        </w:rPr>
        <w:t xml:space="preserve">Tabela </w:t>
      </w:r>
      <w:r w:rsidRPr="00CE7DDD">
        <w:rPr>
          <w:i w:val="0"/>
          <w:iCs w:val="0"/>
          <w:color w:val="000000" w:themeColor="text1"/>
        </w:rPr>
        <w:fldChar w:fldCharType="begin"/>
      </w:r>
      <w:r w:rsidRPr="00CE7DDD">
        <w:rPr>
          <w:i w:val="0"/>
          <w:iCs w:val="0"/>
          <w:color w:val="000000" w:themeColor="text1"/>
        </w:rPr>
        <w:instrText xml:space="preserve"> SEQ Tabela \* ARABIC </w:instrText>
      </w:r>
      <w:r w:rsidRPr="00CE7DDD">
        <w:rPr>
          <w:i w:val="0"/>
          <w:iCs w:val="0"/>
          <w:color w:val="000000" w:themeColor="text1"/>
        </w:rPr>
        <w:fldChar w:fldCharType="separate"/>
      </w:r>
      <w:r w:rsidR="00FB6F6A">
        <w:rPr>
          <w:i w:val="0"/>
          <w:iCs w:val="0"/>
          <w:noProof/>
          <w:color w:val="000000" w:themeColor="text1"/>
        </w:rPr>
        <w:t>30</w:t>
      </w:r>
      <w:r w:rsidRPr="00CE7DDD">
        <w:rPr>
          <w:i w:val="0"/>
          <w:iCs w:val="0"/>
          <w:color w:val="000000" w:themeColor="text1"/>
        </w:rPr>
        <w:fldChar w:fldCharType="end"/>
      </w:r>
      <w:r w:rsidR="00E75D31">
        <w:rPr>
          <w:i w:val="0"/>
          <w:iCs w:val="0"/>
          <w:color w:val="000000" w:themeColor="text1"/>
        </w:rPr>
        <w:t>.</w:t>
      </w:r>
      <w:r w:rsidRPr="00CE7DDD">
        <w:rPr>
          <w:i w:val="0"/>
          <w:iCs w:val="0"/>
          <w:color w:val="000000" w:themeColor="text1"/>
        </w:rPr>
        <w:t xml:space="preserve"> Wykaz szpitali publicznych i niepublicznych na terenie woj. zachodniopomorskiego będących pod nadzorem PPIS (bez szpitali uzdrowiskowych oraz jednodniowych) - stan na 31.12.2024 r.</w:t>
      </w:r>
      <w:bookmarkEnd w:id="201"/>
      <w:bookmarkEnd w:id="202"/>
      <w:bookmarkEnd w:id="203"/>
    </w:p>
    <w:tbl>
      <w:tblPr>
        <w:tblStyle w:val="Tabelasiatki4akcent1"/>
        <w:tblW w:w="5000" w:type="pct"/>
        <w:tblLook w:val="0020" w:firstRow="1" w:lastRow="0" w:firstColumn="0" w:lastColumn="0" w:noHBand="0" w:noVBand="0"/>
        <w:tblCaption w:val="Wykaz szpitali publicznych i niepublicznych na terenie woj. zachodniopomorskiego będących pod nadzorem PPIS (bez szpitali uzdrowiskowych oraz jednodniowych) - stan na 31.12.2024 r."/>
        <w:tblDescription w:val="Tabela zawiera wykaz szpitali publicznych i niepublicznych na terenie woj. zachodniopomorskiego będących pod nadzorem PPIS (bez uwzględniania szpitali uzdrowiskowych). Na dzień 31.12.2024 r. na terenie województwa funkcjonowało 38 szpitali publicznych i niepublicznych."/>
      </w:tblPr>
      <w:tblGrid>
        <w:gridCol w:w="518"/>
        <w:gridCol w:w="7567"/>
        <w:gridCol w:w="977"/>
      </w:tblGrid>
      <w:tr w:rsidR="000B4D72" w:rsidRPr="003A793F" w14:paraId="4DD7F90B" w14:textId="77777777" w:rsidTr="0063333E">
        <w:trPr>
          <w:cnfStyle w:val="100000000000" w:firstRow="1" w:lastRow="0" w:firstColumn="0" w:lastColumn="0" w:oddVBand="0" w:evenVBand="0" w:oddHBand="0" w:evenHBand="0" w:firstRowFirstColumn="0" w:firstRowLastColumn="0" w:lastRowFirstColumn="0" w:lastRowLastColumn="0"/>
          <w:trHeight w:val="566"/>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F5F0EA1" w14:textId="77777777" w:rsidR="000B4D72" w:rsidRPr="00631979" w:rsidRDefault="000B4D72" w:rsidP="00597239">
            <w:pPr>
              <w:autoSpaceDE w:val="0"/>
              <w:autoSpaceDN w:val="0"/>
              <w:adjustRightInd w:val="0"/>
              <w:spacing w:line="276" w:lineRule="auto"/>
              <w:rPr>
                <w:rFonts w:eastAsia="Calibri" w:cstheme="minorHAnsi"/>
                <w:sz w:val="24"/>
                <w:szCs w:val="24"/>
              </w:rPr>
            </w:pPr>
            <w:bookmarkStart w:id="204" w:name="_Hlk130975587"/>
            <w:r w:rsidRPr="00631979">
              <w:rPr>
                <w:rFonts w:eastAsia="Calibri" w:cstheme="minorHAnsi"/>
                <w:sz w:val="24"/>
                <w:szCs w:val="24"/>
              </w:rPr>
              <w:t>Lp.</w:t>
            </w:r>
          </w:p>
        </w:tc>
        <w:tc>
          <w:tcPr>
            <w:tcW w:w="4175" w:type="pct"/>
            <w:vAlign w:val="center"/>
          </w:tcPr>
          <w:p w14:paraId="1CC0EF49" w14:textId="77777777" w:rsidR="000B4D72" w:rsidRPr="00631979" w:rsidRDefault="000B4D72" w:rsidP="00597239">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Calibri" w:cstheme="minorHAnsi"/>
                <w:sz w:val="24"/>
                <w:szCs w:val="24"/>
              </w:rPr>
            </w:pPr>
            <w:r w:rsidRPr="00631979">
              <w:rPr>
                <w:rFonts w:eastAsia="Calibri" w:cstheme="minorHAnsi"/>
                <w:sz w:val="24"/>
                <w:szCs w:val="24"/>
              </w:rPr>
              <w:t>Nazwa i adres obiektu szpitalnego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0A89139" w14:textId="77777777" w:rsidR="000B4D72" w:rsidRPr="00631979" w:rsidRDefault="000B4D72" w:rsidP="00597239">
            <w:pPr>
              <w:autoSpaceDE w:val="0"/>
              <w:autoSpaceDN w:val="0"/>
              <w:adjustRightInd w:val="0"/>
              <w:spacing w:line="276" w:lineRule="auto"/>
              <w:rPr>
                <w:rFonts w:eastAsia="Calibri" w:cstheme="minorHAnsi"/>
                <w:sz w:val="24"/>
                <w:szCs w:val="24"/>
              </w:rPr>
            </w:pPr>
            <w:r w:rsidRPr="00631979">
              <w:rPr>
                <w:rFonts w:eastAsia="Calibri" w:cstheme="minorHAnsi"/>
                <w:sz w:val="24"/>
                <w:szCs w:val="24"/>
                <w:lang w:eastAsia="pl-PL"/>
              </w:rPr>
              <w:t>Liczba łóżek</w:t>
            </w:r>
          </w:p>
        </w:tc>
      </w:tr>
      <w:tr w:rsidR="000B4D72" w:rsidRPr="003A793F" w14:paraId="765F40EF" w14:textId="77777777" w:rsidTr="0063333E">
        <w:trPr>
          <w:cnfStyle w:val="000000100000" w:firstRow="0" w:lastRow="0" w:firstColumn="0" w:lastColumn="0" w:oddVBand="0" w:evenVBand="0" w:oddHBand="1" w:evenHBand="0" w:firstRowFirstColumn="0" w:firstRowLastColumn="0" w:lastRowFirstColumn="0" w:lastRowLastColumn="0"/>
          <w:trHeight w:val="563"/>
        </w:trPr>
        <w:tc>
          <w:tcPr>
            <w:cnfStyle w:val="000010000000" w:firstRow="0" w:lastRow="0" w:firstColumn="0" w:lastColumn="0" w:oddVBand="1" w:evenVBand="0" w:oddHBand="0" w:evenHBand="0" w:firstRowFirstColumn="0" w:firstRowLastColumn="0" w:lastRowFirstColumn="0" w:lastRowLastColumn="0"/>
            <w:tcW w:w="286" w:type="pct"/>
            <w:vMerge w:val="restart"/>
            <w:vAlign w:val="center"/>
          </w:tcPr>
          <w:p w14:paraId="717A03D1" w14:textId="77777777" w:rsidR="000B4D72" w:rsidRPr="00F3666E" w:rsidRDefault="000B4D72" w:rsidP="00597239">
            <w:pPr>
              <w:spacing w:after="160" w:line="276" w:lineRule="auto"/>
              <w:rPr>
                <w:rFonts w:eastAsia="Calibri" w:cstheme="minorHAnsi"/>
              </w:rPr>
            </w:pPr>
            <w:r w:rsidRPr="00F3666E">
              <w:rPr>
                <w:rFonts w:eastAsia="Calibri" w:cstheme="minorHAnsi"/>
              </w:rPr>
              <w:t>1.</w:t>
            </w:r>
          </w:p>
        </w:tc>
        <w:tc>
          <w:tcPr>
            <w:tcW w:w="4175" w:type="pct"/>
            <w:vAlign w:val="center"/>
          </w:tcPr>
          <w:p w14:paraId="70F16D8C" w14:textId="1CB4BA6C"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Uniwersytecki Szpital Kliniczny nr 1 im. prof. Tadeusza Sokołowskiego Pomorskiego Uniwersytetu Medycznego w Szczecinie,</w:t>
            </w:r>
          </w:p>
          <w:p w14:paraId="7904812D" w14:textId="77777777"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spacing w:val="-2"/>
              </w:rPr>
              <w:t>ul. Unii Lubelskiej 1, 71-252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CDC9C26" w14:textId="77777777" w:rsidR="000B4D72" w:rsidRPr="005F37AC" w:rsidRDefault="000B4D72" w:rsidP="00597239">
            <w:pPr>
              <w:spacing w:line="276" w:lineRule="auto"/>
              <w:rPr>
                <w:rFonts w:eastAsia="Calibri" w:cstheme="minorHAnsi"/>
              </w:rPr>
            </w:pPr>
            <w:r w:rsidRPr="00BF5D5F">
              <w:rPr>
                <w:rFonts w:eastAsia="Calibri" w:cstheme="minorHAnsi"/>
              </w:rPr>
              <w:t>612</w:t>
            </w:r>
          </w:p>
        </w:tc>
      </w:tr>
      <w:tr w:rsidR="000B4D72" w:rsidRPr="003A793F" w14:paraId="650944F1" w14:textId="77777777" w:rsidTr="0063333E">
        <w:trPr>
          <w:trHeight w:val="520"/>
        </w:trPr>
        <w:tc>
          <w:tcPr>
            <w:cnfStyle w:val="000010000000" w:firstRow="0" w:lastRow="0" w:firstColumn="0" w:lastColumn="0" w:oddVBand="1" w:evenVBand="0" w:oddHBand="0" w:evenHBand="0" w:firstRowFirstColumn="0" w:firstRowLastColumn="0" w:lastRowFirstColumn="0" w:lastRowLastColumn="0"/>
            <w:tcW w:w="286" w:type="pct"/>
            <w:vMerge/>
            <w:vAlign w:val="center"/>
          </w:tcPr>
          <w:p w14:paraId="3F4AF694" w14:textId="77777777" w:rsidR="000B4D72" w:rsidRPr="00F3666E" w:rsidRDefault="000B4D72" w:rsidP="00597239">
            <w:pPr>
              <w:spacing w:after="160" w:line="276" w:lineRule="auto"/>
              <w:rPr>
                <w:rFonts w:eastAsia="Calibri" w:cstheme="minorHAnsi"/>
              </w:rPr>
            </w:pPr>
          </w:p>
        </w:tc>
        <w:tc>
          <w:tcPr>
            <w:tcW w:w="4175" w:type="pct"/>
            <w:vAlign w:val="center"/>
          </w:tcPr>
          <w:p w14:paraId="39E25904"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Jednostki Uniwersyteckiego Szpitala Klinicznego nr 1 PUM w Szczecinie</w:t>
            </w:r>
            <w:r w:rsidRPr="00F3666E">
              <w:rPr>
                <w:rFonts w:eastAsia="Calibri" w:cstheme="minorHAnsi"/>
              </w:rPr>
              <w:br/>
              <w:t>ul. Siedlecka 2, 72-010 Police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B7DD2B5" w14:textId="77777777" w:rsidR="000B4D72" w:rsidRPr="005F37AC" w:rsidRDefault="000B4D72" w:rsidP="00597239">
            <w:pPr>
              <w:spacing w:line="276" w:lineRule="auto"/>
              <w:rPr>
                <w:rFonts w:eastAsia="Calibri" w:cstheme="minorHAnsi"/>
              </w:rPr>
            </w:pPr>
            <w:r w:rsidRPr="00BF5D5F">
              <w:rPr>
                <w:rFonts w:eastAsia="Calibri" w:cstheme="minorHAnsi"/>
              </w:rPr>
              <w:t>126</w:t>
            </w:r>
          </w:p>
        </w:tc>
      </w:tr>
      <w:tr w:rsidR="000B4D72" w:rsidRPr="003A793F" w14:paraId="4D65CA6F" w14:textId="77777777" w:rsidTr="0063333E">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286" w:type="pct"/>
            <w:vMerge w:val="restart"/>
            <w:vAlign w:val="center"/>
          </w:tcPr>
          <w:p w14:paraId="2FA6AD90"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lastRenderedPageBreak/>
              <w:t>2.</w:t>
            </w:r>
          </w:p>
        </w:tc>
        <w:tc>
          <w:tcPr>
            <w:tcW w:w="4175" w:type="pct"/>
            <w:vAlign w:val="center"/>
          </w:tcPr>
          <w:p w14:paraId="285D4940" w14:textId="77777777"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Samodzielny Publiczny Wojewódzki Szpital Zespolony – Arkońska</w:t>
            </w:r>
            <w:r w:rsidRPr="00F3666E">
              <w:rPr>
                <w:rFonts w:eastAsia="Calibri" w:cstheme="minorHAnsi"/>
              </w:rPr>
              <w:br/>
              <w:t>ul. Arkońska 4, 71-455 Szczecin</w:t>
            </w:r>
          </w:p>
        </w:tc>
        <w:tc>
          <w:tcPr>
            <w:cnfStyle w:val="000010000000" w:firstRow="0" w:lastRow="0" w:firstColumn="0" w:lastColumn="0" w:oddVBand="1" w:evenVBand="0" w:oddHBand="0" w:evenHBand="0" w:firstRowFirstColumn="0" w:firstRowLastColumn="0" w:lastRowFirstColumn="0" w:lastRowLastColumn="0"/>
            <w:tcW w:w="539" w:type="pct"/>
            <w:vMerge w:val="restart"/>
            <w:vAlign w:val="center"/>
          </w:tcPr>
          <w:p w14:paraId="1DCFF139" w14:textId="77777777" w:rsidR="000B4D72" w:rsidRPr="005F37AC" w:rsidRDefault="000B4D72" w:rsidP="00597239">
            <w:pPr>
              <w:spacing w:line="276" w:lineRule="auto"/>
              <w:rPr>
                <w:rFonts w:eastAsia="Calibri" w:cstheme="minorHAnsi"/>
              </w:rPr>
            </w:pPr>
            <w:r w:rsidRPr="00BF5D5F">
              <w:rPr>
                <w:rFonts w:eastAsia="Calibri" w:cstheme="minorHAnsi"/>
              </w:rPr>
              <w:t>1016</w:t>
            </w:r>
          </w:p>
        </w:tc>
      </w:tr>
      <w:tr w:rsidR="000B4D72" w:rsidRPr="003A793F" w14:paraId="6846AF87" w14:textId="77777777" w:rsidTr="0063333E">
        <w:trPr>
          <w:trHeight w:val="664"/>
        </w:trPr>
        <w:tc>
          <w:tcPr>
            <w:cnfStyle w:val="000010000000" w:firstRow="0" w:lastRow="0" w:firstColumn="0" w:lastColumn="0" w:oddVBand="1" w:evenVBand="0" w:oddHBand="0" w:evenHBand="0" w:firstRowFirstColumn="0" w:firstRowLastColumn="0" w:lastRowFirstColumn="0" w:lastRowLastColumn="0"/>
            <w:tcW w:w="286" w:type="pct"/>
            <w:vMerge/>
            <w:vAlign w:val="center"/>
          </w:tcPr>
          <w:p w14:paraId="5513DD0A" w14:textId="77777777" w:rsidR="000B4D72" w:rsidRPr="00F3666E" w:rsidRDefault="000B4D72" w:rsidP="00597239">
            <w:pPr>
              <w:autoSpaceDE w:val="0"/>
              <w:autoSpaceDN w:val="0"/>
              <w:adjustRightInd w:val="0"/>
              <w:spacing w:line="276" w:lineRule="auto"/>
              <w:rPr>
                <w:rFonts w:eastAsia="Calibri" w:cstheme="minorHAnsi"/>
              </w:rPr>
            </w:pPr>
          </w:p>
        </w:tc>
        <w:tc>
          <w:tcPr>
            <w:tcW w:w="4175" w:type="pct"/>
            <w:vAlign w:val="center"/>
          </w:tcPr>
          <w:p w14:paraId="7613A4DE"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Samodzielny Publiczny Wojewódzki Szpital Zespolony – Zdunowo</w:t>
            </w:r>
            <w:r w:rsidRPr="00F3666E">
              <w:rPr>
                <w:rFonts w:eastAsia="Calibri" w:cstheme="minorHAnsi"/>
              </w:rPr>
              <w:br/>
              <w:t xml:space="preserve">ul. Sokołowskiego 11, 70-891 Szczecin </w:t>
            </w:r>
            <w:r w:rsidRPr="00F3666E">
              <w:rPr>
                <w:rFonts w:cstheme="minorHAnsi"/>
              </w:rPr>
              <w:t>(od 4 marca 2017 r. połączony z SPWSZ w</w:t>
            </w:r>
            <w:r>
              <w:rPr>
                <w:rFonts w:cstheme="minorHAnsi"/>
              </w:rPr>
              <w:t xml:space="preserve"> </w:t>
            </w:r>
            <w:r w:rsidRPr="00F3666E">
              <w:rPr>
                <w:rFonts w:cstheme="minorHAnsi"/>
              </w:rPr>
              <w:t>Szczecinie, ul. Arkońska 4</w:t>
            </w:r>
            <w:r w:rsidRPr="00F3666E">
              <w:rPr>
                <w:rFonts w:eastAsia="Calibri" w:cstheme="minorHAnsi"/>
              </w:rPr>
              <w:t>)</w:t>
            </w:r>
          </w:p>
        </w:tc>
        <w:tc>
          <w:tcPr>
            <w:cnfStyle w:val="000010000000" w:firstRow="0" w:lastRow="0" w:firstColumn="0" w:lastColumn="0" w:oddVBand="1" w:evenVBand="0" w:oddHBand="0" w:evenHBand="0" w:firstRowFirstColumn="0" w:firstRowLastColumn="0" w:lastRowFirstColumn="0" w:lastRowLastColumn="0"/>
            <w:tcW w:w="539" w:type="pct"/>
            <w:vMerge/>
            <w:vAlign w:val="center"/>
          </w:tcPr>
          <w:p w14:paraId="6AA8C97D" w14:textId="77777777" w:rsidR="000B4D72" w:rsidRPr="005F37AC" w:rsidRDefault="000B4D72" w:rsidP="00597239">
            <w:pPr>
              <w:spacing w:line="276" w:lineRule="auto"/>
              <w:rPr>
                <w:rFonts w:eastAsia="Calibri" w:cstheme="minorHAnsi"/>
              </w:rPr>
            </w:pPr>
          </w:p>
        </w:tc>
      </w:tr>
      <w:tr w:rsidR="000B4D72" w:rsidRPr="003A793F" w14:paraId="6C79C99D"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AC8B631"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w:t>
            </w:r>
          </w:p>
        </w:tc>
        <w:tc>
          <w:tcPr>
            <w:tcW w:w="4175" w:type="pct"/>
            <w:vAlign w:val="center"/>
          </w:tcPr>
          <w:p w14:paraId="01026214"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Uniwersytecki Szpital Kliniczny nr 2 PUM w</w:t>
            </w:r>
            <w:r>
              <w:rPr>
                <w:rFonts w:eastAsia="Calibri" w:cstheme="minorHAnsi"/>
              </w:rPr>
              <w:t xml:space="preserve"> </w:t>
            </w:r>
            <w:r w:rsidRPr="00F3666E">
              <w:rPr>
                <w:rFonts w:eastAsia="Calibri" w:cstheme="minorHAnsi"/>
              </w:rPr>
              <w:t>Szczecinie, al. Powstańców Wielkopolskich 72, 70-111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3793883"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415</w:t>
            </w:r>
          </w:p>
        </w:tc>
      </w:tr>
      <w:tr w:rsidR="000B4D72" w:rsidRPr="003A793F" w14:paraId="3CE8E756"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738710B"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4.</w:t>
            </w:r>
          </w:p>
        </w:tc>
        <w:tc>
          <w:tcPr>
            <w:tcW w:w="4175" w:type="pct"/>
            <w:vAlign w:val="center"/>
          </w:tcPr>
          <w:p w14:paraId="6B5560C6"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Samodzielny Publiczny Specjalistyczny Zakład Opieki Zdrowotnej "ZDROJE"</w:t>
            </w:r>
            <w:r w:rsidRPr="00F3666E">
              <w:rPr>
                <w:rFonts w:eastAsia="Calibri" w:cstheme="minorHAnsi"/>
              </w:rPr>
              <w:br/>
            </w:r>
            <w:r w:rsidRPr="00F3666E">
              <w:rPr>
                <w:rFonts w:eastAsia="Calibri" w:cstheme="minorHAnsi"/>
                <w:spacing w:val="-4"/>
              </w:rPr>
              <w:t>ul. Mączna 4, 70-780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56E8B75" w14:textId="77777777" w:rsidR="000B4D72" w:rsidRPr="005F37AC" w:rsidRDefault="000B4D72" w:rsidP="00597239">
            <w:pPr>
              <w:spacing w:line="276" w:lineRule="auto"/>
              <w:rPr>
                <w:rFonts w:eastAsia="Calibri" w:cstheme="minorHAnsi"/>
              </w:rPr>
            </w:pPr>
            <w:r w:rsidRPr="00BF5D5F">
              <w:rPr>
                <w:rFonts w:eastAsia="Calibri" w:cstheme="minorHAnsi"/>
              </w:rPr>
              <w:t>840</w:t>
            </w:r>
          </w:p>
        </w:tc>
      </w:tr>
      <w:tr w:rsidR="000B4D72" w:rsidRPr="003A793F" w14:paraId="3661FD10"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4DFFB44B"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5.</w:t>
            </w:r>
          </w:p>
        </w:tc>
        <w:tc>
          <w:tcPr>
            <w:tcW w:w="4175" w:type="pct"/>
            <w:vAlign w:val="center"/>
          </w:tcPr>
          <w:p w14:paraId="65B48A38" w14:textId="77777777"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 xml:space="preserve">Zachodniopomorskie Centrum Onkologii </w:t>
            </w:r>
            <w:r w:rsidRPr="00F3666E">
              <w:rPr>
                <w:rFonts w:eastAsia="Calibri" w:cstheme="minorHAnsi"/>
              </w:rPr>
              <w:br/>
              <w:t>ul. Strzałowska 22, 71-730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A27728A" w14:textId="77777777" w:rsidR="000B4D72" w:rsidRPr="005F37AC" w:rsidRDefault="000B4D72" w:rsidP="00597239">
            <w:pPr>
              <w:spacing w:line="276" w:lineRule="auto"/>
              <w:rPr>
                <w:rFonts w:eastAsia="Calibri" w:cstheme="minorHAnsi"/>
              </w:rPr>
            </w:pPr>
            <w:r w:rsidRPr="00BF5D5F">
              <w:rPr>
                <w:rFonts w:eastAsia="Calibri" w:cstheme="minorHAnsi"/>
              </w:rPr>
              <w:t>181</w:t>
            </w:r>
          </w:p>
        </w:tc>
      </w:tr>
      <w:tr w:rsidR="000B4D72" w:rsidRPr="003A793F" w14:paraId="2F1882C1"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8361BFD"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6.</w:t>
            </w:r>
          </w:p>
        </w:tc>
        <w:tc>
          <w:tcPr>
            <w:tcW w:w="4175" w:type="pct"/>
            <w:vAlign w:val="center"/>
          </w:tcPr>
          <w:p w14:paraId="7EDC9631" w14:textId="5C60778E"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F3666E">
              <w:rPr>
                <w:rFonts w:eastAsia="Calibri" w:cstheme="minorHAnsi"/>
                <w:sz w:val="24"/>
                <w:szCs w:val="24"/>
              </w:rPr>
              <w:t>Szpital i Ambulatorium z Izbą Chorych Aresztu Śledczego w Szczecinie</w:t>
            </w:r>
          </w:p>
          <w:p w14:paraId="6F7ADB78"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ascii="Calibri" w:hAnsi="Calibri" w:cs="Calibri"/>
                <w:sz w:val="24"/>
                <w:szCs w:val="24"/>
              </w:rPr>
              <w:t>ul. Kaszubska 28, 70-952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7428C98"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112</w:t>
            </w:r>
          </w:p>
        </w:tc>
      </w:tr>
      <w:tr w:rsidR="000B4D72" w:rsidRPr="003A793F" w14:paraId="76C360FC"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A5CF04A"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7.</w:t>
            </w:r>
          </w:p>
        </w:tc>
        <w:tc>
          <w:tcPr>
            <w:tcW w:w="4175" w:type="pct"/>
            <w:vAlign w:val="center"/>
          </w:tcPr>
          <w:p w14:paraId="3A7B4058"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Szpital Rehabilitacyjny Św. Karola Boromeusza</w:t>
            </w:r>
            <w:r w:rsidRPr="00F3666E">
              <w:rPr>
                <w:rFonts w:eastAsia="Calibri" w:cstheme="minorHAnsi"/>
              </w:rPr>
              <w:br/>
              <w:t>al. Wyzwolenia 52, 71-506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2560344E"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57</w:t>
            </w:r>
          </w:p>
        </w:tc>
      </w:tr>
      <w:tr w:rsidR="000B4D72" w:rsidRPr="003A793F" w14:paraId="194E1F47"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406C9CC8"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8.</w:t>
            </w:r>
          </w:p>
        </w:tc>
        <w:tc>
          <w:tcPr>
            <w:tcW w:w="4175" w:type="pct"/>
            <w:vAlign w:val="center"/>
          </w:tcPr>
          <w:p w14:paraId="21C77A9A"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Samodzielny Publiczny Zakład Opieki Zdrowotnej MSWiA</w:t>
            </w:r>
            <w:r w:rsidRPr="00F3666E">
              <w:rPr>
                <w:rFonts w:eastAsia="Calibri" w:cstheme="minorHAnsi"/>
              </w:rPr>
              <w:br/>
              <w:t>ul. Jagiellońska 44, 70-382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CB72688" w14:textId="77777777" w:rsidR="000B4D72" w:rsidRPr="005F37AC" w:rsidRDefault="000B4D72" w:rsidP="00597239">
            <w:pPr>
              <w:spacing w:line="276" w:lineRule="auto"/>
              <w:rPr>
                <w:rFonts w:eastAsia="Calibri" w:cstheme="minorHAnsi"/>
              </w:rPr>
            </w:pPr>
            <w:r w:rsidRPr="00BF5D5F">
              <w:rPr>
                <w:rFonts w:eastAsia="Calibri" w:cstheme="minorHAnsi"/>
              </w:rPr>
              <w:t>127</w:t>
            </w:r>
          </w:p>
        </w:tc>
      </w:tr>
      <w:tr w:rsidR="000B4D72" w:rsidRPr="003A793F" w14:paraId="7E25DAD1"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512A19C"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9.</w:t>
            </w:r>
          </w:p>
        </w:tc>
        <w:tc>
          <w:tcPr>
            <w:tcW w:w="4175" w:type="pct"/>
            <w:vAlign w:val="center"/>
          </w:tcPr>
          <w:p w14:paraId="16CECE11" w14:textId="7BD776DF"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 xml:space="preserve">AMC ART MEDICAL CENTER Sp. z o.o. Spółka Komandytowa </w:t>
            </w:r>
            <w:r w:rsidRPr="00F3666E">
              <w:rPr>
                <w:rFonts w:eastAsia="Calibri" w:cstheme="minorHAnsi"/>
              </w:rPr>
              <w:br/>
              <w:t xml:space="preserve">ul. Langiewicza 28/U1, </w:t>
            </w:r>
            <w:r w:rsidRPr="00F3666E">
              <w:rPr>
                <w:rStyle w:val="lrzxr"/>
                <w:rFonts w:cstheme="minorHAnsi"/>
              </w:rPr>
              <w:t>70-263</w:t>
            </w:r>
            <w:r w:rsidRPr="00F3666E">
              <w:rPr>
                <w:rFonts w:eastAsia="Calibri" w:cstheme="minorHAnsi"/>
              </w:rPr>
              <w:t xml:space="preserve"> Szczecin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6C42756" w14:textId="77777777" w:rsidR="000B4D72" w:rsidRPr="005F37AC" w:rsidRDefault="000B4D72" w:rsidP="00597239">
            <w:pPr>
              <w:spacing w:line="276" w:lineRule="auto"/>
              <w:rPr>
                <w:rFonts w:eastAsia="Calibri" w:cstheme="minorHAnsi"/>
              </w:rPr>
            </w:pPr>
            <w:r w:rsidRPr="00BF5D5F">
              <w:rPr>
                <w:rFonts w:eastAsia="Calibri" w:cstheme="minorHAnsi"/>
              </w:rPr>
              <w:t>12</w:t>
            </w:r>
          </w:p>
        </w:tc>
      </w:tr>
      <w:tr w:rsidR="000B4D72" w:rsidRPr="003A793F" w14:paraId="3BD8BC6C"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D487632"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10.</w:t>
            </w:r>
          </w:p>
        </w:tc>
        <w:tc>
          <w:tcPr>
            <w:tcW w:w="4175" w:type="pct"/>
            <w:vAlign w:val="center"/>
          </w:tcPr>
          <w:p w14:paraId="2FEB0FCA"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 xml:space="preserve">Regionalne Centrum Medyczne w Białogardzie Sp. z o. o. </w:t>
            </w:r>
            <w:r w:rsidRPr="00F3666E">
              <w:rPr>
                <w:rFonts w:eastAsia="Calibri" w:cstheme="minorHAnsi"/>
              </w:rPr>
              <w:br/>
              <w:t>ul. Chopina 29, 78-200 Białogard</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7C997FD" w14:textId="77777777" w:rsidR="000B4D72" w:rsidRPr="005F37AC" w:rsidRDefault="000B4D72" w:rsidP="00597239">
            <w:pPr>
              <w:spacing w:line="276" w:lineRule="auto"/>
              <w:rPr>
                <w:rFonts w:eastAsia="Calibri" w:cstheme="minorHAnsi"/>
              </w:rPr>
            </w:pPr>
            <w:r w:rsidRPr="00BF5D5F">
              <w:rPr>
                <w:rFonts w:eastAsia="Calibri" w:cstheme="minorHAnsi"/>
              </w:rPr>
              <w:t>299</w:t>
            </w:r>
          </w:p>
        </w:tc>
      </w:tr>
      <w:tr w:rsidR="000B4D72" w:rsidRPr="003A793F" w14:paraId="1CDA4F93"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4C14A36"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11.</w:t>
            </w:r>
          </w:p>
        </w:tc>
        <w:tc>
          <w:tcPr>
            <w:tcW w:w="4175" w:type="pct"/>
            <w:vAlign w:val="center"/>
          </w:tcPr>
          <w:p w14:paraId="0648BE55"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Samodzielny Publiczny Zakład Opieki Zdrowotnej</w:t>
            </w:r>
            <w:r w:rsidRPr="00F3666E">
              <w:rPr>
                <w:rFonts w:eastAsia="Calibri" w:cstheme="minorHAnsi"/>
              </w:rPr>
              <w:br/>
              <w:t>ul. Niedziałkowskiego 4A, 73-200 Choszczno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2FBA65A6"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316</w:t>
            </w:r>
          </w:p>
        </w:tc>
      </w:tr>
      <w:tr w:rsidR="000B4D72" w:rsidRPr="003A793F" w14:paraId="77AEF2FB"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E2B6BB4"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12.</w:t>
            </w:r>
          </w:p>
        </w:tc>
        <w:tc>
          <w:tcPr>
            <w:tcW w:w="4175" w:type="pct"/>
            <w:vAlign w:val="center"/>
          </w:tcPr>
          <w:p w14:paraId="62CFC629"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Szpital im. Matki Teresy z Kalkuty w Drawsku Pomorskim (działający w ramach podmiotu leczniczego „</w:t>
            </w:r>
            <w:r w:rsidRPr="00F3666E">
              <w:t>American Heart of Poland S.A.”</w:t>
            </w:r>
            <w:r w:rsidRPr="00F3666E">
              <w:rPr>
                <w:rFonts w:eastAsia="Calibri" w:cstheme="minorHAnsi"/>
              </w:rPr>
              <w:t>)</w:t>
            </w:r>
            <w:r w:rsidRPr="00F3666E">
              <w:rPr>
                <w:rFonts w:eastAsia="Calibri" w:cstheme="minorHAnsi"/>
              </w:rPr>
              <w:br/>
              <w:t>ul. Chrobrego 4, 78-500 Drawsko Pomorskie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7F1F0C7"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119</w:t>
            </w:r>
          </w:p>
        </w:tc>
      </w:tr>
      <w:tr w:rsidR="000B4D72" w:rsidRPr="003A793F" w14:paraId="49CEB5E4"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DAC8E95"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13.</w:t>
            </w:r>
          </w:p>
        </w:tc>
        <w:tc>
          <w:tcPr>
            <w:tcW w:w="4175" w:type="pct"/>
            <w:vAlign w:val="center"/>
          </w:tcPr>
          <w:p w14:paraId="2FE6A64C"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Samodzielny Publiczny ZOZ Szpital Specjalistyczny MSWiA w Złocieńcu</w:t>
            </w:r>
            <w:r w:rsidRPr="00F3666E">
              <w:rPr>
                <w:rFonts w:eastAsia="Calibri" w:cstheme="minorHAnsi"/>
              </w:rPr>
              <w:br/>
              <w:t>ul. Kańsko 1, 78-520 Złocieniec</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E8685FB"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109</w:t>
            </w:r>
          </w:p>
        </w:tc>
      </w:tr>
      <w:tr w:rsidR="000B4D72" w:rsidRPr="003A793F" w14:paraId="64546E4C"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A24BF27"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14.</w:t>
            </w:r>
          </w:p>
        </w:tc>
        <w:tc>
          <w:tcPr>
            <w:tcW w:w="4175" w:type="pct"/>
            <w:vAlign w:val="center"/>
          </w:tcPr>
          <w:p w14:paraId="0EC5EE0C"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Szpitalne Centrum Medyczne Sp. z o. o.</w:t>
            </w:r>
            <w:r w:rsidRPr="00F3666E">
              <w:rPr>
                <w:rFonts w:eastAsia="Calibri" w:cstheme="minorHAnsi"/>
              </w:rPr>
              <w:br/>
              <w:t>ul. Nowogardzka 2, 72-100 Goleniów</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5A4A02A6"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142</w:t>
            </w:r>
          </w:p>
        </w:tc>
      </w:tr>
      <w:tr w:rsidR="000B4D72" w:rsidRPr="003A793F" w14:paraId="0E206520"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6184B34"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15.</w:t>
            </w:r>
          </w:p>
        </w:tc>
        <w:tc>
          <w:tcPr>
            <w:tcW w:w="4175" w:type="pct"/>
            <w:vAlign w:val="center"/>
          </w:tcPr>
          <w:p w14:paraId="3D09CB74"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 xml:space="preserve">Samodzielny Publiczny Szpital Rejonowy </w:t>
            </w:r>
            <w:r w:rsidRPr="00F3666E">
              <w:rPr>
                <w:rFonts w:cstheme="minorHAnsi"/>
              </w:rPr>
              <w:t>w Nowogardzie</w:t>
            </w:r>
            <w:r w:rsidRPr="00F3666E">
              <w:rPr>
                <w:rFonts w:eastAsia="Calibri" w:cstheme="minorHAnsi"/>
              </w:rPr>
              <w:br/>
              <w:t>ul. Wojska Polskiego 7, 72-200 Nowogard</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BCEF882"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100</w:t>
            </w:r>
          </w:p>
        </w:tc>
      </w:tr>
      <w:tr w:rsidR="000B4D72" w:rsidRPr="003A793F" w14:paraId="38B60377"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BD4448F"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16.</w:t>
            </w:r>
          </w:p>
        </w:tc>
        <w:tc>
          <w:tcPr>
            <w:tcW w:w="4175" w:type="pct"/>
            <w:vAlign w:val="center"/>
          </w:tcPr>
          <w:p w14:paraId="6956E3CF"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Samodzielny Publiczny Zespół ZOZ Szpital Specjalistyczny MEDICAM</w:t>
            </w:r>
            <w:r w:rsidRPr="00F3666E">
              <w:rPr>
                <w:rFonts w:eastAsia="Calibri" w:cstheme="minorHAnsi"/>
              </w:rPr>
              <w:br/>
              <w:t>ul. Niechorska 27, 72-300 Gryfice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56E6F70" w14:textId="77777777" w:rsidR="000B4D72" w:rsidRPr="005F37AC" w:rsidRDefault="000B4D72" w:rsidP="00597239">
            <w:pPr>
              <w:spacing w:line="276" w:lineRule="auto"/>
              <w:rPr>
                <w:rFonts w:eastAsia="Calibri" w:cstheme="minorHAnsi"/>
              </w:rPr>
            </w:pPr>
            <w:r w:rsidRPr="00BF5D5F">
              <w:rPr>
                <w:rFonts w:eastAsia="Calibri" w:cstheme="minorHAnsi"/>
              </w:rPr>
              <w:t>370</w:t>
            </w:r>
          </w:p>
        </w:tc>
      </w:tr>
      <w:tr w:rsidR="000B4D72" w:rsidRPr="003A793F" w14:paraId="0FE78D8D"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9AFB5A9"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17.</w:t>
            </w:r>
          </w:p>
        </w:tc>
        <w:tc>
          <w:tcPr>
            <w:tcW w:w="4175" w:type="pct"/>
            <w:vAlign w:val="center"/>
          </w:tcPr>
          <w:p w14:paraId="24D8EE89"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Szpital Powiatowy w Gryfinie Sp. z o. o.</w:t>
            </w:r>
            <w:r w:rsidRPr="00F3666E">
              <w:rPr>
                <w:rFonts w:eastAsia="Calibri" w:cstheme="minorHAnsi"/>
              </w:rPr>
              <w:br/>
              <w:t>ul. Parkowa 5, 74-100 Gryfino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143C4F4" w14:textId="77777777" w:rsidR="000B4D72" w:rsidRPr="005F37AC" w:rsidRDefault="000B4D72" w:rsidP="00597239">
            <w:pPr>
              <w:autoSpaceDE w:val="0"/>
              <w:autoSpaceDN w:val="0"/>
              <w:adjustRightInd w:val="0"/>
              <w:spacing w:line="276" w:lineRule="auto"/>
              <w:rPr>
                <w:rFonts w:eastAsia="Calibri" w:cstheme="minorHAnsi"/>
              </w:rPr>
            </w:pPr>
            <w:r w:rsidRPr="00BF5D5F">
              <w:rPr>
                <w:rFonts w:eastAsia="Calibri" w:cstheme="minorHAnsi"/>
              </w:rPr>
              <w:t>133</w:t>
            </w:r>
          </w:p>
        </w:tc>
      </w:tr>
      <w:tr w:rsidR="000B4D72" w:rsidRPr="003A793F" w14:paraId="08120CBA"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412E0395"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18.</w:t>
            </w:r>
          </w:p>
        </w:tc>
        <w:tc>
          <w:tcPr>
            <w:tcW w:w="4175" w:type="pct"/>
            <w:vAlign w:val="center"/>
          </w:tcPr>
          <w:p w14:paraId="1D4C4F29"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cstheme="minorHAnsi"/>
              </w:rPr>
              <w:t>Szpital w Kamieniu Pomorskim Sp. z o. o.</w:t>
            </w:r>
            <w:r w:rsidRPr="00F3666E">
              <w:rPr>
                <w:rFonts w:cstheme="minorHAnsi"/>
              </w:rPr>
              <w:br/>
              <w:t xml:space="preserve">ul. Szpitalna 10, </w:t>
            </w:r>
            <w:r w:rsidRPr="00F3666E">
              <w:rPr>
                <w:rFonts w:eastAsia="Calibri" w:cstheme="minorHAnsi"/>
              </w:rPr>
              <w:t>72-400</w:t>
            </w:r>
            <w:r>
              <w:rPr>
                <w:rFonts w:eastAsia="Calibri" w:cstheme="minorHAnsi"/>
              </w:rPr>
              <w:t xml:space="preserve"> </w:t>
            </w:r>
            <w:r w:rsidRPr="00F3666E">
              <w:rPr>
                <w:rFonts w:eastAsia="Calibri" w:cstheme="minorHAnsi"/>
              </w:rPr>
              <w:t>Kamień Pomorski</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3859E2E" w14:textId="77777777" w:rsidR="000B4D72" w:rsidRPr="005F37AC" w:rsidRDefault="000B4D72" w:rsidP="00597239">
            <w:pPr>
              <w:spacing w:line="276" w:lineRule="auto"/>
              <w:rPr>
                <w:rFonts w:cstheme="minorHAnsi"/>
              </w:rPr>
            </w:pPr>
            <w:r w:rsidRPr="00BF5D5F">
              <w:rPr>
                <w:rFonts w:cstheme="minorHAnsi"/>
              </w:rPr>
              <w:t>20</w:t>
            </w:r>
          </w:p>
        </w:tc>
      </w:tr>
      <w:tr w:rsidR="000B4D72" w:rsidRPr="003A793F" w14:paraId="582D5978"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77EF005"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19.</w:t>
            </w:r>
          </w:p>
        </w:tc>
        <w:tc>
          <w:tcPr>
            <w:tcW w:w="4175" w:type="pct"/>
            <w:vAlign w:val="center"/>
          </w:tcPr>
          <w:p w14:paraId="1BCACF5A" w14:textId="77777777"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cstheme="minorHAnsi"/>
              </w:rPr>
            </w:pPr>
            <w:r w:rsidRPr="00F3666E">
              <w:rPr>
                <w:rFonts w:cstheme="minorHAnsi"/>
              </w:rPr>
              <w:t>Stacjonarny NZOZ "ZDROWIE" Perła</w:t>
            </w:r>
            <w:r w:rsidRPr="00F3666E">
              <w:rPr>
                <w:rFonts w:cstheme="minorHAnsi"/>
              </w:rPr>
              <w:br/>
              <w:t>ul. Morska 2a, 72-415 Międzywodzie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E8179E0" w14:textId="77777777" w:rsidR="000B4D72" w:rsidRPr="000D3670" w:rsidRDefault="000B4D72" w:rsidP="00597239">
            <w:pPr>
              <w:spacing w:line="276" w:lineRule="auto"/>
              <w:rPr>
                <w:rFonts w:cstheme="minorHAnsi"/>
              </w:rPr>
            </w:pPr>
            <w:r w:rsidRPr="00BF5D5F">
              <w:rPr>
                <w:rFonts w:cstheme="minorHAnsi"/>
              </w:rPr>
              <w:t>200</w:t>
            </w:r>
          </w:p>
        </w:tc>
      </w:tr>
      <w:tr w:rsidR="000B4D72" w:rsidRPr="003A793F" w14:paraId="54EA4564"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ECE3B4A"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20.</w:t>
            </w:r>
          </w:p>
        </w:tc>
        <w:tc>
          <w:tcPr>
            <w:tcW w:w="4175" w:type="pct"/>
            <w:vAlign w:val="center"/>
          </w:tcPr>
          <w:p w14:paraId="28C578E6" w14:textId="13F8459F"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rPr>
            </w:pPr>
            <w:r w:rsidRPr="00F3666E">
              <w:rPr>
                <w:rFonts w:eastAsia="Calibri" w:cstheme="minorHAnsi"/>
              </w:rPr>
              <w:t>Regionalny Szpital w Kołobrzegu</w:t>
            </w:r>
            <w:r w:rsidRPr="00F3666E">
              <w:rPr>
                <w:rFonts w:eastAsia="Calibri" w:cstheme="minorHAnsi"/>
              </w:rPr>
              <w:br/>
              <w:t>ul. Łopuskiego 31-33, 78-100 Kołobrzeg</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ABBE26D"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369</w:t>
            </w:r>
          </w:p>
        </w:tc>
      </w:tr>
      <w:tr w:rsidR="000B4D72" w:rsidRPr="003A793F" w14:paraId="3738E536"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A74E658"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21.</w:t>
            </w:r>
          </w:p>
        </w:tc>
        <w:tc>
          <w:tcPr>
            <w:tcW w:w="4175" w:type="pct"/>
            <w:vAlign w:val="center"/>
          </w:tcPr>
          <w:p w14:paraId="31B58FB7"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F3666E">
              <w:rPr>
                <w:rFonts w:eastAsia="Calibri" w:cstheme="minorHAnsi"/>
              </w:rPr>
              <w:t>Szpital Wojewódzki im. Mikołaja Kopernika</w:t>
            </w:r>
            <w:r w:rsidRPr="00F3666E">
              <w:rPr>
                <w:rFonts w:eastAsia="Calibri" w:cstheme="minorHAnsi"/>
              </w:rPr>
              <w:br/>
              <w:t>ul. Chałubińskiego 7, 75-581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D573FD7"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470</w:t>
            </w:r>
          </w:p>
        </w:tc>
      </w:tr>
      <w:tr w:rsidR="000B4D72" w:rsidRPr="003A793F" w14:paraId="77B0FAC7"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CBE14BF"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22.</w:t>
            </w:r>
          </w:p>
        </w:tc>
        <w:tc>
          <w:tcPr>
            <w:tcW w:w="4175" w:type="pct"/>
            <w:vAlign w:val="center"/>
          </w:tcPr>
          <w:p w14:paraId="432EABD8"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Międzynarodowe Centrum Onkologii Affidea w Koszalinie</w:t>
            </w:r>
            <w:r w:rsidRPr="00F3666E">
              <w:rPr>
                <w:rFonts w:eastAsia="Calibri" w:cstheme="minorHAnsi"/>
              </w:rPr>
              <w:br/>
              <w:t xml:space="preserve">ul. Chałubińskiego 7, </w:t>
            </w:r>
            <w:r w:rsidRPr="00F3666E">
              <w:rPr>
                <w:rFonts w:cstheme="minorHAnsi"/>
              </w:rPr>
              <w:t>75-581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08349BE"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37</w:t>
            </w:r>
          </w:p>
        </w:tc>
      </w:tr>
      <w:tr w:rsidR="000B4D72" w:rsidRPr="003A793F" w14:paraId="2309392C"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B918EC4"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23.</w:t>
            </w:r>
          </w:p>
        </w:tc>
        <w:tc>
          <w:tcPr>
            <w:tcW w:w="4175" w:type="pct"/>
            <w:vAlign w:val="center"/>
          </w:tcPr>
          <w:p w14:paraId="7A1ED363"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Specjalistyczny Zespół Gruźlicy i Chorób Płuc</w:t>
            </w:r>
            <w:r w:rsidRPr="00F3666E">
              <w:rPr>
                <w:rFonts w:eastAsia="Calibri" w:cstheme="minorHAnsi"/>
              </w:rPr>
              <w:br/>
              <w:t>ul. Niepodległości 44-48, 75-252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0BA0632C"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100</w:t>
            </w:r>
          </w:p>
        </w:tc>
      </w:tr>
      <w:tr w:rsidR="000B4D72" w:rsidRPr="003A793F" w14:paraId="5878B947"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33E30A94"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24.</w:t>
            </w:r>
          </w:p>
        </w:tc>
        <w:tc>
          <w:tcPr>
            <w:tcW w:w="4175" w:type="pct"/>
            <w:vAlign w:val="center"/>
          </w:tcPr>
          <w:p w14:paraId="28198F15"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Niepubliczny Zakład Opieki Zdrowotnej „UROMED” Sp. z o. o.</w:t>
            </w:r>
            <w:r w:rsidRPr="00F3666E">
              <w:rPr>
                <w:rFonts w:eastAsia="Calibri" w:cstheme="minorHAnsi"/>
              </w:rPr>
              <w:br/>
              <w:t>ul. Głowackiego 7, 75-402 Koszalin</w:t>
            </w:r>
          </w:p>
        </w:tc>
        <w:tc>
          <w:tcPr>
            <w:cnfStyle w:val="000010000000" w:firstRow="0" w:lastRow="0" w:firstColumn="0" w:lastColumn="0" w:oddVBand="1" w:evenVBand="0" w:oddHBand="0" w:evenHBand="0" w:firstRowFirstColumn="0" w:firstRowLastColumn="0" w:lastRowFirstColumn="0" w:lastRowLastColumn="0"/>
            <w:tcW w:w="539" w:type="pct"/>
            <w:vMerge w:val="restart"/>
            <w:vAlign w:val="center"/>
          </w:tcPr>
          <w:p w14:paraId="7792DEC2"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5</w:t>
            </w:r>
          </w:p>
        </w:tc>
      </w:tr>
      <w:tr w:rsidR="000B4D72" w:rsidRPr="003A793F" w14:paraId="624421E8" w14:textId="77777777" w:rsidTr="0063333E">
        <w:trPr>
          <w:cnfStyle w:val="000000100000" w:firstRow="0" w:lastRow="0" w:firstColumn="0" w:lastColumn="0" w:oddVBand="0" w:evenVBand="0" w:oddHBand="1" w:evenHBand="0" w:firstRowFirstColumn="0" w:firstRowLastColumn="0" w:lastRowFirstColumn="0" w:lastRowLastColumn="0"/>
          <w:trHeight w:val="661"/>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A68BBED"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lastRenderedPageBreak/>
              <w:t>25.</w:t>
            </w:r>
          </w:p>
        </w:tc>
        <w:tc>
          <w:tcPr>
            <w:tcW w:w="4175" w:type="pct"/>
            <w:vAlign w:val="center"/>
          </w:tcPr>
          <w:p w14:paraId="0EFE327E" w14:textId="77777777" w:rsidR="000B4D72" w:rsidRPr="00F3666E"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u w:val="single"/>
              </w:rPr>
            </w:pPr>
            <w:r w:rsidRPr="00F3666E">
              <w:rPr>
                <w:rFonts w:eastAsia="Calibri" w:cstheme="minorHAnsi"/>
              </w:rPr>
              <w:t>Pro Beauty Sp. z o. o.</w:t>
            </w:r>
            <w:r w:rsidRPr="00F3666E">
              <w:rPr>
                <w:rFonts w:eastAsia="Calibri" w:cstheme="minorHAnsi"/>
              </w:rPr>
              <w:br/>
              <w:t>ul. Głowackiego 7, 75-402 Koszalin (Budynek „UROMED”), Pro Beauty Sp. z o. o. korzysta z łóżek NZOZ „UROMED”</w:t>
            </w:r>
          </w:p>
        </w:tc>
        <w:tc>
          <w:tcPr>
            <w:cnfStyle w:val="000010000000" w:firstRow="0" w:lastRow="0" w:firstColumn="0" w:lastColumn="0" w:oddVBand="1" w:evenVBand="0" w:oddHBand="0" w:evenHBand="0" w:firstRowFirstColumn="0" w:firstRowLastColumn="0" w:lastRowFirstColumn="0" w:lastRowLastColumn="0"/>
            <w:tcW w:w="539" w:type="pct"/>
            <w:vMerge/>
            <w:vAlign w:val="center"/>
          </w:tcPr>
          <w:p w14:paraId="48E3B283" w14:textId="77777777" w:rsidR="000B4D72" w:rsidRPr="000D3670" w:rsidRDefault="000B4D72" w:rsidP="00597239">
            <w:pPr>
              <w:spacing w:line="276" w:lineRule="auto"/>
              <w:rPr>
                <w:rFonts w:eastAsia="Calibri" w:cstheme="minorHAnsi"/>
              </w:rPr>
            </w:pPr>
          </w:p>
        </w:tc>
      </w:tr>
      <w:tr w:rsidR="000B4D72" w:rsidRPr="003A793F" w14:paraId="424454E7"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AD5A4B5"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26.</w:t>
            </w:r>
          </w:p>
        </w:tc>
        <w:tc>
          <w:tcPr>
            <w:tcW w:w="4175" w:type="pct"/>
            <w:vAlign w:val="center"/>
          </w:tcPr>
          <w:p w14:paraId="211CB562"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Samodzielny Publiczny ZOZ MSWiA w Koszalinie</w:t>
            </w:r>
            <w:r w:rsidRPr="00F3666E">
              <w:rPr>
                <w:rFonts w:eastAsia="Calibri" w:cstheme="minorHAnsi"/>
              </w:rPr>
              <w:br/>
              <w:t>ul. Szpitalna 2, 75-720 Koszalin</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5672D5E"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35</w:t>
            </w:r>
          </w:p>
        </w:tc>
      </w:tr>
      <w:tr w:rsidR="000B4D72" w:rsidRPr="003A793F" w14:paraId="277773EC"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279EF05"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27.</w:t>
            </w:r>
          </w:p>
        </w:tc>
        <w:tc>
          <w:tcPr>
            <w:tcW w:w="4175" w:type="pct"/>
            <w:vAlign w:val="center"/>
          </w:tcPr>
          <w:p w14:paraId="2AD36923" w14:textId="36939AF0"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Szpital Barlinek Sp. z o.o.</w:t>
            </w:r>
            <w:r w:rsidRPr="00F3666E">
              <w:rPr>
                <w:rFonts w:eastAsia="Calibri" w:cstheme="minorHAnsi"/>
              </w:rPr>
              <w:br/>
              <w:t>ul. Szpitalna 10, 74-320 Barlinek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0B7520C9"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150</w:t>
            </w:r>
          </w:p>
        </w:tc>
      </w:tr>
      <w:tr w:rsidR="000B4D72" w:rsidRPr="003A793F" w14:paraId="5D39DD64"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CA6E15A"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28.</w:t>
            </w:r>
          </w:p>
        </w:tc>
        <w:tc>
          <w:tcPr>
            <w:tcW w:w="4175" w:type="pct"/>
            <w:vAlign w:val="center"/>
          </w:tcPr>
          <w:p w14:paraId="19201184"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Szpital w Dębnie im. Świętej Matki Teresy z Kalkuty Sp. z o.o.</w:t>
            </w:r>
            <w:r w:rsidRPr="00F3666E">
              <w:rPr>
                <w:rFonts w:eastAsia="Calibri" w:cstheme="minorHAnsi"/>
              </w:rPr>
              <w:br/>
              <w:t>ul. Kościuszki 58, 74-400 Dębno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E4CA3EE"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135</w:t>
            </w:r>
          </w:p>
        </w:tc>
      </w:tr>
      <w:tr w:rsidR="000B4D72" w:rsidRPr="003A793F" w14:paraId="0D699CDD"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FEF2FF4"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29.</w:t>
            </w:r>
          </w:p>
        </w:tc>
        <w:tc>
          <w:tcPr>
            <w:tcW w:w="4175" w:type="pct"/>
            <w:vAlign w:val="center"/>
          </w:tcPr>
          <w:p w14:paraId="660F6952"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Szpital Powiatowy w Pyrzycach</w:t>
            </w:r>
            <w:r w:rsidRPr="00F3666E">
              <w:rPr>
                <w:rFonts w:eastAsia="Calibri" w:cstheme="minorHAnsi"/>
              </w:rPr>
              <w:br/>
              <w:t>ul. Jana Pawła II 2, 74-200 Pyrzyce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8486C24"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135</w:t>
            </w:r>
          </w:p>
        </w:tc>
      </w:tr>
      <w:tr w:rsidR="000B4D72" w:rsidRPr="003A793F" w14:paraId="19634FB6"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27B38076"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30.</w:t>
            </w:r>
          </w:p>
        </w:tc>
        <w:tc>
          <w:tcPr>
            <w:tcW w:w="4175" w:type="pct"/>
            <w:vAlign w:val="center"/>
          </w:tcPr>
          <w:p w14:paraId="2C53EEDC" w14:textId="57ABA92D"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Szpital Powiatowy w Sławnie</w:t>
            </w:r>
            <w:r w:rsidRPr="00F3666E">
              <w:rPr>
                <w:rFonts w:eastAsia="Calibri" w:cstheme="minorHAnsi"/>
              </w:rPr>
              <w:br/>
              <w:t>ul. I-go Pułku Ułanów 9, 76-100 Sławno</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2AFF260B"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99</w:t>
            </w:r>
          </w:p>
        </w:tc>
      </w:tr>
      <w:tr w:rsidR="000B4D72" w:rsidRPr="003A793F" w14:paraId="2A2CFCA3"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1F5B92F"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31.</w:t>
            </w:r>
          </w:p>
        </w:tc>
        <w:tc>
          <w:tcPr>
            <w:tcW w:w="4175" w:type="pct"/>
            <w:vAlign w:val="center"/>
          </w:tcPr>
          <w:p w14:paraId="1ACDFF2B"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Samodzielny Publiczny Wielospecjalistyczny Zakład Opieki Zdrowotnej</w:t>
            </w:r>
            <w:r w:rsidRPr="00F3666E">
              <w:rPr>
                <w:rFonts w:eastAsia="Calibri" w:cstheme="minorHAnsi"/>
              </w:rPr>
              <w:br/>
              <w:t>ul. Wojska Polskiego 27, 73-110 Stargard oraz Oddziały rehabilitacyjne z Przychodnią zlokalizowane przy ul. Staszica 16</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6BC2C5D9"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227</w:t>
            </w:r>
          </w:p>
        </w:tc>
      </w:tr>
      <w:tr w:rsidR="000B4D72" w:rsidRPr="003A793F" w14:paraId="09A3B8F6"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AE4B4C9"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32.</w:t>
            </w:r>
          </w:p>
        </w:tc>
        <w:tc>
          <w:tcPr>
            <w:tcW w:w="4175" w:type="pct"/>
            <w:vAlign w:val="center"/>
          </w:tcPr>
          <w:p w14:paraId="52F84601"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Szpital w Szczecinku Sp. z o. o.</w:t>
            </w:r>
            <w:r w:rsidRPr="00F3666E">
              <w:rPr>
                <w:rFonts w:eastAsia="Calibri" w:cstheme="minorHAnsi"/>
              </w:rPr>
              <w:br/>
              <w:t>ul. Kościuszki 38, 78-400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19A27D0A"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178</w:t>
            </w:r>
          </w:p>
        </w:tc>
      </w:tr>
      <w:tr w:rsidR="000B4D72" w:rsidRPr="003A793F" w14:paraId="7C19EA9E"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68FB5E0D"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33.</w:t>
            </w:r>
          </w:p>
        </w:tc>
        <w:tc>
          <w:tcPr>
            <w:tcW w:w="4175" w:type="pct"/>
            <w:vAlign w:val="center"/>
          </w:tcPr>
          <w:p w14:paraId="0E540AC4"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lang w:eastAsia="pl-PL"/>
              </w:rPr>
              <w:t>"PATRONKA" Sp. z o.o. Ośrodek Terapii Uzależnień działający w ramach podmiotu leczniczego „Patronka” Sp. z o.o., ul. Lelewela 15, 7</w:t>
            </w:r>
            <w:r w:rsidRPr="00F3666E">
              <w:rPr>
                <w:rFonts w:cstheme="minorHAnsi"/>
              </w:rPr>
              <w:t>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92DC636"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35</w:t>
            </w:r>
          </w:p>
        </w:tc>
      </w:tr>
      <w:tr w:rsidR="000B4D72" w:rsidRPr="003A793F" w14:paraId="455F9417"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094AA9E9"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34.</w:t>
            </w:r>
          </w:p>
        </w:tc>
        <w:tc>
          <w:tcPr>
            <w:tcW w:w="4175" w:type="pct"/>
            <w:vAlign w:val="center"/>
          </w:tcPr>
          <w:p w14:paraId="10650286" w14:textId="77777777" w:rsidR="000B4D72" w:rsidRPr="00F3666E"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lang w:eastAsia="pl-PL"/>
              </w:rPr>
            </w:pPr>
            <w:r w:rsidRPr="00F3666E">
              <w:rPr>
                <w:rFonts w:eastAsia="Calibri" w:cstheme="minorHAnsi"/>
              </w:rPr>
              <w:t>P.O.D.M. „PODIMED” Sp. z o.o. „Centrum Okulistyki i Chirurgii Oka”</w:t>
            </w:r>
            <w:r w:rsidRPr="00F3666E">
              <w:rPr>
                <w:rFonts w:eastAsia="Calibri" w:cstheme="minorHAnsi"/>
              </w:rPr>
              <w:br/>
              <w:t>ul. Kościuszki 38b/2, 78-400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0E1E8EF9"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10</w:t>
            </w:r>
          </w:p>
        </w:tc>
      </w:tr>
      <w:tr w:rsidR="000B4D72" w:rsidRPr="003A793F" w14:paraId="52B164E8"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EC10194"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35.</w:t>
            </w:r>
          </w:p>
        </w:tc>
        <w:tc>
          <w:tcPr>
            <w:tcW w:w="4175" w:type="pct"/>
            <w:vAlign w:val="center"/>
          </w:tcPr>
          <w:p w14:paraId="4D66990E" w14:textId="77777777"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Oddział Nefrologii, Centrum Usług Medycznych „Dializa” Sp. z o. o.</w:t>
            </w:r>
            <w:r w:rsidRPr="00F3666E">
              <w:rPr>
                <w:rFonts w:eastAsia="Calibri" w:cstheme="minorHAnsi"/>
              </w:rPr>
              <w:br/>
              <w:t>ul. Kilińskiego 7/4,6, 78-400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740A8586"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20</w:t>
            </w:r>
          </w:p>
        </w:tc>
      </w:tr>
      <w:tr w:rsidR="000B4D72" w:rsidRPr="003A793F" w14:paraId="10D9DA8F"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7A79029A"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36.</w:t>
            </w:r>
          </w:p>
        </w:tc>
        <w:tc>
          <w:tcPr>
            <w:tcW w:w="4175" w:type="pct"/>
            <w:vAlign w:val="center"/>
          </w:tcPr>
          <w:p w14:paraId="0F65C47C"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Centrum Kardiologii „SCANMED” Szczecinek</w:t>
            </w:r>
            <w:r w:rsidRPr="00F3666E">
              <w:rPr>
                <w:rFonts w:eastAsia="Calibri" w:cstheme="minorHAnsi"/>
              </w:rPr>
              <w:br/>
              <w:t xml:space="preserve">ul. Kilińskiego 7, </w:t>
            </w:r>
            <w:r w:rsidRPr="00F3666E">
              <w:rPr>
                <w:rStyle w:val="lrzxr"/>
                <w:rFonts w:cstheme="minorHAnsi"/>
              </w:rPr>
              <w:t>78-400</w:t>
            </w:r>
            <w:r w:rsidRPr="00F3666E">
              <w:rPr>
                <w:rFonts w:eastAsia="Calibri" w:cstheme="minorHAnsi"/>
              </w:rPr>
              <w:t xml:space="preserve"> Szczecinek</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4E2F8A4F"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12</w:t>
            </w:r>
          </w:p>
        </w:tc>
      </w:tr>
      <w:tr w:rsidR="000B4D72" w:rsidRPr="003A793F" w14:paraId="5158BBD8" w14:textId="77777777" w:rsidTr="0063333E">
        <w:trPr>
          <w:cnfStyle w:val="000000100000" w:firstRow="0" w:lastRow="0" w:firstColumn="0" w:lastColumn="0" w:oddVBand="0" w:evenVBand="0" w:oddHBand="1" w:evenHBand="0" w:firstRowFirstColumn="0" w:firstRowLastColumn="0" w:lastRowFirstColumn="0" w:lastRowLastColumn="0"/>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10A25BF8"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37.</w:t>
            </w:r>
          </w:p>
        </w:tc>
        <w:tc>
          <w:tcPr>
            <w:tcW w:w="4175" w:type="pct"/>
            <w:vAlign w:val="center"/>
          </w:tcPr>
          <w:p w14:paraId="3FAEFF87" w14:textId="6F8601D4" w:rsidR="000B4D72" w:rsidRPr="00F3666E" w:rsidRDefault="000B4D72" w:rsidP="0059723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eastAsia="Calibri" w:cstheme="minorHAnsi"/>
              </w:rPr>
            </w:pPr>
            <w:r w:rsidRPr="00F3666E">
              <w:rPr>
                <w:rFonts w:eastAsia="Calibri" w:cstheme="minorHAnsi"/>
              </w:rPr>
              <w:t>Przyjazny Szpital w Połczynie-Zdroju Sp. z o. o.</w:t>
            </w:r>
            <w:r w:rsidRPr="00F3666E">
              <w:rPr>
                <w:rFonts w:eastAsia="Calibri" w:cstheme="minorHAnsi"/>
              </w:rPr>
              <w:br/>
              <w:t>ul. Szpitalna 5, 78-320 Połczyn-Zdrój</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78DADFE"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50</w:t>
            </w:r>
          </w:p>
        </w:tc>
      </w:tr>
      <w:tr w:rsidR="000B4D72" w:rsidRPr="003A793F" w14:paraId="677AA994" w14:textId="77777777" w:rsidTr="0063333E">
        <w:trPr>
          <w:trHeight w:val="113"/>
        </w:trPr>
        <w:tc>
          <w:tcPr>
            <w:cnfStyle w:val="000010000000" w:firstRow="0" w:lastRow="0" w:firstColumn="0" w:lastColumn="0" w:oddVBand="1" w:evenVBand="0" w:oddHBand="0" w:evenHBand="0" w:firstRowFirstColumn="0" w:firstRowLastColumn="0" w:lastRowFirstColumn="0" w:lastRowLastColumn="0"/>
            <w:tcW w:w="286" w:type="pct"/>
            <w:vAlign w:val="center"/>
          </w:tcPr>
          <w:p w14:paraId="542B2DC0" w14:textId="77777777" w:rsidR="000B4D72" w:rsidRPr="00F3666E" w:rsidRDefault="000B4D72" w:rsidP="00597239">
            <w:pPr>
              <w:autoSpaceDE w:val="0"/>
              <w:autoSpaceDN w:val="0"/>
              <w:adjustRightInd w:val="0"/>
              <w:spacing w:line="276" w:lineRule="auto"/>
              <w:rPr>
                <w:rFonts w:eastAsia="Calibri" w:cstheme="minorHAnsi"/>
              </w:rPr>
            </w:pPr>
            <w:r w:rsidRPr="00F3666E">
              <w:rPr>
                <w:rFonts w:eastAsia="Calibri" w:cstheme="minorHAnsi"/>
              </w:rPr>
              <w:t>38.</w:t>
            </w:r>
          </w:p>
        </w:tc>
        <w:tc>
          <w:tcPr>
            <w:tcW w:w="4175" w:type="pct"/>
            <w:vAlign w:val="center"/>
          </w:tcPr>
          <w:p w14:paraId="17870840" w14:textId="77777777" w:rsidR="000B4D72" w:rsidRPr="00F3666E" w:rsidRDefault="000B4D72" w:rsidP="0059723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Calibri" w:cstheme="minorHAnsi"/>
              </w:rPr>
            </w:pPr>
            <w:r w:rsidRPr="00F3666E">
              <w:rPr>
                <w:rFonts w:eastAsia="Calibri" w:cstheme="minorHAnsi"/>
              </w:rPr>
              <w:t xml:space="preserve">Szpital Miejski im. Jana Garduły w Świnoujściu Sp. z o. o. </w:t>
            </w:r>
            <w:r w:rsidRPr="00F3666E">
              <w:rPr>
                <w:rFonts w:eastAsia="Calibri" w:cstheme="minorHAnsi"/>
              </w:rPr>
              <w:br/>
              <w:t>ul. Mieszka I 7, 72-600 Świnoujście</w:t>
            </w:r>
          </w:p>
        </w:tc>
        <w:tc>
          <w:tcPr>
            <w:cnfStyle w:val="000010000000" w:firstRow="0" w:lastRow="0" w:firstColumn="0" w:lastColumn="0" w:oddVBand="1" w:evenVBand="0" w:oddHBand="0" w:evenHBand="0" w:firstRowFirstColumn="0" w:firstRowLastColumn="0" w:lastRowFirstColumn="0" w:lastRowLastColumn="0"/>
            <w:tcW w:w="539" w:type="pct"/>
            <w:vAlign w:val="center"/>
          </w:tcPr>
          <w:p w14:paraId="32544F80" w14:textId="77777777" w:rsidR="000B4D72" w:rsidRPr="000D3670" w:rsidRDefault="000B4D72" w:rsidP="00597239">
            <w:pPr>
              <w:autoSpaceDE w:val="0"/>
              <w:autoSpaceDN w:val="0"/>
              <w:adjustRightInd w:val="0"/>
              <w:spacing w:line="276" w:lineRule="auto"/>
              <w:rPr>
                <w:rFonts w:eastAsia="Calibri" w:cstheme="minorHAnsi"/>
              </w:rPr>
            </w:pPr>
            <w:r w:rsidRPr="00BF5D5F">
              <w:rPr>
                <w:rFonts w:eastAsia="Calibri" w:cstheme="minorHAnsi"/>
              </w:rPr>
              <w:t>110</w:t>
            </w:r>
          </w:p>
        </w:tc>
      </w:tr>
    </w:tbl>
    <w:p w14:paraId="67C888ED" w14:textId="77777777" w:rsidR="000B4D72" w:rsidRPr="000D3670" w:rsidRDefault="000B4D72" w:rsidP="00597239">
      <w:pPr>
        <w:tabs>
          <w:tab w:val="left" w:pos="7594"/>
        </w:tabs>
        <w:spacing w:before="240" w:after="0" w:line="276" w:lineRule="auto"/>
        <w:rPr>
          <w:rFonts w:eastAsia="Calibri" w:cstheme="minorHAnsi"/>
          <w:sz w:val="24"/>
          <w:szCs w:val="24"/>
          <w:lang w:eastAsia="pl-PL"/>
        </w:rPr>
      </w:pPr>
      <w:bookmarkStart w:id="205" w:name="_Hlk130975697"/>
      <w:bookmarkEnd w:id="204"/>
      <w:r w:rsidRPr="000D3670">
        <w:rPr>
          <w:rFonts w:eastAsia="Calibri" w:cstheme="minorHAnsi"/>
          <w:sz w:val="24"/>
          <w:szCs w:val="24"/>
          <w:lang w:eastAsia="pl-PL"/>
        </w:rPr>
        <w:t>Na terenie województwa zachodniopomorskiego znajduje się również:</w:t>
      </w:r>
    </w:p>
    <w:p w14:paraId="1339D719" w14:textId="77777777" w:rsidR="000B4D72" w:rsidRPr="000D3670" w:rsidRDefault="000B4D72" w:rsidP="00597239">
      <w:pPr>
        <w:spacing w:after="0" w:line="276" w:lineRule="auto"/>
        <w:rPr>
          <w:rFonts w:eastAsia="Calibri" w:cstheme="minorHAnsi"/>
          <w:sz w:val="24"/>
          <w:szCs w:val="24"/>
        </w:rPr>
      </w:pPr>
      <w:r w:rsidRPr="000D3670">
        <w:rPr>
          <w:rFonts w:eastAsia="Calibri" w:cstheme="minorHAnsi"/>
          <w:sz w:val="24"/>
          <w:szCs w:val="24"/>
        </w:rPr>
        <w:t>7 szpitali jednego dnia:</w:t>
      </w:r>
    </w:p>
    <w:p w14:paraId="2CFD9C3F" w14:textId="77777777" w:rsidR="000B4D72" w:rsidRPr="000D3670" w:rsidRDefault="000B4D72" w:rsidP="00597239">
      <w:pPr>
        <w:pStyle w:val="Akapitzlist"/>
        <w:numPr>
          <w:ilvl w:val="0"/>
          <w:numId w:val="20"/>
        </w:numPr>
        <w:spacing w:after="0" w:line="276" w:lineRule="auto"/>
        <w:ind w:left="709" w:hanging="425"/>
        <w:rPr>
          <w:rFonts w:cstheme="minorHAnsi"/>
          <w:sz w:val="24"/>
          <w:szCs w:val="24"/>
        </w:rPr>
      </w:pPr>
      <w:r w:rsidRPr="000D3670">
        <w:rPr>
          <w:rFonts w:cstheme="minorHAnsi"/>
          <w:sz w:val="24"/>
          <w:szCs w:val="24"/>
        </w:rPr>
        <w:t xml:space="preserve">Meritum Centrum Medyczne, ul. M. Kopernika 28, </w:t>
      </w:r>
      <w:r w:rsidRPr="000D3670">
        <w:rPr>
          <w:rStyle w:val="lrzxr"/>
          <w:rFonts w:cstheme="minorHAnsi"/>
          <w:sz w:val="24"/>
          <w:szCs w:val="24"/>
        </w:rPr>
        <w:t>72-400</w:t>
      </w:r>
      <w:r w:rsidRPr="000D3670">
        <w:rPr>
          <w:rFonts w:cstheme="minorHAnsi"/>
          <w:sz w:val="24"/>
          <w:szCs w:val="24"/>
        </w:rPr>
        <w:t xml:space="preserve"> Kamień Pomorski </w:t>
      </w:r>
      <w:r w:rsidRPr="000D3670">
        <w:rPr>
          <w:rFonts w:eastAsia="Calibri" w:cstheme="minorHAnsi"/>
          <w:sz w:val="24"/>
          <w:szCs w:val="24"/>
        </w:rPr>
        <w:t>- liczba łóżek – 5</w:t>
      </w:r>
      <w:r>
        <w:rPr>
          <w:rFonts w:cstheme="minorHAnsi"/>
          <w:sz w:val="24"/>
          <w:szCs w:val="24"/>
        </w:rPr>
        <w:t>,</w:t>
      </w:r>
    </w:p>
    <w:p w14:paraId="185FDF47" w14:textId="77777777" w:rsidR="000B4D72" w:rsidRPr="000D3670" w:rsidRDefault="000B4D72" w:rsidP="00597239">
      <w:pPr>
        <w:pStyle w:val="Akapitzlist"/>
        <w:numPr>
          <w:ilvl w:val="0"/>
          <w:numId w:val="20"/>
        </w:numPr>
        <w:spacing w:after="0" w:line="276" w:lineRule="auto"/>
        <w:ind w:left="709" w:hanging="425"/>
        <w:rPr>
          <w:rFonts w:cstheme="minorHAnsi"/>
          <w:spacing w:val="-2"/>
          <w:sz w:val="24"/>
          <w:szCs w:val="24"/>
        </w:rPr>
      </w:pPr>
      <w:r w:rsidRPr="000D3670">
        <w:rPr>
          <w:rFonts w:cstheme="minorHAnsi"/>
          <w:spacing w:val="-2"/>
          <w:sz w:val="24"/>
          <w:szCs w:val="24"/>
        </w:rPr>
        <w:t xml:space="preserve">SONOMED Sp. z o.o., ul. Ks. Bp. Bandurskiego 98/U12, 71-685 Szczecin </w:t>
      </w:r>
      <w:r w:rsidRPr="000D3670">
        <w:rPr>
          <w:rFonts w:eastAsia="Calibri" w:cstheme="minorHAnsi"/>
          <w:spacing w:val="-2"/>
          <w:sz w:val="24"/>
          <w:szCs w:val="24"/>
        </w:rPr>
        <w:t>- liczba łóżek – 6</w:t>
      </w:r>
      <w:r>
        <w:rPr>
          <w:rFonts w:cstheme="minorHAnsi"/>
          <w:spacing w:val="-2"/>
          <w:sz w:val="24"/>
          <w:szCs w:val="24"/>
        </w:rPr>
        <w:t>,</w:t>
      </w:r>
    </w:p>
    <w:p w14:paraId="310557B9" w14:textId="77777777" w:rsidR="000B4D72" w:rsidRPr="00FF5A94" w:rsidRDefault="000B4D72" w:rsidP="00597239">
      <w:pPr>
        <w:pStyle w:val="Akapitzlist"/>
        <w:numPr>
          <w:ilvl w:val="0"/>
          <w:numId w:val="20"/>
        </w:numPr>
        <w:spacing w:after="0" w:line="276" w:lineRule="auto"/>
        <w:ind w:left="709" w:hanging="425"/>
        <w:rPr>
          <w:rFonts w:cstheme="minorHAnsi"/>
          <w:sz w:val="24"/>
          <w:szCs w:val="24"/>
        </w:rPr>
      </w:pPr>
      <w:r w:rsidRPr="000D3670">
        <w:rPr>
          <w:rFonts w:cstheme="minorHAnsi"/>
          <w:sz w:val="24"/>
          <w:szCs w:val="24"/>
        </w:rPr>
        <w:t xml:space="preserve">ORTHO </w:t>
      </w:r>
      <w:r w:rsidRPr="00FF5A94">
        <w:rPr>
          <w:rFonts w:cstheme="minorHAnsi"/>
          <w:sz w:val="24"/>
          <w:szCs w:val="24"/>
        </w:rPr>
        <w:t xml:space="preserve">– EXPERT Sp. z o.o., ul. Jagiellońska </w:t>
      </w:r>
      <w:r w:rsidRPr="00FF5A94">
        <w:rPr>
          <w:rFonts w:eastAsia="Calibri" w:cstheme="minorHAnsi"/>
          <w:sz w:val="24"/>
          <w:szCs w:val="24"/>
        </w:rPr>
        <w:t>87</w:t>
      </w:r>
      <w:r w:rsidRPr="00FF5A94">
        <w:rPr>
          <w:rFonts w:cstheme="minorHAnsi"/>
          <w:sz w:val="24"/>
          <w:szCs w:val="24"/>
        </w:rPr>
        <w:t xml:space="preserve">, 70-382 Szczecin </w:t>
      </w:r>
      <w:r w:rsidRPr="00FF5A94">
        <w:rPr>
          <w:rFonts w:eastAsia="Calibri" w:cstheme="minorHAnsi"/>
          <w:sz w:val="24"/>
          <w:szCs w:val="24"/>
        </w:rPr>
        <w:t>- liczba łóżek – 6</w:t>
      </w:r>
      <w:r>
        <w:rPr>
          <w:rFonts w:cstheme="minorHAnsi"/>
          <w:sz w:val="24"/>
          <w:szCs w:val="24"/>
        </w:rPr>
        <w:t>,</w:t>
      </w:r>
    </w:p>
    <w:p w14:paraId="35031F23" w14:textId="77777777" w:rsidR="000B4D72" w:rsidRPr="00FF5A94" w:rsidRDefault="000B4D72" w:rsidP="00597239">
      <w:pPr>
        <w:pStyle w:val="Akapitzlist"/>
        <w:numPr>
          <w:ilvl w:val="0"/>
          <w:numId w:val="20"/>
        </w:numPr>
        <w:spacing w:after="0" w:line="276" w:lineRule="auto"/>
        <w:ind w:left="709" w:hanging="425"/>
        <w:rPr>
          <w:rFonts w:cstheme="minorHAnsi"/>
          <w:sz w:val="24"/>
          <w:szCs w:val="24"/>
        </w:rPr>
      </w:pPr>
      <w:r w:rsidRPr="00985184">
        <w:rPr>
          <w:rFonts w:cstheme="minorHAnsi"/>
          <w:bCs/>
          <w:color w:val="000000" w:themeColor="text1"/>
          <w:sz w:val="24"/>
          <w:szCs w:val="24"/>
        </w:rPr>
        <w:t>Centrum Medyczne Euromedis, al. Powstańców Wlkp. 33a, 70-111 Szczecin</w:t>
      </w:r>
      <w:r w:rsidRPr="00985184">
        <w:rPr>
          <w:rFonts w:eastAsia="Calibri" w:cstheme="minorHAnsi"/>
          <w:color w:val="000000" w:themeColor="text1"/>
          <w:sz w:val="24"/>
          <w:szCs w:val="24"/>
        </w:rPr>
        <w:t xml:space="preserve"> </w:t>
      </w:r>
      <w:r w:rsidRPr="00FF5A94">
        <w:rPr>
          <w:rFonts w:eastAsia="Calibri" w:cstheme="minorHAnsi"/>
          <w:sz w:val="24"/>
          <w:szCs w:val="24"/>
        </w:rPr>
        <w:t>- liczba łóżek – 2</w:t>
      </w:r>
      <w:r>
        <w:rPr>
          <w:rFonts w:eastAsia="Calibri" w:cstheme="minorHAnsi"/>
          <w:sz w:val="24"/>
          <w:szCs w:val="24"/>
        </w:rPr>
        <w:t>,</w:t>
      </w:r>
    </w:p>
    <w:p w14:paraId="53CE4DC4" w14:textId="77777777" w:rsidR="000B4D72" w:rsidRPr="000D3670" w:rsidRDefault="000B4D72" w:rsidP="00597239">
      <w:pPr>
        <w:pStyle w:val="Akapitzlist"/>
        <w:numPr>
          <w:ilvl w:val="0"/>
          <w:numId w:val="20"/>
        </w:numPr>
        <w:spacing w:after="0" w:line="276" w:lineRule="auto"/>
        <w:ind w:left="709" w:hanging="425"/>
        <w:rPr>
          <w:rFonts w:cstheme="minorHAnsi"/>
          <w:sz w:val="24"/>
          <w:szCs w:val="24"/>
        </w:rPr>
      </w:pPr>
      <w:r w:rsidRPr="00FF5A94">
        <w:rPr>
          <w:rFonts w:ascii="Calibri" w:hAnsi="Calibri" w:cs="Calibri"/>
          <w:sz w:val="24"/>
          <w:szCs w:val="24"/>
        </w:rPr>
        <w:t>Centrum</w:t>
      </w:r>
      <w:r w:rsidRPr="000D3670">
        <w:rPr>
          <w:rFonts w:ascii="Calibri" w:hAnsi="Calibri" w:cs="Calibri"/>
          <w:sz w:val="24"/>
          <w:szCs w:val="24"/>
        </w:rPr>
        <w:t xml:space="preserve"> Medyczne Dom Lekarski S.A. Witolda Gombrowicza 23, 70-785 Szczecin</w:t>
      </w:r>
      <w:r w:rsidRPr="000D3670">
        <w:rPr>
          <w:rFonts w:cstheme="minorHAnsi"/>
          <w:sz w:val="24"/>
          <w:szCs w:val="24"/>
        </w:rPr>
        <w:t xml:space="preserve"> </w:t>
      </w:r>
      <w:r w:rsidRPr="000D3670">
        <w:rPr>
          <w:rFonts w:eastAsia="Calibri" w:cstheme="minorHAnsi"/>
          <w:sz w:val="24"/>
          <w:szCs w:val="24"/>
        </w:rPr>
        <w:t>- liczba łóżek – 6</w:t>
      </w:r>
      <w:r>
        <w:rPr>
          <w:rFonts w:cstheme="minorHAnsi"/>
          <w:sz w:val="24"/>
          <w:szCs w:val="24"/>
        </w:rPr>
        <w:t>,</w:t>
      </w:r>
    </w:p>
    <w:p w14:paraId="2C8A400E" w14:textId="77777777" w:rsidR="000B4D72" w:rsidRPr="000D3670" w:rsidRDefault="000B4D72" w:rsidP="00597239">
      <w:pPr>
        <w:pStyle w:val="Akapitzlist"/>
        <w:numPr>
          <w:ilvl w:val="0"/>
          <w:numId w:val="20"/>
        </w:numPr>
        <w:spacing w:after="0" w:line="276" w:lineRule="auto"/>
        <w:ind w:left="709" w:hanging="425"/>
        <w:rPr>
          <w:rFonts w:cstheme="minorHAnsi"/>
          <w:sz w:val="24"/>
          <w:szCs w:val="24"/>
        </w:rPr>
      </w:pPr>
      <w:r w:rsidRPr="000D3670">
        <w:rPr>
          <w:rFonts w:cstheme="minorHAnsi"/>
          <w:sz w:val="24"/>
          <w:szCs w:val="24"/>
        </w:rPr>
        <w:t xml:space="preserve">Dom Lekarski S.A. „Szpital Piastów”, ul. Piastów 30, 71-064 Szczecin </w:t>
      </w:r>
      <w:r w:rsidRPr="000D3670">
        <w:rPr>
          <w:rFonts w:eastAsia="Calibri" w:cstheme="minorHAnsi"/>
          <w:sz w:val="24"/>
          <w:szCs w:val="24"/>
        </w:rPr>
        <w:t>- liczba łóżek – 6</w:t>
      </w:r>
      <w:r>
        <w:rPr>
          <w:rFonts w:cstheme="minorHAnsi"/>
          <w:sz w:val="24"/>
          <w:szCs w:val="24"/>
        </w:rPr>
        <w:t>,</w:t>
      </w:r>
    </w:p>
    <w:p w14:paraId="4EC8297C" w14:textId="77777777" w:rsidR="000B4D72" w:rsidRPr="000D3670" w:rsidRDefault="000B4D72" w:rsidP="00597239">
      <w:pPr>
        <w:pStyle w:val="Akapitzlist"/>
        <w:numPr>
          <w:ilvl w:val="0"/>
          <w:numId w:val="20"/>
        </w:numPr>
        <w:spacing w:after="0" w:line="276" w:lineRule="auto"/>
        <w:ind w:left="709" w:hanging="425"/>
        <w:rPr>
          <w:rFonts w:cstheme="minorHAnsi"/>
          <w:sz w:val="24"/>
          <w:szCs w:val="24"/>
        </w:rPr>
      </w:pPr>
      <w:r w:rsidRPr="00985184">
        <w:rPr>
          <w:rFonts w:cstheme="minorHAnsi"/>
          <w:color w:val="000000" w:themeColor="text1"/>
          <w:sz w:val="24"/>
          <w:szCs w:val="24"/>
        </w:rPr>
        <w:t>NOVUM ORTOPEDIA Centrum Zabiegowe Dobra,</w:t>
      </w:r>
      <w:r w:rsidRPr="00194A42">
        <w:rPr>
          <w:rFonts w:cstheme="minorHAnsi"/>
          <w:sz w:val="24"/>
          <w:szCs w:val="24"/>
        </w:rPr>
        <w:t xml:space="preserve"> ul. Poziomkowa 5b, 72-003 Dobra </w:t>
      </w:r>
      <w:r w:rsidRPr="000D3670">
        <w:rPr>
          <w:rFonts w:eastAsia="Calibri" w:cstheme="minorHAnsi"/>
          <w:sz w:val="24"/>
          <w:szCs w:val="24"/>
        </w:rPr>
        <w:t>- liczba łóżek – 7.</w:t>
      </w:r>
    </w:p>
    <w:p w14:paraId="6FEC5010" w14:textId="77777777" w:rsidR="000B4D72" w:rsidRPr="000D3670" w:rsidRDefault="000B4D72" w:rsidP="00597239">
      <w:pPr>
        <w:spacing w:after="0" w:line="276" w:lineRule="auto"/>
        <w:rPr>
          <w:rFonts w:cstheme="minorHAnsi"/>
          <w:sz w:val="24"/>
          <w:szCs w:val="24"/>
        </w:rPr>
      </w:pPr>
      <w:r w:rsidRPr="000D3670">
        <w:rPr>
          <w:rFonts w:cstheme="minorHAnsi"/>
          <w:sz w:val="24"/>
          <w:szCs w:val="24"/>
        </w:rPr>
        <w:t>oraz</w:t>
      </w:r>
      <w:r w:rsidRPr="00985184">
        <w:rPr>
          <w:rFonts w:cstheme="minorHAnsi"/>
          <w:color w:val="000000" w:themeColor="text1"/>
          <w:sz w:val="24"/>
          <w:szCs w:val="24"/>
        </w:rPr>
        <w:t xml:space="preserve"> 5 </w:t>
      </w:r>
      <w:r w:rsidRPr="000D3670">
        <w:rPr>
          <w:rFonts w:cstheme="minorHAnsi"/>
          <w:sz w:val="24"/>
          <w:szCs w:val="24"/>
        </w:rPr>
        <w:t>szpitali uzdrowiskowych:</w:t>
      </w:r>
    </w:p>
    <w:p w14:paraId="57C863BB" w14:textId="77777777" w:rsidR="000B4D72" w:rsidRPr="000D3670" w:rsidRDefault="000B4D72" w:rsidP="00597239">
      <w:pPr>
        <w:pStyle w:val="Akapitzlist"/>
        <w:numPr>
          <w:ilvl w:val="0"/>
          <w:numId w:val="20"/>
        </w:numPr>
        <w:spacing w:after="0" w:line="276" w:lineRule="auto"/>
        <w:ind w:left="709" w:hanging="425"/>
        <w:contextualSpacing w:val="0"/>
        <w:rPr>
          <w:rFonts w:cstheme="minorHAnsi"/>
          <w:b/>
          <w:bCs/>
          <w:sz w:val="24"/>
          <w:szCs w:val="24"/>
        </w:rPr>
      </w:pPr>
      <w:r w:rsidRPr="000D3670">
        <w:rPr>
          <w:rFonts w:eastAsia="Calibri" w:cstheme="minorHAnsi"/>
          <w:sz w:val="24"/>
          <w:szCs w:val="24"/>
        </w:rPr>
        <w:lastRenderedPageBreak/>
        <w:t>Szpital Uzdrowiskowy „Bałtyk”, ul. Juliusza Słowackiego 23, 72-600 Świnoujście - liczba łóżek – 87</w:t>
      </w:r>
      <w:r>
        <w:rPr>
          <w:rFonts w:eastAsia="Calibri" w:cstheme="minorHAnsi"/>
          <w:sz w:val="24"/>
          <w:szCs w:val="24"/>
        </w:rPr>
        <w:t>,</w:t>
      </w:r>
    </w:p>
    <w:p w14:paraId="3DA6E8C2" w14:textId="2429F453" w:rsidR="000B4D72" w:rsidRPr="000D3670" w:rsidRDefault="000B4D72" w:rsidP="00597239">
      <w:pPr>
        <w:pStyle w:val="Akapitzlist"/>
        <w:numPr>
          <w:ilvl w:val="0"/>
          <w:numId w:val="20"/>
        </w:numPr>
        <w:spacing w:after="0" w:line="276" w:lineRule="auto"/>
        <w:ind w:left="709" w:hanging="425"/>
        <w:contextualSpacing w:val="0"/>
        <w:rPr>
          <w:rFonts w:cstheme="minorHAnsi"/>
          <w:sz w:val="24"/>
          <w:szCs w:val="24"/>
        </w:rPr>
      </w:pPr>
      <w:r w:rsidRPr="000D3670">
        <w:rPr>
          <w:rFonts w:cstheme="minorHAnsi"/>
          <w:sz w:val="24"/>
          <w:szCs w:val="24"/>
        </w:rPr>
        <w:t>Zakład Leczniczy Uzdrowisko Kamień Pomorski - Szpital Uzdrowiskowy "Mieszko", ul.</w:t>
      </w:r>
      <w:r w:rsidR="00C545E2">
        <w:rPr>
          <w:rFonts w:cstheme="minorHAnsi"/>
          <w:sz w:val="24"/>
          <w:szCs w:val="24"/>
        </w:rPr>
        <w:t> </w:t>
      </w:r>
      <w:r w:rsidRPr="000D3670">
        <w:rPr>
          <w:rFonts w:cstheme="minorHAnsi"/>
          <w:sz w:val="24"/>
          <w:szCs w:val="24"/>
        </w:rPr>
        <w:t xml:space="preserve">Wojska Polskiego nr 2, 72-400 Kamień Pomorski </w:t>
      </w:r>
      <w:r w:rsidRPr="000D3670">
        <w:rPr>
          <w:rFonts w:eastAsia="Calibri" w:cstheme="minorHAnsi"/>
          <w:sz w:val="24"/>
          <w:szCs w:val="24"/>
        </w:rPr>
        <w:t>- liczba łóżek – 104</w:t>
      </w:r>
      <w:r>
        <w:rPr>
          <w:rFonts w:cstheme="minorHAnsi"/>
          <w:sz w:val="24"/>
          <w:szCs w:val="24"/>
        </w:rPr>
        <w:t>,</w:t>
      </w:r>
    </w:p>
    <w:p w14:paraId="473C1C90" w14:textId="77777777" w:rsidR="000B4D72" w:rsidRPr="000D3670" w:rsidRDefault="000B4D72" w:rsidP="00597239">
      <w:pPr>
        <w:pStyle w:val="Akapitzlist"/>
        <w:numPr>
          <w:ilvl w:val="0"/>
          <w:numId w:val="20"/>
        </w:numPr>
        <w:spacing w:after="0" w:line="276" w:lineRule="auto"/>
        <w:ind w:left="709" w:hanging="425"/>
        <w:contextualSpacing w:val="0"/>
        <w:rPr>
          <w:rFonts w:cstheme="minorHAnsi"/>
          <w:sz w:val="24"/>
          <w:szCs w:val="24"/>
        </w:rPr>
      </w:pPr>
      <w:r w:rsidRPr="000D3670">
        <w:rPr>
          <w:rFonts w:cstheme="minorHAnsi"/>
          <w:sz w:val="24"/>
          <w:szCs w:val="24"/>
        </w:rPr>
        <w:t xml:space="preserve">Szpital Uzdrowiskowy "Willa Fortuna" Sp. z o.o., ul. Rafińskiego 3, </w:t>
      </w:r>
      <w:r w:rsidRPr="000D3670">
        <w:rPr>
          <w:rFonts w:eastAsia="Calibri" w:cstheme="minorHAnsi"/>
          <w:sz w:val="24"/>
          <w:szCs w:val="24"/>
        </w:rPr>
        <w:t>78-100</w:t>
      </w:r>
      <w:r w:rsidRPr="000D3670">
        <w:rPr>
          <w:rFonts w:cstheme="minorHAnsi"/>
          <w:sz w:val="24"/>
          <w:szCs w:val="24"/>
        </w:rPr>
        <w:t xml:space="preserve"> Kołobrzeg </w:t>
      </w:r>
      <w:r w:rsidRPr="000D3670">
        <w:rPr>
          <w:rFonts w:eastAsia="Calibri" w:cstheme="minorHAnsi"/>
          <w:sz w:val="24"/>
          <w:szCs w:val="24"/>
        </w:rPr>
        <w:t>- liczba łóżek – 111</w:t>
      </w:r>
      <w:r>
        <w:rPr>
          <w:rFonts w:cstheme="minorHAnsi"/>
          <w:sz w:val="24"/>
          <w:szCs w:val="24"/>
        </w:rPr>
        <w:t>,</w:t>
      </w:r>
    </w:p>
    <w:p w14:paraId="6820A217" w14:textId="77777777" w:rsidR="000B4D72" w:rsidRPr="000D3670" w:rsidRDefault="000B4D72" w:rsidP="00597239">
      <w:pPr>
        <w:pStyle w:val="Akapitzlist"/>
        <w:numPr>
          <w:ilvl w:val="0"/>
          <w:numId w:val="20"/>
        </w:numPr>
        <w:spacing w:after="0" w:line="276" w:lineRule="auto"/>
        <w:ind w:left="709" w:hanging="425"/>
        <w:contextualSpacing w:val="0"/>
        <w:rPr>
          <w:rFonts w:cstheme="minorHAnsi"/>
          <w:sz w:val="24"/>
          <w:szCs w:val="24"/>
        </w:rPr>
      </w:pPr>
      <w:r w:rsidRPr="000D3670">
        <w:rPr>
          <w:rFonts w:cstheme="minorHAnsi"/>
          <w:sz w:val="24"/>
          <w:szCs w:val="24"/>
        </w:rPr>
        <w:t xml:space="preserve">Zakład Lecznictwa GRYF - Szpital Uzdrowiskowy Gryf, ul. Solankowa 8, </w:t>
      </w:r>
      <w:r w:rsidRPr="000D3670">
        <w:rPr>
          <w:rFonts w:eastAsia="Calibri" w:cstheme="minorHAnsi"/>
          <w:sz w:val="24"/>
          <w:szCs w:val="24"/>
        </w:rPr>
        <w:t>78-320</w:t>
      </w:r>
      <w:r w:rsidRPr="000D3670">
        <w:rPr>
          <w:rFonts w:cstheme="minorHAnsi"/>
          <w:sz w:val="24"/>
          <w:szCs w:val="24"/>
        </w:rPr>
        <w:t xml:space="preserve"> Połczyn-Zdrój </w:t>
      </w:r>
      <w:r w:rsidRPr="000D3670">
        <w:rPr>
          <w:rFonts w:eastAsia="Calibri" w:cstheme="minorHAnsi"/>
          <w:sz w:val="24"/>
          <w:szCs w:val="24"/>
        </w:rPr>
        <w:t>- liczba łóżek – 122</w:t>
      </w:r>
      <w:r>
        <w:rPr>
          <w:rFonts w:cstheme="minorHAnsi"/>
          <w:sz w:val="24"/>
          <w:szCs w:val="24"/>
        </w:rPr>
        <w:t>,</w:t>
      </w:r>
    </w:p>
    <w:p w14:paraId="46F74E22" w14:textId="77777777" w:rsidR="000B4D72" w:rsidRDefault="000B4D72" w:rsidP="00597239">
      <w:pPr>
        <w:pStyle w:val="Akapitzlist"/>
        <w:numPr>
          <w:ilvl w:val="0"/>
          <w:numId w:val="20"/>
        </w:numPr>
        <w:spacing w:after="0" w:line="276" w:lineRule="auto"/>
        <w:ind w:left="709" w:hanging="425"/>
        <w:contextualSpacing w:val="0"/>
        <w:rPr>
          <w:rFonts w:cstheme="minorHAnsi"/>
          <w:sz w:val="24"/>
          <w:szCs w:val="24"/>
        </w:rPr>
      </w:pPr>
      <w:r w:rsidRPr="000D3670">
        <w:rPr>
          <w:rFonts w:cstheme="minorHAnsi"/>
          <w:sz w:val="24"/>
          <w:szCs w:val="24"/>
        </w:rPr>
        <w:t xml:space="preserve">Zakład Lecznictwa PODHALE - Szpital Uzdrowiskowy Podhale, ul. Solankowa 6, </w:t>
      </w:r>
      <w:r w:rsidRPr="000D3670">
        <w:rPr>
          <w:rFonts w:eastAsia="Calibri" w:cstheme="minorHAnsi"/>
          <w:sz w:val="24"/>
          <w:szCs w:val="24"/>
        </w:rPr>
        <w:t xml:space="preserve">78-320 </w:t>
      </w:r>
      <w:r w:rsidRPr="000D3670">
        <w:rPr>
          <w:rFonts w:cstheme="minorHAnsi"/>
          <w:sz w:val="24"/>
          <w:szCs w:val="24"/>
        </w:rPr>
        <w:t xml:space="preserve">Połczyn-Zdrój </w:t>
      </w:r>
      <w:r w:rsidRPr="000D3670">
        <w:rPr>
          <w:rFonts w:eastAsia="Calibri" w:cstheme="minorHAnsi"/>
          <w:sz w:val="24"/>
          <w:szCs w:val="24"/>
        </w:rPr>
        <w:t>- liczba łóżek – 53</w:t>
      </w:r>
      <w:r w:rsidRPr="000D3670">
        <w:rPr>
          <w:rFonts w:cstheme="minorHAnsi"/>
          <w:sz w:val="24"/>
          <w:szCs w:val="24"/>
        </w:rPr>
        <w:t>.</w:t>
      </w:r>
    </w:p>
    <w:p w14:paraId="4469D513" w14:textId="77777777" w:rsidR="0063333E" w:rsidRPr="00C545E2" w:rsidRDefault="0063333E" w:rsidP="00597239">
      <w:pPr>
        <w:spacing w:after="0" w:line="276" w:lineRule="auto"/>
        <w:ind w:left="284"/>
        <w:rPr>
          <w:rFonts w:cstheme="minorHAnsi"/>
          <w:sz w:val="24"/>
          <w:szCs w:val="24"/>
        </w:rPr>
      </w:pPr>
    </w:p>
    <w:p w14:paraId="187D38E8" w14:textId="152F0BD7" w:rsidR="000B4D72" w:rsidRPr="000D3670" w:rsidRDefault="000B4D72" w:rsidP="00597239">
      <w:pPr>
        <w:pStyle w:val="Nagwek3"/>
        <w:numPr>
          <w:ilvl w:val="1"/>
          <w:numId w:val="34"/>
        </w:numPr>
        <w:spacing w:before="0" w:after="0"/>
        <w:ind w:left="568" w:hanging="284"/>
      </w:pPr>
      <w:bookmarkStart w:id="206" w:name="_Toc192678722"/>
      <w:bookmarkStart w:id="207" w:name="_Toc193694461"/>
      <w:bookmarkStart w:id="208" w:name="_Toc194059800"/>
      <w:bookmarkEnd w:id="198"/>
      <w:bookmarkEnd w:id="200"/>
      <w:bookmarkEnd w:id="205"/>
      <w:r w:rsidRPr="000D3670">
        <w:t>Infrastruktura obiektów, ich stan techniczny i funkcjonalność</w:t>
      </w:r>
      <w:bookmarkEnd w:id="206"/>
      <w:bookmarkEnd w:id="207"/>
      <w:bookmarkEnd w:id="208"/>
    </w:p>
    <w:p w14:paraId="16FCEBDC" w14:textId="77777777" w:rsidR="000B4D72" w:rsidRPr="000D3670" w:rsidRDefault="000B4D72" w:rsidP="00597239">
      <w:pPr>
        <w:spacing w:after="0" w:line="276" w:lineRule="auto"/>
        <w:rPr>
          <w:rFonts w:eastAsia="Times New Roman" w:cstheme="minorHAnsi"/>
          <w:sz w:val="24"/>
          <w:szCs w:val="24"/>
          <w:lang w:eastAsia="pl-PL"/>
        </w:rPr>
      </w:pPr>
      <w:r w:rsidRPr="000D3670">
        <w:rPr>
          <w:rFonts w:eastAsia="Times New Roman" w:cstheme="minorHAnsi"/>
          <w:sz w:val="24"/>
          <w:szCs w:val="24"/>
          <w:lang w:eastAsia="pl-PL"/>
        </w:rPr>
        <w:t xml:space="preserve">W 2024 roku </w:t>
      </w:r>
      <w:r>
        <w:rPr>
          <w:rFonts w:eastAsia="Times New Roman" w:cstheme="minorHAnsi"/>
          <w:sz w:val="24"/>
          <w:szCs w:val="24"/>
          <w:lang w:eastAsia="pl-PL"/>
        </w:rPr>
        <w:t xml:space="preserve">prowadzono </w:t>
      </w:r>
      <w:r w:rsidRPr="000D3670">
        <w:rPr>
          <w:rFonts w:eastAsia="Times New Roman" w:cstheme="minorHAnsi"/>
          <w:sz w:val="24"/>
          <w:szCs w:val="24"/>
          <w:lang w:eastAsia="pl-PL"/>
        </w:rPr>
        <w:t xml:space="preserve">nadzór bieżący nad szpitalami, w tym </w:t>
      </w:r>
      <w:r w:rsidRPr="000D3670">
        <w:rPr>
          <w:rFonts w:eastAsia="Calibri" w:cstheme="minorHAnsi"/>
          <w:sz w:val="24"/>
          <w:szCs w:val="24"/>
          <w:lang w:eastAsia="pl-PL"/>
        </w:rPr>
        <w:t>egzekwowano spełnienie wymagań jakim powinny odpowiadać pomieszczenia i urządzenia podmiotu wykonującego działalność leczniczą</w:t>
      </w:r>
      <w:r>
        <w:rPr>
          <w:rFonts w:eastAsia="Calibri" w:cstheme="minorHAnsi"/>
          <w:sz w:val="24"/>
          <w:szCs w:val="24"/>
          <w:lang w:eastAsia="pl-PL"/>
        </w:rPr>
        <w:t>.</w:t>
      </w:r>
      <w:r w:rsidRPr="000D3670">
        <w:rPr>
          <w:rFonts w:eastAsia="Calibri" w:cstheme="minorHAnsi"/>
          <w:sz w:val="24"/>
          <w:szCs w:val="24"/>
          <w:lang w:eastAsia="pl-PL"/>
        </w:rPr>
        <w:t xml:space="preserve"> </w:t>
      </w:r>
      <w:r w:rsidRPr="000D3670">
        <w:rPr>
          <w:rFonts w:eastAsia="Times New Roman" w:cstheme="minorHAnsi"/>
          <w:sz w:val="24"/>
          <w:szCs w:val="24"/>
          <w:lang w:eastAsia="pl-PL"/>
        </w:rPr>
        <w:t xml:space="preserve">Część podmiotów </w:t>
      </w:r>
      <w:r>
        <w:rPr>
          <w:rFonts w:eastAsia="Times New Roman" w:cstheme="minorHAnsi"/>
          <w:sz w:val="24"/>
          <w:szCs w:val="24"/>
          <w:lang w:eastAsia="pl-PL"/>
        </w:rPr>
        <w:t>prowadziła</w:t>
      </w:r>
      <w:r w:rsidRPr="000D3670">
        <w:rPr>
          <w:rFonts w:eastAsia="Times New Roman" w:cstheme="minorHAnsi"/>
          <w:sz w:val="24"/>
          <w:szCs w:val="24"/>
          <w:lang w:eastAsia="pl-PL"/>
        </w:rPr>
        <w:t xml:space="preserve"> </w:t>
      </w:r>
      <w:r>
        <w:rPr>
          <w:rFonts w:eastAsia="Times New Roman" w:cstheme="minorHAnsi"/>
          <w:sz w:val="24"/>
          <w:szCs w:val="24"/>
          <w:lang w:eastAsia="pl-PL"/>
        </w:rPr>
        <w:t>prace remontowe</w:t>
      </w:r>
      <w:r w:rsidRPr="000D3670">
        <w:rPr>
          <w:rFonts w:eastAsia="Times New Roman" w:cstheme="minorHAnsi"/>
          <w:sz w:val="24"/>
          <w:szCs w:val="24"/>
          <w:lang w:eastAsia="pl-PL"/>
        </w:rPr>
        <w:t xml:space="preserve"> mając</w:t>
      </w:r>
      <w:r>
        <w:rPr>
          <w:rFonts w:eastAsia="Times New Roman" w:cstheme="minorHAnsi"/>
          <w:sz w:val="24"/>
          <w:szCs w:val="24"/>
          <w:lang w:eastAsia="pl-PL"/>
        </w:rPr>
        <w:t>e</w:t>
      </w:r>
      <w:r w:rsidRPr="000D3670">
        <w:rPr>
          <w:rFonts w:eastAsia="Times New Roman" w:cstheme="minorHAnsi"/>
          <w:sz w:val="24"/>
          <w:szCs w:val="24"/>
          <w:lang w:eastAsia="pl-PL"/>
        </w:rPr>
        <w:t xml:space="preserve"> na celu dostosowanie obiektów do właściwego stanu sanitarno-technicznego, prowadzono także remonty pomieszczeń szpitali wynikające z reorganizacji niektórych oddziałów oraz nałożonych decyzjami administracyjnymi obowiązków.</w:t>
      </w:r>
    </w:p>
    <w:p w14:paraId="77818D78" w14:textId="77777777" w:rsidR="0063333E" w:rsidRDefault="0063333E" w:rsidP="00597239">
      <w:pPr>
        <w:spacing w:after="0" w:line="276" w:lineRule="auto"/>
        <w:rPr>
          <w:rFonts w:ascii="Calibri" w:eastAsia="Times New Roman" w:hAnsi="Calibri" w:cs="Calibri"/>
          <w:sz w:val="24"/>
          <w:szCs w:val="24"/>
        </w:rPr>
      </w:pPr>
    </w:p>
    <w:p w14:paraId="7FF106A6" w14:textId="0903F2AD" w:rsidR="000B4D72" w:rsidRPr="000D3670" w:rsidRDefault="000B4D72" w:rsidP="00597239">
      <w:pPr>
        <w:spacing w:after="0" w:line="276" w:lineRule="auto"/>
        <w:rPr>
          <w:rFonts w:ascii="Calibri" w:eastAsia="Times New Roman" w:hAnsi="Calibri" w:cs="Calibri"/>
          <w:sz w:val="24"/>
          <w:szCs w:val="24"/>
        </w:rPr>
      </w:pPr>
      <w:r w:rsidRPr="000D3670">
        <w:rPr>
          <w:rFonts w:ascii="Calibri" w:eastAsia="Times New Roman" w:hAnsi="Calibri" w:cs="Calibri"/>
          <w:sz w:val="24"/>
          <w:szCs w:val="24"/>
        </w:rPr>
        <w:t>Prace remontowo-modernizacyjne i adaptacyjne, które wpłynęły na poprawę stanu technicznego i funkcjonalnego szpitali, przeprowadzono m.in. w</w:t>
      </w:r>
      <w:r>
        <w:rPr>
          <w:rFonts w:ascii="Calibri" w:eastAsia="Times New Roman" w:hAnsi="Calibri" w:cs="Calibri"/>
          <w:sz w:val="24"/>
          <w:szCs w:val="24"/>
        </w:rPr>
        <w:t>:</w:t>
      </w:r>
      <w:r w:rsidRPr="000D3670">
        <w:rPr>
          <w:rFonts w:ascii="Calibri" w:eastAsia="Times New Roman" w:hAnsi="Calibri" w:cs="Calibri"/>
          <w:sz w:val="24"/>
          <w:szCs w:val="24"/>
        </w:rPr>
        <w:t xml:space="preserve"> </w:t>
      </w:r>
    </w:p>
    <w:p w14:paraId="5C990331" w14:textId="77777777" w:rsidR="000B4D72" w:rsidRPr="00037C8A" w:rsidRDefault="000B4D72" w:rsidP="00597239">
      <w:pPr>
        <w:pStyle w:val="Akapitzlist"/>
        <w:numPr>
          <w:ilvl w:val="0"/>
          <w:numId w:val="27"/>
        </w:numPr>
        <w:spacing w:after="0" w:line="276" w:lineRule="auto"/>
        <w:rPr>
          <w:rFonts w:eastAsia="Times New Roman" w:cstheme="minorHAnsi"/>
          <w:sz w:val="24"/>
          <w:szCs w:val="24"/>
          <w:lang w:eastAsia="pl-PL"/>
        </w:rPr>
      </w:pPr>
      <w:r w:rsidRPr="00037C8A">
        <w:rPr>
          <w:rFonts w:ascii="Calibri" w:hAnsi="Calibri" w:cs="Calibri"/>
          <w:b/>
          <w:bCs/>
          <w:sz w:val="24"/>
          <w:szCs w:val="24"/>
        </w:rPr>
        <w:t>SPZOZ Choszczno</w:t>
      </w:r>
      <w:r w:rsidRPr="00037C8A">
        <w:rPr>
          <w:rFonts w:ascii="Calibri" w:hAnsi="Calibri" w:cs="Calibri"/>
          <w:sz w:val="24"/>
          <w:szCs w:val="24"/>
        </w:rPr>
        <w:t xml:space="preserve"> –prace remontowe na Oddziale Rehabilitacji, Internistyczno- Kardiologicznym, Pediatrycznym, Magazynie Bielizny oraz Przychodni,</w:t>
      </w:r>
    </w:p>
    <w:p w14:paraId="751C566C" w14:textId="77777777" w:rsidR="000B4D72" w:rsidRPr="00037C8A" w:rsidRDefault="000B4D72" w:rsidP="00597239">
      <w:pPr>
        <w:pStyle w:val="Akapitzlist"/>
        <w:numPr>
          <w:ilvl w:val="0"/>
          <w:numId w:val="25"/>
        </w:numPr>
        <w:spacing w:after="0" w:line="276" w:lineRule="auto"/>
        <w:ind w:left="714" w:hanging="357"/>
        <w:rPr>
          <w:rFonts w:ascii="Calibri" w:hAnsi="Calibri" w:cs="Calibri"/>
          <w:sz w:val="24"/>
          <w:szCs w:val="24"/>
        </w:rPr>
      </w:pPr>
      <w:r w:rsidRPr="00037C8A">
        <w:rPr>
          <w:rFonts w:ascii="Calibri" w:hAnsi="Calibri" w:cs="Calibri"/>
          <w:b/>
          <w:bCs/>
          <w:kern w:val="32"/>
          <w:sz w:val="24"/>
          <w:szCs w:val="24"/>
          <w:lang w:eastAsia="ar-SA"/>
        </w:rPr>
        <w:t xml:space="preserve">Szpital im. Matki Teresy z Kalkuty w Drawsku Pomorskim </w:t>
      </w:r>
      <w:r w:rsidRPr="00037C8A">
        <w:rPr>
          <w:rFonts w:ascii="Calibri" w:hAnsi="Calibri" w:cs="Calibri"/>
          <w:sz w:val="24"/>
          <w:szCs w:val="24"/>
        </w:rPr>
        <w:t xml:space="preserve">- </w:t>
      </w:r>
      <w:r w:rsidRPr="00037C8A">
        <w:rPr>
          <w:rFonts w:ascii="Calibri" w:hAnsi="Calibri" w:cs="Calibri"/>
          <w:bCs/>
          <w:kern w:val="32"/>
          <w:sz w:val="24"/>
          <w:szCs w:val="24"/>
          <w:lang w:eastAsia="ar-SA"/>
        </w:rPr>
        <w:t>od września 2024 r. trwają prace nad rozbudową i modernizacją szpitala. W 2024 r. wykonano prace rozbiórkowe (łącznik między budynkami, podjazd dla karetek) oraz usunięto kolizje sieci i instalacji podziemnych z nową infrastrukturą</w:t>
      </w:r>
      <w:r w:rsidRPr="00037C8A">
        <w:rPr>
          <w:rFonts w:ascii="Calibri" w:hAnsi="Calibri" w:cs="Calibri"/>
          <w:sz w:val="24"/>
          <w:szCs w:val="24"/>
        </w:rPr>
        <w:t>,</w:t>
      </w:r>
    </w:p>
    <w:p w14:paraId="5B2C7574" w14:textId="77777777" w:rsidR="000B4D72" w:rsidRPr="00037C8A" w:rsidRDefault="000B4D72" w:rsidP="00597239">
      <w:pPr>
        <w:pStyle w:val="Akapitzlist"/>
        <w:numPr>
          <w:ilvl w:val="0"/>
          <w:numId w:val="25"/>
        </w:numPr>
        <w:suppressAutoHyphens/>
        <w:spacing w:after="0" w:line="276" w:lineRule="auto"/>
        <w:ind w:left="714" w:hanging="357"/>
        <w:rPr>
          <w:rFonts w:ascii="Calibri" w:hAnsi="Calibri" w:cs="Calibri"/>
          <w:sz w:val="24"/>
          <w:szCs w:val="24"/>
          <w:lang w:eastAsia="zh-CN"/>
        </w:rPr>
      </w:pPr>
      <w:r w:rsidRPr="00037C8A">
        <w:rPr>
          <w:rFonts w:ascii="Calibri" w:hAnsi="Calibri" w:cs="Calibri"/>
          <w:b/>
          <w:bCs/>
          <w:kern w:val="32"/>
          <w:sz w:val="24"/>
          <w:szCs w:val="24"/>
          <w:lang w:eastAsia="ar-SA"/>
        </w:rPr>
        <w:t>SP ZOZ Szpital Specjalistyczny MSWiA w Złocieńcu</w:t>
      </w:r>
      <w:r w:rsidRPr="00037C8A">
        <w:rPr>
          <w:rFonts w:ascii="Calibri" w:hAnsi="Calibri" w:cs="Calibri"/>
          <w:sz w:val="24"/>
          <w:szCs w:val="24"/>
        </w:rPr>
        <w:t xml:space="preserve"> - modernizacja budynku Oddziału Leczenia Zaburzeń Nerwicowych, w ramach której ocieplono budynek, wykonano remont elewacji i dachu, pomieszczeń wewnętrznych, wymianę instalacji i urządzeń, modernizację wentylacji, instalacji CO i ciepłej wody użytkowej oraz wymianę oświetlenia,</w:t>
      </w:r>
    </w:p>
    <w:p w14:paraId="53A2C5AC" w14:textId="77777777" w:rsidR="000B4D72" w:rsidRPr="00037C8A" w:rsidRDefault="000B4D72" w:rsidP="00597239">
      <w:pPr>
        <w:pStyle w:val="Akapitzlist"/>
        <w:numPr>
          <w:ilvl w:val="0"/>
          <w:numId w:val="26"/>
        </w:numPr>
        <w:suppressAutoHyphens/>
        <w:spacing w:after="0" w:line="276" w:lineRule="auto"/>
        <w:ind w:left="714" w:hanging="357"/>
        <w:rPr>
          <w:rFonts w:ascii="Calibri" w:hAnsi="Calibri" w:cs="Calibri"/>
          <w:sz w:val="24"/>
          <w:szCs w:val="24"/>
          <w:lang w:eastAsia="zh-CN"/>
        </w:rPr>
      </w:pPr>
      <w:r w:rsidRPr="00037C8A">
        <w:rPr>
          <w:rFonts w:ascii="Calibri" w:hAnsi="Calibri" w:cs="Calibri"/>
          <w:b/>
          <w:iCs/>
          <w:sz w:val="24"/>
          <w:szCs w:val="24"/>
        </w:rPr>
        <w:t xml:space="preserve">Szpital Wojewódzki im. M. Kopernika w Koszalinie - </w:t>
      </w:r>
      <w:r w:rsidRPr="00037C8A">
        <w:rPr>
          <w:rFonts w:ascii="Calibri" w:eastAsia="Arial" w:hAnsi="Calibri" w:cs="Calibri"/>
          <w:sz w:val="24"/>
          <w:szCs w:val="24"/>
        </w:rPr>
        <w:t>rozpoczęto modernizację Szpitalnego Oddziału Ratunkowego,</w:t>
      </w:r>
    </w:p>
    <w:p w14:paraId="26862BDB" w14:textId="77777777" w:rsidR="000B4D72" w:rsidRPr="00037C8A" w:rsidRDefault="000B4D72" w:rsidP="00597239">
      <w:pPr>
        <w:numPr>
          <w:ilvl w:val="0"/>
          <w:numId w:val="25"/>
        </w:numPr>
        <w:suppressAutoHyphens/>
        <w:spacing w:after="0" w:line="276" w:lineRule="auto"/>
        <w:ind w:left="714" w:hanging="357"/>
        <w:rPr>
          <w:rFonts w:ascii="Calibri" w:hAnsi="Calibri" w:cs="Calibri"/>
          <w:sz w:val="24"/>
          <w:szCs w:val="24"/>
        </w:rPr>
      </w:pPr>
      <w:r w:rsidRPr="00037C8A">
        <w:rPr>
          <w:rFonts w:ascii="Calibri" w:hAnsi="Calibri" w:cs="Calibri"/>
          <w:b/>
          <w:bCs/>
          <w:sz w:val="24"/>
          <w:szCs w:val="24"/>
        </w:rPr>
        <w:t xml:space="preserve">Szpital w Dębnie Sp. z o.o. </w:t>
      </w:r>
      <w:r w:rsidRPr="00037C8A">
        <w:rPr>
          <w:rFonts w:ascii="Calibri" w:hAnsi="Calibri" w:cs="Calibri"/>
          <w:sz w:val="24"/>
          <w:szCs w:val="24"/>
        </w:rPr>
        <w:t xml:space="preserve">-rozpoczęto kompleksowy remont Oddziału Chirurgicznego, </w:t>
      </w:r>
    </w:p>
    <w:p w14:paraId="044D3845" w14:textId="3E25926E" w:rsidR="000B4D72" w:rsidRPr="00037C8A" w:rsidRDefault="000B4D72" w:rsidP="00597239">
      <w:pPr>
        <w:pStyle w:val="Akapitzlist"/>
        <w:numPr>
          <w:ilvl w:val="0"/>
          <w:numId w:val="25"/>
        </w:numPr>
        <w:suppressAutoHyphens/>
        <w:spacing w:after="0" w:line="276" w:lineRule="auto"/>
        <w:ind w:left="714" w:hanging="357"/>
        <w:rPr>
          <w:sz w:val="24"/>
          <w:szCs w:val="24"/>
          <w:lang w:eastAsia="zh-CN"/>
        </w:rPr>
      </w:pPr>
      <w:bookmarkStart w:id="209" w:name="_Hlk192145499"/>
      <w:r w:rsidRPr="00037C8A">
        <w:rPr>
          <w:rFonts w:ascii="Calibri" w:hAnsi="Calibri" w:cs="Calibri"/>
          <w:b/>
          <w:sz w:val="24"/>
          <w:szCs w:val="24"/>
        </w:rPr>
        <w:t xml:space="preserve">Uniwersytecki Szpital Kliniczny </w:t>
      </w:r>
      <w:bookmarkEnd w:id="209"/>
      <w:r w:rsidRPr="00037C8A">
        <w:rPr>
          <w:rFonts w:ascii="Calibri" w:hAnsi="Calibri" w:cs="Calibri"/>
          <w:b/>
          <w:sz w:val="24"/>
          <w:szCs w:val="24"/>
        </w:rPr>
        <w:t>Nr 1 im. prof. Tadeusza Sokołowskiego Pomorskiego Uniwersytetu Medycznego</w:t>
      </w:r>
      <w:r w:rsidRPr="00037C8A">
        <w:rPr>
          <w:rFonts w:ascii="Calibri" w:hAnsi="Calibri" w:cs="Calibri"/>
          <w:sz w:val="24"/>
          <w:szCs w:val="24"/>
        </w:rPr>
        <w:t xml:space="preserve"> - </w:t>
      </w:r>
      <w:r w:rsidRPr="00037C8A">
        <w:rPr>
          <w:rFonts w:ascii="Calibri" w:hAnsi="Calibri" w:cs="Calibri"/>
          <w:bCs/>
          <w:sz w:val="24"/>
          <w:szCs w:val="24"/>
        </w:rPr>
        <w:t>przebudowano część I piętra budynków A, B, C Kliniki Reumatologii, Chorób Wewnętrznych i Geriatrii oraz budynku głównego w segmencie C, G i H na potrzeby Kliniki Chirurgii Szczękowo-Twarzowej i Kliniki Neurochirurgii i</w:t>
      </w:r>
      <w:r w:rsidR="007B1BEB">
        <w:rPr>
          <w:rFonts w:ascii="Calibri" w:hAnsi="Calibri" w:cs="Calibri"/>
          <w:bCs/>
          <w:sz w:val="24"/>
          <w:szCs w:val="24"/>
        </w:rPr>
        <w:t> </w:t>
      </w:r>
      <w:r w:rsidRPr="00037C8A">
        <w:rPr>
          <w:rFonts w:ascii="Calibri" w:hAnsi="Calibri" w:cs="Calibri"/>
          <w:bCs/>
          <w:sz w:val="24"/>
          <w:szCs w:val="24"/>
        </w:rPr>
        <w:t>Neurochirurgii Dziecięcej</w:t>
      </w:r>
      <w:r w:rsidRPr="00037C8A">
        <w:rPr>
          <w:rFonts w:ascii="Calibri" w:hAnsi="Calibri" w:cs="Calibri"/>
          <w:sz w:val="24"/>
          <w:szCs w:val="24"/>
        </w:rPr>
        <w:t>,</w:t>
      </w:r>
    </w:p>
    <w:p w14:paraId="21745C07" w14:textId="77777777" w:rsidR="000B4D72" w:rsidRPr="00037C8A" w:rsidRDefault="000B4D72" w:rsidP="00597239">
      <w:pPr>
        <w:numPr>
          <w:ilvl w:val="0"/>
          <w:numId w:val="25"/>
        </w:numPr>
        <w:suppressAutoHyphens/>
        <w:spacing w:after="0" w:line="276" w:lineRule="auto"/>
        <w:ind w:left="714" w:hanging="357"/>
        <w:rPr>
          <w:rFonts w:ascii="Calibri" w:hAnsi="Calibri" w:cs="Calibri"/>
          <w:sz w:val="24"/>
          <w:szCs w:val="24"/>
        </w:rPr>
      </w:pPr>
      <w:r w:rsidRPr="00037C8A">
        <w:rPr>
          <w:rFonts w:ascii="Calibri" w:hAnsi="Calibri" w:cs="Calibri"/>
          <w:b/>
          <w:sz w:val="24"/>
          <w:szCs w:val="24"/>
        </w:rPr>
        <w:lastRenderedPageBreak/>
        <w:t>Uniwersytecki Szpital Kliniczny</w:t>
      </w:r>
      <w:r w:rsidRPr="00037C8A">
        <w:rPr>
          <w:rFonts w:ascii="Calibri" w:hAnsi="Calibri" w:cs="Calibri"/>
          <w:b/>
          <w:bCs/>
          <w:sz w:val="24"/>
          <w:szCs w:val="24"/>
        </w:rPr>
        <w:t xml:space="preserve"> Nr 1 PUM w Policach - </w:t>
      </w:r>
      <w:r w:rsidRPr="00037C8A">
        <w:rPr>
          <w:rFonts w:ascii="Calibri" w:hAnsi="Calibri" w:cs="Calibri"/>
          <w:sz w:val="24"/>
          <w:szCs w:val="24"/>
        </w:rPr>
        <w:t>utworzono odrębną Pracownię Endoskopową,</w:t>
      </w:r>
    </w:p>
    <w:p w14:paraId="07FB2B6C" w14:textId="77777777" w:rsidR="000B4D72" w:rsidRPr="00443E66" w:rsidRDefault="000B4D72" w:rsidP="00597239">
      <w:pPr>
        <w:numPr>
          <w:ilvl w:val="0"/>
          <w:numId w:val="25"/>
        </w:numPr>
        <w:suppressAutoHyphens/>
        <w:spacing w:after="0" w:line="276" w:lineRule="auto"/>
        <w:ind w:left="714" w:hanging="357"/>
        <w:rPr>
          <w:rFonts w:ascii="Calibri" w:hAnsi="Calibri" w:cs="Calibri"/>
          <w:sz w:val="24"/>
          <w:szCs w:val="24"/>
        </w:rPr>
      </w:pPr>
      <w:r w:rsidRPr="00443E66">
        <w:rPr>
          <w:rFonts w:ascii="Calibri" w:hAnsi="Calibri" w:cs="Calibri"/>
          <w:b/>
          <w:sz w:val="24"/>
          <w:szCs w:val="24"/>
        </w:rPr>
        <w:t>Uniwersytecki Szpital Kliniczny</w:t>
      </w:r>
      <w:r w:rsidRPr="00443E66">
        <w:rPr>
          <w:rFonts w:ascii="Calibri" w:hAnsi="Calibri" w:cs="Calibri"/>
          <w:b/>
          <w:bCs/>
          <w:sz w:val="24"/>
          <w:szCs w:val="24"/>
        </w:rPr>
        <w:t xml:space="preserve"> Nr 2 PUM w Szczecinie-</w:t>
      </w:r>
      <w:r w:rsidRPr="00443E66">
        <w:rPr>
          <w:rFonts w:ascii="Calibri" w:hAnsi="Calibri" w:cs="Calibri"/>
          <w:sz w:val="24"/>
          <w:szCs w:val="24"/>
        </w:rPr>
        <w:t xml:space="preserve"> zmiana lokalizacji bloku położniczo- ginekologicznego, który przeniesiono do nowego budynku A2 (Izba Przyjęć Położnictwa i Ginekologii z Klinikami Ginekologii Operacyjnej i Ginekologicznej Dorosłych i Dziewcząt oraz Klinika Położnictwa i Ginekologii z Blokami Porodowymi, Klinika Patologii Noworodka i Poradnia Patologii Ciąży oraz Bank Mleka). Ponadto zmieniono lokalizację do budynku M Zakładu Diagnostyki Laboratoryjnej z Pracownią Immunologii,</w:t>
      </w:r>
    </w:p>
    <w:p w14:paraId="49BD8E86" w14:textId="77777777" w:rsidR="000B4D72" w:rsidRPr="00443E66" w:rsidRDefault="000B4D72" w:rsidP="00597239">
      <w:pPr>
        <w:pStyle w:val="Akapitzlist"/>
        <w:numPr>
          <w:ilvl w:val="0"/>
          <w:numId w:val="25"/>
        </w:numPr>
        <w:suppressAutoHyphens/>
        <w:spacing w:after="0" w:line="276" w:lineRule="auto"/>
        <w:ind w:left="714" w:hanging="357"/>
        <w:rPr>
          <w:rFonts w:ascii="Calibri" w:hAnsi="Calibri" w:cs="Calibri"/>
          <w:sz w:val="24"/>
          <w:szCs w:val="24"/>
          <w:lang w:eastAsia="zh-CN"/>
        </w:rPr>
      </w:pPr>
      <w:r w:rsidRPr="00443E66">
        <w:rPr>
          <w:rFonts w:ascii="Calibri" w:hAnsi="Calibri" w:cs="Calibri"/>
          <w:b/>
          <w:sz w:val="24"/>
          <w:szCs w:val="24"/>
        </w:rPr>
        <w:t xml:space="preserve">Samodzielny Publiczny Specjalistyczny Zakład Opieki Zdrowotnej „ZDROJE” </w:t>
      </w:r>
      <w:r w:rsidRPr="00443E66">
        <w:rPr>
          <w:rFonts w:ascii="Calibri" w:hAnsi="Calibri" w:cs="Calibri"/>
          <w:b/>
          <w:bCs/>
          <w:sz w:val="24"/>
          <w:szCs w:val="24"/>
        </w:rPr>
        <w:t>-</w:t>
      </w:r>
      <w:r w:rsidRPr="00443E66">
        <w:rPr>
          <w:rFonts w:ascii="Calibri" w:hAnsi="Calibri" w:cs="Calibri"/>
          <w:bCs/>
          <w:sz w:val="24"/>
          <w:szCs w:val="24"/>
        </w:rPr>
        <w:t>modernizacja Oddziału Psychiatrii Dzieci i Młodzieży w pawilonie 18 (w trakcie uzyskiwania pozwolenia na użytkowanie)</w:t>
      </w:r>
      <w:r w:rsidRPr="00443E66">
        <w:rPr>
          <w:rFonts w:ascii="Calibri" w:hAnsi="Calibri" w:cs="Calibri"/>
          <w:sz w:val="24"/>
          <w:szCs w:val="24"/>
        </w:rPr>
        <w:t>,</w:t>
      </w:r>
    </w:p>
    <w:p w14:paraId="08117EAE" w14:textId="77777777" w:rsidR="000B4D72" w:rsidRPr="00443E66" w:rsidRDefault="000B4D72" w:rsidP="00597239">
      <w:pPr>
        <w:pStyle w:val="Akapitzlist"/>
        <w:numPr>
          <w:ilvl w:val="0"/>
          <w:numId w:val="25"/>
        </w:numPr>
        <w:suppressAutoHyphens/>
        <w:spacing w:after="0" w:line="276" w:lineRule="auto"/>
        <w:ind w:left="714" w:hanging="357"/>
        <w:rPr>
          <w:rFonts w:ascii="Calibri" w:hAnsi="Calibri" w:cs="Calibri"/>
          <w:sz w:val="24"/>
          <w:szCs w:val="24"/>
          <w:lang w:eastAsia="zh-CN"/>
        </w:rPr>
      </w:pPr>
      <w:r w:rsidRPr="00443E66">
        <w:rPr>
          <w:rFonts w:ascii="Calibri" w:hAnsi="Calibri" w:cs="Calibri"/>
          <w:b/>
          <w:bCs/>
          <w:sz w:val="24"/>
          <w:szCs w:val="24"/>
        </w:rPr>
        <w:t>Samodzielny Publiczny Wojewódzki Szpital Zespolony w Szczecinie</w:t>
      </w:r>
      <w:r w:rsidRPr="00443E66">
        <w:rPr>
          <w:rFonts w:ascii="Calibri" w:hAnsi="Calibri" w:cs="Calibri"/>
          <w:sz w:val="24"/>
          <w:szCs w:val="24"/>
          <w:lang w:eastAsia="zh-CN"/>
        </w:rPr>
        <w:t xml:space="preserve"> – </w:t>
      </w:r>
      <w:r w:rsidRPr="00443E66">
        <w:rPr>
          <w:rFonts w:ascii="Calibri" w:hAnsi="Calibri" w:cs="Calibri"/>
          <w:sz w:val="24"/>
          <w:szCs w:val="24"/>
        </w:rPr>
        <w:t xml:space="preserve">uruchomiono nowy budynek K na potrzeby poradni </w:t>
      </w:r>
      <w:r>
        <w:rPr>
          <w:rFonts w:ascii="Calibri" w:hAnsi="Calibri" w:cs="Calibri"/>
          <w:sz w:val="24"/>
          <w:szCs w:val="24"/>
        </w:rPr>
        <w:t xml:space="preserve">i </w:t>
      </w:r>
      <w:r w:rsidRPr="00443E66">
        <w:rPr>
          <w:rFonts w:ascii="Calibri" w:hAnsi="Calibri" w:cs="Calibri"/>
          <w:sz w:val="24"/>
          <w:szCs w:val="24"/>
        </w:rPr>
        <w:t>Oddziału Chorób Zakaźnych, Pediatrycznego oraz Dermatologicznego</w:t>
      </w:r>
      <w:r w:rsidRPr="00443E66">
        <w:rPr>
          <w:rFonts w:ascii="Calibri" w:hAnsi="Calibri" w:cs="Calibri"/>
          <w:sz w:val="24"/>
          <w:szCs w:val="24"/>
          <w:lang w:eastAsia="zh-CN"/>
        </w:rPr>
        <w:t>,</w:t>
      </w:r>
    </w:p>
    <w:p w14:paraId="22357E14" w14:textId="77777777" w:rsidR="000B4D72" w:rsidRPr="00443E66" w:rsidRDefault="000B4D72" w:rsidP="00597239">
      <w:pPr>
        <w:pStyle w:val="Akapitzlist"/>
        <w:numPr>
          <w:ilvl w:val="0"/>
          <w:numId w:val="25"/>
        </w:numPr>
        <w:suppressAutoHyphens/>
        <w:spacing w:after="0" w:line="276" w:lineRule="auto"/>
        <w:ind w:left="714" w:hanging="357"/>
        <w:rPr>
          <w:rFonts w:ascii="Calibri" w:hAnsi="Calibri" w:cs="Calibri"/>
          <w:sz w:val="24"/>
          <w:szCs w:val="24"/>
          <w:lang w:eastAsia="zh-CN"/>
        </w:rPr>
      </w:pPr>
      <w:r w:rsidRPr="00443E66">
        <w:rPr>
          <w:rFonts w:ascii="Calibri" w:hAnsi="Calibri" w:cs="Calibri"/>
          <w:b/>
          <w:bCs/>
          <w:sz w:val="24"/>
          <w:szCs w:val="24"/>
        </w:rPr>
        <w:t xml:space="preserve">Samodzielny Publiczny Zakład Opieki Zdrowotnej Ministerstwa Spraw Wewnętrznych i Administracji w Szczecinie, ul. Jagiellońska 44, 70-382 Szczecin - </w:t>
      </w:r>
      <w:r w:rsidRPr="00443E66">
        <w:rPr>
          <w:rFonts w:ascii="Calibri" w:hAnsi="Calibri" w:cs="Calibri"/>
          <w:bCs/>
          <w:sz w:val="24"/>
          <w:szCs w:val="24"/>
        </w:rPr>
        <w:t>przeniesiono Oddział Anestezjologii i Intensywnej Terapii na parter budynku przy Izbie Przyjęć, trwa budowa Centrum Diagnostycznego, do którego zostaną przeniesione: Laboratorium, Zakład Diagnostyki Radiologicznej, Pracownia Endoskopii,</w:t>
      </w:r>
    </w:p>
    <w:p w14:paraId="793286D3" w14:textId="0B08C028" w:rsidR="000B4D72" w:rsidRDefault="000B4D72" w:rsidP="00597239">
      <w:pPr>
        <w:pStyle w:val="Akapitzlist"/>
        <w:numPr>
          <w:ilvl w:val="0"/>
          <w:numId w:val="25"/>
        </w:numPr>
        <w:suppressAutoHyphens/>
        <w:spacing w:after="0" w:line="276" w:lineRule="auto"/>
        <w:ind w:left="714" w:hanging="357"/>
        <w:rPr>
          <w:rFonts w:ascii="Calibri" w:hAnsi="Calibri" w:cs="Calibri"/>
          <w:sz w:val="24"/>
          <w:szCs w:val="24"/>
          <w:lang w:eastAsia="zh-CN"/>
        </w:rPr>
      </w:pPr>
      <w:r w:rsidRPr="00443E66">
        <w:rPr>
          <w:rFonts w:ascii="Calibri" w:hAnsi="Calibri" w:cs="Calibri"/>
          <w:b/>
          <w:sz w:val="24"/>
          <w:szCs w:val="24"/>
          <w:lang w:eastAsia="pl-PL"/>
        </w:rPr>
        <w:t>Szpital w Szczecinku ul. Kościuszki 38</w:t>
      </w:r>
      <w:r w:rsidRPr="00443E66">
        <w:rPr>
          <w:rFonts w:ascii="Calibri" w:hAnsi="Calibri" w:cs="Calibri"/>
          <w:bCs/>
          <w:sz w:val="24"/>
          <w:szCs w:val="24"/>
          <w:lang w:eastAsia="pl-PL"/>
        </w:rPr>
        <w:t xml:space="preserve"> – trwa </w:t>
      </w:r>
      <w:r w:rsidRPr="00443E66">
        <w:rPr>
          <w:rFonts w:ascii="Calibri" w:eastAsia="Times New Roman" w:hAnsi="Calibri" w:cs="Calibri"/>
          <w:sz w:val="24"/>
          <w:szCs w:val="24"/>
          <w:lang w:eastAsia="pl-PL"/>
        </w:rPr>
        <w:t>remont bloku operacyjnego i związana z</w:t>
      </w:r>
      <w:r w:rsidR="007B1BEB">
        <w:rPr>
          <w:rFonts w:ascii="Calibri" w:eastAsia="Times New Roman" w:hAnsi="Calibri" w:cs="Calibri"/>
          <w:sz w:val="24"/>
          <w:szCs w:val="24"/>
          <w:lang w:eastAsia="pl-PL"/>
        </w:rPr>
        <w:t> </w:t>
      </w:r>
      <w:r w:rsidRPr="00443E66">
        <w:rPr>
          <w:rFonts w:ascii="Calibri" w:eastAsia="Times New Roman" w:hAnsi="Calibri" w:cs="Calibri"/>
          <w:sz w:val="24"/>
          <w:szCs w:val="24"/>
          <w:lang w:eastAsia="pl-PL"/>
        </w:rPr>
        <w:t>tym przebudowa i zmiana organizacji tymczasowego bloku operacyjnego w</w:t>
      </w:r>
      <w:r w:rsidR="007B1BEB">
        <w:rPr>
          <w:rFonts w:ascii="Calibri" w:eastAsia="Times New Roman" w:hAnsi="Calibri" w:cs="Calibri"/>
          <w:sz w:val="24"/>
          <w:szCs w:val="24"/>
          <w:lang w:eastAsia="pl-PL"/>
        </w:rPr>
        <w:t> </w:t>
      </w:r>
      <w:r w:rsidRPr="00443E66">
        <w:rPr>
          <w:rFonts w:ascii="Calibri" w:eastAsia="Times New Roman" w:hAnsi="Calibri" w:cs="Calibri"/>
          <w:sz w:val="24"/>
          <w:szCs w:val="24"/>
          <w:lang w:eastAsia="pl-PL"/>
        </w:rPr>
        <w:t>pomieszczeniach byłej Izby Przyjęć. Zakończono remont pomieszczeń Izby Przyjęć, którą przeniesiono na poziom „0”</w:t>
      </w:r>
      <w:r w:rsidRPr="00443E66">
        <w:rPr>
          <w:rFonts w:ascii="Calibri" w:hAnsi="Calibri" w:cs="Calibri"/>
          <w:sz w:val="24"/>
          <w:szCs w:val="24"/>
          <w:lang w:eastAsia="pl-PL"/>
        </w:rPr>
        <w:t>,</w:t>
      </w:r>
    </w:p>
    <w:p w14:paraId="226B4A62" w14:textId="77777777" w:rsidR="000B4D72" w:rsidRPr="008E0CD5" w:rsidRDefault="000B4D72" w:rsidP="00597239">
      <w:pPr>
        <w:pStyle w:val="Akapitzlist"/>
        <w:numPr>
          <w:ilvl w:val="0"/>
          <w:numId w:val="25"/>
        </w:numPr>
        <w:suppressAutoHyphens/>
        <w:spacing w:after="0" w:line="276" w:lineRule="auto"/>
        <w:ind w:left="714" w:hanging="357"/>
        <w:rPr>
          <w:rFonts w:ascii="Calibri" w:hAnsi="Calibri" w:cs="Calibri"/>
          <w:sz w:val="24"/>
          <w:szCs w:val="24"/>
          <w:lang w:eastAsia="zh-CN"/>
        </w:rPr>
      </w:pPr>
      <w:bookmarkStart w:id="210" w:name="_Hlk98324999"/>
      <w:r w:rsidRPr="008E0CD5">
        <w:rPr>
          <w:rFonts w:ascii="Calibri" w:hAnsi="Calibri" w:cs="Calibri"/>
          <w:b/>
          <w:sz w:val="24"/>
          <w:szCs w:val="24"/>
        </w:rPr>
        <w:t>Szpital Miejski im. Jana Garduły w Świnoujściu Sp. z o. o.</w:t>
      </w:r>
      <w:bookmarkEnd w:id="210"/>
      <w:r w:rsidRPr="008E0CD5">
        <w:rPr>
          <w:rFonts w:ascii="Calibri" w:hAnsi="Calibri" w:cs="Calibri"/>
          <w:bCs/>
          <w:sz w:val="24"/>
          <w:szCs w:val="24"/>
        </w:rPr>
        <w:t xml:space="preserve"> </w:t>
      </w:r>
      <w:r w:rsidRPr="008E0CD5">
        <w:rPr>
          <w:rFonts w:ascii="Calibri" w:hAnsi="Calibri" w:cs="Calibri"/>
          <w:sz w:val="24"/>
          <w:szCs w:val="24"/>
          <w:lang w:eastAsia="zh-CN"/>
        </w:rPr>
        <w:t>– utworzono Poradnię Okulistyczną udzielającą komercyjnych świadczeń medycznych</w:t>
      </w:r>
      <w:r>
        <w:rPr>
          <w:rFonts w:ascii="Calibri" w:hAnsi="Calibri" w:cs="Calibri"/>
          <w:sz w:val="24"/>
          <w:szCs w:val="24"/>
          <w:lang w:eastAsia="zh-CN"/>
        </w:rPr>
        <w:t>.</w:t>
      </w:r>
      <w:r w:rsidRPr="008E0CD5">
        <w:rPr>
          <w:rFonts w:ascii="Calibri" w:hAnsi="Calibri" w:cs="Calibri"/>
          <w:sz w:val="24"/>
          <w:szCs w:val="24"/>
          <w:lang w:eastAsia="zh-CN"/>
        </w:rPr>
        <w:t xml:space="preserve"> </w:t>
      </w:r>
    </w:p>
    <w:p w14:paraId="18DAD9AC" w14:textId="77777777" w:rsidR="00C545E2" w:rsidRDefault="00C545E2" w:rsidP="00597239">
      <w:pPr>
        <w:suppressAutoHyphens/>
        <w:spacing w:after="0" w:line="276" w:lineRule="auto"/>
        <w:rPr>
          <w:rFonts w:ascii="Calibri" w:hAnsi="Calibri" w:cs="Calibri"/>
        </w:rPr>
      </w:pPr>
    </w:p>
    <w:p w14:paraId="091163A7" w14:textId="4BD684DE" w:rsidR="000B4D72" w:rsidRDefault="000B4D72" w:rsidP="00597239">
      <w:pPr>
        <w:suppressAutoHyphens/>
        <w:spacing w:after="0" w:line="276" w:lineRule="auto"/>
        <w:rPr>
          <w:rStyle w:val="normaltextrun"/>
          <w:rFonts w:ascii="Calibri" w:hAnsi="Calibri" w:cs="Calibri"/>
          <w:sz w:val="24"/>
          <w:szCs w:val="24"/>
        </w:rPr>
      </w:pPr>
      <w:r w:rsidRPr="00C545E2">
        <w:rPr>
          <w:rFonts w:ascii="Calibri" w:hAnsi="Calibri" w:cs="Calibri"/>
          <w:sz w:val="24"/>
          <w:szCs w:val="24"/>
        </w:rPr>
        <w:t xml:space="preserve">Utrzymane są zmiany organizacyjne w funkcjonowaniu Szpitala Powiatowego w Gryfinie Sp. </w:t>
      </w:r>
      <w:r w:rsidR="00C719C9">
        <w:rPr>
          <w:rFonts w:ascii="Calibri" w:hAnsi="Calibri" w:cs="Calibri"/>
          <w:sz w:val="24"/>
          <w:szCs w:val="24"/>
        </w:rPr>
        <w:t>z.</w:t>
      </w:r>
      <w:r w:rsidRPr="00C545E2">
        <w:rPr>
          <w:rFonts w:ascii="Calibri" w:hAnsi="Calibri" w:cs="Calibri"/>
          <w:sz w:val="24"/>
          <w:szCs w:val="24"/>
        </w:rPr>
        <w:t>o.o.,</w:t>
      </w:r>
      <w:r w:rsidRPr="00C545E2">
        <w:rPr>
          <w:rStyle w:val="normaltextrun"/>
          <w:rFonts w:ascii="Calibri" w:hAnsi="Calibri" w:cs="Calibri"/>
          <w:sz w:val="24"/>
          <w:szCs w:val="24"/>
        </w:rPr>
        <w:t xml:space="preserve"> zawieszono działalność oddziału Ginekologiczno-Położniczego i Noworodkowego.</w:t>
      </w:r>
    </w:p>
    <w:p w14:paraId="51A3C20C" w14:textId="77777777" w:rsidR="00C545E2" w:rsidRDefault="00C545E2" w:rsidP="00597239">
      <w:pPr>
        <w:spacing w:after="0" w:line="276" w:lineRule="auto"/>
        <w:rPr>
          <w:rFonts w:ascii="Calibri" w:hAnsi="Calibri" w:cs="Calibri"/>
          <w:b/>
          <w:bCs/>
          <w:sz w:val="24"/>
          <w:szCs w:val="24"/>
        </w:rPr>
      </w:pPr>
    </w:p>
    <w:p w14:paraId="7B28AD2B" w14:textId="3A968E88" w:rsidR="000B4D72" w:rsidRDefault="000B4D72" w:rsidP="00597239">
      <w:pPr>
        <w:spacing w:after="0" w:line="276" w:lineRule="auto"/>
        <w:rPr>
          <w:rFonts w:ascii="Calibri" w:hAnsi="Calibri" w:cs="Calibri"/>
          <w:sz w:val="24"/>
          <w:szCs w:val="24"/>
        </w:rPr>
      </w:pPr>
      <w:r w:rsidRPr="008E0CD5">
        <w:rPr>
          <w:rFonts w:ascii="Calibri" w:hAnsi="Calibri" w:cs="Calibri"/>
          <w:sz w:val="24"/>
          <w:szCs w:val="24"/>
        </w:rPr>
        <w:t>W pozostałych placówkach wykonywano bieżące prace konserwacyjne i remonty, związane z</w:t>
      </w:r>
      <w:r w:rsidR="00C719C9">
        <w:rPr>
          <w:rFonts w:ascii="Calibri" w:hAnsi="Calibri" w:cs="Calibri"/>
          <w:sz w:val="24"/>
          <w:szCs w:val="24"/>
        </w:rPr>
        <w:t> </w:t>
      </w:r>
      <w:r w:rsidRPr="008E0CD5">
        <w:rPr>
          <w:rFonts w:ascii="Calibri" w:hAnsi="Calibri" w:cs="Calibri"/>
          <w:sz w:val="24"/>
          <w:szCs w:val="24"/>
        </w:rPr>
        <w:t>eksploatacją pomieszczeń i wyposażenia.</w:t>
      </w:r>
    </w:p>
    <w:p w14:paraId="78404B41" w14:textId="77777777" w:rsidR="00C545E2" w:rsidRPr="008E0CD5" w:rsidRDefault="00C545E2" w:rsidP="00597239">
      <w:pPr>
        <w:spacing w:after="0" w:line="276" w:lineRule="auto"/>
        <w:rPr>
          <w:rFonts w:ascii="Calibri" w:hAnsi="Calibri" w:cs="Calibri"/>
          <w:bCs/>
          <w:sz w:val="24"/>
          <w:szCs w:val="24"/>
        </w:rPr>
      </w:pPr>
    </w:p>
    <w:p w14:paraId="628850F7" w14:textId="2B66C43E" w:rsidR="000B4D72" w:rsidRPr="006672BF" w:rsidRDefault="000B4D72" w:rsidP="00597239">
      <w:pPr>
        <w:pStyle w:val="Nagwek3"/>
        <w:numPr>
          <w:ilvl w:val="1"/>
          <w:numId w:val="34"/>
        </w:numPr>
        <w:spacing w:before="0" w:after="0"/>
        <w:ind w:left="568" w:hanging="284"/>
      </w:pPr>
      <w:bookmarkStart w:id="211" w:name="_Toc192678723"/>
      <w:bookmarkStart w:id="212" w:name="_Toc193694462"/>
      <w:bookmarkStart w:id="213" w:name="_Toc194059801"/>
      <w:r w:rsidRPr="006672BF">
        <w:t>Zaopatrzenie szpitali w wodę</w:t>
      </w:r>
      <w:bookmarkEnd w:id="211"/>
      <w:bookmarkEnd w:id="212"/>
      <w:bookmarkEnd w:id="213"/>
    </w:p>
    <w:p w14:paraId="6107038D" w14:textId="77777777" w:rsidR="00F004CC" w:rsidRPr="00F004CC" w:rsidRDefault="00F004CC" w:rsidP="00597239">
      <w:pPr>
        <w:spacing w:after="0" w:line="276" w:lineRule="auto"/>
        <w:rPr>
          <w:rFonts w:eastAsia="Times New Roman" w:cstheme="minorHAnsi"/>
          <w:sz w:val="24"/>
          <w:szCs w:val="24"/>
          <w:lang w:eastAsia="ar-SA"/>
        </w:rPr>
      </w:pPr>
      <w:r w:rsidRPr="00F004CC">
        <w:rPr>
          <w:rFonts w:eastAsia="Times New Roman" w:cstheme="minorHAnsi"/>
          <w:sz w:val="24"/>
          <w:szCs w:val="24"/>
          <w:lang w:val="x-none" w:eastAsia="ar-SA"/>
        </w:rPr>
        <w:t>Nadzór nad jakością wody w szpitalach prowadzony był przez organy Państwowej Inspekcji Sanitarnej</w:t>
      </w:r>
      <w:r w:rsidRPr="00F004CC">
        <w:rPr>
          <w:rFonts w:eastAsia="Times New Roman" w:cstheme="minorHAnsi"/>
          <w:sz w:val="24"/>
          <w:szCs w:val="24"/>
          <w:lang w:eastAsia="ar-SA"/>
        </w:rPr>
        <w:t xml:space="preserve"> </w:t>
      </w:r>
      <w:r w:rsidRPr="00F004CC">
        <w:rPr>
          <w:rFonts w:eastAsia="Times New Roman" w:cstheme="minorHAnsi"/>
          <w:sz w:val="24"/>
          <w:szCs w:val="24"/>
          <w:lang w:val="x-none" w:eastAsia="ar-SA"/>
        </w:rPr>
        <w:t xml:space="preserve">w ramach </w:t>
      </w:r>
      <w:r w:rsidRPr="00F004CC">
        <w:rPr>
          <w:rFonts w:eastAsia="Times New Roman" w:cstheme="minorHAnsi"/>
          <w:sz w:val="24"/>
          <w:szCs w:val="24"/>
          <w:lang w:eastAsia="ar-SA"/>
        </w:rPr>
        <w:t xml:space="preserve">sprawowanego </w:t>
      </w:r>
      <w:r w:rsidRPr="00F004CC">
        <w:rPr>
          <w:rFonts w:eastAsia="Times New Roman" w:cstheme="minorHAnsi"/>
          <w:sz w:val="24"/>
          <w:szCs w:val="24"/>
          <w:lang w:val="x-none" w:eastAsia="ar-SA"/>
        </w:rPr>
        <w:t>monitoringu</w:t>
      </w:r>
      <w:r w:rsidRPr="00F004CC">
        <w:rPr>
          <w:rFonts w:eastAsia="Times New Roman" w:cstheme="minorHAnsi"/>
          <w:sz w:val="24"/>
          <w:szCs w:val="24"/>
          <w:lang w:eastAsia="ar-SA"/>
        </w:rPr>
        <w:t xml:space="preserve">, który obejmował kontrolę jakości zdrowotnej wody przeznaczonej do spożycia w zakresie jej parametrów mikrobiologicznych i fizykochemicznych, jak i </w:t>
      </w:r>
      <w:r w:rsidRPr="00F004CC">
        <w:rPr>
          <w:rFonts w:eastAsia="Times New Roman" w:cstheme="minorHAnsi"/>
          <w:bCs/>
          <w:sz w:val="24"/>
          <w:szCs w:val="24"/>
          <w:lang w:eastAsia="ar-SA"/>
        </w:rPr>
        <w:t xml:space="preserve">kontrolę jakości ciepłej wody w zakresie obecności bakterii </w:t>
      </w:r>
      <w:proofErr w:type="spellStart"/>
      <w:r w:rsidRPr="00F004CC">
        <w:rPr>
          <w:rFonts w:eastAsia="Times New Roman" w:cstheme="minorHAnsi"/>
          <w:bCs/>
          <w:i/>
          <w:iCs/>
          <w:sz w:val="24"/>
          <w:szCs w:val="24"/>
          <w:lang w:eastAsia="ar-SA"/>
        </w:rPr>
        <w:t>Legionella</w:t>
      </w:r>
      <w:proofErr w:type="spellEnd"/>
      <w:r w:rsidRPr="00F004CC">
        <w:rPr>
          <w:rFonts w:eastAsia="Times New Roman" w:cstheme="minorHAnsi"/>
          <w:i/>
          <w:iCs/>
          <w:sz w:val="24"/>
          <w:szCs w:val="24"/>
          <w:lang w:eastAsia="ar-SA"/>
        </w:rPr>
        <w:t xml:space="preserve"> sp.</w:t>
      </w:r>
      <w:r w:rsidRPr="00F004CC">
        <w:rPr>
          <w:rFonts w:eastAsia="Times New Roman" w:cstheme="minorHAnsi"/>
          <w:sz w:val="24"/>
          <w:szCs w:val="24"/>
          <w:lang w:eastAsia="ar-SA"/>
        </w:rPr>
        <w:t xml:space="preserve"> </w:t>
      </w:r>
    </w:p>
    <w:p w14:paraId="28653A8A" w14:textId="77777777" w:rsidR="00C545E2" w:rsidRDefault="00C545E2" w:rsidP="00597239">
      <w:pPr>
        <w:spacing w:after="0" w:line="276" w:lineRule="auto"/>
        <w:rPr>
          <w:rFonts w:eastAsia="Times New Roman" w:cstheme="minorHAnsi"/>
          <w:sz w:val="24"/>
          <w:szCs w:val="24"/>
          <w:lang w:eastAsia="ar-SA"/>
        </w:rPr>
      </w:pPr>
    </w:p>
    <w:p w14:paraId="652011D6" w14:textId="5593F685" w:rsidR="00F004CC" w:rsidRPr="00F004CC" w:rsidRDefault="00F004CC" w:rsidP="00597239">
      <w:pPr>
        <w:spacing w:after="0" w:line="276" w:lineRule="auto"/>
        <w:rPr>
          <w:rFonts w:eastAsia="Times New Roman" w:cstheme="minorHAnsi"/>
          <w:color w:val="FF0000"/>
          <w:sz w:val="24"/>
          <w:szCs w:val="24"/>
          <w:lang w:eastAsia="ar-SA"/>
        </w:rPr>
      </w:pPr>
      <w:r w:rsidRPr="00F004CC">
        <w:rPr>
          <w:rFonts w:eastAsia="Times New Roman" w:cstheme="minorHAnsi"/>
          <w:sz w:val="24"/>
          <w:szCs w:val="24"/>
          <w:lang w:eastAsia="ar-SA"/>
        </w:rPr>
        <w:lastRenderedPageBreak/>
        <w:t>Większość szpitali zaopatrywana była w wodę pochodzącą z publicznych sieci wodociągowych. Obiekty szpitalne powinny być dodatkowo wyposażone w rezerwowe źródło zaopatrzenia w</w:t>
      </w:r>
      <w:r w:rsidR="003326B1">
        <w:rPr>
          <w:rFonts w:eastAsia="Times New Roman" w:cstheme="minorHAnsi"/>
          <w:sz w:val="24"/>
          <w:szCs w:val="24"/>
          <w:lang w:eastAsia="ar-SA"/>
        </w:rPr>
        <w:t> </w:t>
      </w:r>
      <w:r w:rsidRPr="00F004CC">
        <w:rPr>
          <w:rFonts w:eastAsia="Times New Roman" w:cstheme="minorHAnsi"/>
          <w:sz w:val="24"/>
          <w:szCs w:val="24"/>
          <w:lang w:eastAsia="ar-SA"/>
        </w:rPr>
        <w:t xml:space="preserve">wodę, zapewniające jej co najmniej 12-godzinny zapas. </w:t>
      </w:r>
      <w:r w:rsidRPr="00F004CC">
        <w:rPr>
          <w:sz w:val="24"/>
          <w:szCs w:val="24"/>
        </w:rPr>
        <w:t xml:space="preserve">Spośród nadzorowanych 45 placówek szpitalnych w przypadku 11 ujęcia własne stanowiły podstawowe źródło zaopatrzenia w wodę, natomiast w przypadku </w:t>
      </w:r>
      <w:r w:rsidRPr="00F004CC">
        <w:rPr>
          <w:rFonts w:eastAsia="Times New Roman" w:cstheme="minorHAnsi"/>
          <w:sz w:val="24"/>
          <w:szCs w:val="24"/>
          <w:lang w:eastAsia="ar-SA"/>
        </w:rPr>
        <w:t xml:space="preserve">19 szpitali ujęcia </w:t>
      </w:r>
      <w:r w:rsidR="00FD3723" w:rsidRPr="00F004CC">
        <w:rPr>
          <w:rFonts w:eastAsia="Times New Roman" w:cstheme="minorHAnsi"/>
          <w:sz w:val="24"/>
          <w:szCs w:val="24"/>
          <w:lang w:eastAsia="ar-SA"/>
        </w:rPr>
        <w:t>własne</w:t>
      </w:r>
      <w:r w:rsidRPr="00F004CC">
        <w:rPr>
          <w:rFonts w:eastAsia="Times New Roman" w:cstheme="minorHAnsi"/>
          <w:sz w:val="24"/>
          <w:szCs w:val="24"/>
          <w:lang w:eastAsia="ar-SA"/>
        </w:rPr>
        <w:t xml:space="preserve"> bądź zbiorniki wyrównawcze stanowiły zapasowe źródło wody. W 3 obiektach ujęcia własne zostały wyłączone z eksploatacji z uwagi na konieczność przeprowadzenia prac remontowych, na 2 placówki nałożono obowiązek zapewnienia rezerwowego źródła zaopatrzenia w wodę, zaś pozostałe mniejsze placówki szpitalne posiadały inny sposób rezerwowego zaopatrzenia w wodę (opakowania jednostkowe). </w:t>
      </w:r>
    </w:p>
    <w:p w14:paraId="25138C8B" w14:textId="77777777" w:rsidR="00C545E2" w:rsidRDefault="00C545E2" w:rsidP="00597239">
      <w:pPr>
        <w:spacing w:after="0" w:line="276" w:lineRule="auto"/>
        <w:rPr>
          <w:rFonts w:eastAsia="Times New Roman" w:cstheme="minorHAnsi"/>
          <w:sz w:val="24"/>
          <w:szCs w:val="24"/>
          <w:lang w:eastAsia="ar-SA"/>
        </w:rPr>
      </w:pPr>
    </w:p>
    <w:p w14:paraId="1A5921E0" w14:textId="4E837B07" w:rsidR="00F004CC" w:rsidRPr="00F004CC" w:rsidRDefault="00F004CC" w:rsidP="00597239">
      <w:pPr>
        <w:spacing w:after="0" w:line="276" w:lineRule="auto"/>
        <w:rPr>
          <w:rFonts w:eastAsia="Times New Roman" w:cstheme="minorHAnsi"/>
          <w:sz w:val="24"/>
          <w:szCs w:val="24"/>
          <w:lang w:eastAsia="ar-SA"/>
        </w:rPr>
      </w:pPr>
      <w:r w:rsidRPr="00F004CC">
        <w:rPr>
          <w:rFonts w:eastAsia="Times New Roman" w:cstheme="minorHAnsi"/>
          <w:sz w:val="24"/>
          <w:szCs w:val="24"/>
          <w:lang w:eastAsia="ar-SA"/>
        </w:rPr>
        <w:t xml:space="preserve">Wszystkie wodociągi zaopatrujące szpitale znajdowały się pod stałym nadzorem Państwowej Inspekcji Sanitarnej. W 2024 roku, w jednym ze szpitali stwierdzono brak przydatności wody do spożycia w związku z wykryciem bakterii </w:t>
      </w:r>
      <w:r w:rsidRPr="00E1236C">
        <w:rPr>
          <w:rFonts w:eastAsia="Times New Roman" w:cstheme="minorHAnsi"/>
          <w:sz w:val="24"/>
          <w:szCs w:val="24"/>
          <w:lang w:eastAsia="ar-SA"/>
        </w:rPr>
        <w:t>Escherichia coli</w:t>
      </w:r>
      <w:r w:rsidRPr="00F004CC">
        <w:rPr>
          <w:rFonts w:eastAsia="Times New Roman" w:cstheme="minorHAnsi"/>
          <w:sz w:val="24"/>
          <w:szCs w:val="24"/>
          <w:lang w:eastAsia="ar-SA"/>
        </w:rPr>
        <w:t xml:space="preserve"> w jego ujęciu własnym, które stanowiło rezerwowe źródło zaopatrzenia w wodę. Szpital zobowiązano do przeprowadzenia działań naprawczych </w:t>
      </w:r>
      <w:r w:rsidRPr="00F004CC">
        <w:rPr>
          <w:rFonts w:eastAsia="Times New Roman" w:cstheme="minorHAnsi"/>
          <w:bCs/>
          <w:sz w:val="24"/>
          <w:szCs w:val="24"/>
          <w:lang w:eastAsia="ar-SA"/>
        </w:rPr>
        <w:t>w celu zapewnienia jakości wody zgodnej z wymaganiami, prowadzone jest postępowanie administracyjne.</w:t>
      </w:r>
    </w:p>
    <w:p w14:paraId="712761B8" w14:textId="77777777" w:rsidR="00C545E2" w:rsidRDefault="00C545E2" w:rsidP="00597239">
      <w:pPr>
        <w:spacing w:after="0" w:line="276" w:lineRule="auto"/>
        <w:rPr>
          <w:rFonts w:eastAsia="Times New Roman" w:cstheme="minorHAnsi"/>
          <w:sz w:val="24"/>
          <w:szCs w:val="24"/>
          <w:lang w:eastAsia="ar-SA"/>
        </w:rPr>
      </w:pPr>
    </w:p>
    <w:p w14:paraId="68754DC3" w14:textId="7A037188" w:rsidR="00F004CC" w:rsidRPr="00F004CC" w:rsidRDefault="00F004CC" w:rsidP="00597239">
      <w:pPr>
        <w:spacing w:after="0" w:line="276" w:lineRule="auto"/>
        <w:rPr>
          <w:rFonts w:eastAsia="Times New Roman" w:cstheme="minorHAnsi"/>
          <w:bCs/>
          <w:sz w:val="24"/>
          <w:szCs w:val="24"/>
          <w:lang w:eastAsia="ar-SA"/>
        </w:rPr>
      </w:pPr>
      <w:r w:rsidRPr="00F004CC">
        <w:rPr>
          <w:rFonts w:eastAsia="Times New Roman" w:cstheme="minorHAnsi"/>
          <w:sz w:val="24"/>
          <w:szCs w:val="24"/>
          <w:lang w:eastAsia="ar-SA"/>
        </w:rPr>
        <w:t xml:space="preserve">Nadzór nad jakością wody Państwowej Inspekcji Sanitarnej obejmował również kontrolę jakości ciepłej wody użytkowej w zakresie obecności bakterii </w:t>
      </w:r>
      <w:proofErr w:type="spellStart"/>
      <w:r w:rsidRPr="00E1236C">
        <w:rPr>
          <w:rFonts w:eastAsia="Times New Roman" w:cstheme="minorHAnsi"/>
          <w:sz w:val="24"/>
          <w:szCs w:val="24"/>
          <w:lang w:eastAsia="ar-SA"/>
        </w:rPr>
        <w:t>Legionella</w:t>
      </w:r>
      <w:proofErr w:type="spellEnd"/>
      <w:r w:rsidRPr="00E1236C">
        <w:rPr>
          <w:rFonts w:eastAsia="Times New Roman" w:cstheme="minorHAnsi"/>
          <w:sz w:val="24"/>
          <w:szCs w:val="24"/>
          <w:lang w:eastAsia="ar-SA"/>
        </w:rPr>
        <w:t xml:space="preserve"> sp.</w:t>
      </w:r>
      <w:r w:rsidRPr="00F004CC">
        <w:rPr>
          <w:rFonts w:eastAsia="Times New Roman" w:cstheme="minorHAnsi"/>
          <w:sz w:val="24"/>
          <w:szCs w:val="24"/>
          <w:lang w:eastAsia="ar-SA"/>
        </w:rPr>
        <w:t xml:space="preserve"> Szpitale </w:t>
      </w:r>
      <w:r w:rsidR="00FD3723" w:rsidRPr="00F004CC">
        <w:rPr>
          <w:rFonts w:eastAsia="Times New Roman" w:cstheme="minorHAnsi"/>
          <w:sz w:val="24"/>
          <w:szCs w:val="24"/>
          <w:lang w:eastAsia="ar-SA"/>
        </w:rPr>
        <w:t>stosowały działania</w:t>
      </w:r>
      <w:r w:rsidRPr="00F004CC">
        <w:rPr>
          <w:rFonts w:eastAsia="Times New Roman" w:cstheme="minorHAnsi"/>
          <w:sz w:val="24"/>
          <w:szCs w:val="24"/>
          <w:lang w:eastAsia="ar-SA"/>
        </w:rPr>
        <w:t xml:space="preserve"> prewencyjne w celu ochrony wewnętrznych sieci instalacji ciepłej wody przed ich zanieczyszczeniem.</w:t>
      </w:r>
      <w:r w:rsidRPr="00F004CC">
        <w:rPr>
          <w:rFonts w:eastAsia="Times New Roman" w:cstheme="minorHAnsi"/>
          <w:i/>
          <w:iCs/>
          <w:sz w:val="24"/>
          <w:szCs w:val="24"/>
          <w:lang w:eastAsia="ar-SA"/>
        </w:rPr>
        <w:t xml:space="preserve"> </w:t>
      </w:r>
      <w:r w:rsidRPr="00F004CC">
        <w:rPr>
          <w:rFonts w:eastAsia="Times New Roman" w:cstheme="minorHAnsi"/>
          <w:sz w:val="24"/>
          <w:szCs w:val="24"/>
          <w:lang w:eastAsia="ar-SA"/>
        </w:rPr>
        <w:t xml:space="preserve">Była to najczęściej termiczna metoda dezynfekcji polegająca na przegrzewaniu i przepłukiwaniu instalacji wewnętrznych c.w.u. wodą o wysokiej temperaturze. W przypadku konieczności prowadzenia działań naprawczych, wspomagająco stosowano dezynfekcję związkami chloru lub jonami srebra. </w:t>
      </w:r>
      <w:r w:rsidRPr="00F004CC">
        <w:rPr>
          <w:rFonts w:cstheme="minorHAnsi"/>
          <w:sz w:val="24"/>
          <w:szCs w:val="24"/>
        </w:rPr>
        <w:t xml:space="preserve">W 2024 roku zbadano jakość ciepłej wody i oceniono zanieczyszczenie wewnętrznych sieci instalacji wodnych bakteriami </w:t>
      </w:r>
      <w:proofErr w:type="spellStart"/>
      <w:r w:rsidRPr="00F004CC">
        <w:rPr>
          <w:rFonts w:cstheme="minorHAnsi"/>
          <w:i/>
          <w:iCs/>
          <w:sz w:val="24"/>
          <w:szCs w:val="24"/>
        </w:rPr>
        <w:t>Legionella</w:t>
      </w:r>
      <w:proofErr w:type="spellEnd"/>
      <w:r w:rsidRPr="00F004CC">
        <w:rPr>
          <w:rFonts w:cstheme="minorHAnsi"/>
          <w:i/>
          <w:iCs/>
          <w:sz w:val="24"/>
          <w:szCs w:val="24"/>
        </w:rPr>
        <w:t xml:space="preserve"> sp. </w:t>
      </w:r>
      <w:r w:rsidRPr="00F004CC">
        <w:rPr>
          <w:rFonts w:cstheme="minorHAnsi"/>
          <w:sz w:val="24"/>
          <w:szCs w:val="24"/>
        </w:rPr>
        <w:t>w 47 obiektach szpitalnych, pobierając łącznie 504 próbki wody.</w:t>
      </w:r>
      <w:r w:rsidRPr="00F004CC">
        <w:rPr>
          <w:rFonts w:eastAsia="Times New Roman" w:cstheme="minorHAnsi"/>
          <w:sz w:val="24"/>
          <w:szCs w:val="24"/>
          <w:lang w:eastAsia="ar-SA"/>
        </w:rPr>
        <w:t xml:space="preserve"> W związku z nieprawidłowościami, w</w:t>
      </w:r>
      <w:r w:rsidRPr="00F004CC">
        <w:rPr>
          <w:rFonts w:eastAsia="Times New Roman" w:cstheme="minorHAnsi"/>
          <w:bCs/>
          <w:sz w:val="24"/>
          <w:szCs w:val="24"/>
          <w:lang w:eastAsia="ar-SA"/>
        </w:rPr>
        <w:t xml:space="preserve">ydano 22 decyzje administracyjne, które w zależności od oceny stopnia skolonizowania wewnętrznej instalacji ciepłej wody użytkowej obligowały podmiot do podjęcia działań zmierzających do redukcji bakterii (unieruchomienie natrysków, ustalenie przyczyny wystąpienia skażenia z uwzględnieniem przeglądu technicznego oraz kontrolą temperatury wody), w tym: </w:t>
      </w:r>
    </w:p>
    <w:p w14:paraId="7735254D" w14:textId="77777777" w:rsidR="00F004CC" w:rsidRPr="00F004CC" w:rsidRDefault="00F004CC" w:rsidP="00597239">
      <w:pPr>
        <w:pStyle w:val="Akapitzlist"/>
        <w:numPr>
          <w:ilvl w:val="0"/>
          <w:numId w:val="61"/>
        </w:numPr>
        <w:spacing w:after="0" w:line="276" w:lineRule="auto"/>
        <w:rPr>
          <w:rFonts w:ascii="Calibri" w:eastAsia="Times New Roman" w:hAnsi="Calibri" w:cs="Calibri"/>
          <w:sz w:val="24"/>
          <w:szCs w:val="24"/>
          <w:lang w:eastAsia="pl-PL"/>
        </w:rPr>
      </w:pPr>
      <w:r w:rsidRPr="00F004CC">
        <w:rPr>
          <w:rFonts w:eastAsia="Times New Roman" w:cstheme="minorHAnsi"/>
          <w:bCs/>
          <w:sz w:val="24"/>
          <w:szCs w:val="24"/>
          <w:lang w:eastAsia="ar-SA"/>
        </w:rPr>
        <w:t>5 decyzji dot. bardzo wysokiego stopnia skażenia;</w:t>
      </w:r>
    </w:p>
    <w:p w14:paraId="4CE4F7A7" w14:textId="77777777" w:rsidR="00F004CC" w:rsidRPr="00F004CC" w:rsidRDefault="00F004CC" w:rsidP="00597239">
      <w:pPr>
        <w:pStyle w:val="Akapitzlist"/>
        <w:numPr>
          <w:ilvl w:val="0"/>
          <w:numId w:val="61"/>
        </w:numPr>
        <w:spacing w:after="0" w:line="276" w:lineRule="auto"/>
        <w:rPr>
          <w:rFonts w:ascii="Calibri" w:eastAsia="Times New Roman" w:hAnsi="Calibri" w:cs="Calibri"/>
          <w:sz w:val="24"/>
          <w:szCs w:val="24"/>
          <w:lang w:eastAsia="pl-PL"/>
        </w:rPr>
      </w:pPr>
      <w:r w:rsidRPr="00F004CC">
        <w:rPr>
          <w:rFonts w:eastAsia="Times New Roman" w:cstheme="minorHAnsi"/>
          <w:bCs/>
          <w:sz w:val="24"/>
          <w:szCs w:val="24"/>
          <w:lang w:eastAsia="ar-SA"/>
        </w:rPr>
        <w:t>10 decyzji dot. wysokiego stopnia skażenia;</w:t>
      </w:r>
    </w:p>
    <w:p w14:paraId="28BFCC22" w14:textId="22BB3B52" w:rsidR="00F004CC" w:rsidRPr="00C545E2" w:rsidRDefault="00F004CC" w:rsidP="00597239">
      <w:pPr>
        <w:pStyle w:val="Akapitzlist"/>
        <w:numPr>
          <w:ilvl w:val="0"/>
          <w:numId w:val="61"/>
        </w:numPr>
        <w:spacing w:after="0" w:line="276" w:lineRule="auto"/>
        <w:rPr>
          <w:rFonts w:ascii="Calibri" w:eastAsia="Times New Roman" w:hAnsi="Calibri" w:cs="Calibri"/>
          <w:sz w:val="24"/>
          <w:szCs w:val="24"/>
          <w:lang w:eastAsia="pl-PL"/>
        </w:rPr>
      </w:pPr>
      <w:r w:rsidRPr="00F004CC">
        <w:rPr>
          <w:rFonts w:eastAsia="Times New Roman" w:cstheme="minorHAnsi"/>
          <w:bCs/>
          <w:sz w:val="24"/>
          <w:szCs w:val="24"/>
          <w:lang w:eastAsia="ar-SA"/>
        </w:rPr>
        <w:t xml:space="preserve">7 decyzji dot. średniego stopnia skażenia. </w:t>
      </w:r>
    </w:p>
    <w:p w14:paraId="458B4C1C" w14:textId="77777777" w:rsidR="00C545E2" w:rsidRPr="00C545E2" w:rsidRDefault="00C545E2" w:rsidP="00597239">
      <w:pPr>
        <w:spacing w:after="0" w:line="276" w:lineRule="auto"/>
        <w:ind w:left="360"/>
        <w:rPr>
          <w:rFonts w:ascii="Calibri" w:eastAsia="Times New Roman" w:hAnsi="Calibri" w:cs="Calibri"/>
          <w:sz w:val="24"/>
          <w:szCs w:val="24"/>
          <w:lang w:eastAsia="pl-PL"/>
        </w:rPr>
      </w:pPr>
    </w:p>
    <w:p w14:paraId="49ECA43D" w14:textId="78FD4541" w:rsidR="000B4D72" w:rsidRPr="00B449A4" w:rsidRDefault="000B4D72" w:rsidP="00597239">
      <w:pPr>
        <w:pStyle w:val="Nagwek3"/>
        <w:numPr>
          <w:ilvl w:val="1"/>
          <w:numId w:val="34"/>
        </w:numPr>
        <w:spacing w:before="0" w:after="0"/>
        <w:ind w:left="568" w:hanging="284"/>
      </w:pPr>
      <w:bookmarkStart w:id="214" w:name="_Toc192678724"/>
      <w:bookmarkStart w:id="215" w:name="_Toc193694463"/>
      <w:bookmarkStart w:id="216" w:name="_Toc194059802"/>
      <w:r w:rsidRPr="006672BF">
        <w:t>Bloki żywieniowe</w:t>
      </w:r>
      <w:bookmarkEnd w:id="214"/>
      <w:bookmarkEnd w:id="215"/>
      <w:bookmarkEnd w:id="216"/>
    </w:p>
    <w:p w14:paraId="7C1B17DF" w14:textId="77777777" w:rsidR="00387460" w:rsidRPr="003376E1" w:rsidRDefault="00387460" w:rsidP="00597239">
      <w:pPr>
        <w:spacing w:after="0" w:line="276" w:lineRule="auto"/>
        <w:rPr>
          <w:rFonts w:ascii="Calibri" w:hAnsi="Calibri" w:cs="Calibri"/>
          <w:b/>
          <w:bCs/>
          <w:sz w:val="24"/>
          <w:szCs w:val="24"/>
        </w:rPr>
      </w:pPr>
      <w:r w:rsidRPr="003376E1">
        <w:rPr>
          <w:rFonts w:ascii="Calibri" w:eastAsia="Times New Roman" w:hAnsi="Calibri" w:cs="Calibri"/>
          <w:bCs/>
          <w:sz w:val="24"/>
          <w:szCs w:val="24"/>
          <w:lang w:eastAsia="pl-PL"/>
        </w:rPr>
        <w:t xml:space="preserve">W ramach działalności szpitali </w:t>
      </w:r>
      <w:r w:rsidRPr="003376E1">
        <w:rPr>
          <w:rFonts w:ascii="Calibri" w:eastAsia="Times New Roman" w:hAnsi="Calibri" w:cs="Calibri"/>
          <w:sz w:val="24"/>
          <w:szCs w:val="24"/>
          <w:lang w:eastAsia="pl-PL"/>
        </w:rPr>
        <w:t xml:space="preserve">w województwie zachodniopomorskim </w:t>
      </w:r>
      <w:r w:rsidRPr="003376E1">
        <w:rPr>
          <w:rFonts w:ascii="Calibri" w:eastAsia="Times New Roman" w:hAnsi="Calibri" w:cs="Calibri"/>
          <w:bCs/>
          <w:sz w:val="24"/>
          <w:szCs w:val="24"/>
          <w:lang w:eastAsia="pl-PL"/>
        </w:rPr>
        <w:t>funkcjonują</w:t>
      </w:r>
      <w:r w:rsidRPr="003376E1">
        <w:rPr>
          <w:rFonts w:ascii="Calibri" w:eastAsia="Times New Roman" w:hAnsi="Calibri" w:cs="Calibri"/>
          <w:sz w:val="24"/>
          <w:szCs w:val="24"/>
          <w:lang w:eastAsia="pl-PL"/>
        </w:rPr>
        <w:t>:</w:t>
      </w:r>
    </w:p>
    <w:p w14:paraId="366FCE3B" w14:textId="77777777" w:rsidR="00387460" w:rsidRPr="003376E1" w:rsidRDefault="00387460" w:rsidP="00597239">
      <w:pPr>
        <w:pStyle w:val="Akapitzlist"/>
        <w:numPr>
          <w:ilvl w:val="0"/>
          <w:numId w:val="87"/>
        </w:numPr>
        <w:tabs>
          <w:tab w:val="left" w:pos="567"/>
        </w:tabs>
        <w:spacing w:after="0" w:line="276" w:lineRule="auto"/>
        <w:rPr>
          <w:rFonts w:ascii="Calibri" w:eastAsia="Times New Roman" w:hAnsi="Calibri" w:cs="Calibri"/>
          <w:sz w:val="24"/>
          <w:szCs w:val="24"/>
          <w:lang w:eastAsia="pl-PL"/>
        </w:rPr>
      </w:pPr>
      <w:r w:rsidRPr="003376E1">
        <w:rPr>
          <w:rFonts w:ascii="Calibri" w:eastAsia="Times New Roman" w:hAnsi="Calibri" w:cs="Calibri"/>
          <w:sz w:val="24"/>
          <w:szCs w:val="24"/>
          <w:lang w:eastAsia="pl-PL"/>
        </w:rPr>
        <w:t>43 bloki żywienia, w tym 23 bloki prowadzące żywienie w systemie cateringowym,</w:t>
      </w:r>
    </w:p>
    <w:p w14:paraId="7A478FF6" w14:textId="77777777" w:rsidR="00387460" w:rsidRDefault="00387460" w:rsidP="00597239">
      <w:pPr>
        <w:pStyle w:val="Akapitzlist"/>
        <w:numPr>
          <w:ilvl w:val="0"/>
          <w:numId w:val="87"/>
        </w:numPr>
        <w:tabs>
          <w:tab w:val="left" w:pos="567"/>
        </w:tabs>
        <w:spacing w:after="0" w:line="276" w:lineRule="auto"/>
        <w:rPr>
          <w:rFonts w:ascii="Calibri" w:eastAsia="Times New Roman" w:hAnsi="Calibri" w:cs="Calibri"/>
          <w:sz w:val="24"/>
          <w:szCs w:val="24"/>
          <w:lang w:eastAsia="pl-PL"/>
        </w:rPr>
      </w:pPr>
      <w:r w:rsidRPr="003376E1">
        <w:rPr>
          <w:rFonts w:ascii="Calibri" w:eastAsia="Times New Roman" w:hAnsi="Calibri" w:cs="Calibri"/>
          <w:sz w:val="24"/>
          <w:szCs w:val="24"/>
          <w:lang w:eastAsia="pl-PL"/>
        </w:rPr>
        <w:t>1 kuchnia niemowlęca.</w:t>
      </w:r>
    </w:p>
    <w:p w14:paraId="4A2981E8" w14:textId="77777777" w:rsidR="00C545E2" w:rsidRPr="00C545E2" w:rsidRDefault="00C545E2" w:rsidP="00597239">
      <w:pPr>
        <w:tabs>
          <w:tab w:val="left" w:pos="567"/>
        </w:tabs>
        <w:spacing w:after="0" w:line="276" w:lineRule="auto"/>
        <w:rPr>
          <w:rFonts w:ascii="Calibri" w:eastAsia="Times New Roman" w:hAnsi="Calibri" w:cs="Calibri"/>
          <w:sz w:val="24"/>
          <w:szCs w:val="24"/>
          <w:lang w:eastAsia="pl-PL"/>
        </w:rPr>
      </w:pPr>
    </w:p>
    <w:p w14:paraId="266ACB1A" w14:textId="16CE74CF" w:rsidR="00387460" w:rsidRPr="003376E1" w:rsidRDefault="00387460" w:rsidP="00597239">
      <w:pPr>
        <w:spacing w:after="0" w:line="276" w:lineRule="auto"/>
        <w:rPr>
          <w:rFonts w:ascii="Calibri" w:eastAsia="Times New Roman" w:hAnsi="Calibri" w:cs="Calibri"/>
          <w:sz w:val="24"/>
          <w:szCs w:val="24"/>
          <w:lang w:eastAsia="pl-PL"/>
        </w:rPr>
      </w:pPr>
      <w:r w:rsidRPr="003376E1">
        <w:rPr>
          <w:rFonts w:ascii="Calibri" w:eastAsia="Times New Roman" w:hAnsi="Calibri" w:cs="Calibri"/>
          <w:sz w:val="24"/>
          <w:szCs w:val="24"/>
          <w:lang w:eastAsia="pl-PL"/>
        </w:rPr>
        <w:lastRenderedPageBreak/>
        <w:t xml:space="preserve">Organizacja żywienia hospitalizowanych pacjentów </w:t>
      </w:r>
      <w:r>
        <w:rPr>
          <w:rFonts w:ascii="Calibri" w:eastAsia="Times New Roman" w:hAnsi="Calibri" w:cs="Calibri"/>
          <w:sz w:val="24"/>
          <w:szCs w:val="24"/>
          <w:lang w:eastAsia="pl-PL"/>
        </w:rPr>
        <w:t xml:space="preserve">polega na prowadzeniu własnych kuchni, w których posiłki przygotowywane są </w:t>
      </w:r>
      <w:r w:rsidRPr="003376E1">
        <w:rPr>
          <w:rFonts w:ascii="Calibri" w:eastAsia="Times New Roman" w:hAnsi="Calibri" w:cs="Calibri"/>
          <w:sz w:val="24"/>
          <w:szCs w:val="24"/>
          <w:lang w:eastAsia="pl-PL"/>
        </w:rPr>
        <w:t>przez personel szpitala lub firmy świadczące usługi żywieniowe</w:t>
      </w:r>
      <w:r>
        <w:rPr>
          <w:rFonts w:ascii="Calibri" w:eastAsia="Times New Roman" w:hAnsi="Calibri" w:cs="Calibri"/>
          <w:sz w:val="24"/>
          <w:szCs w:val="24"/>
          <w:lang w:eastAsia="pl-PL"/>
        </w:rPr>
        <w:t xml:space="preserve">, albo </w:t>
      </w:r>
      <w:r w:rsidRPr="003376E1">
        <w:rPr>
          <w:rFonts w:ascii="Calibri" w:eastAsia="Times New Roman" w:hAnsi="Calibri" w:cs="Calibri"/>
          <w:sz w:val="24"/>
          <w:szCs w:val="24"/>
          <w:lang w:eastAsia="pl-PL"/>
        </w:rPr>
        <w:t>żywieni</w:t>
      </w:r>
      <w:r>
        <w:rPr>
          <w:rFonts w:ascii="Calibri" w:eastAsia="Times New Roman" w:hAnsi="Calibri" w:cs="Calibri"/>
          <w:sz w:val="24"/>
          <w:szCs w:val="24"/>
          <w:lang w:eastAsia="pl-PL"/>
        </w:rPr>
        <w:t>u</w:t>
      </w:r>
      <w:r w:rsidRPr="003376E1">
        <w:rPr>
          <w:rFonts w:ascii="Calibri" w:eastAsia="Times New Roman" w:hAnsi="Calibri" w:cs="Calibri"/>
          <w:sz w:val="24"/>
          <w:szCs w:val="24"/>
          <w:lang w:eastAsia="pl-PL"/>
        </w:rPr>
        <w:t xml:space="preserve"> pacjentów w systemie cateringowym, które polega na</w:t>
      </w:r>
      <w:r w:rsidR="007B1BEB">
        <w:rPr>
          <w:rFonts w:ascii="Calibri" w:eastAsia="Times New Roman" w:hAnsi="Calibri" w:cs="Calibri"/>
          <w:sz w:val="24"/>
          <w:szCs w:val="24"/>
          <w:lang w:eastAsia="pl-PL"/>
        </w:rPr>
        <w:t> </w:t>
      </w:r>
      <w:r w:rsidRPr="003376E1">
        <w:rPr>
          <w:rFonts w:ascii="Calibri" w:eastAsia="Times New Roman" w:hAnsi="Calibri" w:cs="Calibri"/>
          <w:sz w:val="24"/>
          <w:szCs w:val="24"/>
          <w:lang w:eastAsia="pl-PL"/>
        </w:rPr>
        <w:t xml:space="preserve">przygotowywaniu posiłków w zakładzie </w:t>
      </w:r>
      <w:r>
        <w:rPr>
          <w:rFonts w:ascii="Calibri" w:eastAsia="Times New Roman" w:hAnsi="Calibri" w:cs="Calibri"/>
          <w:bCs/>
          <w:sz w:val="24"/>
          <w:szCs w:val="24"/>
          <w:lang w:eastAsia="pl-PL"/>
        </w:rPr>
        <w:t>zewnętrznym</w:t>
      </w:r>
      <w:r w:rsidRPr="003376E1">
        <w:rPr>
          <w:rFonts w:ascii="Calibri" w:eastAsia="Times New Roman" w:hAnsi="Calibri" w:cs="Calibri"/>
          <w:bCs/>
          <w:sz w:val="24"/>
          <w:szCs w:val="24"/>
          <w:lang w:eastAsia="pl-PL"/>
        </w:rPr>
        <w:t xml:space="preserve"> i </w:t>
      </w:r>
      <w:r w:rsidRPr="003376E1">
        <w:rPr>
          <w:rFonts w:ascii="Calibri" w:eastAsia="Times New Roman" w:hAnsi="Calibri" w:cs="Calibri"/>
          <w:sz w:val="24"/>
          <w:szCs w:val="24"/>
          <w:lang w:eastAsia="pl-PL"/>
        </w:rPr>
        <w:t>dowożeniu do szpitala</w:t>
      </w:r>
      <w:r>
        <w:rPr>
          <w:rFonts w:ascii="Calibri" w:eastAsia="Times New Roman" w:hAnsi="Calibri" w:cs="Calibri"/>
          <w:sz w:val="24"/>
          <w:szCs w:val="24"/>
          <w:lang w:eastAsia="pl-PL"/>
        </w:rPr>
        <w:t>.</w:t>
      </w:r>
      <w:r w:rsidRPr="003376E1">
        <w:rPr>
          <w:rFonts w:ascii="Calibri" w:eastAsia="Times New Roman" w:hAnsi="Calibri" w:cs="Calibri"/>
          <w:sz w:val="24"/>
          <w:szCs w:val="24"/>
          <w:lang w:eastAsia="pl-PL"/>
        </w:rPr>
        <w:t xml:space="preserve"> </w:t>
      </w:r>
    </w:p>
    <w:p w14:paraId="10F87399" w14:textId="77777777" w:rsidR="00C545E2" w:rsidRDefault="00C545E2" w:rsidP="00597239">
      <w:pPr>
        <w:spacing w:after="0" w:line="276" w:lineRule="auto"/>
        <w:rPr>
          <w:rFonts w:ascii="Calibri" w:hAnsi="Calibri" w:cs="Calibri"/>
          <w:iCs/>
          <w:sz w:val="24"/>
          <w:szCs w:val="24"/>
        </w:rPr>
      </w:pPr>
    </w:p>
    <w:p w14:paraId="69FE6C4D" w14:textId="4D820B4D" w:rsidR="00387460" w:rsidRPr="003376E1" w:rsidRDefault="00387460" w:rsidP="00597239">
      <w:pPr>
        <w:spacing w:after="0" w:line="276" w:lineRule="auto"/>
        <w:rPr>
          <w:rFonts w:ascii="Calibri" w:hAnsi="Calibri" w:cs="Calibri"/>
          <w:sz w:val="24"/>
          <w:szCs w:val="24"/>
        </w:rPr>
      </w:pPr>
      <w:r w:rsidRPr="003376E1">
        <w:rPr>
          <w:rFonts w:ascii="Calibri" w:hAnsi="Calibri" w:cs="Calibri"/>
          <w:iCs/>
          <w:sz w:val="24"/>
          <w:szCs w:val="24"/>
        </w:rPr>
        <w:t>Z uwagi na promowanie naturalnego karmienia noworodków i niemowląt piersią oraz</w:t>
      </w:r>
      <w:r w:rsidR="003326B1">
        <w:rPr>
          <w:rFonts w:ascii="Calibri" w:hAnsi="Calibri" w:cs="Calibri"/>
          <w:iCs/>
          <w:sz w:val="24"/>
          <w:szCs w:val="24"/>
        </w:rPr>
        <w:t> </w:t>
      </w:r>
      <w:r w:rsidRPr="003376E1">
        <w:rPr>
          <w:rFonts w:ascii="Calibri" w:hAnsi="Calibri" w:cs="Calibri"/>
          <w:iCs/>
          <w:sz w:val="24"/>
          <w:szCs w:val="24"/>
        </w:rPr>
        <w:t xml:space="preserve">minimalizację kosztów utrzymania typowych kuchni niemowlęcych istnieją tendencje do likwidacji obiektów należących do ww. grupy. </w:t>
      </w:r>
      <w:r w:rsidRPr="003376E1">
        <w:rPr>
          <w:rFonts w:ascii="Calibri" w:hAnsi="Calibri" w:cs="Calibri"/>
          <w:sz w:val="24"/>
          <w:szCs w:val="24"/>
        </w:rPr>
        <w:t xml:space="preserve">W sporadycznych przypadkach noworodki dokarmiane są na oddziale gotowymi mieszankami mleka modyfikowanego wymagającego jedynie podgrzania do temperatury spożycia. </w:t>
      </w:r>
    </w:p>
    <w:p w14:paraId="509A59B2" w14:textId="77777777" w:rsidR="00C545E2" w:rsidRDefault="00C545E2" w:rsidP="00597239">
      <w:pPr>
        <w:spacing w:after="0" w:line="276" w:lineRule="auto"/>
        <w:rPr>
          <w:rFonts w:ascii="Calibri" w:eastAsia="Times New Roman" w:hAnsi="Calibri" w:cs="Calibri"/>
          <w:iCs/>
          <w:sz w:val="24"/>
          <w:szCs w:val="24"/>
          <w:lang w:eastAsia="pl-PL"/>
        </w:rPr>
      </w:pPr>
    </w:p>
    <w:p w14:paraId="608DA73A" w14:textId="26777A44" w:rsidR="00387460" w:rsidRPr="003376E1" w:rsidRDefault="00387460" w:rsidP="00597239">
      <w:pPr>
        <w:spacing w:after="0" w:line="276" w:lineRule="auto"/>
        <w:rPr>
          <w:rFonts w:ascii="Calibri" w:hAnsi="Calibri" w:cs="Calibri"/>
          <w:iCs/>
          <w:sz w:val="24"/>
          <w:szCs w:val="24"/>
        </w:rPr>
      </w:pPr>
      <w:r w:rsidRPr="003376E1">
        <w:rPr>
          <w:rFonts w:ascii="Calibri" w:eastAsia="Times New Roman" w:hAnsi="Calibri" w:cs="Calibri"/>
          <w:iCs/>
          <w:sz w:val="24"/>
          <w:szCs w:val="24"/>
          <w:lang w:eastAsia="pl-PL"/>
        </w:rPr>
        <w:t xml:space="preserve">W 2024 r. przeprowadzono 62 kontrole sanitarne w 33 obiektach. W zakładach, w których stwierdzono nieprawidłowości </w:t>
      </w:r>
      <w:r w:rsidRPr="003376E1">
        <w:rPr>
          <w:rFonts w:ascii="Calibri" w:hAnsi="Calibri" w:cs="Calibri"/>
          <w:iCs/>
          <w:sz w:val="24"/>
          <w:szCs w:val="24"/>
        </w:rPr>
        <w:t xml:space="preserve">wydane zostały decyzje na poprawę stanu sanitarno-technicznego. </w:t>
      </w:r>
    </w:p>
    <w:p w14:paraId="799B1D2A" w14:textId="77777777" w:rsidR="00C545E2" w:rsidRDefault="00C545E2" w:rsidP="00597239">
      <w:pPr>
        <w:spacing w:after="0" w:line="276" w:lineRule="auto"/>
        <w:rPr>
          <w:rFonts w:ascii="Calibri" w:hAnsi="Calibri" w:cs="Calibri"/>
          <w:iCs/>
          <w:sz w:val="24"/>
          <w:szCs w:val="24"/>
        </w:rPr>
      </w:pPr>
    </w:p>
    <w:p w14:paraId="3555536F" w14:textId="4C6FD715" w:rsidR="00387460" w:rsidRDefault="00387460" w:rsidP="00597239">
      <w:pPr>
        <w:spacing w:after="0" w:line="276" w:lineRule="auto"/>
        <w:rPr>
          <w:rFonts w:ascii="Calibri" w:hAnsi="Calibri" w:cs="Calibri"/>
          <w:iCs/>
          <w:sz w:val="24"/>
          <w:szCs w:val="24"/>
        </w:rPr>
      </w:pPr>
      <w:r w:rsidRPr="003376E1">
        <w:rPr>
          <w:rFonts w:ascii="Calibri" w:hAnsi="Calibri" w:cs="Calibri"/>
          <w:iCs/>
          <w:sz w:val="24"/>
          <w:szCs w:val="24"/>
        </w:rPr>
        <w:t>W ramach urzędowej kontroli żywności pobrano do oceny 24 jadłospisy dekadowe. W przypadku 2 jadłospisów wykazano nieprawidłowości m. in.</w:t>
      </w:r>
      <w:r>
        <w:rPr>
          <w:rFonts w:ascii="Calibri" w:hAnsi="Calibri" w:cs="Calibri"/>
          <w:iCs/>
          <w:sz w:val="24"/>
          <w:szCs w:val="24"/>
        </w:rPr>
        <w:t>:</w:t>
      </w:r>
      <w:r w:rsidRPr="003376E1">
        <w:rPr>
          <w:rFonts w:ascii="Calibri" w:hAnsi="Calibri" w:cs="Calibri"/>
          <w:iCs/>
          <w:sz w:val="24"/>
          <w:szCs w:val="24"/>
        </w:rPr>
        <w:t xml:space="preserve">  zbyt małą liczbę posiłków w</w:t>
      </w:r>
      <w:r>
        <w:rPr>
          <w:rFonts w:ascii="Calibri" w:hAnsi="Calibri" w:cs="Calibri"/>
          <w:iCs/>
          <w:sz w:val="24"/>
          <w:szCs w:val="24"/>
        </w:rPr>
        <w:t> </w:t>
      </w:r>
      <w:r w:rsidRPr="003376E1">
        <w:rPr>
          <w:rFonts w:ascii="Calibri" w:hAnsi="Calibri" w:cs="Calibri"/>
          <w:iCs/>
          <w:sz w:val="24"/>
          <w:szCs w:val="24"/>
        </w:rPr>
        <w:t xml:space="preserve">ciągu dnia, zbyt duże przerwy między </w:t>
      </w:r>
      <w:r w:rsidRPr="00257505">
        <w:rPr>
          <w:rFonts w:ascii="Calibri" w:hAnsi="Calibri" w:cs="Calibri"/>
          <w:iCs/>
          <w:sz w:val="24"/>
          <w:szCs w:val="24"/>
        </w:rPr>
        <w:t>posiłkami</w:t>
      </w:r>
      <w:r w:rsidRPr="00257505">
        <w:rPr>
          <w:rFonts w:ascii="Calibri" w:hAnsi="Calibri" w:cs="Calibri"/>
          <w:iCs/>
          <w:color w:val="000000" w:themeColor="text1"/>
          <w:sz w:val="24"/>
          <w:szCs w:val="24"/>
        </w:rPr>
        <w:t xml:space="preserve">, małą ilość podawanego </w:t>
      </w:r>
      <w:r w:rsidRPr="003376E1">
        <w:rPr>
          <w:rFonts w:ascii="Calibri" w:hAnsi="Calibri" w:cs="Calibri"/>
          <w:iCs/>
          <w:sz w:val="24"/>
          <w:szCs w:val="24"/>
        </w:rPr>
        <w:t>w ciągu dnia</w:t>
      </w:r>
      <w:r w:rsidRPr="00257505">
        <w:rPr>
          <w:rFonts w:ascii="Calibri" w:hAnsi="Calibri" w:cs="Calibri"/>
          <w:iCs/>
          <w:color w:val="000000" w:themeColor="text1"/>
          <w:sz w:val="24"/>
          <w:szCs w:val="24"/>
        </w:rPr>
        <w:t xml:space="preserve"> mleka</w:t>
      </w:r>
      <w:r w:rsidRPr="003376E1">
        <w:rPr>
          <w:rFonts w:ascii="Calibri" w:hAnsi="Calibri" w:cs="Calibri"/>
          <w:iCs/>
          <w:sz w:val="24"/>
          <w:szCs w:val="24"/>
        </w:rPr>
        <w:t xml:space="preserve">, </w:t>
      </w:r>
      <w:r w:rsidRPr="00257505">
        <w:rPr>
          <w:rFonts w:ascii="Calibri" w:hAnsi="Calibri" w:cs="Calibri"/>
          <w:iCs/>
          <w:color w:val="000000" w:themeColor="text1"/>
          <w:sz w:val="24"/>
          <w:szCs w:val="24"/>
        </w:rPr>
        <w:t xml:space="preserve">niewielką ilość bądź nawet brak warzyw/owoców w dekadzie, niską zawartość tłuszczów </w:t>
      </w:r>
      <w:r w:rsidRPr="003376E1">
        <w:rPr>
          <w:rFonts w:ascii="Calibri" w:hAnsi="Calibri" w:cs="Calibri"/>
          <w:iCs/>
          <w:sz w:val="24"/>
          <w:szCs w:val="24"/>
        </w:rPr>
        <w:t>roślinnych bogatych w kwasy jedno- i wielo</w:t>
      </w:r>
      <w:r>
        <w:rPr>
          <w:rFonts w:ascii="Calibri" w:hAnsi="Calibri" w:cs="Calibri"/>
          <w:iCs/>
          <w:sz w:val="24"/>
          <w:szCs w:val="24"/>
        </w:rPr>
        <w:t>nienas</w:t>
      </w:r>
      <w:r w:rsidRPr="003376E1">
        <w:rPr>
          <w:rFonts w:ascii="Calibri" w:hAnsi="Calibri" w:cs="Calibri"/>
          <w:iCs/>
          <w:sz w:val="24"/>
          <w:szCs w:val="24"/>
        </w:rPr>
        <w:t xml:space="preserve">ycone, </w:t>
      </w:r>
      <w:r w:rsidRPr="00257505">
        <w:rPr>
          <w:rFonts w:ascii="Calibri" w:hAnsi="Calibri" w:cs="Calibri"/>
          <w:iCs/>
          <w:color w:val="000000" w:themeColor="text1"/>
          <w:sz w:val="24"/>
          <w:szCs w:val="24"/>
        </w:rPr>
        <w:t xml:space="preserve">niewystarczającą ilość podawanych </w:t>
      </w:r>
      <w:r>
        <w:rPr>
          <w:rFonts w:ascii="Calibri" w:hAnsi="Calibri" w:cs="Calibri"/>
          <w:iCs/>
          <w:sz w:val="24"/>
          <w:szCs w:val="24"/>
        </w:rPr>
        <w:t>płyn</w:t>
      </w:r>
      <w:r w:rsidRPr="003376E1">
        <w:rPr>
          <w:rFonts w:ascii="Calibri" w:hAnsi="Calibri" w:cs="Calibri"/>
          <w:iCs/>
          <w:sz w:val="24"/>
          <w:szCs w:val="24"/>
        </w:rPr>
        <w:t xml:space="preserve">ów w głównych posiłkach. </w:t>
      </w:r>
      <w:r w:rsidRPr="00F12CDE">
        <w:rPr>
          <w:rFonts w:ascii="Calibri" w:hAnsi="Calibri" w:cs="Calibri"/>
          <w:iCs/>
          <w:sz w:val="24"/>
          <w:szCs w:val="24"/>
        </w:rPr>
        <w:t>Wyniki ocen jadłospisów z ewentualnymi uwagami co</w:t>
      </w:r>
      <w:r w:rsidR="002E1F9D">
        <w:rPr>
          <w:rFonts w:ascii="Calibri" w:hAnsi="Calibri" w:cs="Calibri"/>
          <w:iCs/>
          <w:sz w:val="24"/>
          <w:szCs w:val="24"/>
        </w:rPr>
        <w:t> </w:t>
      </w:r>
      <w:r w:rsidRPr="00F12CDE">
        <w:rPr>
          <w:rFonts w:ascii="Calibri" w:hAnsi="Calibri" w:cs="Calibri"/>
          <w:iCs/>
          <w:sz w:val="24"/>
          <w:szCs w:val="24"/>
        </w:rPr>
        <w:t>do</w:t>
      </w:r>
      <w:r w:rsidR="002E1F9D">
        <w:rPr>
          <w:rFonts w:ascii="Calibri" w:hAnsi="Calibri" w:cs="Calibri"/>
          <w:iCs/>
          <w:sz w:val="24"/>
          <w:szCs w:val="24"/>
        </w:rPr>
        <w:t> </w:t>
      </w:r>
      <w:r w:rsidRPr="00F12CDE">
        <w:rPr>
          <w:rFonts w:ascii="Calibri" w:hAnsi="Calibri" w:cs="Calibri"/>
          <w:iCs/>
          <w:sz w:val="24"/>
          <w:szCs w:val="24"/>
        </w:rPr>
        <w:t>sposobu żywienia każdorazowo kierowano do osób odpowiedzialnych</w:t>
      </w:r>
      <w:r>
        <w:rPr>
          <w:rFonts w:ascii="Calibri" w:hAnsi="Calibri" w:cs="Calibri"/>
          <w:iCs/>
          <w:sz w:val="24"/>
          <w:szCs w:val="24"/>
        </w:rPr>
        <w:t xml:space="preserve">, w celu wyeliminowania błędów żywieniowych i zapewnienia posiłków </w:t>
      </w:r>
      <w:r w:rsidRPr="00623C20">
        <w:rPr>
          <w:rFonts w:ascii="Calibri" w:hAnsi="Calibri" w:cs="Calibri"/>
          <w:iCs/>
          <w:sz w:val="24"/>
          <w:szCs w:val="24"/>
        </w:rPr>
        <w:t>zgodn</w:t>
      </w:r>
      <w:r>
        <w:rPr>
          <w:rFonts w:ascii="Calibri" w:hAnsi="Calibri" w:cs="Calibri"/>
          <w:iCs/>
          <w:sz w:val="24"/>
          <w:szCs w:val="24"/>
        </w:rPr>
        <w:t>ych</w:t>
      </w:r>
      <w:r w:rsidRPr="00623C20">
        <w:rPr>
          <w:rFonts w:ascii="Calibri" w:hAnsi="Calibri" w:cs="Calibri"/>
          <w:iCs/>
          <w:sz w:val="24"/>
          <w:szCs w:val="24"/>
        </w:rPr>
        <w:t xml:space="preserve"> z zasadami racjonalnego żywienia</w:t>
      </w:r>
      <w:r>
        <w:rPr>
          <w:rFonts w:ascii="Calibri" w:hAnsi="Calibri" w:cs="Calibri"/>
          <w:iCs/>
          <w:sz w:val="24"/>
          <w:szCs w:val="24"/>
        </w:rPr>
        <w:t>.</w:t>
      </w:r>
    </w:p>
    <w:p w14:paraId="6C95D14E" w14:textId="77777777" w:rsidR="00C545E2" w:rsidRDefault="00C545E2" w:rsidP="00597239">
      <w:pPr>
        <w:spacing w:after="0" w:line="276" w:lineRule="auto"/>
        <w:rPr>
          <w:rFonts w:ascii="Calibri" w:hAnsi="Calibri" w:cs="Calibri"/>
          <w:iCs/>
          <w:sz w:val="24"/>
          <w:szCs w:val="24"/>
        </w:rPr>
      </w:pPr>
    </w:p>
    <w:p w14:paraId="256E8A5D" w14:textId="4EBABA9C" w:rsidR="00387460" w:rsidRPr="003376E1" w:rsidRDefault="00387460" w:rsidP="00597239">
      <w:pPr>
        <w:spacing w:after="0" w:line="276" w:lineRule="auto"/>
        <w:rPr>
          <w:rFonts w:ascii="Calibri" w:eastAsia="Times New Roman" w:hAnsi="Calibri" w:cs="Calibri"/>
          <w:sz w:val="24"/>
          <w:szCs w:val="24"/>
          <w:lang w:eastAsia="pl-PL"/>
        </w:rPr>
      </w:pPr>
      <w:r>
        <w:rPr>
          <w:rFonts w:ascii="Calibri" w:hAnsi="Calibri" w:cs="Calibri"/>
          <w:iCs/>
          <w:sz w:val="24"/>
          <w:szCs w:val="24"/>
        </w:rPr>
        <w:t xml:space="preserve">W ramach prowadzonego nadzoru pobrano również do badań </w:t>
      </w:r>
      <w:r w:rsidRPr="003376E1">
        <w:rPr>
          <w:rFonts w:ascii="Calibri" w:hAnsi="Calibri" w:cs="Calibri"/>
          <w:sz w:val="24"/>
          <w:szCs w:val="24"/>
        </w:rPr>
        <w:t>5 próbek</w:t>
      </w:r>
      <w:r w:rsidRPr="003376E1">
        <w:rPr>
          <w:rFonts w:ascii="Calibri" w:hAnsi="Calibri" w:cs="Calibri"/>
          <w:iCs/>
          <w:sz w:val="24"/>
          <w:szCs w:val="24"/>
        </w:rPr>
        <w:t xml:space="preserve"> posiłków</w:t>
      </w:r>
      <w:r>
        <w:rPr>
          <w:rFonts w:ascii="Calibri" w:hAnsi="Calibri" w:cs="Calibri"/>
          <w:iCs/>
          <w:sz w:val="24"/>
          <w:szCs w:val="24"/>
        </w:rPr>
        <w:t>. Ż</w:t>
      </w:r>
      <w:r w:rsidRPr="003376E1">
        <w:rPr>
          <w:rFonts w:ascii="Calibri" w:hAnsi="Calibri" w:cs="Calibri"/>
          <w:iCs/>
          <w:sz w:val="24"/>
          <w:szCs w:val="24"/>
        </w:rPr>
        <w:t>adna z</w:t>
      </w:r>
      <w:r>
        <w:rPr>
          <w:rFonts w:ascii="Calibri" w:hAnsi="Calibri" w:cs="Calibri"/>
          <w:iCs/>
          <w:sz w:val="24"/>
          <w:szCs w:val="24"/>
        </w:rPr>
        <w:t> </w:t>
      </w:r>
      <w:r w:rsidRPr="003376E1">
        <w:rPr>
          <w:rFonts w:ascii="Calibri" w:hAnsi="Calibri" w:cs="Calibri"/>
          <w:iCs/>
          <w:sz w:val="24"/>
          <w:szCs w:val="24"/>
        </w:rPr>
        <w:t xml:space="preserve">nich nie została uznana za nieprawidłową. </w:t>
      </w:r>
    </w:p>
    <w:p w14:paraId="65C64FE1" w14:textId="77777777" w:rsidR="00C545E2" w:rsidRDefault="00C545E2" w:rsidP="00597239">
      <w:pPr>
        <w:spacing w:after="0" w:line="276" w:lineRule="auto"/>
        <w:rPr>
          <w:rFonts w:ascii="Calibri" w:hAnsi="Calibri" w:cs="Calibri"/>
          <w:sz w:val="24"/>
          <w:szCs w:val="24"/>
        </w:rPr>
      </w:pPr>
    </w:p>
    <w:p w14:paraId="1CBEDEBD" w14:textId="4A8B86FC" w:rsidR="00387460" w:rsidRPr="00366542" w:rsidRDefault="00387460" w:rsidP="00597239">
      <w:pPr>
        <w:spacing w:after="0" w:line="276" w:lineRule="auto"/>
        <w:rPr>
          <w:rFonts w:ascii="Calibri" w:hAnsi="Calibri" w:cs="Calibri"/>
          <w:sz w:val="24"/>
          <w:szCs w:val="24"/>
        </w:rPr>
      </w:pPr>
      <w:r>
        <w:rPr>
          <w:rFonts w:ascii="Calibri" w:hAnsi="Calibri" w:cs="Calibri"/>
          <w:sz w:val="24"/>
          <w:szCs w:val="24"/>
        </w:rPr>
        <w:t>Dane zebrane w czasie czynności kontrolnych wskazują na poprawę jakości posiłków w szpitalach w stosunku do lat poprzednich. Należy podkreślić, że ponad połowa</w:t>
      </w:r>
      <w:r w:rsidRPr="003376E1">
        <w:rPr>
          <w:rFonts w:ascii="Calibri" w:hAnsi="Calibri" w:cs="Calibri"/>
          <w:sz w:val="24"/>
          <w:szCs w:val="24"/>
        </w:rPr>
        <w:t xml:space="preserve"> szpitali woj. zachodniopomorskiego przystąpiła do programu pilotażowego w zakresie edukacji żywieniowej oraz poprawy jakości żywienia w szpitalach – „Dobry posiłek w szpitalu”</w:t>
      </w:r>
      <w:r>
        <w:rPr>
          <w:rFonts w:ascii="Calibri" w:hAnsi="Calibri" w:cs="Calibri"/>
          <w:sz w:val="24"/>
          <w:szCs w:val="24"/>
        </w:rPr>
        <w:t>.</w:t>
      </w:r>
    </w:p>
    <w:p w14:paraId="4A7B6D40" w14:textId="77777777" w:rsidR="00387460" w:rsidRPr="006672BF" w:rsidRDefault="00387460" w:rsidP="00597239">
      <w:pPr>
        <w:spacing w:after="0" w:line="276" w:lineRule="auto"/>
        <w:rPr>
          <w:i/>
          <w:iCs/>
          <w:sz w:val="24"/>
          <w:szCs w:val="24"/>
        </w:rPr>
      </w:pPr>
    </w:p>
    <w:p w14:paraId="1665966C" w14:textId="133D4CCE" w:rsidR="000B4D72" w:rsidRPr="006672BF" w:rsidRDefault="000B4D72" w:rsidP="00597239">
      <w:pPr>
        <w:pStyle w:val="Nagwek3"/>
        <w:numPr>
          <w:ilvl w:val="1"/>
          <w:numId w:val="34"/>
        </w:numPr>
        <w:spacing w:before="0" w:after="0"/>
        <w:ind w:left="568" w:hanging="284"/>
      </w:pPr>
      <w:bookmarkStart w:id="217" w:name="_Toc192678725"/>
      <w:bookmarkStart w:id="218" w:name="_Toc193694464"/>
      <w:bookmarkStart w:id="219" w:name="_Toc194059803"/>
      <w:r w:rsidRPr="006672BF">
        <w:t>Dezynfekcja</w:t>
      </w:r>
      <w:bookmarkEnd w:id="217"/>
      <w:bookmarkEnd w:id="218"/>
      <w:bookmarkEnd w:id="219"/>
    </w:p>
    <w:p w14:paraId="5248740A" w14:textId="17821A08" w:rsidR="000B4D72" w:rsidRPr="00597393" w:rsidRDefault="000B4D72" w:rsidP="00597239">
      <w:pPr>
        <w:tabs>
          <w:tab w:val="left" w:pos="851"/>
        </w:tabs>
        <w:spacing w:after="0" w:line="276" w:lineRule="auto"/>
        <w:rPr>
          <w:rFonts w:eastAsia="Calibri" w:cstheme="minorHAnsi"/>
          <w:color w:val="000000" w:themeColor="text1"/>
          <w:sz w:val="24"/>
          <w:szCs w:val="24"/>
        </w:rPr>
      </w:pPr>
      <w:r w:rsidRPr="00597393">
        <w:rPr>
          <w:rFonts w:eastAsia="Calibri" w:cstheme="minorHAnsi"/>
          <w:color w:val="000000" w:themeColor="text1"/>
          <w:sz w:val="24"/>
          <w:szCs w:val="24"/>
        </w:rPr>
        <w:t>Prowadzone w 2024 r. kontrole wykazały, że podobnie jak w latach ubiegłych, w</w:t>
      </w:r>
      <w:r w:rsidR="007B1BEB">
        <w:rPr>
          <w:rFonts w:eastAsia="Calibri" w:cstheme="minorHAnsi"/>
          <w:color w:val="000000" w:themeColor="text1"/>
          <w:sz w:val="24"/>
          <w:szCs w:val="24"/>
        </w:rPr>
        <w:t> </w:t>
      </w:r>
      <w:r w:rsidRPr="00597393">
        <w:rPr>
          <w:rFonts w:eastAsia="Calibri" w:cstheme="minorHAnsi"/>
          <w:color w:val="000000" w:themeColor="text1"/>
          <w:sz w:val="24"/>
          <w:szCs w:val="24"/>
        </w:rPr>
        <w:t>szpitalach do</w:t>
      </w:r>
      <w:r w:rsidR="00020A86">
        <w:rPr>
          <w:rFonts w:eastAsia="Calibri" w:cstheme="minorHAnsi"/>
          <w:color w:val="000000" w:themeColor="text1"/>
          <w:sz w:val="24"/>
          <w:szCs w:val="24"/>
        </w:rPr>
        <w:t> </w:t>
      </w:r>
      <w:r w:rsidRPr="00597393">
        <w:rPr>
          <w:rFonts w:eastAsia="Calibri" w:cstheme="minorHAnsi"/>
          <w:color w:val="000000" w:themeColor="text1"/>
          <w:sz w:val="24"/>
          <w:szCs w:val="24"/>
        </w:rPr>
        <w:t>dezynfekcji stosowano preparaty, które posiadały wpis do rejestru prowadzonego przez Urząd Rejestracji Produktów Leczniczych, Wyrobów Medycznych i</w:t>
      </w:r>
      <w:r w:rsidR="007B1BEB">
        <w:rPr>
          <w:rFonts w:eastAsia="Calibri" w:cstheme="minorHAnsi"/>
          <w:color w:val="000000" w:themeColor="text1"/>
          <w:sz w:val="24"/>
          <w:szCs w:val="24"/>
        </w:rPr>
        <w:t> </w:t>
      </w:r>
      <w:r w:rsidRPr="00597393">
        <w:rPr>
          <w:rFonts w:eastAsia="Calibri" w:cstheme="minorHAnsi"/>
          <w:color w:val="000000" w:themeColor="text1"/>
          <w:sz w:val="24"/>
          <w:szCs w:val="24"/>
        </w:rPr>
        <w:t>Produktów Biobójczych oraz znak zgodności CE (znak bezpieczeństwa).</w:t>
      </w:r>
    </w:p>
    <w:p w14:paraId="2A8BA60C" w14:textId="77777777" w:rsidR="00C545E2" w:rsidRDefault="00C545E2" w:rsidP="00597239">
      <w:pPr>
        <w:tabs>
          <w:tab w:val="left" w:pos="851"/>
        </w:tabs>
        <w:spacing w:after="0" w:line="276" w:lineRule="auto"/>
        <w:rPr>
          <w:rFonts w:eastAsia="Calibri" w:cstheme="minorHAnsi"/>
          <w:color w:val="000000" w:themeColor="text1"/>
          <w:sz w:val="24"/>
          <w:szCs w:val="24"/>
        </w:rPr>
      </w:pPr>
    </w:p>
    <w:p w14:paraId="4098966C" w14:textId="03F35EE2" w:rsidR="000B4D72" w:rsidRPr="00597393" w:rsidRDefault="000B4D72" w:rsidP="00597239">
      <w:pPr>
        <w:tabs>
          <w:tab w:val="left" w:pos="851"/>
        </w:tabs>
        <w:spacing w:after="0" w:line="276" w:lineRule="auto"/>
        <w:rPr>
          <w:rFonts w:eastAsia="Calibri" w:cstheme="minorHAnsi"/>
          <w:color w:val="000000" w:themeColor="text1"/>
          <w:sz w:val="24"/>
          <w:szCs w:val="24"/>
        </w:rPr>
      </w:pPr>
      <w:r w:rsidRPr="00597393">
        <w:rPr>
          <w:rFonts w:eastAsia="Calibri" w:cstheme="minorHAnsi"/>
          <w:color w:val="000000" w:themeColor="text1"/>
          <w:sz w:val="24"/>
          <w:szCs w:val="24"/>
        </w:rPr>
        <w:lastRenderedPageBreak/>
        <w:t>Dezynfekcja powierzchni odbywała się zgodnie z opracowanymi procedurami</w:t>
      </w:r>
      <w:r>
        <w:rPr>
          <w:rFonts w:eastAsia="Calibri" w:cstheme="minorHAnsi"/>
          <w:color w:val="000000" w:themeColor="text1"/>
          <w:sz w:val="24"/>
          <w:szCs w:val="24"/>
        </w:rPr>
        <w:t>, a</w:t>
      </w:r>
      <w:r w:rsidRPr="00597393">
        <w:rPr>
          <w:rFonts w:eastAsia="Calibri" w:cstheme="minorHAnsi"/>
          <w:color w:val="000000" w:themeColor="text1"/>
          <w:sz w:val="24"/>
          <w:szCs w:val="24"/>
        </w:rPr>
        <w:t xml:space="preserve"> </w:t>
      </w:r>
      <w:r>
        <w:rPr>
          <w:rFonts w:eastAsia="Calibri" w:cstheme="minorHAnsi"/>
          <w:color w:val="000000" w:themeColor="text1"/>
          <w:sz w:val="24"/>
          <w:szCs w:val="24"/>
        </w:rPr>
        <w:t>d</w:t>
      </w:r>
      <w:r w:rsidRPr="00597393">
        <w:rPr>
          <w:rFonts w:eastAsia="Calibri" w:cstheme="minorHAnsi"/>
          <w:color w:val="000000" w:themeColor="text1"/>
          <w:sz w:val="24"/>
          <w:szCs w:val="24"/>
        </w:rPr>
        <w:t>obór preparatów uzależniony był od ich zastosowania</w:t>
      </w:r>
      <w:r>
        <w:rPr>
          <w:rFonts w:eastAsia="Calibri" w:cstheme="minorHAnsi"/>
          <w:color w:val="000000" w:themeColor="text1"/>
          <w:sz w:val="24"/>
          <w:szCs w:val="24"/>
        </w:rPr>
        <w:t>.</w:t>
      </w:r>
      <w:r w:rsidRPr="00597393">
        <w:rPr>
          <w:rFonts w:eastAsia="Calibri" w:cstheme="minorHAnsi"/>
          <w:color w:val="000000" w:themeColor="text1"/>
          <w:sz w:val="24"/>
          <w:szCs w:val="24"/>
        </w:rPr>
        <w:t xml:space="preserve"> Zabiegi dezynfekcyjne stosowane były we wszystkich obszarach mających kontakt z materiałem organicznym.</w:t>
      </w:r>
    </w:p>
    <w:p w14:paraId="38CF9190" w14:textId="77777777" w:rsidR="000B4D72" w:rsidRPr="00597393" w:rsidRDefault="000B4D72" w:rsidP="00597239">
      <w:pPr>
        <w:tabs>
          <w:tab w:val="left" w:pos="851"/>
        </w:tabs>
        <w:spacing w:after="0" w:line="276" w:lineRule="auto"/>
        <w:rPr>
          <w:rFonts w:eastAsia="Calibri" w:cstheme="minorHAnsi"/>
          <w:color w:val="000000" w:themeColor="text1"/>
          <w:sz w:val="24"/>
          <w:szCs w:val="24"/>
        </w:rPr>
      </w:pPr>
      <w:r w:rsidRPr="00597393">
        <w:rPr>
          <w:rFonts w:eastAsia="Calibri" w:cstheme="minorHAnsi"/>
          <w:color w:val="000000" w:themeColor="text1"/>
          <w:sz w:val="24"/>
          <w:szCs w:val="24"/>
        </w:rPr>
        <w:t>Mycie i dezynfekcja narzędzi wielokrotnego użytku odbywała się w gabinetach zabiegowych, w tym endoskopowych, centralnych sterylizatorniach oraz na blokach operacyjnych. Środki dezynfekcyjne stosowane w placówkach przygotowywane były przez osoby przeszkolone</w:t>
      </w:r>
      <w:r>
        <w:rPr>
          <w:rFonts w:eastAsia="Calibri" w:cstheme="minorHAnsi"/>
          <w:color w:val="000000" w:themeColor="text1"/>
          <w:sz w:val="24"/>
          <w:szCs w:val="24"/>
        </w:rPr>
        <w:t>.</w:t>
      </w:r>
      <w:r w:rsidRPr="00597393">
        <w:rPr>
          <w:rFonts w:eastAsia="Calibri" w:cstheme="minorHAnsi"/>
          <w:color w:val="000000" w:themeColor="text1"/>
          <w:sz w:val="24"/>
          <w:szCs w:val="24"/>
        </w:rPr>
        <w:t xml:space="preserve"> </w:t>
      </w:r>
    </w:p>
    <w:p w14:paraId="731F29A9" w14:textId="77777777" w:rsidR="00C545E2" w:rsidRDefault="00C545E2" w:rsidP="00597239">
      <w:pPr>
        <w:tabs>
          <w:tab w:val="left" w:pos="851"/>
        </w:tabs>
        <w:spacing w:after="0" w:line="276" w:lineRule="auto"/>
        <w:rPr>
          <w:rFonts w:eastAsia="Calibri" w:cstheme="minorHAnsi"/>
          <w:color w:val="000000" w:themeColor="text1"/>
          <w:sz w:val="24"/>
          <w:szCs w:val="24"/>
        </w:rPr>
      </w:pPr>
    </w:p>
    <w:p w14:paraId="0E102379" w14:textId="3D841FB7" w:rsidR="000B4D72" w:rsidRPr="000732D7" w:rsidRDefault="000B4D72" w:rsidP="00597239">
      <w:pPr>
        <w:tabs>
          <w:tab w:val="left" w:pos="851"/>
        </w:tabs>
        <w:spacing w:after="0" w:line="276" w:lineRule="auto"/>
        <w:rPr>
          <w:rFonts w:eastAsia="Calibri" w:cstheme="minorHAnsi"/>
          <w:color w:val="000000" w:themeColor="text1"/>
          <w:sz w:val="24"/>
          <w:szCs w:val="24"/>
        </w:rPr>
      </w:pPr>
      <w:r w:rsidRPr="000732D7">
        <w:rPr>
          <w:rFonts w:eastAsia="Calibri" w:cstheme="minorHAnsi"/>
          <w:color w:val="000000" w:themeColor="text1"/>
          <w:sz w:val="24"/>
          <w:szCs w:val="24"/>
        </w:rPr>
        <w:t>Przechowywanie środków dezynfekcyjnych odbywało się w wydzielonych pomieszczeniach oraz w</w:t>
      </w:r>
      <w:r>
        <w:rPr>
          <w:rFonts w:eastAsia="Calibri" w:cstheme="minorHAnsi"/>
          <w:color w:val="000000" w:themeColor="text1"/>
          <w:sz w:val="24"/>
          <w:szCs w:val="24"/>
        </w:rPr>
        <w:t xml:space="preserve"> </w:t>
      </w:r>
      <w:r w:rsidRPr="000732D7">
        <w:rPr>
          <w:rFonts w:eastAsia="Calibri" w:cstheme="minorHAnsi"/>
          <w:color w:val="000000" w:themeColor="text1"/>
          <w:sz w:val="24"/>
          <w:szCs w:val="24"/>
        </w:rPr>
        <w:t>oznakowanych, zamkniętych szafach. Zaopatrzenie szpitali w środki dezynfekcyjne w</w:t>
      </w:r>
      <w:r w:rsidR="00C545E2">
        <w:rPr>
          <w:rFonts w:eastAsia="Calibri" w:cstheme="minorHAnsi"/>
          <w:color w:val="000000" w:themeColor="text1"/>
          <w:sz w:val="24"/>
          <w:szCs w:val="24"/>
        </w:rPr>
        <w:t> </w:t>
      </w:r>
      <w:r w:rsidRPr="000732D7">
        <w:rPr>
          <w:rFonts w:eastAsia="Calibri" w:cstheme="minorHAnsi"/>
          <w:color w:val="000000" w:themeColor="text1"/>
          <w:sz w:val="24"/>
          <w:szCs w:val="24"/>
        </w:rPr>
        <w:t>stosunku do ich potrzeb było odpowiednie i wystarczające.</w:t>
      </w:r>
    </w:p>
    <w:p w14:paraId="20BCDE55" w14:textId="77777777" w:rsidR="00C545E2" w:rsidRDefault="00C545E2" w:rsidP="00597239">
      <w:pPr>
        <w:tabs>
          <w:tab w:val="left" w:pos="851"/>
        </w:tabs>
        <w:spacing w:after="0" w:line="276" w:lineRule="auto"/>
        <w:rPr>
          <w:rFonts w:eastAsia="Calibri" w:cstheme="minorHAnsi"/>
          <w:color w:val="000000" w:themeColor="text1"/>
          <w:sz w:val="24"/>
          <w:szCs w:val="24"/>
        </w:rPr>
      </w:pPr>
    </w:p>
    <w:p w14:paraId="1C2D8A7D" w14:textId="0D8E220C" w:rsidR="000B4D72" w:rsidRPr="000732D7" w:rsidRDefault="000B4D72" w:rsidP="00597239">
      <w:pPr>
        <w:tabs>
          <w:tab w:val="left" w:pos="851"/>
        </w:tabs>
        <w:spacing w:after="0" w:line="276" w:lineRule="auto"/>
        <w:rPr>
          <w:rFonts w:eastAsia="Calibri" w:cstheme="minorHAnsi"/>
          <w:color w:val="000000" w:themeColor="text1"/>
          <w:sz w:val="24"/>
          <w:szCs w:val="24"/>
        </w:rPr>
      </w:pPr>
      <w:r w:rsidRPr="000732D7">
        <w:rPr>
          <w:rFonts w:eastAsia="Calibri" w:cstheme="minorHAnsi"/>
          <w:color w:val="000000" w:themeColor="text1"/>
          <w:sz w:val="24"/>
          <w:szCs w:val="24"/>
        </w:rPr>
        <w:t>Proces mycia i dezynfekcji endoskopów był w większości szpitali zautomatyzowany, co</w:t>
      </w:r>
      <w:r w:rsidR="007B1BEB">
        <w:rPr>
          <w:rFonts w:eastAsia="Calibri" w:cstheme="minorHAnsi"/>
          <w:color w:val="000000" w:themeColor="text1"/>
          <w:sz w:val="24"/>
          <w:szCs w:val="24"/>
        </w:rPr>
        <w:t> </w:t>
      </w:r>
      <w:r w:rsidRPr="000732D7">
        <w:rPr>
          <w:rFonts w:eastAsia="Calibri" w:cstheme="minorHAnsi"/>
          <w:color w:val="000000" w:themeColor="text1"/>
          <w:sz w:val="24"/>
          <w:szCs w:val="24"/>
        </w:rPr>
        <w:t>przyczynia się do zwiększenia bezpieczeństwa pacjentów i personelu. Postępowanie w</w:t>
      </w:r>
      <w:r w:rsidR="007B1BEB">
        <w:rPr>
          <w:rFonts w:eastAsia="Calibri" w:cstheme="minorHAnsi"/>
          <w:color w:val="000000" w:themeColor="text1"/>
          <w:sz w:val="24"/>
          <w:szCs w:val="24"/>
        </w:rPr>
        <w:t> </w:t>
      </w:r>
      <w:r w:rsidRPr="000732D7">
        <w:rPr>
          <w:rFonts w:eastAsia="Calibri" w:cstheme="minorHAnsi"/>
          <w:color w:val="000000" w:themeColor="text1"/>
          <w:sz w:val="24"/>
          <w:szCs w:val="24"/>
        </w:rPr>
        <w:t>zakresie dekontaminacji akcesoriów endoskopowych było prawidłowe. Do badań i zabiegów endoskopowych używane były endoskopy ze szczelną optyką, umożliwiającą ich mycie i</w:t>
      </w:r>
      <w:r w:rsidR="007B1BEB">
        <w:rPr>
          <w:rFonts w:eastAsia="Calibri" w:cstheme="minorHAnsi"/>
          <w:color w:val="000000" w:themeColor="text1"/>
          <w:sz w:val="24"/>
          <w:szCs w:val="24"/>
        </w:rPr>
        <w:t> </w:t>
      </w:r>
      <w:r w:rsidRPr="000732D7">
        <w:rPr>
          <w:rFonts w:eastAsia="Calibri" w:cstheme="minorHAnsi"/>
          <w:color w:val="000000" w:themeColor="text1"/>
          <w:sz w:val="24"/>
          <w:szCs w:val="24"/>
        </w:rPr>
        <w:t>dezynfekcję w pełnym zanurzeniu. W niektórych obszarach tj. oddziały anestezjologii i</w:t>
      </w:r>
      <w:r w:rsidR="007B1BEB">
        <w:rPr>
          <w:rFonts w:eastAsia="Calibri" w:cstheme="minorHAnsi"/>
          <w:color w:val="000000" w:themeColor="text1"/>
          <w:sz w:val="24"/>
          <w:szCs w:val="24"/>
        </w:rPr>
        <w:t> </w:t>
      </w:r>
      <w:r w:rsidRPr="000732D7">
        <w:rPr>
          <w:rFonts w:eastAsia="Calibri" w:cstheme="minorHAnsi"/>
          <w:color w:val="000000" w:themeColor="text1"/>
          <w:sz w:val="24"/>
          <w:szCs w:val="24"/>
        </w:rPr>
        <w:t>intensywnej terapii praktykuje się stosowanie dedykowanego sprzętu endoskopowego jednorazowego użytku (bronchofiberoskopy).</w:t>
      </w:r>
    </w:p>
    <w:p w14:paraId="04196557" w14:textId="77777777" w:rsidR="00C545E2" w:rsidRDefault="00C545E2" w:rsidP="00597239">
      <w:pPr>
        <w:tabs>
          <w:tab w:val="left" w:pos="851"/>
        </w:tabs>
        <w:spacing w:after="0" w:line="276" w:lineRule="auto"/>
        <w:rPr>
          <w:rFonts w:eastAsia="Calibri" w:cstheme="minorHAnsi"/>
          <w:color w:val="000000" w:themeColor="text1"/>
          <w:sz w:val="24"/>
          <w:szCs w:val="24"/>
        </w:rPr>
      </w:pPr>
    </w:p>
    <w:p w14:paraId="1A26935C" w14:textId="08AA30A8" w:rsidR="000B4D72" w:rsidRPr="00917637" w:rsidRDefault="000B4D72" w:rsidP="00597239">
      <w:pPr>
        <w:tabs>
          <w:tab w:val="left" w:pos="851"/>
        </w:tabs>
        <w:spacing w:after="0" w:line="276" w:lineRule="auto"/>
        <w:rPr>
          <w:rFonts w:eastAsia="Calibri" w:cstheme="minorHAnsi"/>
          <w:color w:val="000000" w:themeColor="text1"/>
          <w:sz w:val="24"/>
          <w:szCs w:val="24"/>
        </w:rPr>
      </w:pPr>
      <w:r w:rsidRPr="00917637">
        <w:rPr>
          <w:rFonts w:eastAsia="Calibri" w:cstheme="minorHAnsi"/>
          <w:color w:val="000000" w:themeColor="text1"/>
          <w:sz w:val="24"/>
          <w:szCs w:val="24"/>
        </w:rPr>
        <w:t>Na koniec 2024 roku na terenie woj. zachodniopomorskiego funkcjonowała 1 komora dezynfekcyjna w SPZZOZ w Gryficach. Wyposażenie w pozostałych szpitalach (m.in. koce, poduszki) poddawane było praniu i dezynfekcji w pralniach wewnętrznych lub zewnętrznych.</w:t>
      </w:r>
    </w:p>
    <w:p w14:paraId="1999BA8D" w14:textId="77777777" w:rsidR="00C545E2" w:rsidRDefault="00C545E2" w:rsidP="00597239">
      <w:pPr>
        <w:tabs>
          <w:tab w:val="left" w:pos="851"/>
        </w:tabs>
        <w:spacing w:after="0" w:line="276" w:lineRule="auto"/>
        <w:rPr>
          <w:rFonts w:eastAsia="Calibri" w:cstheme="minorHAnsi"/>
          <w:color w:val="000000" w:themeColor="text1"/>
          <w:sz w:val="24"/>
          <w:szCs w:val="24"/>
        </w:rPr>
      </w:pPr>
    </w:p>
    <w:p w14:paraId="54F001DE" w14:textId="5D5178F2" w:rsidR="000B4D72" w:rsidRDefault="000B4D72" w:rsidP="00597239">
      <w:pPr>
        <w:tabs>
          <w:tab w:val="left" w:pos="851"/>
        </w:tabs>
        <w:spacing w:after="0" w:line="276" w:lineRule="auto"/>
        <w:rPr>
          <w:rFonts w:eastAsia="Calibri" w:cstheme="minorHAnsi"/>
          <w:color w:val="000000" w:themeColor="text1"/>
          <w:sz w:val="24"/>
          <w:szCs w:val="24"/>
        </w:rPr>
      </w:pPr>
      <w:r w:rsidRPr="00917637">
        <w:rPr>
          <w:rFonts w:eastAsia="Calibri" w:cstheme="minorHAnsi"/>
          <w:color w:val="000000" w:themeColor="text1"/>
          <w:sz w:val="24"/>
          <w:szCs w:val="24"/>
        </w:rPr>
        <w:t xml:space="preserve">Ponadto w celu ochrony materacy przed zanieczyszczeniem, w większości szpitali używane są pokrowce z nieprzemakalnego, zmywalnego, odpornego na środki dezynfekcyjne materiału, typu </w:t>
      </w:r>
      <w:proofErr w:type="spellStart"/>
      <w:r w:rsidRPr="00917637">
        <w:rPr>
          <w:rFonts w:eastAsia="Calibri" w:cstheme="minorHAnsi"/>
          <w:color w:val="000000" w:themeColor="text1"/>
          <w:sz w:val="24"/>
          <w:szCs w:val="24"/>
        </w:rPr>
        <w:t>ecolastic</w:t>
      </w:r>
      <w:proofErr w:type="spellEnd"/>
      <w:r w:rsidRPr="00917637">
        <w:rPr>
          <w:rFonts w:eastAsia="Calibri" w:cstheme="minorHAnsi"/>
          <w:color w:val="000000" w:themeColor="text1"/>
          <w:sz w:val="24"/>
          <w:szCs w:val="24"/>
        </w:rPr>
        <w:t xml:space="preserve"> lub pokrowce pozwalające na pranie ich w temperaturze 90</w:t>
      </w:r>
      <w:r w:rsidRPr="00917637">
        <w:rPr>
          <w:rFonts w:eastAsia="Calibri" w:cstheme="minorHAnsi"/>
          <w:color w:val="000000" w:themeColor="text1"/>
          <w:sz w:val="24"/>
          <w:szCs w:val="24"/>
          <w:vertAlign w:val="superscript"/>
        </w:rPr>
        <w:t>o</w:t>
      </w:r>
      <w:r w:rsidRPr="00917637">
        <w:rPr>
          <w:rFonts w:eastAsia="Calibri" w:cstheme="minorHAnsi"/>
          <w:color w:val="000000" w:themeColor="text1"/>
          <w:sz w:val="24"/>
          <w:szCs w:val="24"/>
        </w:rPr>
        <w:t>C, a</w:t>
      </w:r>
      <w:r w:rsidR="007B1BEB">
        <w:rPr>
          <w:rFonts w:eastAsia="Calibri" w:cstheme="minorHAnsi"/>
          <w:color w:val="000000" w:themeColor="text1"/>
          <w:sz w:val="24"/>
          <w:szCs w:val="24"/>
        </w:rPr>
        <w:t> </w:t>
      </w:r>
      <w:r w:rsidRPr="00917637">
        <w:rPr>
          <w:rFonts w:eastAsia="Calibri" w:cstheme="minorHAnsi"/>
          <w:color w:val="000000" w:themeColor="text1"/>
          <w:sz w:val="24"/>
          <w:szCs w:val="24"/>
        </w:rPr>
        <w:t>w</w:t>
      </w:r>
      <w:r w:rsidR="007B1BEB">
        <w:rPr>
          <w:rFonts w:eastAsia="Calibri" w:cstheme="minorHAnsi"/>
          <w:color w:val="000000" w:themeColor="text1"/>
          <w:sz w:val="24"/>
          <w:szCs w:val="24"/>
        </w:rPr>
        <w:t> </w:t>
      </w:r>
      <w:r w:rsidRPr="00917637">
        <w:rPr>
          <w:rFonts w:eastAsia="Calibri" w:cstheme="minorHAnsi"/>
          <w:color w:val="000000" w:themeColor="text1"/>
          <w:sz w:val="24"/>
          <w:szCs w:val="24"/>
        </w:rPr>
        <w:t>pozostałych przypadkach stosowane były jednorazowe podkłady foliowe. Zaopatrzenie w</w:t>
      </w:r>
      <w:r w:rsidR="007B1BEB">
        <w:rPr>
          <w:rFonts w:eastAsia="Calibri" w:cstheme="minorHAnsi"/>
          <w:color w:val="000000" w:themeColor="text1"/>
          <w:sz w:val="24"/>
          <w:szCs w:val="24"/>
        </w:rPr>
        <w:t> </w:t>
      </w:r>
      <w:r w:rsidRPr="00917637">
        <w:rPr>
          <w:rFonts w:eastAsia="Calibri" w:cstheme="minorHAnsi"/>
          <w:color w:val="000000" w:themeColor="text1"/>
          <w:sz w:val="24"/>
          <w:szCs w:val="24"/>
        </w:rPr>
        <w:t>środki czystościowe, dezynfekcyjne oraz osłony foliowe do transportu dla potrzeb poszczególnych szpitali było wystarczające.</w:t>
      </w:r>
    </w:p>
    <w:p w14:paraId="2483085F" w14:textId="77777777" w:rsidR="00C545E2" w:rsidRPr="00917637" w:rsidRDefault="00C545E2" w:rsidP="00597239">
      <w:pPr>
        <w:tabs>
          <w:tab w:val="left" w:pos="851"/>
        </w:tabs>
        <w:spacing w:after="0" w:line="276" w:lineRule="auto"/>
        <w:rPr>
          <w:rFonts w:eastAsia="Calibri" w:cstheme="minorHAnsi"/>
          <w:color w:val="000000" w:themeColor="text1"/>
          <w:sz w:val="24"/>
          <w:szCs w:val="24"/>
        </w:rPr>
      </w:pPr>
    </w:p>
    <w:p w14:paraId="16848C80" w14:textId="23427972" w:rsidR="000B4D72" w:rsidRPr="00E16DCC" w:rsidRDefault="000B4D72" w:rsidP="00597239">
      <w:pPr>
        <w:pStyle w:val="Nagwek3"/>
        <w:numPr>
          <w:ilvl w:val="1"/>
          <w:numId w:val="34"/>
        </w:numPr>
        <w:spacing w:before="0" w:after="0"/>
        <w:ind w:left="568" w:hanging="284"/>
      </w:pPr>
      <w:bookmarkStart w:id="220" w:name="_Toc192678726"/>
      <w:bookmarkStart w:id="221" w:name="_Toc193694465"/>
      <w:bookmarkStart w:id="222" w:name="_Toc194059804"/>
      <w:bookmarkStart w:id="223" w:name="_Hlk162336298"/>
      <w:r w:rsidRPr="00E16DCC">
        <w:t>Sterylizacja</w:t>
      </w:r>
      <w:bookmarkEnd w:id="220"/>
      <w:bookmarkEnd w:id="221"/>
      <w:bookmarkEnd w:id="222"/>
    </w:p>
    <w:p w14:paraId="760EBEB9" w14:textId="27FFB2D5" w:rsidR="000B4D72" w:rsidRPr="00E16DCC" w:rsidRDefault="000B4D72" w:rsidP="00597239">
      <w:pPr>
        <w:spacing w:after="0" w:line="276" w:lineRule="auto"/>
        <w:rPr>
          <w:rFonts w:eastAsia="Calibri" w:cstheme="minorHAnsi"/>
          <w:sz w:val="24"/>
          <w:szCs w:val="24"/>
        </w:rPr>
      </w:pPr>
      <w:r w:rsidRPr="00E16DCC">
        <w:rPr>
          <w:rFonts w:eastAsia="Calibri" w:cstheme="minorHAnsi"/>
          <w:sz w:val="24"/>
          <w:szCs w:val="24"/>
        </w:rPr>
        <w:t>W woj. zachodniopomorskim w 2024 r. metody sterylizacji stosowane w praktyce szpitalnej nie uległy zmianie i były prowadzane analogicznie do lat ubiegłych w oparciu o</w:t>
      </w:r>
      <w:r w:rsidR="007B1BEB">
        <w:rPr>
          <w:rFonts w:eastAsia="Calibri" w:cstheme="minorHAnsi"/>
          <w:sz w:val="24"/>
          <w:szCs w:val="24"/>
        </w:rPr>
        <w:t> </w:t>
      </w:r>
      <w:r w:rsidRPr="00E16DCC">
        <w:rPr>
          <w:rFonts w:eastAsia="Calibri" w:cstheme="minorHAnsi"/>
          <w:sz w:val="24"/>
          <w:szCs w:val="24"/>
        </w:rPr>
        <w:t>metody termiczne oraz metody niskotemperaturowe. Podstawową metodą sterylizacji w</w:t>
      </w:r>
      <w:r w:rsidR="007B1BEB">
        <w:rPr>
          <w:rFonts w:eastAsia="Calibri" w:cstheme="minorHAnsi"/>
          <w:sz w:val="24"/>
          <w:szCs w:val="24"/>
        </w:rPr>
        <w:t> </w:t>
      </w:r>
      <w:r w:rsidRPr="00E16DCC">
        <w:rPr>
          <w:rFonts w:eastAsia="Calibri" w:cstheme="minorHAnsi"/>
          <w:sz w:val="24"/>
          <w:szCs w:val="24"/>
        </w:rPr>
        <w:t>podmiotach działalności leczniczej woj. zachodniopomorskiego od wielu lat jest sterylizacja parowa – na</w:t>
      </w:r>
      <w:r w:rsidR="00020A86">
        <w:rPr>
          <w:rFonts w:eastAsia="Calibri" w:cstheme="minorHAnsi"/>
          <w:sz w:val="24"/>
          <w:szCs w:val="24"/>
        </w:rPr>
        <w:t> </w:t>
      </w:r>
      <w:r w:rsidRPr="00E16DCC">
        <w:rPr>
          <w:rFonts w:eastAsia="Calibri" w:cstheme="minorHAnsi"/>
          <w:sz w:val="24"/>
          <w:szCs w:val="24"/>
        </w:rPr>
        <w:t xml:space="preserve">103 wszystkie urządzenia, sterylizatory parowe (autoklawy) stanowiły </w:t>
      </w:r>
      <w:r>
        <w:rPr>
          <w:rFonts w:eastAsia="Calibri" w:cstheme="minorHAnsi"/>
          <w:sz w:val="24"/>
          <w:szCs w:val="24"/>
        </w:rPr>
        <w:t>72</w:t>
      </w:r>
      <w:r w:rsidRPr="00E16DCC">
        <w:rPr>
          <w:rFonts w:eastAsia="Calibri" w:cstheme="minorHAnsi"/>
          <w:sz w:val="24"/>
          <w:szCs w:val="24"/>
        </w:rPr>
        <w:t>%.</w:t>
      </w:r>
    </w:p>
    <w:p w14:paraId="5C4D3769" w14:textId="77777777" w:rsidR="00C545E2" w:rsidRDefault="00C545E2" w:rsidP="00597239">
      <w:pPr>
        <w:spacing w:after="0" w:line="276" w:lineRule="auto"/>
        <w:rPr>
          <w:rFonts w:eastAsia="Calibri" w:cstheme="minorHAnsi"/>
          <w:sz w:val="24"/>
          <w:szCs w:val="24"/>
        </w:rPr>
      </w:pPr>
    </w:p>
    <w:p w14:paraId="2EB7B033" w14:textId="39967682" w:rsidR="000B4D72" w:rsidRDefault="000B4D72" w:rsidP="00597239">
      <w:pPr>
        <w:spacing w:after="0" w:line="276" w:lineRule="auto"/>
        <w:rPr>
          <w:rFonts w:eastAsia="Calibri" w:cstheme="minorHAnsi"/>
          <w:sz w:val="24"/>
          <w:szCs w:val="24"/>
        </w:rPr>
      </w:pPr>
      <w:r w:rsidRPr="00E16DCC">
        <w:rPr>
          <w:rFonts w:eastAsia="Calibri" w:cstheme="minorHAnsi"/>
          <w:sz w:val="24"/>
          <w:szCs w:val="24"/>
        </w:rPr>
        <w:t xml:space="preserve">Liczba urządzeń sterylizacyjnych w szpitalach woj. zachodniopomorskiego w 2024 r. zmniejszyła się w stosunku do roku poprzedzającego o 12 urządzeń. </w:t>
      </w:r>
      <w:r>
        <w:rPr>
          <w:rFonts w:eastAsia="Calibri" w:cstheme="minorHAnsi"/>
          <w:sz w:val="24"/>
          <w:szCs w:val="24"/>
        </w:rPr>
        <w:t>Monitorowanie</w:t>
      </w:r>
      <w:r w:rsidRPr="00E16DCC">
        <w:rPr>
          <w:rFonts w:eastAsia="Calibri" w:cstheme="minorHAnsi"/>
          <w:sz w:val="24"/>
          <w:szCs w:val="24"/>
        </w:rPr>
        <w:t xml:space="preserve"> urządze</w:t>
      </w:r>
      <w:r>
        <w:rPr>
          <w:rFonts w:eastAsia="Calibri" w:cstheme="minorHAnsi"/>
          <w:sz w:val="24"/>
          <w:szCs w:val="24"/>
        </w:rPr>
        <w:t xml:space="preserve">ń </w:t>
      </w:r>
      <w:r w:rsidRPr="00E16DCC">
        <w:rPr>
          <w:rFonts w:eastAsia="Calibri" w:cstheme="minorHAnsi"/>
          <w:sz w:val="24"/>
          <w:szCs w:val="24"/>
        </w:rPr>
        <w:t>sterylizacyjny</w:t>
      </w:r>
      <w:r>
        <w:rPr>
          <w:rFonts w:eastAsia="Calibri" w:cstheme="minorHAnsi"/>
          <w:sz w:val="24"/>
          <w:szCs w:val="24"/>
        </w:rPr>
        <w:t>ch</w:t>
      </w:r>
      <w:r w:rsidRPr="00E16DCC">
        <w:rPr>
          <w:rFonts w:eastAsia="Calibri" w:cstheme="minorHAnsi"/>
          <w:sz w:val="24"/>
          <w:szCs w:val="24"/>
        </w:rPr>
        <w:t xml:space="preserve"> </w:t>
      </w:r>
      <w:r>
        <w:rPr>
          <w:rFonts w:eastAsia="Calibri" w:cstheme="minorHAnsi"/>
          <w:sz w:val="24"/>
          <w:szCs w:val="24"/>
        </w:rPr>
        <w:t xml:space="preserve">testami biologicznymi </w:t>
      </w:r>
      <w:r w:rsidRPr="00E16DCC">
        <w:rPr>
          <w:rFonts w:eastAsia="Calibri" w:cstheme="minorHAnsi"/>
          <w:sz w:val="24"/>
          <w:szCs w:val="24"/>
        </w:rPr>
        <w:t>w szpitalach przedstawia tabela</w:t>
      </w:r>
      <w:r>
        <w:rPr>
          <w:rFonts w:eastAsia="Calibri" w:cstheme="minorHAnsi"/>
          <w:sz w:val="24"/>
          <w:szCs w:val="24"/>
        </w:rPr>
        <w:t xml:space="preserve"> 31</w:t>
      </w:r>
      <w:r w:rsidRPr="00E16DCC">
        <w:rPr>
          <w:rFonts w:eastAsia="Calibri" w:cstheme="minorHAnsi"/>
          <w:sz w:val="24"/>
          <w:szCs w:val="24"/>
        </w:rPr>
        <w:t>.</w:t>
      </w:r>
    </w:p>
    <w:p w14:paraId="01DA3603" w14:textId="77777777" w:rsidR="00C545E2" w:rsidRPr="00E16DCC" w:rsidRDefault="00C545E2" w:rsidP="00597239">
      <w:pPr>
        <w:spacing w:after="0" w:line="276" w:lineRule="auto"/>
        <w:rPr>
          <w:rFonts w:eastAsia="Calibri" w:cstheme="minorHAnsi"/>
          <w:sz w:val="24"/>
          <w:szCs w:val="24"/>
        </w:rPr>
      </w:pPr>
    </w:p>
    <w:p w14:paraId="6BBB0096" w14:textId="77777777" w:rsidR="00C545E2" w:rsidRDefault="00C545E2" w:rsidP="00597239">
      <w:pPr>
        <w:pStyle w:val="Legenda"/>
        <w:spacing w:after="0"/>
        <w:rPr>
          <w:i w:val="0"/>
          <w:iCs w:val="0"/>
          <w:color w:val="000000" w:themeColor="text1"/>
        </w:rPr>
      </w:pPr>
      <w:bookmarkStart w:id="224" w:name="_Toc193806001"/>
    </w:p>
    <w:p w14:paraId="6086A9FF" w14:textId="77777777" w:rsidR="00C545E2" w:rsidRDefault="00C545E2" w:rsidP="00597239">
      <w:pPr>
        <w:pStyle w:val="Legenda"/>
        <w:spacing w:after="0"/>
        <w:rPr>
          <w:i w:val="0"/>
          <w:iCs w:val="0"/>
          <w:color w:val="000000" w:themeColor="text1"/>
        </w:rPr>
      </w:pPr>
    </w:p>
    <w:p w14:paraId="60B618A6" w14:textId="77777777" w:rsidR="00C545E2" w:rsidRDefault="00C545E2" w:rsidP="00597239">
      <w:pPr>
        <w:pStyle w:val="Legenda"/>
        <w:spacing w:after="0"/>
        <w:rPr>
          <w:i w:val="0"/>
          <w:iCs w:val="0"/>
          <w:color w:val="000000" w:themeColor="text1"/>
        </w:rPr>
      </w:pPr>
    </w:p>
    <w:p w14:paraId="59305A4F" w14:textId="77777777" w:rsidR="00C545E2" w:rsidRDefault="00C545E2" w:rsidP="00597239">
      <w:pPr>
        <w:pStyle w:val="Legenda"/>
        <w:spacing w:after="0"/>
        <w:rPr>
          <w:i w:val="0"/>
          <w:iCs w:val="0"/>
          <w:color w:val="000000" w:themeColor="text1"/>
        </w:rPr>
      </w:pPr>
    </w:p>
    <w:p w14:paraId="7EAA6265" w14:textId="77777777" w:rsidR="00C545E2" w:rsidRDefault="00C545E2" w:rsidP="00597239">
      <w:pPr>
        <w:pStyle w:val="Legenda"/>
        <w:spacing w:after="0"/>
        <w:rPr>
          <w:i w:val="0"/>
          <w:iCs w:val="0"/>
          <w:color w:val="000000" w:themeColor="text1"/>
        </w:rPr>
      </w:pPr>
    </w:p>
    <w:p w14:paraId="57EF6B12" w14:textId="322CD86E" w:rsidR="000B4D72" w:rsidRPr="00FB1957" w:rsidRDefault="00FB1957" w:rsidP="00597239">
      <w:pPr>
        <w:pStyle w:val="Legenda"/>
        <w:spacing w:after="0"/>
        <w:rPr>
          <w:i w:val="0"/>
          <w:iCs w:val="0"/>
          <w:color w:val="000000" w:themeColor="text1"/>
        </w:rPr>
      </w:pPr>
      <w:bookmarkStart w:id="225" w:name="_Toc193969549"/>
      <w:bookmarkStart w:id="226" w:name="_Toc194060009"/>
      <w:r w:rsidRPr="00FB1957">
        <w:rPr>
          <w:i w:val="0"/>
          <w:iCs w:val="0"/>
          <w:color w:val="000000" w:themeColor="text1"/>
        </w:rPr>
        <w:t xml:space="preserve">Tabela </w:t>
      </w:r>
      <w:r w:rsidRPr="00FB1957">
        <w:rPr>
          <w:i w:val="0"/>
          <w:iCs w:val="0"/>
          <w:color w:val="000000" w:themeColor="text1"/>
        </w:rPr>
        <w:fldChar w:fldCharType="begin"/>
      </w:r>
      <w:r w:rsidRPr="00FB1957">
        <w:rPr>
          <w:i w:val="0"/>
          <w:iCs w:val="0"/>
          <w:color w:val="000000" w:themeColor="text1"/>
        </w:rPr>
        <w:instrText xml:space="preserve"> SEQ Tabela \* ARABIC </w:instrText>
      </w:r>
      <w:r w:rsidRPr="00FB1957">
        <w:rPr>
          <w:i w:val="0"/>
          <w:iCs w:val="0"/>
          <w:color w:val="000000" w:themeColor="text1"/>
        </w:rPr>
        <w:fldChar w:fldCharType="separate"/>
      </w:r>
      <w:r w:rsidR="00FB6F6A">
        <w:rPr>
          <w:i w:val="0"/>
          <w:iCs w:val="0"/>
          <w:noProof/>
          <w:color w:val="000000" w:themeColor="text1"/>
        </w:rPr>
        <w:t>31</w:t>
      </w:r>
      <w:r w:rsidRPr="00FB1957">
        <w:rPr>
          <w:i w:val="0"/>
          <w:iCs w:val="0"/>
          <w:color w:val="000000" w:themeColor="text1"/>
        </w:rPr>
        <w:fldChar w:fldCharType="end"/>
      </w:r>
      <w:r w:rsidR="00E75D31">
        <w:rPr>
          <w:i w:val="0"/>
          <w:iCs w:val="0"/>
          <w:color w:val="000000" w:themeColor="text1"/>
        </w:rPr>
        <w:t>.</w:t>
      </w:r>
      <w:r w:rsidRPr="00FB1957">
        <w:rPr>
          <w:i w:val="0"/>
          <w:iCs w:val="0"/>
          <w:color w:val="000000" w:themeColor="text1"/>
        </w:rPr>
        <w:t xml:space="preserve"> Monitoring procesów sterylizacji w 2024 r. w szpitalach woj. zachodniopomorskiego</w:t>
      </w:r>
      <w:bookmarkEnd w:id="224"/>
      <w:bookmarkEnd w:id="225"/>
      <w:bookmarkEnd w:id="226"/>
    </w:p>
    <w:tbl>
      <w:tblPr>
        <w:tblStyle w:val="Tabelasiatki4akcent1"/>
        <w:tblW w:w="5000" w:type="pct"/>
        <w:tblLayout w:type="fixed"/>
        <w:tblLook w:val="04A0" w:firstRow="1" w:lastRow="0" w:firstColumn="1" w:lastColumn="0" w:noHBand="0" w:noVBand="1"/>
        <w:tblCaption w:val="Monitoring procesów sterylizacji w 2024 r. w szpitalach woj. zachodniopomorskiego"/>
        <w:tblDescription w:val="Tabela przedstawia dane dotyczące monitoringu procesów sterylizacji w 2024 r. w szpitalach woj. zachodniopomorskiego. W roku 2024 w szpitale były zaopatrzone łącznie w 103 urządzenia sterylizacyjne (74 sterylizatory parowe, 10 sterylizatorów na ciepło suche, 8 sterylizatorów na tlenek etylenu, 3 sterylizatory parowo-formaldehydowe, 8 sterylizatorów plazmowych). Łącznie wykonano 36940 badań testem biologiczny, z czego 1 badanie zostało zakwestionowane. "/>
      </w:tblPr>
      <w:tblGrid>
        <w:gridCol w:w="704"/>
        <w:gridCol w:w="2089"/>
        <w:gridCol w:w="2090"/>
        <w:gridCol w:w="2089"/>
        <w:gridCol w:w="2090"/>
      </w:tblGrid>
      <w:tr w:rsidR="000B4D72" w:rsidRPr="003A793F" w14:paraId="632628A1" w14:textId="77777777" w:rsidTr="0006329F">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704" w:type="dxa"/>
            <w:vAlign w:val="center"/>
          </w:tcPr>
          <w:p w14:paraId="16EB6383" w14:textId="77777777" w:rsidR="000B4D72" w:rsidRPr="00E16DCC" w:rsidRDefault="000B4D72" w:rsidP="00597239">
            <w:pPr>
              <w:rPr>
                <w:rFonts w:eastAsia="Calibri" w:cstheme="minorHAnsi"/>
              </w:rPr>
            </w:pPr>
            <w:r w:rsidRPr="00E16DCC">
              <w:rPr>
                <w:rFonts w:eastAsia="Calibri" w:cstheme="minorHAnsi"/>
              </w:rPr>
              <w:t>Rok</w:t>
            </w:r>
          </w:p>
        </w:tc>
        <w:tc>
          <w:tcPr>
            <w:tcW w:w="2089" w:type="dxa"/>
            <w:vAlign w:val="center"/>
          </w:tcPr>
          <w:p w14:paraId="5F55677D" w14:textId="77777777" w:rsidR="000B4D72" w:rsidRPr="00E16DCC"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Sterylizatory</w:t>
            </w:r>
          </w:p>
        </w:tc>
        <w:tc>
          <w:tcPr>
            <w:tcW w:w="2090" w:type="dxa"/>
            <w:vAlign w:val="center"/>
          </w:tcPr>
          <w:p w14:paraId="6A700A83" w14:textId="77777777" w:rsidR="000B4D72" w:rsidRPr="00E16DCC"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Liczba sterylizatorów</w:t>
            </w:r>
          </w:p>
        </w:tc>
        <w:tc>
          <w:tcPr>
            <w:tcW w:w="2089" w:type="dxa"/>
            <w:vAlign w:val="center"/>
          </w:tcPr>
          <w:p w14:paraId="67503734" w14:textId="77777777" w:rsidR="000B4D72" w:rsidRPr="00E16DCC"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Liczba wykonanych badań testem biologicznym</w:t>
            </w:r>
          </w:p>
        </w:tc>
        <w:tc>
          <w:tcPr>
            <w:tcW w:w="2090" w:type="dxa"/>
            <w:vAlign w:val="center"/>
          </w:tcPr>
          <w:p w14:paraId="0B62AA26" w14:textId="77777777" w:rsidR="000B4D72" w:rsidRPr="00E16DCC" w:rsidRDefault="000B4D72" w:rsidP="00597239">
            <w:pPr>
              <w:cnfStyle w:val="100000000000" w:firstRow="1" w:lastRow="0" w:firstColumn="0" w:lastColumn="0" w:oddVBand="0" w:evenVBand="0" w:oddHBand="0" w:evenHBand="0" w:firstRowFirstColumn="0" w:firstRowLastColumn="0" w:lastRowFirstColumn="0" w:lastRowLastColumn="0"/>
              <w:rPr>
                <w:rFonts w:eastAsia="Calibri" w:cstheme="minorHAnsi"/>
                <w:highlight w:val="yellow"/>
              </w:rPr>
            </w:pPr>
            <w:r w:rsidRPr="00E16DCC">
              <w:rPr>
                <w:rFonts w:eastAsia="Calibri" w:cstheme="minorHAnsi"/>
              </w:rPr>
              <w:t>Liczba badań zakwestionowanych</w:t>
            </w:r>
          </w:p>
        </w:tc>
      </w:tr>
      <w:tr w:rsidR="000B4D72" w:rsidRPr="003A793F" w14:paraId="4A54E10F" w14:textId="77777777" w:rsidTr="0006329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04" w:type="dxa"/>
            <w:vMerge w:val="restart"/>
            <w:vAlign w:val="center"/>
          </w:tcPr>
          <w:p w14:paraId="49F18480" w14:textId="77777777" w:rsidR="000B4D72" w:rsidRPr="00E16DCC" w:rsidRDefault="000B4D72" w:rsidP="00597239">
            <w:pPr>
              <w:rPr>
                <w:rFonts w:eastAsia="Calibri" w:cstheme="minorHAnsi"/>
              </w:rPr>
            </w:pPr>
            <w:r w:rsidRPr="00E16DCC">
              <w:rPr>
                <w:rFonts w:eastAsia="Calibri" w:cstheme="minorHAnsi"/>
              </w:rPr>
              <w:t>2024</w:t>
            </w:r>
          </w:p>
        </w:tc>
        <w:tc>
          <w:tcPr>
            <w:tcW w:w="2089" w:type="dxa"/>
            <w:vAlign w:val="center"/>
          </w:tcPr>
          <w:p w14:paraId="5174FE70"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parowe (autoklawy)</w:t>
            </w:r>
          </w:p>
        </w:tc>
        <w:tc>
          <w:tcPr>
            <w:tcW w:w="2090" w:type="dxa"/>
            <w:vAlign w:val="center"/>
          </w:tcPr>
          <w:p w14:paraId="1051E3A9"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74</w:t>
            </w:r>
          </w:p>
        </w:tc>
        <w:tc>
          <w:tcPr>
            <w:tcW w:w="2089" w:type="dxa"/>
            <w:vAlign w:val="center"/>
          </w:tcPr>
          <w:p w14:paraId="30977D1F"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30686</w:t>
            </w:r>
          </w:p>
        </w:tc>
        <w:tc>
          <w:tcPr>
            <w:tcW w:w="2090" w:type="dxa"/>
            <w:vAlign w:val="center"/>
          </w:tcPr>
          <w:p w14:paraId="3EA7E6FA"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1</w:t>
            </w:r>
          </w:p>
        </w:tc>
      </w:tr>
      <w:tr w:rsidR="000B4D72" w:rsidRPr="003A793F" w14:paraId="1F6DFB91" w14:textId="77777777" w:rsidTr="0006329F">
        <w:trPr>
          <w:trHeight w:val="567"/>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354AC6EE" w14:textId="77777777" w:rsidR="000B4D72" w:rsidRPr="00E16DCC" w:rsidRDefault="000B4D72" w:rsidP="00597239">
            <w:pPr>
              <w:rPr>
                <w:rFonts w:eastAsia="Calibri" w:cstheme="minorHAnsi"/>
              </w:rPr>
            </w:pPr>
          </w:p>
        </w:tc>
        <w:tc>
          <w:tcPr>
            <w:tcW w:w="2089" w:type="dxa"/>
            <w:vAlign w:val="center"/>
          </w:tcPr>
          <w:p w14:paraId="10BE6112"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na ciepło suche</w:t>
            </w:r>
          </w:p>
        </w:tc>
        <w:tc>
          <w:tcPr>
            <w:tcW w:w="2090" w:type="dxa"/>
            <w:vAlign w:val="center"/>
          </w:tcPr>
          <w:p w14:paraId="729EA363"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10</w:t>
            </w:r>
          </w:p>
        </w:tc>
        <w:tc>
          <w:tcPr>
            <w:tcW w:w="2089" w:type="dxa"/>
            <w:vAlign w:val="center"/>
          </w:tcPr>
          <w:p w14:paraId="4AEF017A"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51</w:t>
            </w:r>
          </w:p>
        </w:tc>
        <w:tc>
          <w:tcPr>
            <w:tcW w:w="2090" w:type="dxa"/>
            <w:vAlign w:val="center"/>
          </w:tcPr>
          <w:p w14:paraId="4E18908B"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0</w:t>
            </w:r>
          </w:p>
        </w:tc>
      </w:tr>
      <w:tr w:rsidR="000B4D72" w:rsidRPr="003A793F" w14:paraId="7CE4F8ED" w14:textId="77777777" w:rsidTr="0006329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59589FB3" w14:textId="77777777" w:rsidR="000B4D72" w:rsidRPr="00E16DCC" w:rsidRDefault="000B4D72" w:rsidP="00597239">
            <w:pPr>
              <w:rPr>
                <w:rFonts w:eastAsia="Calibri" w:cstheme="minorHAnsi"/>
              </w:rPr>
            </w:pPr>
          </w:p>
        </w:tc>
        <w:tc>
          <w:tcPr>
            <w:tcW w:w="2089" w:type="dxa"/>
            <w:vAlign w:val="center"/>
          </w:tcPr>
          <w:p w14:paraId="37F36E72"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na tlenek etylenu</w:t>
            </w:r>
          </w:p>
        </w:tc>
        <w:tc>
          <w:tcPr>
            <w:tcW w:w="2090" w:type="dxa"/>
            <w:vAlign w:val="center"/>
          </w:tcPr>
          <w:p w14:paraId="10E0CBC8"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8</w:t>
            </w:r>
          </w:p>
        </w:tc>
        <w:tc>
          <w:tcPr>
            <w:tcW w:w="2089" w:type="dxa"/>
            <w:vAlign w:val="center"/>
          </w:tcPr>
          <w:p w14:paraId="1AF66C42"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1377</w:t>
            </w:r>
          </w:p>
        </w:tc>
        <w:tc>
          <w:tcPr>
            <w:tcW w:w="2090" w:type="dxa"/>
            <w:vAlign w:val="center"/>
          </w:tcPr>
          <w:p w14:paraId="7AA3E715"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0</w:t>
            </w:r>
          </w:p>
        </w:tc>
      </w:tr>
      <w:tr w:rsidR="000B4D72" w:rsidRPr="003A793F" w14:paraId="219F3317" w14:textId="77777777" w:rsidTr="0006329F">
        <w:trPr>
          <w:trHeight w:val="414"/>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772E964D" w14:textId="77777777" w:rsidR="000B4D72" w:rsidRPr="00E16DCC" w:rsidRDefault="000B4D72" w:rsidP="00597239">
            <w:pPr>
              <w:rPr>
                <w:rFonts w:eastAsia="Calibri" w:cstheme="minorHAnsi"/>
              </w:rPr>
            </w:pPr>
          </w:p>
        </w:tc>
        <w:tc>
          <w:tcPr>
            <w:tcW w:w="2089" w:type="dxa"/>
            <w:vAlign w:val="center"/>
          </w:tcPr>
          <w:p w14:paraId="51491211"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parowo-formaldehydowy</w:t>
            </w:r>
          </w:p>
        </w:tc>
        <w:tc>
          <w:tcPr>
            <w:tcW w:w="2090" w:type="dxa"/>
            <w:vAlign w:val="center"/>
          </w:tcPr>
          <w:p w14:paraId="7B46E705"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3</w:t>
            </w:r>
          </w:p>
        </w:tc>
        <w:tc>
          <w:tcPr>
            <w:tcW w:w="2089" w:type="dxa"/>
            <w:vAlign w:val="center"/>
          </w:tcPr>
          <w:p w14:paraId="6A19AAA4"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262</w:t>
            </w:r>
          </w:p>
        </w:tc>
        <w:tc>
          <w:tcPr>
            <w:tcW w:w="2090" w:type="dxa"/>
            <w:vAlign w:val="center"/>
          </w:tcPr>
          <w:p w14:paraId="75B45148" w14:textId="77777777" w:rsidR="000B4D72" w:rsidRPr="00E16DCC" w:rsidRDefault="000B4D72" w:rsidP="00597239">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E16DCC">
              <w:rPr>
                <w:rFonts w:eastAsia="Calibri" w:cstheme="minorHAnsi"/>
              </w:rPr>
              <w:t>0</w:t>
            </w:r>
          </w:p>
        </w:tc>
      </w:tr>
      <w:tr w:rsidR="000B4D72" w:rsidRPr="003A793F" w14:paraId="13F24D63" w14:textId="77777777" w:rsidTr="0006329F">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704" w:type="dxa"/>
            <w:vMerge/>
            <w:vAlign w:val="center"/>
          </w:tcPr>
          <w:p w14:paraId="7377BD9D" w14:textId="77777777" w:rsidR="000B4D72" w:rsidRPr="00E16DCC" w:rsidRDefault="000B4D72" w:rsidP="00597239">
            <w:pPr>
              <w:rPr>
                <w:rFonts w:eastAsia="Calibri" w:cstheme="minorHAnsi"/>
              </w:rPr>
            </w:pPr>
          </w:p>
        </w:tc>
        <w:tc>
          <w:tcPr>
            <w:tcW w:w="2089" w:type="dxa"/>
            <w:vAlign w:val="center"/>
          </w:tcPr>
          <w:p w14:paraId="53B21C15"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plazmowe</w:t>
            </w:r>
          </w:p>
        </w:tc>
        <w:tc>
          <w:tcPr>
            <w:tcW w:w="2090" w:type="dxa"/>
            <w:vAlign w:val="center"/>
          </w:tcPr>
          <w:p w14:paraId="72EC28C5"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8</w:t>
            </w:r>
          </w:p>
        </w:tc>
        <w:tc>
          <w:tcPr>
            <w:tcW w:w="2089" w:type="dxa"/>
            <w:vAlign w:val="center"/>
          </w:tcPr>
          <w:p w14:paraId="68E4F0EB"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4564</w:t>
            </w:r>
          </w:p>
        </w:tc>
        <w:tc>
          <w:tcPr>
            <w:tcW w:w="2090" w:type="dxa"/>
            <w:vAlign w:val="center"/>
          </w:tcPr>
          <w:p w14:paraId="31FB622E" w14:textId="77777777" w:rsidR="000B4D72" w:rsidRPr="00E16DCC" w:rsidRDefault="000B4D72" w:rsidP="00597239">
            <w:pPr>
              <w:cnfStyle w:val="000000100000" w:firstRow="0" w:lastRow="0" w:firstColumn="0" w:lastColumn="0" w:oddVBand="0" w:evenVBand="0" w:oddHBand="1" w:evenHBand="0" w:firstRowFirstColumn="0" w:firstRowLastColumn="0" w:lastRowFirstColumn="0" w:lastRowLastColumn="0"/>
              <w:rPr>
                <w:rFonts w:eastAsia="Calibri" w:cstheme="minorHAnsi"/>
              </w:rPr>
            </w:pPr>
            <w:r w:rsidRPr="00E16DCC">
              <w:rPr>
                <w:rFonts w:eastAsia="Calibri" w:cstheme="minorHAnsi"/>
              </w:rPr>
              <w:t>0</w:t>
            </w:r>
          </w:p>
        </w:tc>
      </w:tr>
    </w:tbl>
    <w:p w14:paraId="518F9E2A" w14:textId="1CCCA6D3" w:rsidR="000B4D72" w:rsidRPr="00E16DCC" w:rsidRDefault="000B4D72" w:rsidP="00597239">
      <w:pPr>
        <w:spacing w:before="360" w:after="240" w:line="276" w:lineRule="auto"/>
        <w:rPr>
          <w:rFonts w:eastAsia="Calibri" w:cstheme="minorHAnsi"/>
          <w:sz w:val="24"/>
          <w:szCs w:val="24"/>
        </w:rPr>
      </w:pPr>
      <w:r w:rsidRPr="00E16DCC">
        <w:rPr>
          <w:rFonts w:eastAsia="Calibri" w:cstheme="minorHAnsi"/>
          <w:sz w:val="24"/>
          <w:szCs w:val="24"/>
        </w:rPr>
        <w:t>W analizowanym okresie 34 szpitale w województwie posiadały urządzenia sterylizacyjne, przy czym kilka placówek korzystało z więcej niż jednej metody sterylizacji. Część szpitali świadczyło usługi w zakresie sterylizacji dla innych szpitali, przychodni i</w:t>
      </w:r>
      <w:r w:rsidR="007B1BEB">
        <w:rPr>
          <w:rFonts w:eastAsia="Calibri" w:cstheme="minorHAnsi"/>
          <w:sz w:val="24"/>
          <w:szCs w:val="24"/>
        </w:rPr>
        <w:t> </w:t>
      </w:r>
      <w:r w:rsidRPr="00E16DCC">
        <w:rPr>
          <w:rFonts w:eastAsia="Calibri" w:cstheme="minorHAnsi"/>
          <w:sz w:val="24"/>
          <w:szCs w:val="24"/>
        </w:rPr>
        <w:t>indywidualnych praktyk lekarskich. Placówki, które nie wykonywały sterylizacji</w:t>
      </w:r>
      <w:r>
        <w:rPr>
          <w:rFonts w:eastAsia="Calibri" w:cstheme="minorHAnsi"/>
          <w:sz w:val="24"/>
          <w:szCs w:val="24"/>
        </w:rPr>
        <w:t xml:space="preserve"> we własnym zakresie</w:t>
      </w:r>
      <w:r w:rsidRPr="00E16DCC">
        <w:rPr>
          <w:rFonts w:eastAsia="Calibri" w:cstheme="minorHAnsi"/>
          <w:sz w:val="24"/>
          <w:szCs w:val="24"/>
        </w:rPr>
        <w:t xml:space="preserve"> miały zawarte umowy </w:t>
      </w:r>
      <w:r>
        <w:rPr>
          <w:rFonts w:eastAsia="Calibri" w:cstheme="minorHAnsi"/>
          <w:sz w:val="24"/>
          <w:szCs w:val="24"/>
        </w:rPr>
        <w:t>z innymi podmiotami</w:t>
      </w:r>
      <w:r w:rsidRPr="00E16DCC">
        <w:rPr>
          <w:rFonts w:eastAsia="Calibri" w:cstheme="minorHAnsi"/>
          <w:sz w:val="24"/>
          <w:szCs w:val="24"/>
        </w:rPr>
        <w:t xml:space="preserve"> lub używały wyłącznie sprzętu jednorazowego użytku.</w:t>
      </w:r>
    </w:p>
    <w:p w14:paraId="0DB38AE0" w14:textId="02F9D436" w:rsidR="000B4D72" w:rsidRPr="0019214F" w:rsidRDefault="000B4D72" w:rsidP="00597239">
      <w:pPr>
        <w:pStyle w:val="Nagwek3"/>
        <w:numPr>
          <w:ilvl w:val="1"/>
          <w:numId w:val="34"/>
        </w:numPr>
        <w:spacing w:before="0" w:after="0"/>
        <w:ind w:left="568" w:hanging="284"/>
      </w:pPr>
      <w:bookmarkStart w:id="227" w:name="_Toc192678727"/>
      <w:bookmarkStart w:id="228" w:name="_Toc193694466"/>
      <w:bookmarkStart w:id="229" w:name="_Toc194059805"/>
      <w:bookmarkEnd w:id="223"/>
      <w:r w:rsidRPr="0019214F">
        <w:t>Utrzymanie bieżącej czystości i porządku</w:t>
      </w:r>
      <w:bookmarkEnd w:id="227"/>
      <w:bookmarkEnd w:id="228"/>
      <w:bookmarkEnd w:id="229"/>
    </w:p>
    <w:p w14:paraId="3BE37024" w14:textId="1FFD90D6" w:rsidR="000B4D72" w:rsidRPr="0019214F" w:rsidRDefault="000B4D72" w:rsidP="00597239">
      <w:pPr>
        <w:tabs>
          <w:tab w:val="left" w:pos="851"/>
        </w:tabs>
        <w:spacing w:after="0" w:line="276" w:lineRule="auto"/>
        <w:rPr>
          <w:rFonts w:eastAsia="Times New Roman" w:cstheme="minorHAnsi"/>
          <w:color w:val="000000" w:themeColor="text1"/>
          <w:sz w:val="24"/>
          <w:szCs w:val="24"/>
          <w:lang w:eastAsia="pl-PL"/>
        </w:rPr>
      </w:pPr>
      <w:r w:rsidRPr="0019214F">
        <w:rPr>
          <w:rFonts w:eastAsia="Times New Roman" w:cstheme="minorHAnsi"/>
          <w:color w:val="000000" w:themeColor="text1"/>
          <w:sz w:val="24"/>
          <w:szCs w:val="24"/>
          <w:lang w:eastAsia="pl-PL"/>
        </w:rPr>
        <w:t>Organizacja utrzymania czystości w szpitalach oparta była na plan</w:t>
      </w:r>
      <w:r>
        <w:rPr>
          <w:rFonts w:eastAsia="Times New Roman" w:cstheme="minorHAnsi"/>
          <w:color w:val="000000" w:themeColor="text1"/>
          <w:sz w:val="24"/>
          <w:szCs w:val="24"/>
          <w:lang w:eastAsia="pl-PL"/>
        </w:rPr>
        <w:t>ach</w:t>
      </w:r>
      <w:r w:rsidRPr="0019214F">
        <w:rPr>
          <w:rFonts w:eastAsia="Times New Roman" w:cstheme="minorHAnsi"/>
          <w:color w:val="000000" w:themeColor="text1"/>
          <w:sz w:val="24"/>
          <w:szCs w:val="24"/>
          <w:lang w:eastAsia="pl-PL"/>
        </w:rPr>
        <w:t xml:space="preserve"> higieny szpitalnej określając</w:t>
      </w:r>
      <w:r>
        <w:rPr>
          <w:rFonts w:eastAsia="Times New Roman" w:cstheme="minorHAnsi"/>
          <w:color w:val="000000" w:themeColor="text1"/>
          <w:sz w:val="24"/>
          <w:szCs w:val="24"/>
          <w:lang w:eastAsia="pl-PL"/>
        </w:rPr>
        <w:t>ych</w:t>
      </w:r>
      <w:r w:rsidRPr="0019214F">
        <w:rPr>
          <w:rFonts w:eastAsia="Times New Roman" w:cstheme="minorHAnsi"/>
          <w:color w:val="000000" w:themeColor="text1"/>
          <w:sz w:val="24"/>
          <w:szCs w:val="24"/>
          <w:lang w:eastAsia="pl-PL"/>
        </w:rPr>
        <w:t xml:space="preserve"> obszar, techniki oraz częstotliwość sprzątania, w tym procedury mycia i</w:t>
      </w:r>
      <w:r w:rsidR="007B1BEB">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 xml:space="preserve">dezynfekcji sprzętu, a także pomieszczeń szpitalnych. </w:t>
      </w:r>
      <w:r>
        <w:rPr>
          <w:rFonts w:eastAsia="Times New Roman" w:cstheme="minorHAnsi"/>
          <w:color w:val="000000" w:themeColor="text1"/>
          <w:sz w:val="24"/>
          <w:szCs w:val="24"/>
          <w:lang w:eastAsia="pl-PL"/>
        </w:rPr>
        <w:t>Z</w:t>
      </w:r>
      <w:r w:rsidRPr="0019214F">
        <w:rPr>
          <w:rFonts w:eastAsia="Times New Roman" w:cstheme="minorHAnsi"/>
          <w:color w:val="000000" w:themeColor="text1"/>
          <w:sz w:val="24"/>
          <w:szCs w:val="24"/>
          <w:lang w:eastAsia="pl-PL"/>
        </w:rPr>
        <w:t xml:space="preserve">a czynności te odpowiadały zewnętrzne firmy sprzątające </w:t>
      </w:r>
      <w:r w:rsidRPr="00014E92">
        <w:rPr>
          <w:rFonts w:eastAsia="Times New Roman" w:cstheme="minorHAnsi"/>
          <w:color w:val="000000" w:themeColor="text1"/>
          <w:sz w:val="24"/>
          <w:szCs w:val="24"/>
          <w:lang w:eastAsia="pl-PL"/>
        </w:rPr>
        <w:t>w 14% szpitali (7 podmiotów leczniczych). W 86% podmiotów</w:t>
      </w:r>
      <w:r>
        <w:rPr>
          <w:rFonts w:eastAsia="Times New Roman" w:cstheme="minorHAnsi"/>
          <w:color w:val="000000" w:themeColor="text1"/>
          <w:sz w:val="24"/>
          <w:szCs w:val="24"/>
          <w:lang w:eastAsia="pl-PL"/>
        </w:rPr>
        <w:t xml:space="preserve"> </w:t>
      </w:r>
      <w:r w:rsidRPr="00014E92">
        <w:rPr>
          <w:rFonts w:eastAsia="Times New Roman" w:cstheme="minorHAnsi"/>
          <w:color w:val="000000" w:themeColor="text1"/>
          <w:sz w:val="24"/>
          <w:szCs w:val="24"/>
          <w:lang w:eastAsia="pl-PL"/>
        </w:rPr>
        <w:t>usługi sprzątania wykonywał personel.</w:t>
      </w:r>
      <w:r w:rsidRPr="0019214F">
        <w:rPr>
          <w:rFonts w:eastAsia="Times New Roman" w:cstheme="minorHAnsi"/>
          <w:color w:val="000000" w:themeColor="text1"/>
          <w:sz w:val="24"/>
          <w:szCs w:val="24"/>
          <w:lang w:eastAsia="pl-PL"/>
        </w:rPr>
        <w:t xml:space="preserve"> </w:t>
      </w:r>
    </w:p>
    <w:p w14:paraId="7AF6AD25" w14:textId="77777777" w:rsidR="00C545E2" w:rsidRDefault="00C545E2" w:rsidP="00597239">
      <w:pPr>
        <w:tabs>
          <w:tab w:val="left" w:pos="851"/>
        </w:tabs>
        <w:spacing w:after="0" w:line="276" w:lineRule="auto"/>
        <w:rPr>
          <w:rFonts w:eastAsia="Times New Roman" w:cstheme="minorHAnsi"/>
          <w:color w:val="000000" w:themeColor="text1"/>
          <w:sz w:val="24"/>
          <w:szCs w:val="24"/>
          <w:lang w:eastAsia="pl-PL"/>
        </w:rPr>
      </w:pPr>
    </w:p>
    <w:p w14:paraId="1F51FAD5" w14:textId="3B3E8B2F" w:rsidR="000B4D72" w:rsidRPr="0019214F" w:rsidRDefault="000B4D72" w:rsidP="00597239">
      <w:pPr>
        <w:tabs>
          <w:tab w:val="left" w:pos="851"/>
        </w:tabs>
        <w:spacing w:after="0" w:line="276" w:lineRule="auto"/>
        <w:rPr>
          <w:rFonts w:eastAsia="Times New Roman" w:cstheme="minorHAnsi"/>
          <w:color w:val="000000" w:themeColor="text1"/>
          <w:sz w:val="24"/>
          <w:szCs w:val="24"/>
          <w:lang w:eastAsia="pl-PL"/>
        </w:rPr>
      </w:pPr>
      <w:r w:rsidRPr="0019214F">
        <w:rPr>
          <w:rFonts w:eastAsia="Times New Roman" w:cstheme="minorHAnsi"/>
          <w:color w:val="000000" w:themeColor="text1"/>
          <w:sz w:val="24"/>
          <w:szCs w:val="24"/>
          <w:lang w:eastAsia="pl-PL"/>
        </w:rPr>
        <w:t>W szpitalach stosowano zasadę rozdziału sprzętu do poszczególnych stref czystości. Usługi prowadzone były kompleksowo przy użyciu sprzętu specjalistycznego w ilości zapewniającej ciągłość wykonywania czynności. Sprzęt do sprzątania przechowywany był w</w:t>
      </w:r>
      <w:r w:rsidR="007B1BEB">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wydzielonych pomieszczeniach lub w brudownikach na oddziałach. Osoby odpowiadające bezpośrednio za sprzątanie współpracowały z pielęgniarkami oddziałowymi oraz</w:t>
      </w:r>
      <w:r w:rsidR="002E1F9D">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epidemiologicznymi w</w:t>
      </w:r>
      <w:r w:rsidR="00C719C9">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zakresie przestrzegania procedur dekontaminacji.</w:t>
      </w:r>
    </w:p>
    <w:p w14:paraId="6A5BA8C2" w14:textId="77777777" w:rsidR="00C545E2" w:rsidRDefault="00C545E2" w:rsidP="00597239">
      <w:pPr>
        <w:tabs>
          <w:tab w:val="left" w:pos="851"/>
        </w:tabs>
        <w:spacing w:after="0" w:line="276" w:lineRule="auto"/>
        <w:rPr>
          <w:rFonts w:eastAsia="Times New Roman" w:cstheme="minorHAnsi"/>
          <w:color w:val="000000" w:themeColor="text1"/>
          <w:sz w:val="24"/>
          <w:szCs w:val="24"/>
          <w:lang w:eastAsia="pl-PL"/>
        </w:rPr>
      </w:pPr>
    </w:p>
    <w:p w14:paraId="27108A7B" w14:textId="645D4CE4" w:rsidR="000B4D72" w:rsidRPr="0019214F" w:rsidRDefault="000B4D72" w:rsidP="00597239">
      <w:pPr>
        <w:tabs>
          <w:tab w:val="left" w:pos="851"/>
        </w:tabs>
        <w:spacing w:after="0" w:line="276" w:lineRule="auto"/>
        <w:rPr>
          <w:rFonts w:eastAsia="Times New Roman" w:cstheme="minorHAnsi"/>
          <w:color w:val="000000" w:themeColor="text1"/>
          <w:sz w:val="24"/>
          <w:szCs w:val="24"/>
          <w:lang w:eastAsia="pl-PL"/>
        </w:rPr>
      </w:pPr>
      <w:r w:rsidRPr="0019214F">
        <w:rPr>
          <w:rFonts w:eastAsia="Times New Roman" w:cstheme="minorHAnsi"/>
          <w:color w:val="000000" w:themeColor="text1"/>
          <w:sz w:val="24"/>
          <w:szCs w:val="24"/>
          <w:lang w:eastAsia="pl-PL"/>
        </w:rPr>
        <w:t>Zapas środków czystościowych i myjąco-dezynfekcyjnych służących do utrzymania czystości w poszczególnych komórkach organizacyjnych szpital</w:t>
      </w:r>
      <w:r>
        <w:rPr>
          <w:rFonts w:eastAsia="Times New Roman" w:cstheme="minorHAnsi"/>
          <w:color w:val="000000" w:themeColor="text1"/>
          <w:sz w:val="24"/>
          <w:szCs w:val="24"/>
          <w:lang w:eastAsia="pl-PL"/>
        </w:rPr>
        <w:t>i</w:t>
      </w:r>
      <w:r w:rsidRPr="0019214F">
        <w:rPr>
          <w:rFonts w:eastAsia="Times New Roman" w:cstheme="minorHAnsi"/>
          <w:color w:val="000000" w:themeColor="text1"/>
          <w:sz w:val="24"/>
          <w:szCs w:val="24"/>
          <w:lang w:eastAsia="pl-PL"/>
        </w:rPr>
        <w:t xml:space="preserve"> był wystarczający. W</w:t>
      </w:r>
      <w:r w:rsidR="007B1BEB">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uzasadnionych sytuacjach wykonywano zabiegi deratyzacji oraz dezynsekcji, najczęściej w</w:t>
      </w:r>
      <w:r w:rsidR="007B1BEB">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pomieszczeniach piwnicznych i na zapleczu szpitali. Interwencji w tym zakresie w</w:t>
      </w:r>
      <w:r w:rsidR="007B1BEB">
        <w:rPr>
          <w:rFonts w:eastAsia="Times New Roman" w:cstheme="minorHAnsi"/>
          <w:color w:val="000000" w:themeColor="text1"/>
          <w:sz w:val="24"/>
          <w:szCs w:val="24"/>
          <w:lang w:eastAsia="pl-PL"/>
        </w:rPr>
        <w:t> </w:t>
      </w:r>
      <w:r w:rsidRPr="0019214F">
        <w:rPr>
          <w:rFonts w:eastAsia="Times New Roman" w:cstheme="minorHAnsi"/>
          <w:color w:val="000000" w:themeColor="text1"/>
          <w:sz w:val="24"/>
          <w:szCs w:val="24"/>
          <w:lang w:eastAsia="pl-PL"/>
        </w:rPr>
        <w:t>analizowanym okresie nie zgłaszano.</w:t>
      </w:r>
    </w:p>
    <w:p w14:paraId="71854E6D" w14:textId="0A3E3B0B" w:rsidR="000B4D72" w:rsidRPr="00E521C8" w:rsidRDefault="000B4D72" w:rsidP="00597239">
      <w:pPr>
        <w:pStyle w:val="Nagwek3"/>
        <w:numPr>
          <w:ilvl w:val="1"/>
          <w:numId w:val="34"/>
        </w:numPr>
        <w:spacing w:before="0" w:after="0"/>
        <w:ind w:left="568" w:hanging="284"/>
      </w:pPr>
      <w:bookmarkStart w:id="230" w:name="_Toc192678728"/>
      <w:bookmarkStart w:id="231" w:name="_Toc193694467"/>
      <w:bookmarkStart w:id="232" w:name="_Toc194059806"/>
      <w:r w:rsidRPr="0051643A">
        <w:lastRenderedPageBreak/>
        <w:t>Postępowanie z bielizną szpitalną</w:t>
      </w:r>
      <w:bookmarkStart w:id="233" w:name="_Hlk132196410"/>
      <w:bookmarkEnd w:id="230"/>
      <w:bookmarkEnd w:id="231"/>
      <w:bookmarkEnd w:id="232"/>
    </w:p>
    <w:p w14:paraId="7B5D3A8F" w14:textId="18339BA0" w:rsidR="00E521C8" w:rsidRDefault="00E521C8" w:rsidP="00597239">
      <w:pPr>
        <w:suppressAutoHyphens/>
        <w:spacing w:after="0" w:line="276" w:lineRule="auto"/>
        <w:rPr>
          <w:rFonts w:eastAsia="Times New Roman" w:cstheme="minorHAnsi"/>
          <w:bCs/>
          <w:sz w:val="24"/>
          <w:szCs w:val="24"/>
          <w:lang w:eastAsia="ar-SA"/>
        </w:rPr>
      </w:pPr>
      <w:r w:rsidRPr="00E521C8">
        <w:rPr>
          <w:rFonts w:eastAsia="Times New Roman" w:cstheme="minorHAnsi"/>
          <w:bCs/>
          <w:sz w:val="24"/>
          <w:szCs w:val="24"/>
          <w:lang w:eastAsia="ar-SA"/>
        </w:rPr>
        <w:t>W 2024 roku w zakresie postępowania z bielizną szpitalną skontrolowano wszystkie obiekty, w których świadczone były stacjonarne i całodobowe świadczenia szpitalne. Stwierdzono, że bielizna szpitalna najczęściej prana była w pralniach zapewniających odrębne postępowanie z</w:t>
      </w:r>
      <w:r w:rsidR="00C545E2">
        <w:rPr>
          <w:rFonts w:eastAsia="Times New Roman" w:cstheme="minorHAnsi"/>
          <w:bCs/>
          <w:sz w:val="24"/>
          <w:szCs w:val="24"/>
          <w:lang w:eastAsia="ar-SA"/>
        </w:rPr>
        <w:t> </w:t>
      </w:r>
      <w:r w:rsidRPr="00E521C8">
        <w:rPr>
          <w:rFonts w:eastAsia="Times New Roman" w:cstheme="minorHAnsi"/>
          <w:bCs/>
          <w:sz w:val="24"/>
          <w:szCs w:val="24"/>
          <w:lang w:eastAsia="ar-SA"/>
        </w:rPr>
        <w:t xml:space="preserve">bielizną czystą i bielizną brudną. W 4 szpitalach stosowana była bielizna jednorazowa, którą po użyciu traktowano jako odpad medyczny. </w:t>
      </w:r>
    </w:p>
    <w:p w14:paraId="03C04077" w14:textId="77777777" w:rsidR="00C545E2" w:rsidRPr="00E521C8" w:rsidRDefault="00C545E2" w:rsidP="00597239">
      <w:pPr>
        <w:suppressAutoHyphens/>
        <w:spacing w:after="0" w:line="276" w:lineRule="auto"/>
        <w:rPr>
          <w:rFonts w:eastAsia="Times New Roman" w:cstheme="minorHAnsi"/>
          <w:bCs/>
          <w:color w:val="FF0000"/>
          <w:sz w:val="24"/>
          <w:szCs w:val="24"/>
          <w:lang w:eastAsia="ar-SA"/>
        </w:rPr>
      </w:pPr>
    </w:p>
    <w:p w14:paraId="429C761C" w14:textId="6BAC6AD8" w:rsidR="00E521C8" w:rsidRDefault="00E521C8" w:rsidP="00597239">
      <w:pPr>
        <w:suppressAutoHyphens/>
        <w:spacing w:after="0" w:line="276" w:lineRule="auto"/>
        <w:rPr>
          <w:rFonts w:eastAsia="Times New Roman" w:cstheme="minorHAnsi"/>
          <w:bCs/>
          <w:sz w:val="24"/>
          <w:szCs w:val="24"/>
          <w:lang w:eastAsia="ar-SA"/>
        </w:rPr>
      </w:pPr>
      <w:r w:rsidRPr="00E521C8">
        <w:rPr>
          <w:rFonts w:eastAsia="Times New Roman" w:cstheme="minorHAnsi"/>
          <w:bCs/>
          <w:sz w:val="24"/>
          <w:szCs w:val="24"/>
          <w:lang w:eastAsia="ar-SA"/>
        </w:rPr>
        <w:t>Szpitale posiadały prawidłowo wyodrębnione magazyny/miejsca/szafy do przechowywania bielizny czystej oraz magazyny/miejsca do gromadzenia bielizny brudnej. Dodatkowo, na</w:t>
      </w:r>
      <w:r w:rsidR="00020A86">
        <w:rPr>
          <w:rFonts w:eastAsia="Times New Roman" w:cstheme="minorHAnsi"/>
          <w:bCs/>
          <w:sz w:val="24"/>
          <w:szCs w:val="24"/>
          <w:lang w:eastAsia="ar-SA"/>
        </w:rPr>
        <w:t> </w:t>
      </w:r>
      <w:r w:rsidRPr="00E521C8">
        <w:rPr>
          <w:rFonts w:eastAsia="Times New Roman" w:cstheme="minorHAnsi"/>
          <w:bCs/>
          <w:sz w:val="24"/>
          <w:szCs w:val="24"/>
          <w:lang w:eastAsia="ar-SA"/>
        </w:rPr>
        <w:t xml:space="preserve">oddziałach oraz blokach zostały zorganizowane podręczne, </w:t>
      </w:r>
      <w:proofErr w:type="spellStart"/>
      <w:r w:rsidRPr="00E521C8">
        <w:rPr>
          <w:rFonts w:eastAsia="Times New Roman" w:cstheme="minorHAnsi"/>
          <w:bCs/>
          <w:sz w:val="24"/>
          <w:szCs w:val="24"/>
          <w:lang w:eastAsia="ar-SA"/>
        </w:rPr>
        <w:t>przyoddziałowe</w:t>
      </w:r>
      <w:proofErr w:type="spellEnd"/>
      <w:r w:rsidRPr="00E521C8">
        <w:rPr>
          <w:rFonts w:eastAsia="Times New Roman" w:cstheme="minorHAnsi"/>
          <w:bCs/>
          <w:sz w:val="24"/>
          <w:szCs w:val="24"/>
          <w:lang w:eastAsia="ar-SA"/>
        </w:rPr>
        <w:t xml:space="preserve"> magazyny bielizny czystej bądź też miejsca pełniące taką funkcję. Bielizna brudna przechowywana była w</w:t>
      </w:r>
      <w:r w:rsidR="002A6551">
        <w:rPr>
          <w:rFonts w:eastAsia="Times New Roman" w:cstheme="minorHAnsi"/>
          <w:bCs/>
          <w:sz w:val="24"/>
          <w:szCs w:val="24"/>
          <w:lang w:eastAsia="ar-SA"/>
        </w:rPr>
        <w:t> </w:t>
      </w:r>
      <w:r w:rsidRPr="00E521C8">
        <w:rPr>
          <w:rFonts w:eastAsia="Times New Roman" w:cstheme="minorHAnsi"/>
          <w:bCs/>
          <w:sz w:val="24"/>
          <w:szCs w:val="24"/>
          <w:lang w:eastAsia="ar-SA"/>
        </w:rPr>
        <w:t xml:space="preserve">miejscach do tego celu przystosowanych, w sposób zabezpieczający przed przeniesieniem biologicznych czynników chorobotwórczych. </w:t>
      </w:r>
    </w:p>
    <w:p w14:paraId="2B443BED" w14:textId="77777777" w:rsidR="00C545E2" w:rsidRDefault="00C545E2" w:rsidP="00597239">
      <w:pPr>
        <w:suppressAutoHyphens/>
        <w:spacing w:after="0" w:line="276" w:lineRule="auto"/>
        <w:rPr>
          <w:rFonts w:eastAsia="Times New Roman" w:cstheme="minorHAnsi"/>
          <w:bCs/>
          <w:color w:val="FF0000"/>
          <w:sz w:val="24"/>
          <w:szCs w:val="24"/>
          <w:lang w:eastAsia="ar-SA"/>
        </w:rPr>
      </w:pPr>
    </w:p>
    <w:p w14:paraId="390BC6F7" w14:textId="5EEFA971" w:rsidR="00916A99" w:rsidRDefault="00E521C8" w:rsidP="00597239">
      <w:pPr>
        <w:suppressAutoHyphens/>
        <w:spacing w:after="0" w:line="276" w:lineRule="auto"/>
        <w:rPr>
          <w:rFonts w:eastAsia="Times New Roman" w:cstheme="minorHAnsi"/>
          <w:bCs/>
          <w:sz w:val="24"/>
          <w:szCs w:val="24"/>
          <w:lang w:eastAsia="ar-SA"/>
        </w:rPr>
      </w:pPr>
      <w:r w:rsidRPr="00E521C8">
        <w:rPr>
          <w:rFonts w:eastAsia="Times New Roman" w:cstheme="minorHAnsi"/>
          <w:bCs/>
          <w:sz w:val="24"/>
          <w:szCs w:val="24"/>
          <w:lang w:eastAsia="ar-SA"/>
        </w:rPr>
        <w:t xml:space="preserve">Transport bielizny do szpitali z pralni zewnętrznych odbywał się specjalistycznym transportem. Bielizna czysta z pralni zewnętrznych zabezpieczona była na czas transportu przed wtórnym zanieczyszczeniem, podobnie zabezpieczano przed </w:t>
      </w:r>
      <w:r w:rsidR="00FD3723" w:rsidRPr="00E521C8">
        <w:rPr>
          <w:rFonts w:eastAsia="Times New Roman" w:cstheme="minorHAnsi"/>
          <w:bCs/>
          <w:sz w:val="24"/>
          <w:szCs w:val="24"/>
          <w:lang w:eastAsia="ar-SA"/>
        </w:rPr>
        <w:t>zanieczyszczeniem bieliznę</w:t>
      </w:r>
      <w:r w:rsidRPr="00E521C8">
        <w:rPr>
          <w:rFonts w:eastAsia="Times New Roman" w:cstheme="minorHAnsi"/>
          <w:bCs/>
          <w:sz w:val="24"/>
          <w:szCs w:val="24"/>
          <w:lang w:eastAsia="ar-SA"/>
        </w:rPr>
        <w:t xml:space="preserve"> podczas transportu z magazynów szpitalnych na </w:t>
      </w:r>
      <w:r w:rsidR="00FD3723" w:rsidRPr="00E521C8">
        <w:rPr>
          <w:rFonts w:eastAsia="Times New Roman" w:cstheme="minorHAnsi"/>
          <w:bCs/>
          <w:sz w:val="24"/>
          <w:szCs w:val="24"/>
          <w:lang w:eastAsia="ar-SA"/>
        </w:rPr>
        <w:t>oddziały (</w:t>
      </w:r>
      <w:r w:rsidRPr="00E521C8">
        <w:rPr>
          <w:rFonts w:eastAsia="Times New Roman" w:cstheme="minorHAnsi"/>
          <w:bCs/>
          <w:sz w:val="24"/>
          <w:szCs w:val="24"/>
          <w:lang w:eastAsia="ar-SA"/>
        </w:rPr>
        <w:t>pojemniki plastikowe, worki foliowe, podwójne worki foliowe, worki brezentowe i płócienne zabezpieczone workami foliowymi, które przed wniesieniem na oddziały zdejmowano). Zarówno bielizna operacyjna jak i bielizna noworodkowa wielokrotnego użytku poddawana była procesom sterylizacji. Środki transportu wewnętrznego do przewozu bielizny poddawano na bieżąco dezynfekcji. W</w:t>
      </w:r>
      <w:r w:rsidR="002A6551">
        <w:rPr>
          <w:rFonts w:eastAsia="Times New Roman" w:cstheme="minorHAnsi"/>
          <w:bCs/>
          <w:sz w:val="24"/>
          <w:szCs w:val="24"/>
          <w:lang w:eastAsia="ar-SA"/>
        </w:rPr>
        <w:t> </w:t>
      </w:r>
      <w:r w:rsidRPr="00E521C8">
        <w:rPr>
          <w:rFonts w:eastAsia="Times New Roman" w:cstheme="minorHAnsi"/>
          <w:bCs/>
          <w:sz w:val="24"/>
          <w:szCs w:val="24"/>
          <w:lang w:eastAsia="ar-SA"/>
        </w:rPr>
        <w:t>2024 roku nie stwierdzono nieprawidłowości w zakresie postępowania z bielizną czystą i</w:t>
      </w:r>
      <w:r w:rsidR="002A6551">
        <w:rPr>
          <w:rFonts w:eastAsia="Times New Roman" w:cstheme="minorHAnsi"/>
          <w:bCs/>
          <w:sz w:val="24"/>
          <w:szCs w:val="24"/>
          <w:lang w:eastAsia="ar-SA"/>
        </w:rPr>
        <w:t> </w:t>
      </w:r>
      <w:r w:rsidRPr="00E521C8">
        <w:rPr>
          <w:rFonts w:eastAsia="Times New Roman" w:cstheme="minorHAnsi"/>
          <w:bCs/>
          <w:sz w:val="24"/>
          <w:szCs w:val="24"/>
          <w:lang w:eastAsia="ar-SA"/>
        </w:rPr>
        <w:t xml:space="preserve">brudną w obiektach szpitalnych.  </w:t>
      </w:r>
    </w:p>
    <w:p w14:paraId="053F158C" w14:textId="77777777" w:rsidR="00C545E2" w:rsidRPr="002A6551" w:rsidRDefault="00C545E2" w:rsidP="00597239">
      <w:pPr>
        <w:suppressAutoHyphens/>
        <w:spacing w:after="0" w:line="276" w:lineRule="auto"/>
        <w:rPr>
          <w:rFonts w:eastAsia="Times New Roman" w:cstheme="minorHAnsi"/>
          <w:bCs/>
          <w:sz w:val="24"/>
          <w:szCs w:val="24"/>
          <w:lang w:eastAsia="ar-SA"/>
        </w:rPr>
      </w:pPr>
    </w:p>
    <w:p w14:paraId="0DE846D7" w14:textId="0F6C6CB5" w:rsidR="000B4D72" w:rsidRPr="00607447" w:rsidRDefault="000B4D72" w:rsidP="00597239">
      <w:pPr>
        <w:pStyle w:val="Nagwek3"/>
        <w:numPr>
          <w:ilvl w:val="1"/>
          <w:numId w:val="34"/>
        </w:numPr>
        <w:spacing w:before="0" w:after="0"/>
        <w:ind w:left="568" w:hanging="284"/>
      </w:pPr>
      <w:bookmarkStart w:id="234" w:name="_Toc192678729"/>
      <w:bookmarkStart w:id="235" w:name="_Toc193694468"/>
      <w:bookmarkStart w:id="236" w:name="_Toc194059807"/>
      <w:bookmarkEnd w:id="233"/>
      <w:r w:rsidRPr="0051643A">
        <w:t>Prosektoria i postępowanie ze zwłokami</w:t>
      </w:r>
      <w:bookmarkEnd w:id="234"/>
      <w:bookmarkEnd w:id="235"/>
      <w:bookmarkEnd w:id="236"/>
    </w:p>
    <w:p w14:paraId="24ED98AA" w14:textId="77777777" w:rsidR="00607447" w:rsidRPr="00607447" w:rsidRDefault="00607447" w:rsidP="00597239">
      <w:pPr>
        <w:tabs>
          <w:tab w:val="left" w:pos="567"/>
        </w:tabs>
        <w:snapToGrid w:val="0"/>
        <w:spacing w:after="0" w:line="276" w:lineRule="auto"/>
        <w:rPr>
          <w:rFonts w:eastAsia="Times New Roman" w:cstheme="minorHAnsi"/>
          <w:sz w:val="24"/>
          <w:szCs w:val="24"/>
          <w:lang w:eastAsia="pl-PL"/>
        </w:rPr>
      </w:pPr>
      <w:r w:rsidRPr="00607447">
        <w:rPr>
          <w:rFonts w:eastAsia="Times New Roman" w:cstheme="minorHAnsi"/>
          <w:sz w:val="24"/>
          <w:szCs w:val="24"/>
          <w:lang w:eastAsia="pl-PL"/>
        </w:rPr>
        <w:t>W 2024 roku w zakresie postępowania ze zwłokami ludzkimi skontrolowano wszystkie obiekty szpitalne. Większość z nich (ok. 60 %) posiadała wydzielone pomieszczenie pro-</w:t>
      </w:r>
      <w:proofErr w:type="spellStart"/>
      <w:r w:rsidRPr="00607447">
        <w:rPr>
          <w:rFonts w:eastAsia="Times New Roman" w:cstheme="minorHAnsi"/>
          <w:sz w:val="24"/>
          <w:szCs w:val="24"/>
          <w:lang w:eastAsia="pl-PL"/>
        </w:rPr>
        <w:t>morte</w:t>
      </w:r>
      <w:proofErr w:type="spellEnd"/>
      <w:r w:rsidRPr="00607447">
        <w:rPr>
          <w:rFonts w:eastAsia="Times New Roman" w:cstheme="minorHAnsi"/>
          <w:sz w:val="24"/>
          <w:szCs w:val="24"/>
          <w:lang w:eastAsia="pl-PL"/>
        </w:rPr>
        <w:t xml:space="preserve">, w którym ciało pozostawało przez co najmniej 2 godziny od czasu zgonu. Pomieszczenia te posiadały ściany i podłogi wykonane z materiałów </w:t>
      </w:r>
      <w:proofErr w:type="spellStart"/>
      <w:r w:rsidRPr="00607447">
        <w:rPr>
          <w:rFonts w:eastAsia="Times New Roman" w:cstheme="minorHAnsi"/>
          <w:sz w:val="24"/>
          <w:szCs w:val="24"/>
          <w:lang w:eastAsia="pl-PL"/>
        </w:rPr>
        <w:t>łatwozmywalnych</w:t>
      </w:r>
      <w:proofErr w:type="spellEnd"/>
      <w:r w:rsidRPr="00607447">
        <w:rPr>
          <w:rFonts w:eastAsia="Times New Roman" w:cstheme="minorHAnsi"/>
          <w:sz w:val="24"/>
          <w:szCs w:val="24"/>
          <w:lang w:eastAsia="pl-PL"/>
        </w:rPr>
        <w:t xml:space="preserve"> oraz wyposażone były w wentylację mechaniczną. W pozostałych obiektach szpitalnych ciała zmarłych pacjentów pozostawiane były na oddziałach (w salach pacjentów za parawanem), w sposób zapewniający ich poszanowanie. W przypadku szpitali posiadających chłodnie - ciała transportowane były z pomieszczeń pro-</w:t>
      </w:r>
      <w:proofErr w:type="spellStart"/>
      <w:r w:rsidRPr="00607447">
        <w:rPr>
          <w:rFonts w:eastAsia="Times New Roman" w:cstheme="minorHAnsi"/>
          <w:sz w:val="24"/>
          <w:szCs w:val="24"/>
          <w:lang w:eastAsia="pl-PL"/>
        </w:rPr>
        <w:t>morte</w:t>
      </w:r>
      <w:proofErr w:type="spellEnd"/>
      <w:r w:rsidRPr="00607447">
        <w:rPr>
          <w:rFonts w:eastAsia="Times New Roman" w:cstheme="minorHAnsi"/>
          <w:sz w:val="24"/>
          <w:szCs w:val="24"/>
          <w:lang w:eastAsia="pl-PL"/>
        </w:rPr>
        <w:t xml:space="preserve"> lub oddziałów do chłodni przeznaczonymi wyłącznie do tego celu specjalistycznymi środkami transportu – tzw. zamkniętymi kapsułami. Natomiast w szpitalach, które nie posiadały własnych chłodni, ciała osób zmarłych nie wcześniej niż po 2 godzinach od czasu zgonu, przekazywane były do chłodni innych szpitali, chłodni funkcjonujących w ramach infrastruktury związanej cmentarzy komunalnych lub chłodni zakładów pogrzebowych. W 2024 roku na terenie woj. zachodniopomorskiego funkcjonowały 82 chłodnie.</w:t>
      </w:r>
    </w:p>
    <w:p w14:paraId="49890F20" w14:textId="77777777" w:rsidR="00C545E2" w:rsidRDefault="00C545E2" w:rsidP="00597239">
      <w:pPr>
        <w:snapToGrid w:val="0"/>
        <w:spacing w:after="0" w:line="276" w:lineRule="auto"/>
        <w:rPr>
          <w:rFonts w:eastAsia="Times New Roman" w:cstheme="minorHAnsi"/>
          <w:sz w:val="24"/>
          <w:szCs w:val="24"/>
          <w:lang w:eastAsia="pl-PL"/>
        </w:rPr>
      </w:pPr>
    </w:p>
    <w:p w14:paraId="4A066DED" w14:textId="2F9D8877" w:rsidR="00607447" w:rsidRPr="00607447" w:rsidRDefault="00607447" w:rsidP="00597239">
      <w:pPr>
        <w:snapToGrid w:val="0"/>
        <w:spacing w:after="0" w:line="276" w:lineRule="auto"/>
        <w:rPr>
          <w:rFonts w:eastAsia="Times New Roman" w:cstheme="minorHAnsi"/>
          <w:sz w:val="24"/>
          <w:szCs w:val="24"/>
          <w:highlight w:val="yellow"/>
          <w:lang w:eastAsia="pl-PL"/>
        </w:rPr>
      </w:pPr>
      <w:r w:rsidRPr="00607447">
        <w:rPr>
          <w:rFonts w:eastAsia="Times New Roman" w:cstheme="minorHAnsi"/>
          <w:sz w:val="24"/>
          <w:szCs w:val="24"/>
          <w:lang w:eastAsia="pl-PL"/>
        </w:rPr>
        <w:lastRenderedPageBreak/>
        <w:t xml:space="preserve">Stan sanitarno – techniczny większości skontrolowanych chłodni, prosektoriów i </w:t>
      </w:r>
      <w:proofErr w:type="spellStart"/>
      <w:r w:rsidRPr="00607447">
        <w:rPr>
          <w:rFonts w:eastAsia="Times New Roman" w:cstheme="minorHAnsi"/>
          <w:sz w:val="24"/>
          <w:szCs w:val="24"/>
          <w:lang w:eastAsia="pl-PL"/>
        </w:rPr>
        <w:t>sal</w:t>
      </w:r>
      <w:proofErr w:type="spellEnd"/>
      <w:r w:rsidRPr="00607447">
        <w:rPr>
          <w:rFonts w:eastAsia="Times New Roman" w:cstheme="minorHAnsi"/>
          <w:sz w:val="24"/>
          <w:szCs w:val="24"/>
          <w:lang w:eastAsia="pl-PL"/>
        </w:rPr>
        <w:t xml:space="preserve"> sekcyjnych nie budził zastrzeżeń. Nieprawidłowości stwierdzono tylko w Szpitalu Powiatowym w Gryfinie. Dotyczyły one niewłaściwego stanu sanitarno-technicznego powierzchni podłogi w pomieszczeniu pro-</w:t>
      </w:r>
      <w:proofErr w:type="spellStart"/>
      <w:r w:rsidRPr="00607447">
        <w:rPr>
          <w:rFonts w:eastAsia="Times New Roman" w:cstheme="minorHAnsi"/>
          <w:sz w:val="24"/>
          <w:szCs w:val="24"/>
          <w:lang w:eastAsia="pl-PL"/>
        </w:rPr>
        <w:t>morte</w:t>
      </w:r>
      <w:proofErr w:type="spellEnd"/>
      <w:r w:rsidRPr="00607447">
        <w:rPr>
          <w:rFonts w:eastAsia="Times New Roman" w:cstheme="minorHAnsi"/>
          <w:sz w:val="24"/>
          <w:szCs w:val="24"/>
          <w:lang w:eastAsia="pl-PL"/>
        </w:rPr>
        <w:t xml:space="preserve">. Szpital został zobowiązany do usunięcia nieprawidłowości, a nałożony obowiązek został wykonany. </w:t>
      </w:r>
    </w:p>
    <w:p w14:paraId="2FC61B99" w14:textId="77777777" w:rsidR="00C545E2" w:rsidRDefault="00C545E2" w:rsidP="00597239">
      <w:pPr>
        <w:snapToGrid w:val="0"/>
        <w:spacing w:after="0" w:line="276" w:lineRule="auto"/>
        <w:rPr>
          <w:rFonts w:eastAsia="Times New Roman" w:cstheme="minorHAnsi"/>
          <w:sz w:val="24"/>
          <w:szCs w:val="24"/>
          <w:lang w:eastAsia="pl-PL"/>
        </w:rPr>
      </w:pPr>
    </w:p>
    <w:p w14:paraId="74C51B62" w14:textId="2A162CEC" w:rsidR="00607447" w:rsidRDefault="00607447" w:rsidP="00597239">
      <w:pPr>
        <w:snapToGrid w:val="0"/>
        <w:spacing w:after="0" w:line="276" w:lineRule="auto"/>
        <w:rPr>
          <w:rFonts w:eastAsia="Times New Roman" w:cstheme="minorHAnsi"/>
          <w:sz w:val="24"/>
          <w:szCs w:val="24"/>
          <w:lang w:eastAsia="pl-PL"/>
        </w:rPr>
      </w:pPr>
      <w:r w:rsidRPr="00607447">
        <w:rPr>
          <w:rFonts w:eastAsia="Times New Roman" w:cstheme="minorHAnsi"/>
          <w:sz w:val="24"/>
          <w:szCs w:val="24"/>
          <w:lang w:eastAsia="pl-PL"/>
        </w:rPr>
        <w:t xml:space="preserve">W Szpitalu Wojewódzkim w Koszalinie przy ul. Chałubińskiego 7 nadal prowadzony jest remont pomieszczeń Zakładu Patomorfologii i Medycyny Sądowej oraz chłodni. </w:t>
      </w:r>
    </w:p>
    <w:p w14:paraId="2E2F3548" w14:textId="77777777" w:rsidR="00C545E2" w:rsidRPr="001850E9" w:rsidRDefault="00C545E2" w:rsidP="00597239">
      <w:pPr>
        <w:snapToGrid w:val="0"/>
        <w:spacing w:after="0" w:line="276" w:lineRule="auto"/>
        <w:rPr>
          <w:rFonts w:eastAsia="Times New Roman" w:cstheme="minorHAnsi"/>
          <w:sz w:val="24"/>
          <w:szCs w:val="24"/>
          <w:lang w:eastAsia="pl-PL"/>
        </w:rPr>
      </w:pPr>
    </w:p>
    <w:p w14:paraId="22F2657F" w14:textId="072E80F5" w:rsidR="000B4D72" w:rsidRPr="0019214F" w:rsidRDefault="000B4D72" w:rsidP="00597239">
      <w:pPr>
        <w:pStyle w:val="Nagwek2"/>
        <w:numPr>
          <w:ilvl w:val="0"/>
          <w:numId w:val="34"/>
        </w:numPr>
        <w:spacing w:before="0" w:after="0"/>
        <w:ind w:left="284" w:hanging="284"/>
        <w:jc w:val="left"/>
      </w:pPr>
      <w:bookmarkStart w:id="237" w:name="_Toc192678730"/>
      <w:bookmarkStart w:id="238" w:name="_Toc193694469"/>
      <w:bookmarkStart w:id="239" w:name="_Toc194059808"/>
      <w:r w:rsidRPr="0019214F">
        <w:t>Przychodnie, ośrodki zdrowia, poradnie i ambulatoria</w:t>
      </w:r>
      <w:bookmarkEnd w:id="237"/>
      <w:bookmarkEnd w:id="238"/>
      <w:bookmarkEnd w:id="239"/>
    </w:p>
    <w:p w14:paraId="482C863D" w14:textId="77777777" w:rsidR="000B4D72" w:rsidRPr="00636DFC" w:rsidRDefault="000B4D72" w:rsidP="00597239">
      <w:pPr>
        <w:tabs>
          <w:tab w:val="left" w:pos="851"/>
        </w:tabs>
        <w:spacing w:after="0" w:line="276" w:lineRule="auto"/>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W</w:t>
      </w:r>
      <w:r w:rsidRPr="00636DFC">
        <w:rPr>
          <w:rFonts w:eastAsia="Times New Roman" w:cstheme="minorHAnsi"/>
          <w:color w:val="000000" w:themeColor="text1"/>
          <w:sz w:val="24"/>
          <w:szCs w:val="24"/>
          <w:lang w:eastAsia="pl-PL"/>
        </w:rPr>
        <w:t>śród podmiotów działalności leczniczej świadczących usługi medyczne w</w:t>
      </w:r>
      <w:r>
        <w:rPr>
          <w:rFonts w:eastAsia="Times New Roman" w:cstheme="minorHAnsi"/>
          <w:color w:val="000000" w:themeColor="text1"/>
          <w:sz w:val="24"/>
          <w:szCs w:val="24"/>
          <w:lang w:eastAsia="pl-PL"/>
        </w:rPr>
        <w:t xml:space="preserve"> </w:t>
      </w:r>
      <w:r w:rsidRPr="00636DFC">
        <w:rPr>
          <w:rFonts w:eastAsia="Times New Roman" w:cstheme="minorHAnsi"/>
          <w:color w:val="000000" w:themeColor="text1"/>
          <w:sz w:val="24"/>
          <w:szCs w:val="24"/>
          <w:lang w:eastAsia="pl-PL"/>
        </w:rPr>
        <w:t>systemie ambulatoryjnym najliczniejszą grupę stanowi</w:t>
      </w:r>
      <w:r>
        <w:rPr>
          <w:rFonts w:eastAsia="Times New Roman" w:cstheme="minorHAnsi"/>
          <w:color w:val="000000" w:themeColor="text1"/>
          <w:sz w:val="24"/>
          <w:szCs w:val="24"/>
          <w:lang w:eastAsia="pl-PL"/>
        </w:rPr>
        <w:t>ą</w:t>
      </w:r>
      <w:r w:rsidRPr="00636DFC">
        <w:rPr>
          <w:rFonts w:eastAsia="Times New Roman" w:cstheme="minorHAnsi"/>
          <w:color w:val="000000" w:themeColor="text1"/>
          <w:sz w:val="24"/>
          <w:szCs w:val="24"/>
          <w:lang w:eastAsia="pl-PL"/>
        </w:rPr>
        <w:t xml:space="preserve"> przychodnie, ośrodki, poradnie i</w:t>
      </w:r>
      <w:r>
        <w:rPr>
          <w:rFonts w:eastAsia="Times New Roman" w:cstheme="minorHAnsi"/>
          <w:color w:val="000000" w:themeColor="text1"/>
          <w:sz w:val="24"/>
          <w:szCs w:val="24"/>
          <w:lang w:eastAsia="pl-PL"/>
        </w:rPr>
        <w:t xml:space="preserve"> </w:t>
      </w:r>
      <w:r w:rsidRPr="00636DFC">
        <w:rPr>
          <w:rFonts w:eastAsia="Times New Roman" w:cstheme="minorHAnsi"/>
          <w:color w:val="000000" w:themeColor="text1"/>
          <w:spacing w:val="-2"/>
          <w:sz w:val="24"/>
          <w:szCs w:val="24"/>
          <w:lang w:eastAsia="pl-PL"/>
        </w:rPr>
        <w:t>ambulatoria. W ewidencji Państwowej Inspekcji Sanitarnej na terenie woj. zachodniopomorskiego</w:t>
      </w:r>
      <w:r w:rsidRPr="00636DFC">
        <w:rPr>
          <w:rFonts w:eastAsia="Times New Roman" w:cstheme="minorHAnsi"/>
          <w:color w:val="000000" w:themeColor="text1"/>
          <w:sz w:val="24"/>
          <w:szCs w:val="24"/>
          <w:lang w:eastAsia="pl-PL"/>
        </w:rPr>
        <w:t xml:space="preserve"> znajdowało się 1029 placówek tego rodzaju (w stosunku do roku poprzedniego o 22 podmioty więcej). Stan sanitarny skontrolowano w 695 obiektach </w:t>
      </w:r>
      <w:r>
        <w:rPr>
          <w:rFonts w:eastAsia="Times New Roman" w:cstheme="minorHAnsi"/>
          <w:color w:val="000000" w:themeColor="text1"/>
          <w:sz w:val="24"/>
          <w:szCs w:val="24"/>
          <w:lang w:eastAsia="pl-PL"/>
        </w:rPr>
        <w:t>(</w:t>
      </w:r>
      <w:r w:rsidRPr="00636DFC">
        <w:rPr>
          <w:rFonts w:eastAsia="Times New Roman" w:cstheme="minorHAnsi"/>
          <w:color w:val="000000" w:themeColor="text1"/>
          <w:sz w:val="24"/>
          <w:szCs w:val="24"/>
          <w:lang w:eastAsia="pl-PL"/>
        </w:rPr>
        <w:t>67,5 % ogółu ujętych w ewidencji placówek tego typu</w:t>
      </w:r>
      <w:r>
        <w:rPr>
          <w:rFonts w:eastAsia="Times New Roman" w:cstheme="minorHAnsi"/>
          <w:color w:val="000000" w:themeColor="text1"/>
          <w:sz w:val="24"/>
          <w:szCs w:val="24"/>
          <w:lang w:eastAsia="pl-PL"/>
        </w:rPr>
        <w:t>)</w:t>
      </w:r>
      <w:r w:rsidRPr="00636DFC">
        <w:rPr>
          <w:rFonts w:eastAsia="Times New Roman" w:cstheme="minorHAnsi"/>
          <w:color w:val="000000" w:themeColor="text1"/>
          <w:sz w:val="24"/>
          <w:szCs w:val="24"/>
          <w:lang w:eastAsia="pl-PL"/>
        </w:rPr>
        <w:t xml:space="preserve">. </w:t>
      </w:r>
    </w:p>
    <w:p w14:paraId="70049E12" w14:textId="77777777" w:rsidR="00C545E2" w:rsidRDefault="00C545E2" w:rsidP="00597239">
      <w:pPr>
        <w:tabs>
          <w:tab w:val="left" w:pos="851"/>
        </w:tabs>
        <w:spacing w:after="0" w:line="276" w:lineRule="auto"/>
        <w:rPr>
          <w:rFonts w:eastAsia="Times New Roman" w:cstheme="minorHAnsi"/>
          <w:color w:val="000000" w:themeColor="text1"/>
          <w:sz w:val="24"/>
          <w:szCs w:val="24"/>
          <w:lang w:eastAsia="pl-PL"/>
        </w:rPr>
      </w:pPr>
    </w:p>
    <w:p w14:paraId="6F26A87A" w14:textId="7584502C" w:rsidR="000B4D72" w:rsidRPr="00636DFC" w:rsidRDefault="000B4D72" w:rsidP="00597239">
      <w:pPr>
        <w:tabs>
          <w:tab w:val="left" w:pos="851"/>
        </w:tabs>
        <w:spacing w:after="0" w:line="276" w:lineRule="auto"/>
        <w:rPr>
          <w:rFonts w:eastAsia="Times New Roman" w:cstheme="minorHAnsi"/>
          <w:color w:val="000000" w:themeColor="text1"/>
          <w:sz w:val="24"/>
          <w:szCs w:val="24"/>
          <w:lang w:eastAsia="pl-PL"/>
        </w:rPr>
      </w:pPr>
      <w:r w:rsidRPr="00636DFC">
        <w:rPr>
          <w:rFonts w:eastAsia="Times New Roman" w:cstheme="minorHAnsi"/>
          <w:color w:val="000000" w:themeColor="text1"/>
          <w:sz w:val="24"/>
          <w:szCs w:val="24"/>
          <w:lang w:eastAsia="pl-PL"/>
        </w:rPr>
        <w:t>Wszystkie podmioty działalności medycznej miały zawarte umowy z firmami zajmującymi się odbiorem i utylizacją odpadów medycznych. Dokumentacja dotycząca gospodarki odpadami prowadzona była na bieżąco. Do momentu odbioru przez firmę utylizującą odpady przechowywane były w wydzielonych do tego celu lodówkach lub</w:t>
      </w:r>
      <w:r w:rsidR="003326B1">
        <w:rPr>
          <w:rFonts w:eastAsia="Times New Roman" w:cstheme="minorHAnsi"/>
          <w:color w:val="000000" w:themeColor="text1"/>
          <w:sz w:val="24"/>
          <w:szCs w:val="24"/>
          <w:lang w:eastAsia="pl-PL"/>
        </w:rPr>
        <w:t> </w:t>
      </w:r>
      <w:r w:rsidRPr="00636DFC">
        <w:rPr>
          <w:rFonts w:eastAsia="Times New Roman" w:cstheme="minorHAnsi"/>
          <w:color w:val="000000" w:themeColor="text1"/>
          <w:sz w:val="24"/>
          <w:szCs w:val="24"/>
          <w:lang w:eastAsia="pl-PL"/>
        </w:rPr>
        <w:t>przeznaczonych do ich magazynowania pomieszczeniach.</w:t>
      </w:r>
    </w:p>
    <w:p w14:paraId="7E563365" w14:textId="77777777" w:rsidR="00C545E2" w:rsidRDefault="00C545E2" w:rsidP="00597239">
      <w:pPr>
        <w:tabs>
          <w:tab w:val="left" w:pos="851"/>
        </w:tabs>
        <w:spacing w:after="0" w:line="276" w:lineRule="auto"/>
        <w:rPr>
          <w:rFonts w:eastAsia="Times New Roman" w:cstheme="minorHAnsi"/>
          <w:color w:val="000000" w:themeColor="text1"/>
          <w:sz w:val="24"/>
          <w:szCs w:val="24"/>
          <w:lang w:eastAsia="pl-PL"/>
        </w:rPr>
      </w:pPr>
    </w:p>
    <w:p w14:paraId="391A33C0" w14:textId="7C30FC91" w:rsidR="000B4D72" w:rsidRDefault="000B4D72" w:rsidP="00597239">
      <w:pPr>
        <w:tabs>
          <w:tab w:val="left" w:pos="851"/>
        </w:tabs>
        <w:spacing w:after="0" w:line="276" w:lineRule="auto"/>
        <w:rPr>
          <w:rFonts w:eastAsia="Times New Roman" w:cstheme="minorHAnsi"/>
          <w:color w:val="000000" w:themeColor="text1"/>
          <w:sz w:val="24"/>
          <w:szCs w:val="24"/>
          <w:lang w:eastAsia="pl-PL"/>
        </w:rPr>
      </w:pPr>
      <w:r w:rsidRPr="00636DFC">
        <w:rPr>
          <w:rFonts w:eastAsia="Times New Roman" w:cstheme="minorHAnsi"/>
          <w:color w:val="000000" w:themeColor="text1"/>
          <w:sz w:val="24"/>
          <w:szCs w:val="24"/>
          <w:lang w:eastAsia="pl-PL"/>
        </w:rPr>
        <w:t>Należy podkreślić, iż działalność kontrolna organów Państwowej Inspekcji Sanitarnej obejmowała bieżący stan sanitarno-techniczny, funkcjonalność oraz wyposażenie w</w:t>
      </w:r>
      <w:r w:rsidR="007B1BEB">
        <w:rPr>
          <w:rFonts w:eastAsia="Times New Roman" w:cstheme="minorHAnsi"/>
          <w:color w:val="000000" w:themeColor="text1"/>
          <w:sz w:val="24"/>
          <w:szCs w:val="24"/>
          <w:lang w:eastAsia="pl-PL"/>
        </w:rPr>
        <w:t> </w:t>
      </w:r>
      <w:r w:rsidRPr="00636DFC">
        <w:rPr>
          <w:rFonts w:eastAsia="Times New Roman" w:cstheme="minorHAnsi"/>
          <w:color w:val="000000" w:themeColor="text1"/>
          <w:sz w:val="24"/>
          <w:szCs w:val="24"/>
          <w:lang w:eastAsia="pl-PL"/>
        </w:rPr>
        <w:t>odniesieniu do prowadzonego zakresu usług, zwłaszcza zabiegowych. Ponadto oceniane było przestrzeganie procedur p/epidemicznych związanych z realizacją świadczeń zdrowotnych, w tym dotyczących dekontaminacji.</w:t>
      </w:r>
    </w:p>
    <w:p w14:paraId="0144A4E9" w14:textId="77777777" w:rsidR="00C545E2" w:rsidRPr="00636DFC" w:rsidRDefault="00C545E2" w:rsidP="00597239">
      <w:pPr>
        <w:tabs>
          <w:tab w:val="left" w:pos="851"/>
        </w:tabs>
        <w:spacing w:after="0" w:line="276" w:lineRule="auto"/>
        <w:rPr>
          <w:rFonts w:eastAsia="Times New Roman" w:cstheme="minorHAnsi"/>
          <w:color w:val="000000" w:themeColor="text1"/>
          <w:sz w:val="24"/>
          <w:szCs w:val="24"/>
          <w:lang w:eastAsia="pl-PL"/>
        </w:rPr>
      </w:pPr>
    </w:p>
    <w:p w14:paraId="3D402817" w14:textId="445D1B84" w:rsidR="000B4D72" w:rsidRPr="00636DFC" w:rsidRDefault="000B4D72" w:rsidP="00597239">
      <w:pPr>
        <w:pStyle w:val="Nagwek2"/>
        <w:numPr>
          <w:ilvl w:val="0"/>
          <w:numId w:val="34"/>
        </w:numPr>
        <w:spacing w:before="0" w:after="0"/>
        <w:ind w:left="284" w:hanging="284"/>
        <w:jc w:val="left"/>
      </w:pPr>
      <w:bookmarkStart w:id="240" w:name="_Toc192678731"/>
      <w:bookmarkStart w:id="241" w:name="_Toc193694470"/>
      <w:bookmarkStart w:id="242" w:name="_Toc194059809"/>
      <w:r w:rsidRPr="00636DFC">
        <w:t>Działalność lecznicza wykonywana przez praktykę zawodową</w:t>
      </w:r>
      <w:bookmarkEnd w:id="240"/>
      <w:bookmarkEnd w:id="241"/>
      <w:bookmarkEnd w:id="242"/>
    </w:p>
    <w:p w14:paraId="614EBDF0" w14:textId="28353053" w:rsidR="000B4D72" w:rsidRDefault="000B4D72" w:rsidP="00597239">
      <w:pPr>
        <w:tabs>
          <w:tab w:val="left" w:pos="851"/>
        </w:tabs>
        <w:spacing w:after="0" w:line="276" w:lineRule="auto"/>
        <w:rPr>
          <w:rFonts w:eastAsia="Times New Roman" w:cstheme="minorHAnsi"/>
          <w:color w:val="000000" w:themeColor="text1"/>
          <w:sz w:val="24"/>
          <w:szCs w:val="24"/>
          <w:lang w:eastAsia="pl-PL"/>
        </w:rPr>
      </w:pPr>
      <w:r w:rsidRPr="00A72FD9">
        <w:rPr>
          <w:rFonts w:eastAsia="Times New Roman" w:cstheme="minorHAnsi"/>
          <w:color w:val="000000" w:themeColor="text1"/>
          <w:sz w:val="24"/>
          <w:szCs w:val="24"/>
          <w:lang w:eastAsia="pl-PL"/>
        </w:rPr>
        <w:t>W 2024 r. pod nadzorem Państwowej Inspekcji Sanitarnej w woj. zachodniopomorskim było 2466 podmiotów prowadzących działalność leczniczą wykonywaną przez praktykę zawodową, tj. indywidualnych, indywidualnych specjalistycznych, grupowych praktyk lekarskich i</w:t>
      </w:r>
      <w:r w:rsidR="00C545E2">
        <w:rPr>
          <w:rFonts w:eastAsia="Times New Roman" w:cstheme="minorHAnsi"/>
          <w:color w:val="000000" w:themeColor="text1"/>
          <w:sz w:val="24"/>
          <w:szCs w:val="24"/>
          <w:lang w:eastAsia="pl-PL"/>
        </w:rPr>
        <w:t> </w:t>
      </w:r>
      <w:r w:rsidRPr="00A72FD9">
        <w:rPr>
          <w:rFonts w:eastAsia="Times New Roman" w:cstheme="minorHAnsi"/>
          <w:color w:val="000000" w:themeColor="text1"/>
          <w:sz w:val="24"/>
          <w:szCs w:val="24"/>
          <w:lang w:eastAsia="pl-PL"/>
        </w:rPr>
        <w:t>dentystycznych oraz praktyk pielęgniarskich i innych, w których udzielane były świadczenia medyczne w systemie ambulatoryjnym. Liczba tego rodzaju podmiotów w</w:t>
      </w:r>
      <w:r w:rsidR="007B1BEB">
        <w:rPr>
          <w:rFonts w:eastAsia="Times New Roman" w:cstheme="minorHAnsi"/>
          <w:color w:val="000000" w:themeColor="text1"/>
          <w:sz w:val="24"/>
          <w:szCs w:val="24"/>
          <w:lang w:eastAsia="pl-PL"/>
        </w:rPr>
        <w:t> </w:t>
      </w:r>
      <w:r w:rsidRPr="00A72FD9">
        <w:rPr>
          <w:rFonts w:eastAsia="Times New Roman" w:cstheme="minorHAnsi"/>
          <w:color w:val="000000" w:themeColor="text1"/>
          <w:sz w:val="24"/>
          <w:szCs w:val="24"/>
          <w:lang w:eastAsia="pl-PL"/>
        </w:rPr>
        <w:t>stosunku do 2023 r. zmniejszyła się o 140. W 105 obiektach oceniono negatywnie stan higieniczno-sanitarny lub techniczny (tabela 3</w:t>
      </w:r>
      <w:r>
        <w:rPr>
          <w:rFonts w:eastAsia="Times New Roman" w:cstheme="minorHAnsi"/>
          <w:color w:val="000000" w:themeColor="text1"/>
          <w:sz w:val="24"/>
          <w:szCs w:val="24"/>
          <w:lang w:eastAsia="pl-PL"/>
        </w:rPr>
        <w:t>2</w:t>
      </w:r>
      <w:r w:rsidRPr="00A72FD9">
        <w:rPr>
          <w:rFonts w:eastAsia="Times New Roman" w:cstheme="minorHAnsi"/>
          <w:color w:val="000000" w:themeColor="text1"/>
          <w:sz w:val="24"/>
          <w:szCs w:val="24"/>
          <w:lang w:eastAsia="pl-PL"/>
        </w:rPr>
        <w:t xml:space="preserve">). </w:t>
      </w:r>
    </w:p>
    <w:p w14:paraId="40081930" w14:textId="77777777" w:rsidR="00C545E2" w:rsidRPr="00A72FD9" w:rsidRDefault="00C545E2" w:rsidP="00597239">
      <w:pPr>
        <w:tabs>
          <w:tab w:val="left" w:pos="851"/>
        </w:tabs>
        <w:spacing w:after="0" w:line="276" w:lineRule="auto"/>
        <w:rPr>
          <w:rFonts w:eastAsia="Times New Roman" w:cstheme="minorHAnsi"/>
          <w:strike/>
          <w:color w:val="000000" w:themeColor="text1"/>
          <w:sz w:val="24"/>
          <w:szCs w:val="24"/>
          <w:lang w:eastAsia="pl-PL"/>
        </w:rPr>
      </w:pPr>
    </w:p>
    <w:p w14:paraId="59EC9CA2" w14:textId="77777777" w:rsidR="00C545E2" w:rsidRDefault="00C545E2" w:rsidP="00597239">
      <w:pPr>
        <w:pStyle w:val="Legenda"/>
        <w:rPr>
          <w:i w:val="0"/>
          <w:iCs w:val="0"/>
          <w:color w:val="000000" w:themeColor="text1"/>
        </w:rPr>
      </w:pPr>
      <w:bookmarkStart w:id="243" w:name="_Toc193806002"/>
    </w:p>
    <w:p w14:paraId="2C7284A4" w14:textId="77777777" w:rsidR="00C545E2" w:rsidRDefault="00C545E2" w:rsidP="00597239">
      <w:pPr>
        <w:pStyle w:val="Legenda"/>
        <w:rPr>
          <w:i w:val="0"/>
          <w:iCs w:val="0"/>
          <w:color w:val="000000" w:themeColor="text1"/>
        </w:rPr>
      </w:pPr>
    </w:p>
    <w:p w14:paraId="715E2D44" w14:textId="77777777" w:rsidR="00C545E2" w:rsidRDefault="00C545E2" w:rsidP="00597239">
      <w:pPr>
        <w:pStyle w:val="Legenda"/>
        <w:rPr>
          <w:i w:val="0"/>
          <w:iCs w:val="0"/>
          <w:color w:val="000000" w:themeColor="text1"/>
        </w:rPr>
      </w:pPr>
    </w:p>
    <w:p w14:paraId="011A18B4" w14:textId="77777777" w:rsidR="00C545E2" w:rsidRDefault="00C545E2" w:rsidP="00597239">
      <w:pPr>
        <w:pStyle w:val="Legenda"/>
        <w:rPr>
          <w:i w:val="0"/>
          <w:iCs w:val="0"/>
          <w:color w:val="000000" w:themeColor="text1"/>
        </w:rPr>
      </w:pPr>
    </w:p>
    <w:p w14:paraId="66B03AAC" w14:textId="77777777" w:rsidR="00C545E2" w:rsidRDefault="00C545E2" w:rsidP="00597239">
      <w:pPr>
        <w:pStyle w:val="Legenda"/>
        <w:rPr>
          <w:i w:val="0"/>
          <w:iCs w:val="0"/>
          <w:color w:val="000000" w:themeColor="text1"/>
        </w:rPr>
      </w:pPr>
    </w:p>
    <w:p w14:paraId="24D99A3F" w14:textId="7D77B705" w:rsidR="000B4D72" w:rsidRPr="001728A2" w:rsidRDefault="001728A2" w:rsidP="00597239">
      <w:pPr>
        <w:pStyle w:val="Legenda"/>
        <w:spacing w:after="0"/>
        <w:rPr>
          <w:i w:val="0"/>
          <w:iCs w:val="0"/>
          <w:color w:val="000000" w:themeColor="text1"/>
        </w:rPr>
      </w:pPr>
      <w:bookmarkStart w:id="244" w:name="_Toc193969550"/>
      <w:bookmarkStart w:id="245" w:name="_Toc194060010"/>
      <w:r w:rsidRPr="001728A2">
        <w:rPr>
          <w:i w:val="0"/>
          <w:iCs w:val="0"/>
          <w:color w:val="000000" w:themeColor="text1"/>
        </w:rPr>
        <w:t xml:space="preserve">Tabela </w:t>
      </w:r>
      <w:r w:rsidRPr="001728A2">
        <w:rPr>
          <w:i w:val="0"/>
          <w:iCs w:val="0"/>
          <w:color w:val="000000" w:themeColor="text1"/>
        </w:rPr>
        <w:fldChar w:fldCharType="begin"/>
      </w:r>
      <w:r w:rsidRPr="001728A2">
        <w:rPr>
          <w:i w:val="0"/>
          <w:iCs w:val="0"/>
          <w:color w:val="000000" w:themeColor="text1"/>
        </w:rPr>
        <w:instrText xml:space="preserve"> SEQ Tabela \* ARABIC </w:instrText>
      </w:r>
      <w:r w:rsidRPr="001728A2">
        <w:rPr>
          <w:i w:val="0"/>
          <w:iCs w:val="0"/>
          <w:color w:val="000000" w:themeColor="text1"/>
        </w:rPr>
        <w:fldChar w:fldCharType="separate"/>
      </w:r>
      <w:r w:rsidR="00FB6F6A">
        <w:rPr>
          <w:i w:val="0"/>
          <w:iCs w:val="0"/>
          <w:noProof/>
          <w:color w:val="000000" w:themeColor="text1"/>
        </w:rPr>
        <w:t>32</w:t>
      </w:r>
      <w:r w:rsidRPr="001728A2">
        <w:rPr>
          <w:i w:val="0"/>
          <w:iCs w:val="0"/>
          <w:color w:val="000000" w:themeColor="text1"/>
        </w:rPr>
        <w:fldChar w:fldCharType="end"/>
      </w:r>
      <w:r w:rsidR="00E75D31">
        <w:rPr>
          <w:i w:val="0"/>
          <w:iCs w:val="0"/>
          <w:color w:val="000000" w:themeColor="text1"/>
        </w:rPr>
        <w:t>.</w:t>
      </w:r>
      <w:r w:rsidRPr="001728A2">
        <w:rPr>
          <w:i w:val="0"/>
          <w:iCs w:val="0"/>
          <w:color w:val="000000" w:themeColor="text1"/>
        </w:rPr>
        <w:t xml:space="preserve"> Nadzór nad stanem sanitarnym podmiotów działalności leczniczej wykonujących praktykę zawodową w woj. zachodniopomorskim w 2024 r.</w:t>
      </w:r>
      <w:bookmarkEnd w:id="243"/>
      <w:bookmarkEnd w:id="244"/>
      <w:bookmarkEnd w:id="245"/>
    </w:p>
    <w:tbl>
      <w:tblPr>
        <w:tblStyle w:val="Tabelasiatki4akcent1"/>
        <w:tblpPr w:leftFromText="141" w:rightFromText="141" w:vertAnchor="text" w:horzAnchor="margin" w:tblpXSpec="center" w:tblpY="186"/>
        <w:tblW w:w="5000" w:type="pct"/>
        <w:tblLook w:val="04A0" w:firstRow="1" w:lastRow="0" w:firstColumn="1" w:lastColumn="0" w:noHBand="0" w:noVBand="1"/>
        <w:tblCaption w:val="Tabela 32. Nadzór nad stanem sanitarnym podmiotów działalności leczniczej wykonujących praktykę zawodową w woj. zachodniopomorskim w 2024 r."/>
        <w:tblDescription w:val="Tabela zawiera informacje zbiorcze dot. nadzoru nad stanem sanitarnym podmiotów działalności leczniczej wykonujących praktykę zawodową w woj. zachodniopomorskim w 2024 r.Ogółem spośród 2466 praktyk lekarskich i pielęgniarskich skontrolowano 769 tj.31,18%. Stwierdzono nieprawidłowości w 105 obiektach, co stanowi13,65 % ogółu nadzorowanych praktyk zawodowych."/>
      </w:tblPr>
      <w:tblGrid>
        <w:gridCol w:w="3254"/>
        <w:gridCol w:w="1257"/>
        <w:gridCol w:w="1499"/>
        <w:gridCol w:w="795"/>
        <w:gridCol w:w="1461"/>
        <w:gridCol w:w="796"/>
      </w:tblGrid>
      <w:tr w:rsidR="000B4D72" w:rsidRPr="00FF50CD" w14:paraId="67B5CCED" w14:textId="77777777" w:rsidTr="0006329F">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44" w:type="dxa"/>
            <w:vMerge w:val="restart"/>
            <w:vAlign w:val="center"/>
          </w:tcPr>
          <w:p w14:paraId="4AFF389B" w14:textId="77777777" w:rsidR="000B4D72" w:rsidRPr="00FF50CD" w:rsidRDefault="000B4D72" w:rsidP="00597239">
            <w:pPr>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Wyszczególnienie</w:t>
            </w:r>
          </w:p>
        </w:tc>
        <w:tc>
          <w:tcPr>
            <w:tcW w:w="6237" w:type="dxa"/>
            <w:gridSpan w:val="5"/>
            <w:vAlign w:val="center"/>
          </w:tcPr>
          <w:p w14:paraId="3C2B645B" w14:textId="77777777" w:rsidR="000B4D72" w:rsidRPr="00FF50CD" w:rsidRDefault="000B4D72" w:rsidP="00597239">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Liczba obiektów</w:t>
            </w:r>
          </w:p>
        </w:tc>
      </w:tr>
      <w:tr w:rsidR="000B4D72" w:rsidRPr="00FF50CD" w14:paraId="506EDDEC" w14:textId="77777777" w:rsidTr="0006329F">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3544" w:type="dxa"/>
            <w:vMerge/>
            <w:vAlign w:val="center"/>
          </w:tcPr>
          <w:p w14:paraId="44838015" w14:textId="77777777" w:rsidR="000B4D72" w:rsidRPr="00FF50CD" w:rsidRDefault="000B4D72" w:rsidP="00597239">
            <w:pPr>
              <w:rPr>
                <w:rFonts w:eastAsia="Times New Roman" w:cstheme="minorHAnsi"/>
                <w:b w:val="0"/>
                <w:bCs w:val="0"/>
                <w:color w:val="000000" w:themeColor="text1"/>
                <w:sz w:val="20"/>
                <w:szCs w:val="20"/>
                <w:lang w:eastAsia="pl-PL"/>
              </w:rPr>
            </w:pPr>
          </w:p>
        </w:tc>
        <w:tc>
          <w:tcPr>
            <w:tcW w:w="1356" w:type="dxa"/>
            <w:vAlign w:val="center"/>
          </w:tcPr>
          <w:p w14:paraId="03D57342" w14:textId="164C47A3"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Ogółem wg</w:t>
            </w:r>
          </w:p>
          <w:p w14:paraId="2EB36559" w14:textId="0764F8F5"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ewidencji</w:t>
            </w:r>
          </w:p>
          <w:p w14:paraId="3343CDEA"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na 31.XII.2024</w:t>
            </w:r>
          </w:p>
        </w:tc>
        <w:tc>
          <w:tcPr>
            <w:tcW w:w="1621" w:type="dxa"/>
            <w:vAlign w:val="center"/>
          </w:tcPr>
          <w:p w14:paraId="4B3F67E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skontrolowanych</w:t>
            </w:r>
          </w:p>
        </w:tc>
        <w:tc>
          <w:tcPr>
            <w:tcW w:w="850" w:type="dxa"/>
            <w:noWrap/>
            <w:vAlign w:val="center"/>
          </w:tcPr>
          <w:p w14:paraId="5A81868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w:t>
            </w:r>
          </w:p>
        </w:tc>
        <w:tc>
          <w:tcPr>
            <w:tcW w:w="1559" w:type="dxa"/>
            <w:vAlign w:val="center"/>
          </w:tcPr>
          <w:p w14:paraId="36127D59" w14:textId="47AF8015"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ze stwierdzonym</w:t>
            </w:r>
          </w:p>
          <w:p w14:paraId="7E5FA1C9" w14:textId="32D17E7F"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nieprawidłowym stanem</w:t>
            </w:r>
          </w:p>
        </w:tc>
        <w:tc>
          <w:tcPr>
            <w:tcW w:w="851" w:type="dxa"/>
            <w:vAlign w:val="center"/>
          </w:tcPr>
          <w:p w14:paraId="35CE8FC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w:t>
            </w:r>
          </w:p>
        </w:tc>
      </w:tr>
      <w:tr w:rsidR="000B4D72" w:rsidRPr="00FF50CD" w14:paraId="4E6EC6C1" w14:textId="77777777" w:rsidTr="0006329F">
        <w:trPr>
          <w:trHeight w:val="454"/>
        </w:trPr>
        <w:tc>
          <w:tcPr>
            <w:cnfStyle w:val="001000000000" w:firstRow="0" w:lastRow="0" w:firstColumn="1" w:lastColumn="0" w:oddVBand="0" w:evenVBand="0" w:oddHBand="0" w:evenHBand="0" w:firstRowFirstColumn="0" w:firstRowLastColumn="0" w:lastRowFirstColumn="0" w:lastRowLastColumn="0"/>
            <w:tcW w:w="3544" w:type="dxa"/>
            <w:noWrap/>
            <w:vAlign w:val="center"/>
          </w:tcPr>
          <w:p w14:paraId="484480A6"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Razem praktyki lekarskie, w tym:</w:t>
            </w:r>
          </w:p>
        </w:tc>
        <w:tc>
          <w:tcPr>
            <w:tcW w:w="1356" w:type="dxa"/>
            <w:noWrap/>
            <w:vAlign w:val="center"/>
          </w:tcPr>
          <w:p w14:paraId="070838F3"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2162</w:t>
            </w:r>
          </w:p>
        </w:tc>
        <w:tc>
          <w:tcPr>
            <w:tcW w:w="1621" w:type="dxa"/>
            <w:noWrap/>
            <w:vAlign w:val="center"/>
          </w:tcPr>
          <w:p w14:paraId="617D712E"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668</w:t>
            </w:r>
          </w:p>
        </w:tc>
        <w:tc>
          <w:tcPr>
            <w:tcW w:w="850" w:type="dxa"/>
            <w:noWrap/>
            <w:vAlign w:val="center"/>
          </w:tcPr>
          <w:p w14:paraId="246BE6AD"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30,90</w:t>
            </w:r>
          </w:p>
        </w:tc>
        <w:tc>
          <w:tcPr>
            <w:tcW w:w="1559" w:type="dxa"/>
            <w:noWrap/>
            <w:vAlign w:val="center"/>
          </w:tcPr>
          <w:p w14:paraId="5A7D431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93</w:t>
            </w:r>
          </w:p>
        </w:tc>
        <w:tc>
          <w:tcPr>
            <w:tcW w:w="851" w:type="dxa"/>
            <w:noWrap/>
            <w:vAlign w:val="center"/>
          </w:tcPr>
          <w:p w14:paraId="1283340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13,92</w:t>
            </w:r>
          </w:p>
        </w:tc>
      </w:tr>
      <w:tr w:rsidR="000B4D72" w:rsidRPr="00FF50CD" w14:paraId="10F14EAD" w14:textId="77777777" w:rsidTr="0006329F">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ACBC364" w14:textId="29EE91F3"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Indywidualne praktyki lekarskie, w tym:</w:t>
            </w:r>
          </w:p>
        </w:tc>
        <w:tc>
          <w:tcPr>
            <w:tcW w:w="1356" w:type="dxa"/>
            <w:noWrap/>
            <w:vAlign w:val="center"/>
          </w:tcPr>
          <w:p w14:paraId="46138EA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683</w:t>
            </w:r>
          </w:p>
        </w:tc>
        <w:tc>
          <w:tcPr>
            <w:tcW w:w="1621" w:type="dxa"/>
            <w:noWrap/>
            <w:vAlign w:val="center"/>
          </w:tcPr>
          <w:p w14:paraId="775530E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333</w:t>
            </w:r>
          </w:p>
        </w:tc>
        <w:tc>
          <w:tcPr>
            <w:tcW w:w="850" w:type="dxa"/>
            <w:noWrap/>
            <w:vAlign w:val="center"/>
          </w:tcPr>
          <w:p w14:paraId="1A42E923"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48,75</w:t>
            </w:r>
          </w:p>
        </w:tc>
        <w:tc>
          <w:tcPr>
            <w:tcW w:w="1559" w:type="dxa"/>
            <w:noWrap/>
            <w:vAlign w:val="center"/>
          </w:tcPr>
          <w:p w14:paraId="13F6B311"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44</w:t>
            </w:r>
          </w:p>
        </w:tc>
        <w:tc>
          <w:tcPr>
            <w:tcW w:w="851" w:type="dxa"/>
            <w:noWrap/>
            <w:vAlign w:val="center"/>
          </w:tcPr>
          <w:p w14:paraId="7A40545C"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13,21</w:t>
            </w:r>
          </w:p>
        </w:tc>
      </w:tr>
      <w:tr w:rsidR="000B4D72" w:rsidRPr="00FF50CD" w14:paraId="3AA3007B" w14:textId="77777777" w:rsidTr="0006329F">
        <w:trPr>
          <w:trHeight w:val="8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4640310"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Indywidualne praktyki lekarzy dentystów.</w:t>
            </w:r>
          </w:p>
        </w:tc>
        <w:tc>
          <w:tcPr>
            <w:tcW w:w="1356" w:type="dxa"/>
            <w:noWrap/>
            <w:vAlign w:val="center"/>
          </w:tcPr>
          <w:p w14:paraId="5BD649D6"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599</w:t>
            </w:r>
          </w:p>
        </w:tc>
        <w:tc>
          <w:tcPr>
            <w:tcW w:w="1621" w:type="dxa"/>
            <w:noWrap/>
            <w:vAlign w:val="center"/>
          </w:tcPr>
          <w:p w14:paraId="46DB8C7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308</w:t>
            </w:r>
          </w:p>
        </w:tc>
        <w:tc>
          <w:tcPr>
            <w:tcW w:w="850" w:type="dxa"/>
            <w:noWrap/>
            <w:vAlign w:val="center"/>
          </w:tcPr>
          <w:p w14:paraId="6FA825B0"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51,42</w:t>
            </w:r>
          </w:p>
        </w:tc>
        <w:tc>
          <w:tcPr>
            <w:tcW w:w="1559" w:type="dxa"/>
            <w:noWrap/>
            <w:vAlign w:val="center"/>
          </w:tcPr>
          <w:p w14:paraId="20BAD231"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37</w:t>
            </w:r>
          </w:p>
        </w:tc>
        <w:tc>
          <w:tcPr>
            <w:tcW w:w="851" w:type="dxa"/>
            <w:noWrap/>
            <w:vAlign w:val="center"/>
          </w:tcPr>
          <w:p w14:paraId="3A1E620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12,01</w:t>
            </w:r>
          </w:p>
        </w:tc>
      </w:tr>
      <w:tr w:rsidR="000B4D72" w:rsidRPr="00FF50CD" w14:paraId="02BE4EEB" w14:textId="77777777" w:rsidTr="0006329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A563E09"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Indywidualne specjalistyczne praktyki lekarskie, w tym:</w:t>
            </w:r>
          </w:p>
        </w:tc>
        <w:tc>
          <w:tcPr>
            <w:tcW w:w="1356" w:type="dxa"/>
            <w:noWrap/>
            <w:vAlign w:val="center"/>
          </w:tcPr>
          <w:p w14:paraId="7996A074"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1449</w:t>
            </w:r>
          </w:p>
        </w:tc>
        <w:tc>
          <w:tcPr>
            <w:tcW w:w="1621" w:type="dxa"/>
            <w:noWrap/>
            <w:vAlign w:val="center"/>
          </w:tcPr>
          <w:p w14:paraId="22968365"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319</w:t>
            </w:r>
          </w:p>
        </w:tc>
        <w:tc>
          <w:tcPr>
            <w:tcW w:w="850" w:type="dxa"/>
            <w:noWrap/>
            <w:vAlign w:val="center"/>
          </w:tcPr>
          <w:p w14:paraId="033B79E9"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22,01</w:t>
            </w:r>
          </w:p>
        </w:tc>
        <w:tc>
          <w:tcPr>
            <w:tcW w:w="1559" w:type="dxa"/>
            <w:noWrap/>
            <w:vAlign w:val="center"/>
          </w:tcPr>
          <w:p w14:paraId="1BC0864F"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45</w:t>
            </w:r>
          </w:p>
        </w:tc>
        <w:tc>
          <w:tcPr>
            <w:tcW w:w="851" w:type="dxa"/>
            <w:noWrap/>
            <w:vAlign w:val="center"/>
          </w:tcPr>
          <w:p w14:paraId="43ED540D" w14:textId="77777777" w:rsidR="000B4D72" w:rsidRPr="00FF50CD" w:rsidRDefault="000B4D72" w:rsidP="00597239">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14,11</w:t>
            </w:r>
          </w:p>
        </w:tc>
      </w:tr>
      <w:tr w:rsidR="000B4D72" w:rsidRPr="00FF50CD" w14:paraId="17855D4A" w14:textId="77777777" w:rsidTr="0006329F">
        <w:trPr>
          <w:trHeight w:val="45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9E638D4" w14:textId="77777777" w:rsidR="000B4D72" w:rsidRPr="00FF50CD" w:rsidRDefault="000B4D72" w:rsidP="00597239">
            <w:pPr>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Indywidualne specjalistyczne praktyki lekarzy dentystów.</w:t>
            </w:r>
          </w:p>
        </w:tc>
        <w:tc>
          <w:tcPr>
            <w:tcW w:w="1356" w:type="dxa"/>
            <w:noWrap/>
            <w:vAlign w:val="center"/>
          </w:tcPr>
          <w:p w14:paraId="701F0457"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305</w:t>
            </w:r>
          </w:p>
        </w:tc>
        <w:tc>
          <w:tcPr>
            <w:tcW w:w="1621" w:type="dxa"/>
            <w:noWrap/>
            <w:vAlign w:val="center"/>
          </w:tcPr>
          <w:p w14:paraId="70F680F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163</w:t>
            </w:r>
          </w:p>
        </w:tc>
        <w:tc>
          <w:tcPr>
            <w:tcW w:w="850" w:type="dxa"/>
            <w:noWrap/>
            <w:vAlign w:val="center"/>
          </w:tcPr>
          <w:p w14:paraId="3BBDFA84"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53,44</w:t>
            </w:r>
          </w:p>
        </w:tc>
        <w:tc>
          <w:tcPr>
            <w:tcW w:w="1559" w:type="dxa"/>
            <w:noWrap/>
            <w:vAlign w:val="center"/>
          </w:tcPr>
          <w:p w14:paraId="024066C2"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18</w:t>
            </w:r>
          </w:p>
        </w:tc>
        <w:tc>
          <w:tcPr>
            <w:tcW w:w="851" w:type="dxa"/>
            <w:noWrap/>
            <w:vAlign w:val="center"/>
          </w:tcPr>
          <w:p w14:paraId="7BB2DAEB" w14:textId="77777777" w:rsidR="000B4D72" w:rsidRPr="00FF50CD" w:rsidRDefault="000B4D72" w:rsidP="0059723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11,04</w:t>
            </w:r>
          </w:p>
        </w:tc>
      </w:tr>
      <w:tr w:rsidR="000B4D72" w:rsidRPr="00FF50CD" w14:paraId="4BD0BB5D" w14:textId="77777777" w:rsidTr="0006329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258AA49" w14:textId="77777777"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Grupowe praktyki lekarskie, w tym:</w:t>
            </w:r>
          </w:p>
        </w:tc>
        <w:tc>
          <w:tcPr>
            <w:tcW w:w="1356" w:type="dxa"/>
            <w:noWrap/>
            <w:vAlign w:val="center"/>
          </w:tcPr>
          <w:p w14:paraId="4E899A85"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30</w:t>
            </w:r>
          </w:p>
        </w:tc>
        <w:tc>
          <w:tcPr>
            <w:tcW w:w="1621" w:type="dxa"/>
            <w:noWrap/>
            <w:vAlign w:val="center"/>
          </w:tcPr>
          <w:p w14:paraId="0FF9BEA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16</w:t>
            </w:r>
          </w:p>
        </w:tc>
        <w:tc>
          <w:tcPr>
            <w:tcW w:w="850" w:type="dxa"/>
            <w:noWrap/>
            <w:vAlign w:val="center"/>
          </w:tcPr>
          <w:p w14:paraId="7B13DA7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53,33</w:t>
            </w:r>
          </w:p>
        </w:tc>
        <w:tc>
          <w:tcPr>
            <w:tcW w:w="1559" w:type="dxa"/>
            <w:noWrap/>
            <w:vAlign w:val="center"/>
          </w:tcPr>
          <w:p w14:paraId="43B00FB8"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w:t>
            </w:r>
          </w:p>
        </w:tc>
        <w:tc>
          <w:tcPr>
            <w:tcW w:w="851" w:type="dxa"/>
            <w:noWrap/>
            <w:vAlign w:val="center"/>
          </w:tcPr>
          <w:p w14:paraId="5457EA9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25</w:t>
            </w:r>
          </w:p>
        </w:tc>
      </w:tr>
      <w:tr w:rsidR="000B4D72" w:rsidRPr="00FF50CD" w14:paraId="77DC27F6" w14:textId="77777777" w:rsidTr="0006329F">
        <w:trPr>
          <w:trHeight w:val="155"/>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1B0C451" w14:textId="77777777"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Grupowe praktyki lekarzy dentystów.</w:t>
            </w:r>
          </w:p>
        </w:tc>
        <w:tc>
          <w:tcPr>
            <w:tcW w:w="1356" w:type="dxa"/>
            <w:noWrap/>
            <w:vAlign w:val="center"/>
          </w:tcPr>
          <w:p w14:paraId="15680FA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23</w:t>
            </w:r>
          </w:p>
        </w:tc>
        <w:tc>
          <w:tcPr>
            <w:tcW w:w="1621" w:type="dxa"/>
            <w:noWrap/>
            <w:vAlign w:val="center"/>
          </w:tcPr>
          <w:p w14:paraId="542C2971"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12</w:t>
            </w:r>
          </w:p>
        </w:tc>
        <w:tc>
          <w:tcPr>
            <w:tcW w:w="850" w:type="dxa"/>
            <w:noWrap/>
            <w:vAlign w:val="center"/>
          </w:tcPr>
          <w:p w14:paraId="3D3EB65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52,17</w:t>
            </w:r>
          </w:p>
        </w:tc>
        <w:tc>
          <w:tcPr>
            <w:tcW w:w="1559" w:type="dxa"/>
            <w:noWrap/>
            <w:vAlign w:val="center"/>
          </w:tcPr>
          <w:p w14:paraId="29E6A6E3"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w:t>
            </w:r>
          </w:p>
        </w:tc>
        <w:tc>
          <w:tcPr>
            <w:tcW w:w="851" w:type="dxa"/>
            <w:noWrap/>
            <w:vAlign w:val="center"/>
          </w:tcPr>
          <w:p w14:paraId="109D268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33,33</w:t>
            </w:r>
          </w:p>
        </w:tc>
      </w:tr>
      <w:tr w:rsidR="000B4D72" w:rsidRPr="00FF50CD" w14:paraId="71B8BCEF" w14:textId="77777777" w:rsidTr="0006329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3F61289" w14:textId="77777777"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Razem praktyki pielęgniarskie, w tym:</w:t>
            </w:r>
          </w:p>
        </w:tc>
        <w:tc>
          <w:tcPr>
            <w:tcW w:w="1356" w:type="dxa"/>
            <w:noWrap/>
            <w:vAlign w:val="center"/>
          </w:tcPr>
          <w:p w14:paraId="2231E983"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153</w:t>
            </w:r>
          </w:p>
        </w:tc>
        <w:tc>
          <w:tcPr>
            <w:tcW w:w="1621" w:type="dxa"/>
            <w:noWrap/>
            <w:vAlign w:val="center"/>
          </w:tcPr>
          <w:p w14:paraId="6FD814F6"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58</w:t>
            </w:r>
          </w:p>
        </w:tc>
        <w:tc>
          <w:tcPr>
            <w:tcW w:w="850" w:type="dxa"/>
            <w:noWrap/>
            <w:vAlign w:val="center"/>
          </w:tcPr>
          <w:p w14:paraId="4FA9216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37,91</w:t>
            </w:r>
          </w:p>
        </w:tc>
        <w:tc>
          <w:tcPr>
            <w:tcW w:w="1559" w:type="dxa"/>
            <w:noWrap/>
            <w:vAlign w:val="center"/>
          </w:tcPr>
          <w:p w14:paraId="2673F00C"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w:t>
            </w:r>
          </w:p>
        </w:tc>
        <w:tc>
          <w:tcPr>
            <w:tcW w:w="851" w:type="dxa"/>
            <w:noWrap/>
            <w:vAlign w:val="center"/>
          </w:tcPr>
          <w:p w14:paraId="48CCBE99"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6,90</w:t>
            </w:r>
          </w:p>
        </w:tc>
      </w:tr>
      <w:tr w:rsidR="000B4D72" w:rsidRPr="00FF50CD" w14:paraId="3517BB5A" w14:textId="77777777" w:rsidTr="0006329F">
        <w:trPr>
          <w:trHeight w:val="26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735165B" w14:textId="4061D984"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Indywidualne praktyki pielęgniarek</w:t>
            </w:r>
          </w:p>
        </w:tc>
        <w:tc>
          <w:tcPr>
            <w:tcW w:w="1356" w:type="dxa"/>
            <w:noWrap/>
            <w:vAlign w:val="center"/>
          </w:tcPr>
          <w:p w14:paraId="2AA792E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110</w:t>
            </w:r>
          </w:p>
        </w:tc>
        <w:tc>
          <w:tcPr>
            <w:tcW w:w="1621" w:type="dxa"/>
            <w:noWrap/>
            <w:vAlign w:val="center"/>
          </w:tcPr>
          <w:p w14:paraId="79BA71D7"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45</w:t>
            </w:r>
          </w:p>
        </w:tc>
        <w:tc>
          <w:tcPr>
            <w:tcW w:w="850" w:type="dxa"/>
            <w:noWrap/>
            <w:vAlign w:val="center"/>
          </w:tcPr>
          <w:p w14:paraId="00AE367A"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40,91</w:t>
            </w:r>
          </w:p>
        </w:tc>
        <w:tc>
          <w:tcPr>
            <w:tcW w:w="1559" w:type="dxa"/>
            <w:noWrap/>
            <w:vAlign w:val="center"/>
          </w:tcPr>
          <w:p w14:paraId="366C930E"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w:t>
            </w:r>
          </w:p>
        </w:tc>
        <w:tc>
          <w:tcPr>
            <w:tcW w:w="851" w:type="dxa"/>
            <w:noWrap/>
            <w:vAlign w:val="center"/>
          </w:tcPr>
          <w:p w14:paraId="7E52446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2,22</w:t>
            </w:r>
          </w:p>
        </w:tc>
      </w:tr>
      <w:tr w:rsidR="000B4D72" w:rsidRPr="00FF50CD" w14:paraId="5E5303BB" w14:textId="77777777" w:rsidTr="0006329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A7B368C" w14:textId="04E26650"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Indywidualne specjalistyczne praktyki pielęgniarek</w:t>
            </w:r>
          </w:p>
        </w:tc>
        <w:tc>
          <w:tcPr>
            <w:tcW w:w="1356" w:type="dxa"/>
            <w:noWrap/>
            <w:vAlign w:val="center"/>
          </w:tcPr>
          <w:p w14:paraId="13E8844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13</w:t>
            </w:r>
          </w:p>
        </w:tc>
        <w:tc>
          <w:tcPr>
            <w:tcW w:w="1621" w:type="dxa"/>
            <w:noWrap/>
            <w:vAlign w:val="center"/>
          </w:tcPr>
          <w:p w14:paraId="5A28904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w:t>
            </w:r>
          </w:p>
        </w:tc>
        <w:tc>
          <w:tcPr>
            <w:tcW w:w="850" w:type="dxa"/>
            <w:noWrap/>
            <w:vAlign w:val="center"/>
          </w:tcPr>
          <w:p w14:paraId="6134F6B9"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7,69</w:t>
            </w:r>
          </w:p>
        </w:tc>
        <w:tc>
          <w:tcPr>
            <w:tcW w:w="1559" w:type="dxa"/>
            <w:noWrap/>
            <w:vAlign w:val="center"/>
          </w:tcPr>
          <w:p w14:paraId="47E9F0B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0</w:t>
            </w:r>
          </w:p>
        </w:tc>
        <w:tc>
          <w:tcPr>
            <w:tcW w:w="851" w:type="dxa"/>
            <w:noWrap/>
            <w:vAlign w:val="center"/>
          </w:tcPr>
          <w:p w14:paraId="74C5AB8C"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0</w:t>
            </w:r>
          </w:p>
        </w:tc>
      </w:tr>
      <w:tr w:rsidR="000B4D72" w:rsidRPr="00FF50CD" w14:paraId="4B2E8992" w14:textId="77777777" w:rsidTr="0006329F">
        <w:trPr>
          <w:trHeight w:val="148"/>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1C31019" w14:textId="7C7BB7DE"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Grupowe praktyki pielęgniarek</w:t>
            </w:r>
          </w:p>
        </w:tc>
        <w:tc>
          <w:tcPr>
            <w:tcW w:w="1356" w:type="dxa"/>
            <w:noWrap/>
            <w:vAlign w:val="center"/>
          </w:tcPr>
          <w:p w14:paraId="234D6FE4"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30</w:t>
            </w:r>
          </w:p>
        </w:tc>
        <w:tc>
          <w:tcPr>
            <w:tcW w:w="1621" w:type="dxa"/>
            <w:noWrap/>
            <w:vAlign w:val="center"/>
          </w:tcPr>
          <w:p w14:paraId="6CCA4B6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12</w:t>
            </w:r>
          </w:p>
        </w:tc>
        <w:tc>
          <w:tcPr>
            <w:tcW w:w="850" w:type="dxa"/>
            <w:noWrap/>
            <w:vAlign w:val="center"/>
          </w:tcPr>
          <w:p w14:paraId="27BAA201"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40</w:t>
            </w:r>
          </w:p>
        </w:tc>
        <w:tc>
          <w:tcPr>
            <w:tcW w:w="1559" w:type="dxa"/>
            <w:noWrap/>
            <w:vAlign w:val="center"/>
          </w:tcPr>
          <w:p w14:paraId="3DE5CB3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3</w:t>
            </w:r>
          </w:p>
        </w:tc>
        <w:tc>
          <w:tcPr>
            <w:tcW w:w="851" w:type="dxa"/>
            <w:noWrap/>
            <w:vAlign w:val="center"/>
          </w:tcPr>
          <w:p w14:paraId="33B1E86E"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25</w:t>
            </w:r>
          </w:p>
        </w:tc>
      </w:tr>
      <w:tr w:rsidR="000B4D72" w:rsidRPr="00FF50CD" w14:paraId="66B36ADF" w14:textId="77777777" w:rsidTr="0006329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3607610" w14:textId="3149B151"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Inne</w:t>
            </w:r>
          </w:p>
        </w:tc>
        <w:tc>
          <w:tcPr>
            <w:tcW w:w="1356" w:type="dxa"/>
            <w:noWrap/>
            <w:vAlign w:val="center"/>
          </w:tcPr>
          <w:p w14:paraId="369E1D5A"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151</w:t>
            </w:r>
          </w:p>
        </w:tc>
        <w:tc>
          <w:tcPr>
            <w:tcW w:w="1621" w:type="dxa"/>
            <w:noWrap/>
            <w:vAlign w:val="center"/>
          </w:tcPr>
          <w:p w14:paraId="6AD8E1DB"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43</w:t>
            </w:r>
          </w:p>
        </w:tc>
        <w:tc>
          <w:tcPr>
            <w:tcW w:w="850" w:type="dxa"/>
            <w:noWrap/>
            <w:vAlign w:val="center"/>
          </w:tcPr>
          <w:p w14:paraId="1D5D786F"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28,48</w:t>
            </w:r>
          </w:p>
        </w:tc>
        <w:tc>
          <w:tcPr>
            <w:tcW w:w="1559" w:type="dxa"/>
            <w:noWrap/>
            <w:vAlign w:val="center"/>
          </w:tcPr>
          <w:p w14:paraId="25E20721"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8</w:t>
            </w:r>
          </w:p>
        </w:tc>
        <w:tc>
          <w:tcPr>
            <w:tcW w:w="851" w:type="dxa"/>
            <w:noWrap/>
            <w:vAlign w:val="center"/>
          </w:tcPr>
          <w:p w14:paraId="6B38376E" w14:textId="77777777" w:rsidR="000B4D72" w:rsidRPr="00FF50CD" w:rsidRDefault="000B4D7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18,60</w:t>
            </w:r>
          </w:p>
        </w:tc>
      </w:tr>
      <w:tr w:rsidR="000B4D72" w:rsidRPr="00FF50CD" w14:paraId="5C78E29E" w14:textId="77777777" w:rsidTr="0006329F">
        <w:trPr>
          <w:trHeight w:val="282"/>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0C17ED38" w14:textId="77777777" w:rsidR="000B4D72" w:rsidRPr="00FF50CD" w:rsidRDefault="000B4D72" w:rsidP="00597239">
            <w:pPr>
              <w:spacing w:line="276" w:lineRule="auto"/>
              <w:rPr>
                <w:rFonts w:eastAsia="Times New Roman" w:cstheme="minorHAnsi"/>
                <w:b w:val="0"/>
                <w:bCs w:val="0"/>
                <w:color w:val="000000" w:themeColor="text1"/>
                <w:sz w:val="20"/>
                <w:szCs w:val="20"/>
                <w:lang w:eastAsia="pl-PL"/>
              </w:rPr>
            </w:pPr>
            <w:r w:rsidRPr="00FF50CD">
              <w:rPr>
                <w:rFonts w:eastAsia="Times New Roman" w:cstheme="minorHAnsi"/>
                <w:b w:val="0"/>
                <w:bCs w:val="0"/>
                <w:color w:val="000000" w:themeColor="text1"/>
                <w:sz w:val="20"/>
                <w:szCs w:val="20"/>
                <w:lang w:eastAsia="pl-PL"/>
              </w:rPr>
              <w:t>Ogółem:</w:t>
            </w:r>
          </w:p>
        </w:tc>
        <w:tc>
          <w:tcPr>
            <w:tcW w:w="1356" w:type="dxa"/>
            <w:noWrap/>
            <w:vAlign w:val="center"/>
          </w:tcPr>
          <w:p w14:paraId="0CF428A8"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2466</w:t>
            </w:r>
          </w:p>
        </w:tc>
        <w:tc>
          <w:tcPr>
            <w:tcW w:w="1621" w:type="dxa"/>
            <w:noWrap/>
            <w:vAlign w:val="center"/>
          </w:tcPr>
          <w:p w14:paraId="0DC86810"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769</w:t>
            </w:r>
          </w:p>
        </w:tc>
        <w:tc>
          <w:tcPr>
            <w:tcW w:w="850" w:type="dxa"/>
            <w:noWrap/>
            <w:vAlign w:val="center"/>
          </w:tcPr>
          <w:p w14:paraId="5C4CD5A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31,18</w:t>
            </w:r>
          </w:p>
        </w:tc>
        <w:tc>
          <w:tcPr>
            <w:tcW w:w="1559" w:type="dxa"/>
            <w:noWrap/>
            <w:vAlign w:val="center"/>
          </w:tcPr>
          <w:p w14:paraId="0AAE199B"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eastAsia="Times New Roman" w:cstheme="minorHAnsi"/>
                <w:color w:val="000000" w:themeColor="text1"/>
                <w:sz w:val="20"/>
                <w:szCs w:val="20"/>
                <w:lang w:eastAsia="pl-PL"/>
              </w:rPr>
              <w:t>105</w:t>
            </w:r>
          </w:p>
        </w:tc>
        <w:tc>
          <w:tcPr>
            <w:tcW w:w="851" w:type="dxa"/>
            <w:noWrap/>
            <w:vAlign w:val="center"/>
          </w:tcPr>
          <w:p w14:paraId="5418F4EC" w14:textId="77777777" w:rsidR="000B4D72" w:rsidRPr="00FF50CD" w:rsidRDefault="000B4D7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pl-PL"/>
              </w:rPr>
            </w:pPr>
            <w:r w:rsidRPr="00FF50CD">
              <w:rPr>
                <w:rFonts w:cstheme="minorHAnsi"/>
                <w:color w:val="000000" w:themeColor="text1"/>
                <w:sz w:val="20"/>
                <w:szCs w:val="20"/>
              </w:rPr>
              <w:t>13,65</w:t>
            </w:r>
          </w:p>
        </w:tc>
      </w:tr>
    </w:tbl>
    <w:p w14:paraId="249A9BEB" w14:textId="77777777" w:rsidR="000B4D72" w:rsidRPr="00A93712" w:rsidRDefault="000B4D72" w:rsidP="00597239">
      <w:pPr>
        <w:tabs>
          <w:tab w:val="left" w:pos="851"/>
        </w:tabs>
        <w:spacing w:before="240" w:after="0" w:line="276" w:lineRule="auto"/>
        <w:rPr>
          <w:rFonts w:eastAsia="Times New Roman" w:cstheme="minorHAnsi"/>
          <w:color w:val="000000" w:themeColor="text1"/>
          <w:sz w:val="24"/>
          <w:szCs w:val="24"/>
          <w:lang w:eastAsia="pl-PL"/>
        </w:rPr>
      </w:pPr>
      <w:r w:rsidRPr="00A93712">
        <w:rPr>
          <w:rFonts w:eastAsia="Times New Roman" w:cstheme="minorHAnsi"/>
          <w:color w:val="000000" w:themeColor="text1"/>
          <w:sz w:val="24"/>
          <w:szCs w:val="24"/>
          <w:lang w:eastAsia="pl-PL"/>
        </w:rPr>
        <w:t xml:space="preserve">Oceniając stan sanitarny brano pod uwagę poza </w:t>
      </w:r>
      <w:r>
        <w:rPr>
          <w:rFonts w:eastAsia="Times New Roman" w:cstheme="minorHAnsi"/>
          <w:color w:val="000000" w:themeColor="text1"/>
          <w:sz w:val="24"/>
          <w:szCs w:val="24"/>
          <w:lang w:eastAsia="pl-PL"/>
        </w:rPr>
        <w:t>warunkami</w:t>
      </w:r>
      <w:r w:rsidRPr="00A93712">
        <w:rPr>
          <w:rFonts w:eastAsia="Times New Roman" w:cstheme="minorHAnsi"/>
          <w:color w:val="000000" w:themeColor="text1"/>
          <w:sz w:val="24"/>
          <w:szCs w:val="24"/>
          <w:lang w:eastAsia="pl-PL"/>
        </w:rPr>
        <w:t xml:space="preserve"> sanitarno-technicznym</w:t>
      </w:r>
      <w:r>
        <w:rPr>
          <w:rFonts w:eastAsia="Times New Roman" w:cstheme="minorHAnsi"/>
          <w:color w:val="000000" w:themeColor="text1"/>
          <w:sz w:val="24"/>
          <w:szCs w:val="24"/>
          <w:lang w:eastAsia="pl-PL"/>
        </w:rPr>
        <w:t xml:space="preserve">i </w:t>
      </w:r>
      <w:r w:rsidRPr="00A93712">
        <w:rPr>
          <w:rFonts w:eastAsia="Times New Roman" w:cstheme="minorHAnsi"/>
          <w:color w:val="000000" w:themeColor="text1"/>
          <w:sz w:val="24"/>
          <w:szCs w:val="24"/>
          <w:lang w:eastAsia="pl-PL"/>
        </w:rPr>
        <w:t>pomieszczeń, również stopień wdrożenia i realizowania procedur przeciwepidemicznych</w:t>
      </w:r>
      <w:r>
        <w:rPr>
          <w:rFonts w:eastAsia="Times New Roman" w:cstheme="minorHAnsi"/>
          <w:color w:val="000000" w:themeColor="text1"/>
          <w:sz w:val="24"/>
          <w:szCs w:val="24"/>
          <w:lang w:eastAsia="pl-PL"/>
        </w:rPr>
        <w:t>.</w:t>
      </w:r>
    </w:p>
    <w:p w14:paraId="36BA58AF" w14:textId="77777777" w:rsidR="00C545E2" w:rsidRDefault="00C545E2" w:rsidP="00597239">
      <w:pPr>
        <w:spacing w:line="276" w:lineRule="auto"/>
        <w:rPr>
          <w:rFonts w:eastAsia="Times New Roman" w:cstheme="minorHAnsi"/>
          <w:color w:val="000000" w:themeColor="text1"/>
          <w:sz w:val="24"/>
          <w:szCs w:val="24"/>
          <w:lang w:eastAsia="pl-PL"/>
        </w:rPr>
      </w:pPr>
    </w:p>
    <w:p w14:paraId="5A5C5C03" w14:textId="11C7BD6A" w:rsidR="000B4D72" w:rsidRPr="00A93712" w:rsidRDefault="000B4D72" w:rsidP="00597239">
      <w:pPr>
        <w:spacing w:line="276" w:lineRule="auto"/>
        <w:rPr>
          <w:rFonts w:eastAsia="Times New Roman" w:cstheme="minorHAnsi"/>
          <w:color w:val="000000" w:themeColor="text1"/>
          <w:sz w:val="24"/>
          <w:szCs w:val="24"/>
          <w:lang w:eastAsia="pl-PL"/>
        </w:rPr>
      </w:pPr>
      <w:r w:rsidRPr="00A93712">
        <w:rPr>
          <w:rFonts w:eastAsia="Times New Roman" w:cstheme="minorHAnsi"/>
          <w:color w:val="000000" w:themeColor="text1"/>
          <w:sz w:val="24"/>
          <w:szCs w:val="24"/>
          <w:lang w:eastAsia="pl-PL"/>
        </w:rPr>
        <w:t xml:space="preserve">W czasie czynności kontrolnych stwierdzano, że narzędzia medyczne wielokrotnego użytku poddawane były </w:t>
      </w:r>
      <w:r>
        <w:rPr>
          <w:rFonts w:eastAsia="Times New Roman" w:cstheme="minorHAnsi"/>
          <w:color w:val="000000" w:themeColor="text1"/>
          <w:sz w:val="24"/>
          <w:szCs w:val="24"/>
          <w:lang w:eastAsia="pl-PL"/>
        </w:rPr>
        <w:t xml:space="preserve">w większości </w:t>
      </w:r>
      <w:r w:rsidRPr="00A93712">
        <w:rPr>
          <w:rFonts w:eastAsia="Times New Roman" w:cstheme="minorHAnsi"/>
          <w:color w:val="000000" w:themeColor="text1"/>
          <w:sz w:val="24"/>
          <w:szCs w:val="24"/>
          <w:lang w:eastAsia="pl-PL"/>
        </w:rPr>
        <w:t xml:space="preserve">dezynfekcji, myciu, pakietowaniu i sterylizacji </w:t>
      </w:r>
      <w:r>
        <w:rPr>
          <w:rFonts w:eastAsia="Times New Roman" w:cstheme="minorHAnsi"/>
          <w:color w:val="000000" w:themeColor="text1"/>
          <w:sz w:val="24"/>
          <w:szCs w:val="24"/>
          <w:lang w:eastAsia="pl-PL"/>
        </w:rPr>
        <w:t>we</w:t>
      </w:r>
      <w:r w:rsidR="007B1BEB">
        <w:rPr>
          <w:rFonts w:eastAsia="Times New Roman" w:cstheme="minorHAnsi"/>
          <w:color w:val="000000" w:themeColor="text1"/>
          <w:sz w:val="24"/>
          <w:szCs w:val="24"/>
          <w:lang w:eastAsia="pl-PL"/>
        </w:rPr>
        <w:t> </w:t>
      </w:r>
      <w:r>
        <w:rPr>
          <w:rFonts w:eastAsia="Times New Roman" w:cstheme="minorHAnsi"/>
          <w:color w:val="000000" w:themeColor="text1"/>
          <w:sz w:val="24"/>
          <w:szCs w:val="24"/>
          <w:lang w:eastAsia="pl-PL"/>
        </w:rPr>
        <w:t xml:space="preserve">własnym zakresie lub proces sterylizacji odbywał się w innych placówkach </w:t>
      </w:r>
      <w:r w:rsidRPr="00A93712">
        <w:rPr>
          <w:rFonts w:eastAsia="Times New Roman" w:cstheme="minorHAnsi"/>
          <w:color w:val="000000" w:themeColor="text1"/>
          <w:sz w:val="24"/>
          <w:szCs w:val="24"/>
          <w:lang w:eastAsia="pl-PL"/>
        </w:rPr>
        <w:t>na podstawie zawart</w:t>
      </w:r>
      <w:r>
        <w:rPr>
          <w:rFonts w:eastAsia="Times New Roman" w:cstheme="minorHAnsi"/>
          <w:color w:val="000000" w:themeColor="text1"/>
          <w:sz w:val="24"/>
          <w:szCs w:val="24"/>
          <w:lang w:eastAsia="pl-PL"/>
        </w:rPr>
        <w:t>ych</w:t>
      </w:r>
      <w:r w:rsidRPr="00A93712">
        <w:rPr>
          <w:rFonts w:eastAsia="Times New Roman" w:cstheme="minorHAnsi"/>
          <w:color w:val="000000" w:themeColor="text1"/>
          <w:sz w:val="24"/>
          <w:szCs w:val="24"/>
          <w:lang w:eastAsia="pl-PL"/>
        </w:rPr>
        <w:t xml:space="preserve"> um</w:t>
      </w:r>
      <w:r>
        <w:rPr>
          <w:rFonts w:eastAsia="Times New Roman" w:cstheme="minorHAnsi"/>
          <w:color w:val="000000" w:themeColor="text1"/>
          <w:sz w:val="24"/>
          <w:szCs w:val="24"/>
          <w:lang w:eastAsia="pl-PL"/>
        </w:rPr>
        <w:t>ów</w:t>
      </w:r>
      <w:r w:rsidRPr="00A93712">
        <w:rPr>
          <w:rFonts w:eastAsia="Times New Roman" w:cstheme="minorHAnsi"/>
          <w:color w:val="000000" w:themeColor="text1"/>
          <w:sz w:val="24"/>
          <w:szCs w:val="24"/>
          <w:lang w:eastAsia="pl-PL"/>
        </w:rPr>
        <w:t>. W części praktyk stosowany był wyłącznie sprzęt jednorazowego użytku. Nadal doskonalenia wymaga obszar związany z postępowaniem z odpadami medycznymi w</w:t>
      </w:r>
      <w:r w:rsidR="007B1BEB">
        <w:rPr>
          <w:rFonts w:eastAsia="Times New Roman" w:cstheme="minorHAnsi"/>
          <w:color w:val="000000" w:themeColor="text1"/>
          <w:sz w:val="24"/>
          <w:szCs w:val="24"/>
          <w:lang w:eastAsia="pl-PL"/>
        </w:rPr>
        <w:t> </w:t>
      </w:r>
      <w:r w:rsidRPr="00A93712">
        <w:rPr>
          <w:rFonts w:eastAsia="Times New Roman" w:cstheme="minorHAnsi"/>
          <w:color w:val="000000" w:themeColor="text1"/>
          <w:sz w:val="24"/>
          <w:szCs w:val="24"/>
          <w:lang w:eastAsia="pl-PL"/>
        </w:rPr>
        <w:t>odniesieniu do odpadów medycznych ostrych oraz aktualizacja procedur przeciwepidemicznych, zwłaszcza w zakresie monitorowania procesu sterylizacji, w tym częstotliwości kontroli biologicznej procesu oraz sposobu dokumentowania działań związanych z</w:t>
      </w:r>
      <w:r>
        <w:rPr>
          <w:rFonts w:eastAsia="Times New Roman" w:cstheme="minorHAnsi"/>
          <w:color w:val="000000" w:themeColor="text1"/>
          <w:sz w:val="24"/>
          <w:szCs w:val="24"/>
          <w:lang w:eastAsia="pl-PL"/>
        </w:rPr>
        <w:t xml:space="preserve"> </w:t>
      </w:r>
      <w:r w:rsidRPr="00A93712">
        <w:rPr>
          <w:rFonts w:eastAsia="Times New Roman" w:cstheme="minorHAnsi"/>
          <w:color w:val="000000" w:themeColor="text1"/>
          <w:sz w:val="24"/>
          <w:szCs w:val="24"/>
          <w:lang w:eastAsia="pl-PL"/>
        </w:rPr>
        <w:t>obszarem zapobiegania zakażeniom w podmiocie (m.in. procesy dekontaminacji, szkolenia, kontrola wewnętrzna/przegląd procedur).</w:t>
      </w:r>
    </w:p>
    <w:p w14:paraId="2442D089" w14:textId="311E2F6E" w:rsidR="000B4D72" w:rsidRPr="00A93712" w:rsidRDefault="000B4D72" w:rsidP="00597239">
      <w:pPr>
        <w:pStyle w:val="Nagwek2"/>
        <w:numPr>
          <w:ilvl w:val="0"/>
          <w:numId w:val="34"/>
        </w:numPr>
        <w:spacing w:before="0" w:after="0"/>
        <w:ind w:left="284" w:hanging="284"/>
        <w:jc w:val="left"/>
      </w:pPr>
      <w:bookmarkStart w:id="246" w:name="_Toc194059810"/>
      <w:r w:rsidRPr="00A93712">
        <w:lastRenderedPageBreak/>
        <w:t>Postępowanie z odpadami medycznymi</w:t>
      </w:r>
      <w:bookmarkEnd w:id="246"/>
    </w:p>
    <w:p w14:paraId="66AE940F" w14:textId="498F1CA7" w:rsidR="009E61D2" w:rsidRPr="009E61D2" w:rsidRDefault="009E61D2" w:rsidP="00597239">
      <w:pPr>
        <w:spacing w:after="0"/>
        <w:rPr>
          <w:rFonts w:eastAsia="Times New Roman" w:cstheme="minorHAnsi"/>
          <w:sz w:val="24"/>
          <w:szCs w:val="24"/>
          <w:lang w:eastAsia="pl-PL"/>
        </w:rPr>
      </w:pPr>
      <w:r w:rsidRPr="009E61D2">
        <w:rPr>
          <w:rFonts w:eastAsia="Times New Roman" w:cstheme="minorHAnsi"/>
          <w:sz w:val="24"/>
          <w:szCs w:val="24"/>
          <w:lang w:eastAsia="pl-PL"/>
        </w:rPr>
        <w:t>W 2024 roku w zakresie prowadzenia gospodarki odpadami medycznymi skontrolowano 1030 podmiotów leczniczych (ponad 72 % nadzorowanych obiektów). Nieprawidłowości stwierdzono w 43 podmiotach (4 % skontrolowanych obiektów) i dotyczyły one braku lub niepełnego oznakowania pojemników i worków na odpady medyczne, nieprawidłowej segregacji, przetrzymywania odpadów medycznych w niewłaściwej temperaturze, niewłaściwego czasu gromadzenia odpadów, braku dokumentów potwierdzających przekazanie odpadów medycznych do utylizacji. W związku ze</w:t>
      </w:r>
      <w:r w:rsidR="00B37BC5">
        <w:rPr>
          <w:rFonts w:eastAsia="Times New Roman" w:cstheme="minorHAnsi"/>
          <w:sz w:val="24"/>
          <w:szCs w:val="24"/>
          <w:lang w:eastAsia="pl-PL"/>
        </w:rPr>
        <w:t> </w:t>
      </w:r>
      <w:r w:rsidRPr="009E61D2">
        <w:rPr>
          <w:rFonts w:eastAsia="Times New Roman" w:cstheme="minorHAnsi"/>
          <w:sz w:val="24"/>
          <w:szCs w:val="24"/>
          <w:lang w:eastAsia="pl-PL"/>
        </w:rPr>
        <w:t>stwierdzonymi nieprawidłowościami podjęto działania zobowiązujące podmioty do</w:t>
      </w:r>
      <w:r w:rsidR="003326B1">
        <w:rPr>
          <w:rFonts w:eastAsia="Times New Roman" w:cstheme="minorHAnsi"/>
          <w:sz w:val="24"/>
          <w:szCs w:val="24"/>
          <w:lang w:eastAsia="pl-PL"/>
        </w:rPr>
        <w:t> </w:t>
      </w:r>
      <w:r w:rsidRPr="009E61D2">
        <w:rPr>
          <w:rFonts w:eastAsia="Times New Roman" w:cstheme="minorHAnsi"/>
          <w:sz w:val="24"/>
          <w:szCs w:val="24"/>
          <w:lang w:eastAsia="pl-PL"/>
        </w:rPr>
        <w:t>ich</w:t>
      </w:r>
      <w:r w:rsidR="003326B1">
        <w:rPr>
          <w:rFonts w:eastAsia="Times New Roman" w:cstheme="minorHAnsi"/>
          <w:sz w:val="24"/>
          <w:szCs w:val="24"/>
          <w:lang w:eastAsia="pl-PL"/>
        </w:rPr>
        <w:t> </w:t>
      </w:r>
      <w:r w:rsidRPr="009E61D2">
        <w:rPr>
          <w:rFonts w:eastAsia="Times New Roman" w:cstheme="minorHAnsi"/>
          <w:sz w:val="24"/>
          <w:szCs w:val="24"/>
          <w:lang w:eastAsia="pl-PL"/>
        </w:rPr>
        <w:t>usunięcia. Ponadto 10 podmiotów zostało ukaranych grzywną w drodze mandatu karnego – wystawiono 14 mandatów.</w:t>
      </w:r>
    </w:p>
    <w:p w14:paraId="69717EAD" w14:textId="77777777" w:rsidR="00C545E2" w:rsidRDefault="00C545E2" w:rsidP="00597239">
      <w:pPr>
        <w:spacing w:after="0"/>
        <w:rPr>
          <w:rFonts w:eastAsia="Times New Roman" w:cstheme="minorHAnsi"/>
          <w:sz w:val="24"/>
          <w:szCs w:val="24"/>
          <w:lang w:eastAsia="pl-PL"/>
        </w:rPr>
      </w:pPr>
    </w:p>
    <w:p w14:paraId="5272F5DD" w14:textId="7EF3C8F6" w:rsidR="009E61D2" w:rsidRPr="009E61D2" w:rsidRDefault="009E61D2" w:rsidP="00597239">
      <w:pPr>
        <w:spacing w:after="0"/>
        <w:rPr>
          <w:rFonts w:eastAsia="Times New Roman" w:cstheme="minorHAnsi"/>
          <w:sz w:val="24"/>
          <w:szCs w:val="24"/>
          <w:lang w:eastAsia="pl-PL"/>
        </w:rPr>
      </w:pPr>
      <w:r w:rsidRPr="009E61D2">
        <w:rPr>
          <w:rFonts w:eastAsia="Times New Roman" w:cstheme="minorHAnsi"/>
          <w:sz w:val="24"/>
          <w:szCs w:val="24"/>
          <w:lang w:eastAsia="pl-PL"/>
        </w:rPr>
        <w:t>W zakresie prowadzenia gospodarki odpadami medycznymi skontrolowano również 50 szpitali. Ustalono, że szpitale prowadziły ewidencję ilościowo-jakościową wytwarzanych odpadów medycznych, posiadały zawarte umowy z firmami specjalistycznymi na ich odbiór i transport oraz dysponowały dokumentami potwierdzającymi unieszkodliwienie zakaźnych odpadów medycznych. Gospodarkę odpadami medycznymi regulowały opracowane i wdrożone procedury postępowania w tym zakresie, uwzględniające również sposób postępowania z odpadami medycznymi na stanowiskach pracy, na których są wytwarzane.</w:t>
      </w:r>
    </w:p>
    <w:p w14:paraId="50360870" w14:textId="77777777" w:rsidR="00C545E2" w:rsidRDefault="00C545E2" w:rsidP="00597239">
      <w:pPr>
        <w:spacing w:after="0"/>
        <w:rPr>
          <w:rFonts w:eastAsia="Times New Roman" w:cstheme="minorHAnsi"/>
          <w:sz w:val="24"/>
          <w:szCs w:val="24"/>
          <w:lang w:eastAsia="pl-PL"/>
        </w:rPr>
      </w:pPr>
    </w:p>
    <w:p w14:paraId="1F4F0723" w14:textId="42158FAF" w:rsidR="009E61D2" w:rsidRDefault="009E61D2" w:rsidP="00597239">
      <w:pPr>
        <w:spacing w:after="0"/>
        <w:rPr>
          <w:rFonts w:eastAsia="Times New Roman" w:cstheme="minorHAnsi"/>
          <w:sz w:val="24"/>
          <w:szCs w:val="24"/>
          <w:lang w:eastAsia="pl-PL"/>
        </w:rPr>
      </w:pPr>
      <w:r w:rsidRPr="009E61D2">
        <w:rPr>
          <w:rFonts w:eastAsia="Times New Roman" w:cstheme="minorHAnsi"/>
          <w:sz w:val="24"/>
          <w:szCs w:val="24"/>
          <w:lang w:eastAsia="pl-PL"/>
        </w:rPr>
        <w:t>Na terenie woj. zachodniopomorskiego 2 szpitale posiadały specjalistyczne spalarnie przystosowane do unieszkodliwiania zakaźnych odpadów medycznych poprzez ich termiczne przekształcenie.</w:t>
      </w:r>
    </w:p>
    <w:p w14:paraId="2F7F0326" w14:textId="77777777" w:rsidR="00C545E2" w:rsidRPr="009E61D2" w:rsidRDefault="00C545E2" w:rsidP="00597239">
      <w:pPr>
        <w:spacing w:after="0"/>
        <w:rPr>
          <w:rFonts w:eastAsia="Times New Roman" w:cstheme="minorHAnsi"/>
          <w:sz w:val="24"/>
          <w:szCs w:val="24"/>
          <w:lang w:eastAsia="pl-PL"/>
        </w:rPr>
      </w:pPr>
    </w:p>
    <w:p w14:paraId="6377AF24" w14:textId="74B52A75" w:rsidR="009E61D2" w:rsidRPr="009E61D2" w:rsidRDefault="009E61D2" w:rsidP="00597239">
      <w:pPr>
        <w:pStyle w:val="Legenda"/>
        <w:spacing w:after="0"/>
        <w:rPr>
          <w:rFonts w:eastAsia="Times New Roman" w:cstheme="minorHAnsi"/>
          <w:i w:val="0"/>
          <w:iCs w:val="0"/>
          <w:color w:val="auto"/>
          <w:sz w:val="24"/>
          <w:szCs w:val="24"/>
          <w:lang w:eastAsia="pl-PL"/>
        </w:rPr>
      </w:pPr>
      <w:bookmarkStart w:id="247" w:name="_Toc193806003"/>
      <w:bookmarkStart w:id="248" w:name="_Toc193969551"/>
      <w:bookmarkStart w:id="249" w:name="_Toc194060011"/>
      <w:r w:rsidRPr="009E61D2">
        <w:rPr>
          <w:i w:val="0"/>
          <w:iCs w:val="0"/>
          <w:color w:val="auto"/>
        </w:rPr>
        <w:t xml:space="preserve">Tabela </w:t>
      </w:r>
      <w:r w:rsidRPr="009E61D2">
        <w:rPr>
          <w:i w:val="0"/>
          <w:iCs w:val="0"/>
          <w:color w:val="auto"/>
        </w:rPr>
        <w:fldChar w:fldCharType="begin"/>
      </w:r>
      <w:r w:rsidRPr="009E61D2">
        <w:rPr>
          <w:i w:val="0"/>
          <w:iCs w:val="0"/>
          <w:color w:val="auto"/>
        </w:rPr>
        <w:instrText xml:space="preserve"> SEQ Tabela \* ARABIC </w:instrText>
      </w:r>
      <w:r w:rsidRPr="009E61D2">
        <w:rPr>
          <w:i w:val="0"/>
          <w:iCs w:val="0"/>
          <w:color w:val="auto"/>
        </w:rPr>
        <w:fldChar w:fldCharType="separate"/>
      </w:r>
      <w:r w:rsidR="00FB6F6A">
        <w:rPr>
          <w:i w:val="0"/>
          <w:iCs w:val="0"/>
          <w:noProof/>
          <w:color w:val="auto"/>
        </w:rPr>
        <w:t>33</w:t>
      </w:r>
      <w:r w:rsidRPr="009E61D2">
        <w:rPr>
          <w:i w:val="0"/>
          <w:iCs w:val="0"/>
          <w:color w:val="auto"/>
        </w:rPr>
        <w:fldChar w:fldCharType="end"/>
      </w:r>
      <w:r w:rsidR="00E75D31">
        <w:rPr>
          <w:i w:val="0"/>
          <w:iCs w:val="0"/>
          <w:color w:val="auto"/>
        </w:rPr>
        <w:t>.</w:t>
      </w:r>
      <w:r w:rsidRPr="009E61D2">
        <w:rPr>
          <w:i w:val="0"/>
          <w:iCs w:val="0"/>
          <w:color w:val="auto"/>
        </w:rPr>
        <w:t xml:space="preserve"> Podmioty prowadzące instalacje do termicznego unieszkodliwiania odpadów medycznych na terenie woj. zachodniopomorskiego</w:t>
      </w:r>
      <w:bookmarkEnd w:id="247"/>
      <w:bookmarkEnd w:id="248"/>
      <w:bookmarkEnd w:id="249"/>
    </w:p>
    <w:tbl>
      <w:tblPr>
        <w:tblStyle w:val="Tabelasiatki4akcent1"/>
        <w:tblW w:w="5000" w:type="pct"/>
        <w:tblLook w:val="01E0" w:firstRow="1" w:lastRow="1" w:firstColumn="1" w:lastColumn="1" w:noHBand="0" w:noVBand="0"/>
      </w:tblPr>
      <w:tblGrid>
        <w:gridCol w:w="636"/>
        <w:gridCol w:w="3646"/>
        <w:gridCol w:w="4780"/>
      </w:tblGrid>
      <w:tr w:rsidR="009E61D2" w:rsidRPr="00FF50CD" w14:paraId="0A9D89EF" w14:textId="77777777" w:rsidTr="0006329F">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11" w:type="dxa"/>
            <w:vAlign w:val="center"/>
          </w:tcPr>
          <w:p w14:paraId="0186E3D4"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Lp.</w:t>
            </w:r>
          </w:p>
        </w:tc>
        <w:tc>
          <w:tcPr>
            <w:cnfStyle w:val="000010000000" w:firstRow="0" w:lastRow="0" w:firstColumn="0" w:lastColumn="0" w:oddVBand="1" w:evenVBand="0" w:oddHBand="0" w:evenHBand="0" w:firstRowFirstColumn="0" w:firstRowLastColumn="0" w:lastRowFirstColumn="0" w:lastRowLastColumn="0"/>
            <w:tcW w:w="3505" w:type="dxa"/>
            <w:vAlign w:val="center"/>
          </w:tcPr>
          <w:p w14:paraId="2EDEF723"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Szpital</w:t>
            </w:r>
          </w:p>
          <w:p w14:paraId="3ABBB941"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(podmiot leczniczy)</w:t>
            </w:r>
          </w:p>
        </w:tc>
        <w:tc>
          <w:tcPr>
            <w:cnfStyle w:val="000100000000" w:firstRow="0" w:lastRow="0" w:firstColumn="0" w:lastColumn="1" w:oddVBand="0" w:evenVBand="0" w:oddHBand="0" w:evenHBand="0" w:firstRowFirstColumn="0" w:firstRowLastColumn="0" w:lastRowFirstColumn="0" w:lastRowLastColumn="0"/>
            <w:tcW w:w="4595" w:type="dxa"/>
            <w:vAlign w:val="center"/>
          </w:tcPr>
          <w:p w14:paraId="4EBED927"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Spalarnia - typ</w:t>
            </w:r>
          </w:p>
        </w:tc>
      </w:tr>
      <w:tr w:rsidR="009E61D2" w:rsidRPr="00FF50CD" w14:paraId="400224B9" w14:textId="77777777" w:rsidTr="00063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vAlign w:val="center"/>
          </w:tcPr>
          <w:p w14:paraId="58C1445A"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1.</w:t>
            </w:r>
          </w:p>
        </w:tc>
        <w:tc>
          <w:tcPr>
            <w:cnfStyle w:val="000010000000" w:firstRow="0" w:lastRow="0" w:firstColumn="0" w:lastColumn="0" w:oddVBand="1" w:evenVBand="0" w:oddHBand="0" w:evenHBand="0" w:firstRowFirstColumn="0" w:firstRowLastColumn="0" w:lastRowFirstColumn="0" w:lastRowLastColumn="0"/>
            <w:tcW w:w="3505" w:type="dxa"/>
            <w:vAlign w:val="center"/>
          </w:tcPr>
          <w:p w14:paraId="0968292F" w14:textId="3E2AFEE8" w:rsidR="009E61D2" w:rsidRPr="00FF50CD" w:rsidRDefault="009E61D2" w:rsidP="00597239">
            <w:pPr>
              <w:ind w:left="61" w:hanging="61"/>
              <w:rPr>
                <w:rFonts w:eastAsia="Times New Roman" w:cstheme="minorHAnsi"/>
                <w:i/>
                <w:u w:val="single"/>
                <w:lang w:eastAsia="pl-PL"/>
              </w:rPr>
            </w:pPr>
            <w:r w:rsidRPr="00FF50CD">
              <w:rPr>
                <w:rFonts w:eastAsia="Times New Roman" w:cstheme="minorHAnsi"/>
                <w:lang w:eastAsia="pl-PL"/>
              </w:rPr>
              <w:t xml:space="preserve">SP SK Nr 1 PUM w Szczecinie, </w:t>
            </w:r>
            <w:r w:rsidRPr="00FF50CD">
              <w:rPr>
                <w:rFonts w:eastAsia="Times New Roman" w:cstheme="minorHAnsi"/>
                <w:lang w:eastAsia="pl-PL"/>
              </w:rPr>
              <w:br/>
              <w:t>ul. Unii Lubelskiej 1</w:t>
            </w:r>
          </w:p>
        </w:tc>
        <w:tc>
          <w:tcPr>
            <w:cnfStyle w:val="000100000000" w:firstRow="0" w:lastRow="0" w:firstColumn="0" w:lastColumn="1" w:oddVBand="0" w:evenVBand="0" w:oddHBand="0" w:evenHBand="0" w:firstRowFirstColumn="0" w:firstRowLastColumn="0" w:lastRowFirstColumn="0" w:lastRowLastColumn="0"/>
            <w:tcW w:w="4595" w:type="dxa"/>
            <w:vAlign w:val="center"/>
          </w:tcPr>
          <w:p w14:paraId="7C00A68B" w14:textId="77777777" w:rsidR="009E61D2" w:rsidRPr="00FF50CD" w:rsidRDefault="009E61D2" w:rsidP="00597239">
            <w:pPr>
              <w:rPr>
                <w:rFonts w:eastAsia="Times New Roman" w:cstheme="minorHAnsi"/>
                <w:b w:val="0"/>
                <w:bCs w:val="0"/>
                <w:i/>
                <w:u w:val="single"/>
                <w:lang w:eastAsia="pl-PL"/>
              </w:rPr>
            </w:pPr>
            <w:r w:rsidRPr="00FF50CD">
              <w:rPr>
                <w:rFonts w:eastAsia="Times New Roman" w:cstheme="minorHAnsi"/>
                <w:b w:val="0"/>
                <w:bCs w:val="0"/>
                <w:lang w:eastAsia="pl-PL"/>
              </w:rPr>
              <w:t xml:space="preserve">Spalarnia własna (typ EK 40CL ENVIKRAFT A-S DK-3460 </w:t>
            </w:r>
            <w:proofErr w:type="spellStart"/>
            <w:r w:rsidRPr="00FF50CD">
              <w:rPr>
                <w:rFonts w:eastAsia="Times New Roman" w:cstheme="minorHAnsi"/>
                <w:b w:val="0"/>
                <w:bCs w:val="0"/>
                <w:lang w:eastAsia="pl-PL"/>
              </w:rPr>
              <w:t>Birkeford</w:t>
            </w:r>
            <w:proofErr w:type="spellEnd"/>
            <w:r w:rsidRPr="00FF50CD">
              <w:rPr>
                <w:rFonts w:eastAsia="Times New Roman" w:cstheme="minorHAnsi"/>
                <w:b w:val="0"/>
                <w:bCs w:val="0"/>
                <w:lang w:eastAsia="pl-PL"/>
              </w:rPr>
              <w:t>, Dania) - Szczecin ul. Unii Lubelskiej 1</w:t>
            </w:r>
          </w:p>
        </w:tc>
      </w:tr>
      <w:tr w:rsidR="009E61D2" w:rsidRPr="00FF50CD" w14:paraId="6F77FF33" w14:textId="77777777" w:rsidTr="0006329F">
        <w:trPr>
          <w:cnfStyle w:val="010000000000" w:firstRow="0" w:lastRow="1"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11" w:type="dxa"/>
            <w:vAlign w:val="center"/>
          </w:tcPr>
          <w:p w14:paraId="2D479B5C"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2.</w:t>
            </w:r>
          </w:p>
        </w:tc>
        <w:tc>
          <w:tcPr>
            <w:cnfStyle w:val="000010000000" w:firstRow="0" w:lastRow="0" w:firstColumn="0" w:lastColumn="0" w:oddVBand="1" w:evenVBand="0" w:oddHBand="0" w:evenHBand="0" w:firstRowFirstColumn="0" w:firstRowLastColumn="0" w:lastRowFirstColumn="0" w:lastRowLastColumn="0"/>
            <w:tcW w:w="3505" w:type="dxa"/>
            <w:vAlign w:val="center"/>
          </w:tcPr>
          <w:p w14:paraId="2F1FDD35"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SP ZZOZ Specjalistyczny Szpital „</w:t>
            </w:r>
            <w:proofErr w:type="spellStart"/>
            <w:r w:rsidRPr="00FF50CD">
              <w:rPr>
                <w:rFonts w:eastAsia="Times New Roman" w:cstheme="minorHAnsi"/>
                <w:b w:val="0"/>
                <w:bCs w:val="0"/>
                <w:lang w:eastAsia="pl-PL"/>
              </w:rPr>
              <w:t>Medicam</w:t>
            </w:r>
            <w:proofErr w:type="spellEnd"/>
            <w:r w:rsidRPr="00FF50CD">
              <w:rPr>
                <w:rFonts w:eastAsia="Times New Roman" w:cstheme="minorHAnsi"/>
                <w:b w:val="0"/>
                <w:bCs w:val="0"/>
                <w:lang w:eastAsia="pl-PL"/>
              </w:rPr>
              <w:t>” w Gryficach ul. Niechorska 27</w:t>
            </w:r>
          </w:p>
        </w:tc>
        <w:tc>
          <w:tcPr>
            <w:cnfStyle w:val="000100000000" w:firstRow="0" w:lastRow="0" w:firstColumn="0" w:lastColumn="1" w:oddVBand="0" w:evenVBand="0" w:oddHBand="0" w:evenHBand="0" w:firstRowFirstColumn="0" w:firstRowLastColumn="0" w:lastRowFirstColumn="0" w:lastRowLastColumn="0"/>
            <w:tcW w:w="4595" w:type="dxa"/>
            <w:vAlign w:val="center"/>
          </w:tcPr>
          <w:p w14:paraId="74760A59" w14:textId="77777777" w:rsidR="009E61D2" w:rsidRPr="00FF50CD" w:rsidRDefault="009E61D2" w:rsidP="00597239">
            <w:pPr>
              <w:rPr>
                <w:rFonts w:eastAsia="Times New Roman" w:cstheme="minorHAnsi"/>
                <w:b w:val="0"/>
                <w:bCs w:val="0"/>
                <w:lang w:eastAsia="pl-PL"/>
              </w:rPr>
            </w:pPr>
            <w:r w:rsidRPr="00FF50CD">
              <w:rPr>
                <w:rFonts w:eastAsia="Times New Roman" w:cstheme="minorHAnsi"/>
                <w:b w:val="0"/>
                <w:bCs w:val="0"/>
                <w:lang w:eastAsia="pl-PL"/>
              </w:rPr>
              <w:t>Spalarnia własna (piec obrotowy typ CR 1000) – Gryfice,</w:t>
            </w:r>
            <w:r w:rsidRPr="00FF50CD">
              <w:rPr>
                <w:rFonts w:eastAsia="Times New Roman" w:cstheme="minorHAnsi"/>
                <w:b w:val="0"/>
                <w:bCs w:val="0"/>
                <w:lang w:eastAsia="pl-PL"/>
              </w:rPr>
              <w:br/>
              <w:t>ul. Niechorska 27</w:t>
            </w:r>
          </w:p>
        </w:tc>
      </w:tr>
    </w:tbl>
    <w:p w14:paraId="698645EE" w14:textId="77777777" w:rsidR="009E61D2" w:rsidRPr="009E61D2" w:rsidRDefault="009E61D2" w:rsidP="00597239">
      <w:pPr>
        <w:suppressAutoHyphens/>
        <w:spacing w:after="0"/>
        <w:rPr>
          <w:rFonts w:eastAsia="Times New Roman" w:cstheme="minorHAnsi"/>
          <w:bCs/>
          <w:sz w:val="24"/>
          <w:szCs w:val="24"/>
          <w:lang w:eastAsia="ar-SA"/>
        </w:rPr>
      </w:pPr>
    </w:p>
    <w:p w14:paraId="5F35A5C8" w14:textId="1DC8EBB5" w:rsidR="009E61D2" w:rsidRPr="009E61D2" w:rsidRDefault="009E61D2" w:rsidP="00597239">
      <w:pPr>
        <w:spacing w:after="0"/>
        <w:rPr>
          <w:rFonts w:eastAsia="Times New Roman" w:cstheme="minorHAnsi"/>
          <w:b/>
          <w:bCs/>
          <w:sz w:val="24"/>
          <w:szCs w:val="24"/>
          <w:lang w:eastAsia="pl-PL"/>
        </w:rPr>
      </w:pPr>
      <w:r w:rsidRPr="009E61D2">
        <w:rPr>
          <w:rFonts w:eastAsia="Times New Roman" w:cstheme="minorHAnsi"/>
          <w:sz w:val="24"/>
          <w:szCs w:val="24"/>
          <w:lang w:eastAsia="pl-PL"/>
        </w:rPr>
        <w:t>Szpitale, które nie posiadały spalarni miały zawarte umowy ze specjalistycznymi firmami na</w:t>
      </w:r>
      <w:r w:rsidR="00B37BC5">
        <w:rPr>
          <w:rFonts w:eastAsia="Times New Roman" w:cstheme="minorHAnsi"/>
          <w:sz w:val="24"/>
          <w:szCs w:val="24"/>
          <w:lang w:eastAsia="pl-PL"/>
        </w:rPr>
        <w:t> </w:t>
      </w:r>
      <w:r w:rsidRPr="009E61D2">
        <w:rPr>
          <w:rFonts w:eastAsia="Times New Roman" w:cstheme="minorHAnsi"/>
          <w:sz w:val="24"/>
          <w:szCs w:val="24"/>
          <w:lang w:eastAsia="pl-PL"/>
        </w:rPr>
        <w:t>odbiór i transport odpadów medycznych, w tym o właściwościach niebezpiecznych, do</w:t>
      </w:r>
      <w:r w:rsidR="003326B1">
        <w:rPr>
          <w:rFonts w:eastAsia="Times New Roman" w:cstheme="minorHAnsi"/>
          <w:sz w:val="24"/>
          <w:szCs w:val="24"/>
          <w:lang w:eastAsia="pl-PL"/>
        </w:rPr>
        <w:t> </w:t>
      </w:r>
      <w:r w:rsidRPr="009E61D2">
        <w:rPr>
          <w:rFonts w:eastAsia="Times New Roman" w:cstheme="minorHAnsi"/>
          <w:sz w:val="24"/>
          <w:szCs w:val="24"/>
          <w:lang w:eastAsia="pl-PL"/>
        </w:rPr>
        <w:t>miejsca ich unieszkodliwiania.</w:t>
      </w:r>
    </w:p>
    <w:p w14:paraId="340386E6" w14:textId="77777777" w:rsidR="00C545E2" w:rsidRDefault="00C545E2" w:rsidP="00597239">
      <w:pPr>
        <w:spacing w:after="0"/>
        <w:rPr>
          <w:rFonts w:eastAsia="Times New Roman" w:cstheme="minorHAnsi"/>
          <w:sz w:val="24"/>
          <w:szCs w:val="24"/>
          <w:lang w:eastAsia="pl-PL"/>
        </w:rPr>
      </w:pPr>
    </w:p>
    <w:p w14:paraId="2825E032" w14:textId="2E920CD8" w:rsidR="009E61D2" w:rsidRPr="009E61D2" w:rsidRDefault="009E61D2" w:rsidP="00597239">
      <w:pPr>
        <w:spacing w:after="0"/>
        <w:rPr>
          <w:rFonts w:eastAsia="Times New Roman" w:cstheme="minorHAnsi"/>
          <w:sz w:val="24"/>
          <w:szCs w:val="24"/>
          <w:lang w:eastAsia="pl-PL"/>
        </w:rPr>
      </w:pPr>
      <w:r w:rsidRPr="009E61D2">
        <w:rPr>
          <w:rFonts w:eastAsia="Times New Roman" w:cstheme="minorHAnsi"/>
          <w:sz w:val="24"/>
          <w:szCs w:val="24"/>
          <w:lang w:eastAsia="pl-PL"/>
        </w:rPr>
        <w:t>Odpady medyczne o właściwościach niebezpiecznych do czasu odbioru przez firmy specjalistyczne magazynowane były na terenie szpitali w specjalnie przeznaczonych i wyposażonych do tego celu miejscach. Wszystkie skontrolowane obiekty szpitalne zapewniały pomieszczenia lub urządzenia przeznaczone do wstępnego magazynowania odpadów medycznych spełniające konieczne wymagania higieniczne. Odpady medyczne o kodzie 18 01 02* magazynowane były w temperaturze poniżej 10</w:t>
      </w:r>
      <w:r w:rsidRPr="009E61D2">
        <w:rPr>
          <w:rFonts w:eastAsia="Times New Roman" w:cstheme="minorHAnsi"/>
          <w:sz w:val="24"/>
          <w:szCs w:val="24"/>
          <w:vertAlign w:val="superscript"/>
          <w:lang w:eastAsia="pl-PL"/>
        </w:rPr>
        <w:t>o</w:t>
      </w:r>
      <w:r w:rsidRPr="009E61D2">
        <w:rPr>
          <w:rFonts w:eastAsia="Times New Roman" w:cstheme="minorHAnsi"/>
          <w:sz w:val="24"/>
          <w:szCs w:val="24"/>
          <w:lang w:eastAsia="pl-PL"/>
        </w:rPr>
        <w:t xml:space="preserve">C i odbierane </w:t>
      </w:r>
      <w:r w:rsidRPr="009E61D2">
        <w:rPr>
          <w:rFonts w:eastAsia="Times New Roman" w:cstheme="minorHAnsi"/>
          <w:sz w:val="24"/>
          <w:szCs w:val="24"/>
          <w:lang w:eastAsia="pl-PL"/>
        </w:rPr>
        <w:lastRenderedPageBreak/>
        <w:t>z uwzględnieniem dopuszczalnego czasu 72 godzin przeznaczonych na ich magazynowanie. Magazyny szpitalne nie wyposażone w agregaty chłodnicze lub klimatyzatory, zaopatrzone były w przenośne urządzenia chłodnicze umożliwiające uzyskanie wymaganej temperatury magazynowania poniżej 10</w:t>
      </w:r>
      <w:r w:rsidRPr="009E61D2">
        <w:rPr>
          <w:rFonts w:eastAsia="Times New Roman" w:cstheme="minorHAnsi"/>
          <w:sz w:val="24"/>
          <w:szCs w:val="24"/>
          <w:vertAlign w:val="superscript"/>
          <w:lang w:eastAsia="pl-PL"/>
        </w:rPr>
        <w:t>o</w:t>
      </w:r>
      <w:r w:rsidRPr="009E61D2">
        <w:rPr>
          <w:rFonts w:eastAsia="Times New Roman" w:cstheme="minorHAnsi"/>
          <w:sz w:val="24"/>
          <w:szCs w:val="24"/>
          <w:lang w:eastAsia="pl-PL"/>
        </w:rPr>
        <w:t xml:space="preserve">C. </w:t>
      </w:r>
    </w:p>
    <w:p w14:paraId="67D74778" w14:textId="77777777" w:rsidR="00C545E2" w:rsidRDefault="00C545E2" w:rsidP="00597239">
      <w:pPr>
        <w:spacing w:after="0"/>
        <w:rPr>
          <w:rFonts w:eastAsia="Times New Roman" w:cstheme="minorHAnsi"/>
          <w:sz w:val="24"/>
          <w:szCs w:val="24"/>
          <w:lang w:eastAsia="pl-PL"/>
        </w:rPr>
      </w:pPr>
    </w:p>
    <w:p w14:paraId="50169F47" w14:textId="065AE386" w:rsidR="009E61D2" w:rsidRPr="009E61D2" w:rsidRDefault="009E61D2" w:rsidP="00597239">
      <w:pPr>
        <w:spacing w:after="0"/>
        <w:rPr>
          <w:rFonts w:eastAsia="Times New Roman" w:cstheme="minorHAnsi"/>
          <w:sz w:val="24"/>
          <w:szCs w:val="24"/>
          <w:lang w:eastAsia="pl-PL"/>
        </w:rPr>
      </w:pPr>
      <w:r w:rsidRPr="009E61D2">
        <w:rPr>
          <w:rFonts w:eastAsia="Times New Roman" w:cstheme="minorHAnsi"/>
          <w:sz w:val="24"/>
          <w:szCs w:val="24"/>
          <w:lang w:eastAsia="pl-PL"/>
        </w:rPr>
        <w:t>Transport odpadów z oddziałów szpitalnych do magazynu odpadów medycznych odbywał się wydzielonymi i przeznaczonymi do tego celu środkami transportu z zamykaną przestrzenią ładunkową. Wózki bądź pojemniki do transportu wewnętrznego odpadów medycznych były dezynfekowane i myte w wydzielonych pomieszczeniach przeznaczonych do</w:t>
      </w:r>
      <w:r w:rsidR="00B37BC5">
        <w:rPr>
          <w:rFonts w:eastAsia="Times New Roman" w:cstheme="minorHAnsi"/>
          <w:sz w:val="24"/>
          <w:szCs w:val="24"/>
          <w:lang w:eastAsia="pl-PL"/>
        </w:rPr>
        <w:t> </w:t>
      </w:r>
      <w:r w:rsidRPr="009E61D2">
        <w:rPr>
          <w:rFonts w:eastAsia="Times New Roman" w:cstheme="minorHAnsi"/>
          <w:sz w:val="24"/>
          <w:szCs w:val="24"/>
          <w:lang w:eastAsia="pl-PL"/>
        </w:rPr>
        <w:t xml:space="preserve">tego celu bądź miejscach na zapleczach szpitali. </w:t>
      </w:r>
    </w:p>
    <w:p w14:paraId="0EE93AB7" w14:textId="77777777" w:rsidR="009E61D2" w:rsidRPr="009E61D2" w:rsidRDefault="009E61D2" w:rsidP="00597239">
      <w:pPr>
        <w:rPr>
          <w:rFonts w:cstheme="minorHAnsi"/>
          <w:sz w:val="24"/>
          <w:szCs w:val="24"/>
        </w:rPr>
      </w:pPr>
    </w:p>
    <w:p w14:paraId="614C238F" w14:textId="6FD11648" w:rsidR="00414DF5" w:rsidRDefault="00414DF5" w:rsidP="00597239">
      <w:pPr>
        <w:rPr>
          <w:color w:val="000000" w:themeColor="text1"/>
          <w:sz w:val="24"/>
          <w:szCs w:val="24"/>
        </w:rPr>
      </w:pPr>
      <w:r>
        <w:rPr>
          <w:color w:val="000000" w:themeColor="text1"/>
          <w:sz w:val="24"/>
          <w:szCs w:val="24"/>
        </w:rPr>
        <w:br w:type="page"/>
      </w:r>
    </w:p>
    <w:p w14:paraId="7851CEE7" w14:textId="6788B740" w:rsidR="00E55E0F" w:rsidRDefault="00414DF5" w:rsidP="00597239">
      <w:pPr>
        <w:rPr>
          <w:i/>
          <w:iCs/>
          <w:color w:val="000000" w:themeColor="text1"/>
          <w:sz w:val="24"/>
          <w:szCs w:val="24"/>
        </w:rPr>
      </w:pPr>
      <w:r>
        <w:rPr>
          <w:noProof/>
        </w:rPr>
        <w:lastRenderedPageBreak/>
        <mc:AlternateContent>
          <mc:Choice Requires="wps">
            <w:drawing>
              <wp:anchor distT="0" distB="0" distL="114300" distR="114300" simplePos="0" relativeHeight="251727872" behindDoc="0" locked="0" layoutInCell="1" allowOverlap="1" wp14:anchorId="02EAF190" wp14:editId="4C980024">
                <wp:simplePos x="0" y="0"/>
                <wp:positionH relativeFrom="column">
                  <wp:posOffset>1270</wp:posOffset>
                </wp:positionH>
                <wp:positionV relativeFrom="paragraph">
                  <wp:posOffset>7389495</wp:posOffset>
                </wp:positionV>
                <wp:extent cx="914400" cy="1008000"/>
                <wp:effectExtent l="0" t="0" r="0" b="1905"/>
                <wp:wrapNone/>
                <wp:docPr id="1858881218" name="Pole tekstowe 12"/>
                <wp:cNvGraphicFramePr/>
                <a:graphic xmlns:a="http://schemas.openxmlformats.org/drawingml/2006/main">
                  <a:graphicData uri="http://schemas.microsoft.com/office/word/2010/wordprocessingShape">
                    <wps:wsp>
                      <wps:cNvSpPr txBox="1"/>
                      <wps:spPr>
                        <a:xfrm>
                          <a:off x="0" y="0"/>
                          <a:ext cx="914400" cy="1008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977154A" w14:textId="77777777" w:rsidR="00414DF5" w:rsidRDefault="00414DF5" w:rsidP="00414DF5">
                            <w:pPr>
                              <w:jc w:val="cente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Nadzór nad bezpieczeństwem żywności </w:t>
                            </w:r>
                          </w:p>
                          <w:p w14:paraId="787893BE" w14:textId="77777777" w:rsidR="00414DF5" w:rsidRDefault="00414DF5" w:rsidP="00414DF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EAF190" id="_x0000_s1027" type="#_x0000_t202" style="position:absolute;margin-left:.1pt;margin-top:581.85pt;width:1in;height:79.35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" fillcolor="#a5a5a5 [3206]" stroked="f">
                <v:fill opacity="32896f"/>
                <v:textbox>
                  <w:txbxContent>
                    <w:p w14:paraId="4977154A" w14:textId="77777777" w:rsidR="00414DF5" w:rsidRDefault="00414DF5" w:rsidP="00414DF5">
                      <w:pPr>
                        <w:jc w:val="cente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Nadzór nad bezpieczeństwem żywności </w:t>
                      </w:r>
                    </w:p>
                    <w:p w14:paraId="787893BE" w14:textId="77777777" w:rsidR="00414DF5" w:rsidRDefault="00414DF5" w:rsidP="00414DF5"/>
                  </w:txbxContent>
                </v:textbox>
              </v:shape>
            </w:pict>
          </mc:Fallback>
        </mc:AlternateContent>
      </w:r>
      <w:r>
        <w:rPr>
          <w:noProof/>
          <w:color w:val="000000" w:themeColor="text1"/>
          <w:sz w:val="24"/>
          <w:szCs w:val="24"/>
        </w:rPr>
        <w:drawing>
          <wp:anchor distT="0" distB="0" distL="114300" distR="114300" simplePos="0" relativeHeight="251725824" behindDoc="0" locked="0" layoutInCell="1" allowOverlap="1" wp14:anchorId="0B6C4027" wp14:editId="315E0E13">
            <wp:simplePos x="0" y="0"/>
            <wp:positionH relativeFrom="page">
              <wp:posOffset>645160</wp:posOffset>
            </wp:positionH>
            <wp:positionV relativeFrom="paragraph">
              <wp:posOffset>227330</wp:posOffset>
            </wp:positionV>
            <wp:extent cx="6264000" cy="8352000"/>
            <wp:effectExtent l="0" t="0" r="3810" b="0"/>
            <wp:wrapSquare wrapText="bothSides"/>
            <wp:docPr id="1743328970" name="Obraz 14" descr="Person holding tablet in dairy facto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3328970" name="Obraz 1743328970" descr="Person holding tablet in dairy factory"/>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64000" cy="8352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9BD6B47" w14:textId="410ACD83" w:rsidR="002A6551" w:rsidRDefault="002A6551" w:rsidP="00597239">
      <w:pPr>
        <w:rPr>
          <w:i/>
          <w:iCs/>
          <w:color w:val="000000" w:themeColor="text1"/>
          <w:sz w:val="24"/>
          <w:szCs w:val="24"/>
        </w:rPr>
      </w:pPr>
    </w:p>
    <w:p w14:paraId="33A9EAC8" w14:textId="24EE7B77" w:rsidR="00E75D31" w:rsidRDefault="002915F4" w:rsidP="00597239">
      <w:pPr>
        <w:pStyle w:val="Nagwek1"/>
        <w:numPr>
          <w:ilvl w:val="0"/>
          <w:numId w:val="73"/>
        </w:numPr>
        <w:spacing w:before="0" w:after="0"/>
        <w:ind w:left="0" w:firstLine="0"/>
        <w:jc w:val="left"/>
      </w:pPr>
      <w:bookmarkStart w:id="250" w:name="_Toc194059811"/>
      <w:r w:rsidRPr="00841919">
        <w:lastRenderedPageBreak/>
        <w:t xml:space="preserve">Higiena </w:t>
      </w:r>
      <w:r w:rsidR="000537F9">
        <w:t>Ż</w:t>
      </w:r>
      <w:r w:rsidRPr="00841919">
        <w:t xml:space="preserve">ywności, </w:t>
      </w:r>
      <w:r w:rsidR="000537F9">
        <w:t>Ż</w:t>
      </w:r>
      <w:r w:rsidRPr="00841919">
        <w:t xml:space="preserve">ywienia i </w:t>
      </w:r>
      <w:r w:rsidR="000537F9">
        <w:t>P</w:t>
      </w:r>
      <w:r w:rsidRPr="00841919">
        <w:t xml:space="preserve">rzedmiotów </w:t>
      </w:r>
      <w:r w:rsidR="000537F9">
        <w:t>U</w:t>
      </w:r>
      <w:r w:rsidRPr="00841919">
        <w:t>żytku</w:t>
      </w:r>
      <w:bookmarkEnd w:id="250"/>
    </w:p>
    <w:p w14:paraId="52744CD0" w14:textId="77777777" w:rsidR="00E75D31" w:rsidRPr="00E75D31" w:rsidRDefault="00E75D31" w:rsidP="00597239">
      <w:pPr>
        <w:spacing w:after="0"/>
      </w:pPr>
    </w:p>
    <w:p w14:paraId="43F64665" w14:textId="039DCB2D" w:rsidR="002915F4" w:rsidRDefault="002915F4" w:rsidP="00597239">
      <w:pPr>
        <w:tabs>
          <w:tab w:val="left" w:pos="0"/>
        </w:tabs>
        <w:spacing w:after="0" w:line="276" w:lineRule="auto"/>
        <w:rPr>
          <w:rFonts w:ascii="Calibri" w:hAnsi="Calibri" w:cs="Calibri"/>
          <w:sz w:val="24"/>
          <w:szCs w:val="24"/>
        </w:rPr>
      </w:pPr>
      <w:r w:rsidRPr="00841919">
        <w:rPr>
          <w:rFonts w:ascii="Calibri" w:hAnsi="Calibri" w:cs="Calibri"/>
          <w:sz w:val="24"/>
          <w:szCs w:val="24"/>
        </w:rPr>
        <w:t>Nadzór nad bezpieczeństwem żywności obejmuje przede wszystkim kontrolę przestrzegania przepisów określających wymagania higieniczne i zdrowotne warunków produkcji, transportu, przechowywania i sprzedaży żywności, warunków żywienia zbiorowego, warunków zdrowotnych produkcji materiałów i obrotu materiałami i wyrobami przeznaczonymi do</w:t>
      </w:r>
      <w:r w:rsidR="003326B1">
        <w:rPr>
          <w:rFonts w:ascii="Calibri" w:hAnsi="Calibri" w:cs="Calibri"/>
          <w:sz w:val="24"/>
          <w:szCs w:val="24"/>
        </w:rPr>
        <w:t> </w:t>
      </w:r>
      <w:r w:rsidRPr="00841919">
        <w:rPr>
          <w:rFonts w:ascii="Calibri" w:hAnsi="Calibri" w:cs="Calibri"/>
          <w:sz w:val="24"/>
          <w:szCs w:val="24"/>
        </w:rPr>
        <w:t>kontaktu z żywnością i nadzór nad jakością zdrowotną żywności.</w:t>
      </w:r>
    </w:p>
    <w:p w14:paraId="75739B23" w14:textId="77777777" w:rsidR="00C545E2" w:rsidRPr="00841919" w:rsidRDefault="00C545E2" w:rsidP="00597239">
      <w:pPr>
        <w:tabs>
          <w:tab w:val="left" w:pos="0"/>
        </w:tabs>
        <w:spacing w:after="0" w:line="276" w:lineRule="auto"/>
        <w:rPr>
          <w:rFonts w:ascii="Calibri" w:hAnsi="Calibri" w:cs="Calibri"/>
          <w:sz w:val="24"/>
          <w:szCs w:val="24"/>
        </w:rPr>
      </w:pPr>
    </w:p>
    <w:p w14:paraId="05DB1CC5" w14:textId="27FD12AC" w:rsidR="002915F4" w:rsidRDefault="002915F4" w:rsidP="00597239">
      <w:pPr>
        <w:pStyle w:val="Nagwek2"/>
        <w:numPr>
          <w:ilvl w:val="0"/>
          <w:numId w:val="74"/>
        </w:numPr>
        <w:spacing w:before="0" w:after="0"/>
        <w:ind w:left="284" w:hanging="284"/>
        <w:jc w:val="left"/>
      </w:pPr>
      <w:bookmarkStart w:id="251" w:name="_Toc194059812"/>
      <w:r w:rsidRPr="00841919">
        <w:t>Stan sanitarny nadzorowanych obiektów</w:t>
      </w:r>
      <w:bookmarkEnd w:id="251"/>
    </w:p>
    <w:p w14:paraId="5A0D7B27" w14:textId="77777777" w:rsidR="00C545E2" w:rsidRPr="00C545E2" w:rsidRDefault="00C545E2" w:rsidP="00597239"/>
    <w:p w14:paraId="41EB5D1A" w14:textId="088FF568" w:rsidR="002915F4" w:rsidRPr="00841919" w:rsidRDefault="002915F4" w:rsidP="00597239">
      <w:pPr>
        <w:pStyle w:val="Nagwek3"/>
        <w:numPr>
          <w:ilvl w:val="1"/>
          <w:numId w:val="74"/>
        </w:numPr>
        <w:spacing w:before="0" w:after="0"/>
        <w:ind w:left="568" w:hanging="284"/>
      </w:pPr>
      <w:bookmarkStart w:id="252" w:name="_Toc194059813"/>
      <w:r w:rsidRPr="00841919">
        <w:t>Zakłady produkcji i obrotu żywnością</w:t>
      </w:r>
      <w:bookmarkEnd w:id="252"/>
    </w:p>
    <w:p w14:paraId="7D5F7660" w14:textId="3570CDF3" w:rsidR="002915F4" w:rsidRPr="00841919" w:rsidRDefault="002915F4" w:rsidP="00597239">
      <w:pPr>
        <w:spacing w:after="0" w:line="276" w:lineRule="auto"/>
        <w:rPr>
          <w:rFonts w:ascii="Calibri" w:hAnsi="Calibri" w:cs="Calibri"/>
          <w:sz w:val="24"/>
          <w:szCs w:val="24"/>
        </w:rPr>
      </w:pPr>
      <w:r w:rsidRPr="00841919">
        <w:rPr>
          <w:rFonts w:ascii="Calibri" w:eastAsia="Aptos" w:hAnsi="Calibri" w:cs="Calibri"/>
          <w:sz w:val="24"/>
          <w:szCs w:val="24"/>
        </w:rPr>
        <w:t xml:space="preserve">W ewidencji Państwowej Inspekcji Sanitarnej w województwie zachodniopomorskim </w:t>
      </w:r>
      <w:r w:rsidRPr="00841919">
        <w:rPr>
          <w:rFonts w:ascii="Calibri" w:hAnsi="Calibri" w:cs="Calibri"/>
          <w:sz w:val="24"/>
          <w:szCs w:val="24"/>
        </w:rPr>
        <w:t xml:space="preserve">w roku 2024 funkcjonowało 30427 zakładów żywności i żywienia. </w:t>
      </w:r>
      <w:r w:rsidRPr="002915F4">
        <w:rPr>
          <w:rFonts w:ascii="Calibri" w:hAnsi="Calibri" w:cs="Calibri"/>
          <w:sz w:val="24"/>
          <w:szCs w:val="24"/>
        </w:rPr>
        <w:t xml:space="preserve">(wykres </w:t>
      </w:r>
      <w:r w:rsidR="00FD3723" w:rsidRPr="002915F4">
        <w:rPr>
          <w:rFonts w:ascii="Calibri" w:hAnsi="Calibri" w:cs="Calibri"/>
          <w:sz w:val="24"/>
          <w:szCs w:val="24"/>
        </w:rPr>
        <w:t>8)</w:t>
      </w:r>
    </w:p>
    <w:p w14:paraId="661871BF" w14:textId="77777777" w:rsidR="008875B9" w:rsidRDefault="008875B9" w:rsidP="00597239">
      <w:pPr>
        <w:pStyle w:val="Legenda"/>
        <w:spacing w:after="0"/>
        <w:rPr>
          <w:i w:val="0"/>
          <w:iCs w:val="0"/>
          <w:color w:val="auto"/>
        </w:rPr>
      </w:pPr>
    </w:p>
    <w:p w14:paraId="524D2919" w14:textId="034FF0B5" w:rsidR="002915F4" w:rsidRPr="002915F4" w:rsidRDefault="002915F4" w:rsidP="00597239">
      <w:pPr>
        <w:pStyle w:val="Legenda"/>
        <w:spacing w:after="0"/>
        <w:rPr>
          <w:rFonts w:ascii="Calibri" w:hAnsi="Calibri" w:cs="Calibri"/>
          <w:i w:val="0"/>
          <w:iCs w:val="0"/>
          <w:color w:val="auto"/>
          <w:sz w:val="24"/>
          <w:szCs w:val="24"/>
        </w:rPr>
      </w:pPr>
      <w:bookmarkStart w:id="253" w:name="_Toc193969465"/>
      <w:bookmarkStart w:id="254" w:name="_Toc194059925"/>
      <w:r w:rsidRPr="002915F4">
        <w:rPr>
          <w:i w:val="0"/>
          <w:iCs w:val="0"/>
          <w:color w:val="auto"/>
        </w:rPr>
        <w:t xml:space="preserve">Wykres </w:t>
      </w:r>
      <w:r w:rsidRPr="002915F4">
        <w:rPr>
          <w:i w:val="0"/>
          <w:iCs w:val="0"/>
          <w:color w:val="auto"/>
        </w:rPr>
        <w:fldChar w:fldCharType="begin"/>
      </w:r>
      <w:r w:rsidRPr="002915F4">
        <w:rPr>
          <w:i w:val="0"/>
          <w:iCs w:val="0"/>
          <w:color w:val="auto"/>
        </w:rPr>
        <w:instrText xml:space="preserve"> SEQ Wykres \* ARABIC </w:instrText>
      </w:r>
      <w:r w:rsidRPr="002915F4">
        <w:rPr>
          <w:i w:val="0"/>
          <w:iCs w:val="0"/>
          <w:color w:val="auto"/>
        </w:rPr>
        <w:fldChar w:fldCharType="separate"/>
      </w:r>
      <w:r w:rsidR="00FB6F6A">
        <w:rPr>
          <w:i w:val="0"/>
          <w:iCs w:val="0"/>
          <w:noProof/>
          <w:color w:val="auto"/>
        </w:rPr>
        <w:t>8</w:t>
      </w:r>
      <w:r w:rsidRPr="002915F4">
        <w:rPr>
          <w:i w:val="0"/>
          <w:iCs w:val="0"/>
          <w:color w:val="auto"/>
        </w:rPr>
        <w:fldChar w:fldCharType="end"/>
      </w:r>
      <w:r w:rsidR="00E75D31">
        <w:rPr>
          <w:i w:val="0"/>
          <w:iCs w:val="0"/>
          <w:color w:val="auto"/>
        </w:rPr>
        <w:t>.</w:t>
      </w:r>
      <w:r w:rsidRPr="002915F4">
        <w:rPr>
          <w:i w:val="0"/>
          <w:iCs w:val="0"/>
          <w:color w:val="auto"/>
        </w:rPr>
        <w:t xml:space="preserve">  Zakłady żywności i żywienia ujęte w rejestrach Państwowej Inspekcji Sanitarnej w województwie zachodniopomorskim.</w:t>
      </w:r>
      <w:bookmarkEnd w:id="253"/>
      <w:bookmarkEnd w:id="254"/>
    </w:p>
    <w:p w14:paraId="1772EC70" w14:textId="77777777" w:rsidR="002915F4" w:rsidRPr="00841919" w:rsidRDefault="002915F4" w:rsidP="00597239">
      <w:pPr>
        <w:spacing w:after="0"/>
        <w:rPr>
          <w:b/>
          <w:bCs/>
          <w:color w:val="0D0D0D" w:themeColor="text1" w:themeTint="F2"/>
        </w:rPr>
      </w:pPr>
      <w:r w:rsidRPr="00841919">
        <w:rPr>
          <w:noProof/>
        </w:rPr>
        <w:drawing>
          <wp:inline distT="0" distB="0" distL="0" distR="0" wp14:anchorId="44B9C937" wp14:editId="04F689F2">
            <wp:extent cx="5760720" cy="3500120"/>
            <wp:effectExtent l="0" t="0" r="11430" b="5080"/>
            <wp:docPr id="171190325" name="Wykres 1" descr="Wykres kołowy przedstawia strukturę różnych typów zakładów związanych z produkcją i obrotem żywnością. Poszczególne kategorie zakładów oznaczono różnymi kolorami, a wartości liczbowe wskazują ich ilość.&#10;Kategorie i wartości:&#10;&#10;    Zakłady obrotu żywnością (granatowy) – 13 124&#10;&#10;    Zakłady żywienia zbiorowego typu otwartego (czerwony) – 7 363&#10;&#10;    Produkcja pierwotna (szary) – 5 590&#10;&#10;    Zakłady żywienia zbiorowego typu zamkniętego (jasnoniebieski) – 2 770&#10;&#10;    Produkcja żywności (fioletowy) – 1 508&#10;&#10;    Zakłady cateringowe (zielony) – 75&#10;&#10;Największą grupę stanowią zakłady obrotu żywnością (13 124), natomiast najmniej liczne są zakłady cateringowe (75).">
              <a:extLst xmlns:a="http://schemas.openxmlformats.org/drawingml/2006/main">
                <a:ext uri="{FF2B5EF4-FFF2-40B4-BE49-F238E27FC236}">
                  <a16:creationId xmlns:a16="http://schemas.microsoft.com/office/drawing/2014/main" id="{9CC64F4E-2E4F-BDBA-187A-0D6517CE13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EE54A26" w14:textId="77777777" w:rsidR="002915F4" w:rsidRPr="00841919" w:rsidRDefault="002915F4" w:rsidP="00597239">
      <w:pPr>
        <w:pStyle w:val="Styl6"/>
        <w:keepNext w:val="0"/>
        <w:numPr>
          <w:ilvl w:val="0"/>
          <w:numId w:val="0"/>
        </w:numPr>
        <w:spacing w:line="276" w:lineRule="auto"/>
        <w:jc w:val="left"/>
        <w:rPr>
          <w:rFonts w:ascii="Calibri" w:hAnsi="Calibri" w:cs="Calibri"/>
          <w:b w:val="0"/>
          <w:bCs w:val="0"/>
          <w:color w:val="0D0D0D" w:themeColor="text1" w:themeTint="F2"/>
        </w:rPr>
      </w:pPr>
    </w:p>
    <w:p w14:paraId="2D5A55E5" w14:textId="77777777" w:rsidR="002915F4" w:rsidRPr="00841919" w:rsidRDefault="002915F4" w:rsidP="00597239">
      <w:pPr>
        <w:spacing w:after="0" w:line="276" w:lineRule="auto"/>
        <w:rPr>
          <w:rFonts w:ascii="Calibri" w:eastAsia="Aptos" w:hAnsi="Calibri" w:cs="Calibri"/>
          <w:bCs/>
          <w:sz w:val="24"/>
          <w:szCs w:val="24"/>
        </w:rPr>
      </w:pPr>
      <w:r w:rsidRPr="00841919">
        <w:rPr>
          <w:rFonts w:ascii="Calibri" w:eastAsia="Aptos" w:hAnsi="Calibri" w:cs="Calibri"/>
          <w:bCs/>
          <w:sz w:val="24"/>
          <w:szCs w:val="24"/>
        </w:rPr>
        <w:t>W 2024 roku 1803 obiekty zostały zatwierdzone i uzyskały decyzję właściwych państwowych powiatowych inspektorów sanitarnych.</w:t>
      </w:r>
    </w:p>
    <w:p w14:paraId="2526D5B6" w14:textId="77777777" w:rsidR="00C545E2" w:rsidRDefault="00C545E2" w:rsidP="00597239">
      <w:pPr>
        <w:spacing w:after="0" w:line="276" w:lineRule="auto"/>
        <w:rPr>
          <w:rFonts w:ascii="Calibri" w:eastAsia="Aptos" w:hAnsi="Calibri" w:cs="Calibri"/>
          <w:bCs/>
          <w:sz w:val="24"/>
          <w:szCs w:val="24"/>
        </w:rPr>
      </w:pPr>
    </w:p>
    <w:p w14:paraId="2ADE7990" w14:textId="57FBA8F2" w:rsidR="00C545E2" w:rsidRDefault="002915F4" w:rsidP="00597239">
      <w:pPr>
        <w:spacing w:after="0" w:line="276" w:lineRule="auto"/>
        <w:rPr>
          <w:rFonts w:ascii="Calibri" w:eastAsia="Calibri" w:hAnsi="Calibri" w:cs="Calibri"/>
          <w:sz w:val="24"/>
          <w:szCs w:val="24"/>
        </w:rPr>
      </w:pPr>
      <w:r w:rsidRPr="00841919">
        <w:rPr>
          <w:rFonts w:ascii="Calibri" w:eastAsia="Aptos" w:hAnsi="Calibri" w:cs="Calibri"/>
          <w:bCs/>
          <w:sz w:val="24"/>
          <w:szCs w:val="24"/>
        </w:rPr>
        <w:t xml:space="preserve">Łącznie skontrolowano 9043 zakłady. </w:t>
      </w:r>
      <w:r w:rsidRPr="00841919">
        <w:rPr>
          <w:rFonts w:ascii="Calibri" w:eastAsia="Calibri" w:hAnsi="Calibri" w:cs="Calibri"/>
          <w:sz w:val="24"/>
          <w:szCs w:val="24"/>
        </w:rPr>
        <w:t>W nadzorowanych zakładach przeprowadzono 15963 kontrole sanitarne, w tym 2261</w:t>
      </w:r>
      <w:r>
        <w:rPr>
          <w:rFonts w:ascii="Calibri" w:eastAsia="Calibri" w:hAnsi="Calibri" w:cs="Calibri"/>
          <w:sz w:val="24"/>
          <w:szCs w:val="24"/>
        </w:rPr>
        <w:t xml:space="preserve"> </w:t>
      </w:r>
      <w:r w:rsidRPr="00841919">
        <w:rPr>
          <w:rFonts w:ascii="Calibri" w:eastAsia="Calibri" w:hAnsi="Calibri" w:cs="Calibri"/>
          <w:sz w:val="24"/>
          <w:szCs w:val="24"/>
        </w:rPr>
        <w:t>kontroli interwencyjnych. Kontrole realizowano w ramach planu kontroli zakładów oraz w związku z powiadomieniami systemu RASFF, zgłoszeniami klientów, kontrolą graniczną towarów importowanych i eksportowanych oraz</w:t>
      </w:r>
      <w:r w:rsidR="003326B1">
        <w:rPr>
          <w:rFonts w:ascii="Calibri" w:eastAsia="Calibri" w:hAnsi="Calibri" w:cs="Calibri"/>
          <w:sz w:val="24"/>
          <w:szCs w:val="24"/>
        </w:rPr>
        <w:t> </w:t>
      </w:r>
      <w:r w:rsidRPr="00841919">
        <w:rPr>
          <w:rFonts w:ascii="Calibri" w:eastAsia="Calibri" w:hAnsi="Calibri" w:cs="Calibri"/>
          <w:sz w:val="24"/>
          <w:szCs w:val="24"/>
        </w:rPr>
        <w:t>poborem próbek do badań laboratoryjnych.</w:t>
      </w:r>
    </w:p>
    <w:p w14:paraId="2EB15516" w14:textId="5DE164A2" w:rsidR="002915F4" w:rsidRPr="00841919" w:rsidRDefault="002915F4" w:rsidP="00597239">
      <w:pPr>
        <w:spacing w:after="0" w:line="276" w:lineRule="auto"/>
        <w:contextualSpacing/>
        <w:rPr>
          <w:rFonts w:ascii="Calibri" w:eastAsia="Calibri" w:hAnsi="Calibri" w:cs="Calibri"/>
          <w:sz w:val="24"/>
          <w:szCs w:val="24"/>
        </w:rPr>
      </w:pPr>
      <w:r w:rsidRPr="00841919">
        <w:rPr>
          <w:rFonts w:ascii="Calibri" w:eastAsia="Calibri" w:hAnsi="Calibri" w:cs="Calibri"/>
          <w:sz w:val="24"/>
          <w:szCs w:val="24"/>
        </w:rPr>
        <w:lastRenderedPageBreak/>
        <w:t>Najczęściej stwierdzane nieprawidłowości podczas kontroli:</w:t>
      </w:r>
    </w:p>
    <w:p w14:paraId="6419F78B" w14:textId="77777777" w:rsidR="002915F4" w:rsidRPr="00C545E2" w:rsidRDefault="002915F4" w:rsidP="00597239">
      <w:pPr>
        <w:pStyle w:val="Akapitzlist"/>
        <w:numPr>
          <w:ilvl w:val="0"/>
          <w:numId w:val="96"/>
        </w:numPr>
        <w:spacing w:after="0" w:line="276" w:lineRule="auto"/>
        <w:rPr>
          <w:rFonts w:ascii="Calibri" w:eastAsia="Calibri" w:hAnsi="Calibri" w:cs="Calibri"/>
          <w:sz w:val="24"/>
          <w:szCs w:val="24"/>
        </w:rPr>
      </w:pPr>
      <w:r w:rsidRPr="00C545E2">
        <w:rPr>
          <w:rFonts w:ascii="Calibri" w:eastAsia="Calibri" w:hAnsi="Calibri" w:cs="Calibri"/>
          <w:sz w:val="24"/>
          <w:szCs w:val="24"/>
        </w:rPr>
        <w:t>zniszczone, trudne do utrzymania w czystości podłogi, ściany i sufity w pomieszczeniach produkcyjnych, magazynowych i socjalnych oraz powierzchnie robocze, urządzenia chłodnicze i sprzęt produkcyjny;</w:t>
      </w:r>
    </w:p>
    <w:p w14:paraId="533A856F" w14:textId="77777777" w:rsidR="002915F4" w:rsidRPr="00C545E2" w:rsidRDefault="002915F4" w:rsidP="00597239">
      <w:pPr>
        <w:pStyle w:val="Akapitzlist"/>
        <w:numPr>
          <w:ilvl w:val="0"/>
          <w:numId w:val="96"/>
        </w:numPr>
        <w:spacing w:after="0" w:line="276" w:lineRule="auto"/>
        <w:rPr>
          <w:rFonts w:ascii="Calibri" w:eastAsia="Aptos" w:hAnsi="Calibri" w:cs="Calibri"/>
          <w:sz w:val="24"/>
          <w:szCs w:val="24"/>
        </w:rPr>
      </w:pPr>
      <w:r w:rsidRPr="00C545E2">
        <w:rPr>
          <w:rFonts w:ascii="Calibri" w:eastAsia="Aptos" w:hAnsi="Calibri" w:cs="Calibri"/>
          <w:sz w:val="24"/>
          <w:szCs w:val="24"/>
        </w:rPr>
        <w:t>niewłaściwe zabezpieczenie zakładów przed dostępem szkodników;</w:t>
      </w:r>
    </w:p>
    <w:p w14:paraId="071DC96C" w14:textId="77777777" w:rsidR="002915F4" w:rsidRPr="00C545E2" w:rsidRDefault="002915F4" w:rsidP="00597239">
      <w:pPr>
        <w:pStyle w:val="Akapitzlist"/>
        <w:numPr>
          <w:ilvl w:val="0"/>
          <w:numId w:val="96"/>
        </w:numPr>
        <w:spacing w:after="0" w:line="276" w:lineRule="auto"/>
        <w:rPr>
          <w:rFonts w:ascii="Calibri" w:eastAsia="Calibri" w:hAnsi="Calibri" w:cs="Calibri"/>
          <w:sz w:val="24"/>
          <w:szCs w:val="24"/>
        </w:rPr>
      </w:pPr>
      <w:r w:rsidRPr="00C545E2">
        <w:rPr>
          <w:rFonts w:ascii="Calibri" w:eastAsia="Calibri" w:hAnsi="Calibri" w:cs="Calibri"/>
          <w:sz w:val="24"/>
          <w:szCs w:val="24"/>
        </w:rPr>
        <w:t>brak warunków do mycia rąk, żywności oraz sprzętu produkcyjnego;</w:t>
      </w:r>
    </w:p>
    <w:p w14:paraId="1CC4DC66" w14:textId="1B7F9EAE" w:rsidR="002915F4" w:rsidRPr="00C545E2" w:rsidRDefault="002915F4" w:rsidP="00597239">
      <w:pPr>
        <w:pStyle w:val="Akapitzlist"/>
        <w:numPr>
          <w:ilvl w:val="0"/>
          <w:numId w:val="96"/>
        </w:numPr>
        <w:spacing w:after="0" w:line="276" w:lineRule="auto"/>
        <w:rPr>
          <w:rFonts w:ascii="Calibri" w:eastAsia="Calibri" w:hAnsi="Calibri" w:cs="Calibri"/>
          <w:sz w:val="24"/>
          <w:szCs w:val="24"/>
        </w:rPr>
      </w:pPr>
      <w:r w:rsidRPr="00C545E2">
        <w:rPr>
          <w:rFonts w:ascii="Calibri" w:eastAsia="Calibri" w:hAnsi="Calibri" w:cs="Calibri"/>
          <w:sz w:val="24"/>
          <w:szCs w:val="24"/>
        </w:rPr>
        <w:t>brudne pomieszczenia zakładów, powierzchnie robocze, urządzenia chłodnicze i</w:t>
      </w:r>
      <w:r w:rsidR="00E1236C">
        <w:rPr>
          <w:rFonts w:ascii="Calibri" w:eastAsia="Calibri" w:hAnsi="Calibri" w:cs="Calibri"/>
          <w:sz w:val="24"/>
          <w:szCs w:val="24"/>
        </w:rPr>
        <w:t> </w:t>
      </w:r>
      <w:r w:rsidRPr="00C545E2">
        <w:rPr>
          <w:rFonts w:ascii="Calibri" w:eastAsia="Calibri" w:hAnsi="Calibri" w:cs="Calibri"/>
          <w:sz w:val="24"/>
          <w:szCs w:val="24"/>
        </w:rPr>
        <w:t>sprzęt produkcyjny;</w:t>
      </w:r>
    </w:p>
    <w:p w14:paraId="4747F651" w14:textId="77777777" w:rsidR="002915F4" w:rsidRPr="00C545E2" w:rsidRDefault="002915F4" w:rsidP="00597239">
      <w:pPr>
        <w:pStyle w:val="Akapitzlist"/>
        <w:numPr>
          <w:ilvl w:val="0"/>
          <w:numId w:val="96"/>
        </w:numPr>
        <w:spacing w:after="0" w:line="276" w:lineRule="auto"/>
        <w:rPr>
          <w:rFonts w:ascii="Calibri" w:eastAsia="Calibri" w:hAnsi="Calibri" w:cs="Calibri"/>
          <w:sz w:val="24"/>
          <w:szCs w:val="24"/>
        </w:rPr>
      </w:pPr>
      <w:r w:rsidRPr="00C545E2">
        <w:rPr>
          <w:rFonts w:ascii="Calibri" w:eastAsia="Calibri" w:hAnsi="Calibri" w:cs="Calibri"/>
          <w:sz w:val="24"/>
          <w:szCs w:val="24"/>
        </w:rPr>
        <w:t>brak zachowania łańcucha chłodniczego;</w:t>
      </w:r>
    </w:p>
    <w:p w14:paraId="2EC16349" w14:textId="77777777" w:rsidR="002915F4" w:rsidRPr="00C545E2" w:rsidRDefault="002915F4" w:rsidP="00597239">
      <w:pPr>
        <w:pStyle w:val="Akapitzlist"/>
        <w:numPr>
          <w:ilvl w:val="0"/>
          <w:numId w:val="96"/>
        </w:numPr>
        <w:spacing w:after="0" w:line="276" w:lineRule="auto"/>
        <w:rPr>
          <w:rFonts w:ascii="Calibri" w:eastAsia="Calibri" w:hAnsi="Calibri" w:cs="Calibri"/>
          <w:sz w:val="24"/>
          <w:szCs w:val="24"/>
        </w:rPr>
      </w:pPr>
      <w:r w:rsidRPr="00C545E2">
        <w:rPr>
          <w:rFonts w:ascii="Calibri" w:eastAsia="Calibri" w:hAnsi="Calibri" w:cs="Calibri"/>
          <w:sz w:val="24"/>
          <w:szCs w:val="24"/>
        </w:rPr>
        <w:t>przechowywanie środków spożywczych w warunkach, które narażają je na wtórne zanieczyszczenie;</w:t>
      </w:r>
    </w:p>
    <w:p w14:paraId="4C0AA389" w14:textId="77777777" w:rsidR="002915F4" w:rsidRPr="00C545E2" w:rsidRDefault="002915F4" w:rsidP="00597239">
      <w:pPr>
        <w:pStyle w:val="Akapitzlist"/>
        <w:numPr>
          <w:ilvl w:val="0"/>
          <w:numId w:val="96"/>
        </w:numPr>
        <w:spacing w:after="0" w:line="276" w:lineRule="auto"/>
        <w:rPr>
          <w:rFonts w:ascii="Calibri" w:eastAsia="Calibri" w:hAnsi="Calibri" w:cs="Calibri"/>
          <w:sz w:val="24"/>
          <w:szCs w:val="24"/>
        </w:rPr>
      </w:pPr>
      <w:r w:rsidRPr="00C545E2">
        <w:rPr>
          <w:rFonts w:ascii="Calibri" w:eastAsia="Calibri" w:hAnsi="Calibri" w:cs="Calibri"/>
          <w:sz w:val="24"/>
          <w:szCs w:val="24"/>
        </w:rPr>
        <w:t>brak dokumentacji lekarskiej do celów sanitarno-epidemiologicznych osób mających kontakt z żywnością;</w:t>
      </w:r>
    </w:p>
    <w:p w14:paraId="4F30AB91" w14:textId="77777777" w:rsidR="002915F4" w:rsidRPr="00C545E2" w:rsidRDefault="002915F4" w:rsidP="00597239">
      <w:pPr>
        <w:pStyle w:val="Akapitzlist"/>
        <w:numPr>
          <w:ilvl w:val="0"/>
          <w:numId w:val="96"/>
        </w:numPr>
        <w:spacing w:after="0" w:line="276" w:lineRule="auto"/>
        <w:rPr>
          <w:rFonts w:ascii="Calibri" w:eastAsia="Calibri" w:hAnsi="Calibri" w:cs="Calibri"/>
          <w:sz w:val="24"/>
          <w:szCs w:val="24"/>
          <w:u w:val="single"/>
        </w:rPr>
      </w:pPr>
      <w:r w:rsidRPr="00C545E2">
        <w:rPr>
          <w:rFonts w:ascii="Calibri" w:eastAsia="Calibri" w:hAnsi="Calibri" w:cs="Calibri"/>
          <w:sz w:val="24"/>
          <w:szCs w:val="24"/>
        </w:rPr>
        <w:t>brak opracowanych i/lub wdrożonych w zakładzie stałych procedur opartych na zasadach systemu HACCP, w tym uwzględniających kryteria mikrobiologiczne.</w:t>
      </w:r>
    </w:p>
    <w:p w14:paraId="3F94BBBD" w14:textId="77777777" w:rsidR="00C545E2" w:rsidRDefault="00C545E2" w:rsidP="00597239">
      <w:pPr>
        <w:tabs>
          <w:tab w:val="left" w:pos="851"/>
        </w:tabs>
        <w:spacing w:after="0" w:line="276" w:lineRule="auto"/>
        <w:rPr>
          <w:rFonts w:ascii="Calibri" w:eastAsia="Aptos" w:hAnsi="Calibri" w:cs="Calibri"/>
          <w:bCs/>
          <w:sz w:val="24"/>
          <w:szCs w:val="24"/>
        </w:rPr>
      </w:pPr>
    </w:p>
    <w:p w14:paraId="1932A9A1" w14:textId="33EA5391" w:rsidR="002915F4" w:rsidRPr="00841919" w:rsidRDefault="002915F4" w:rsidP="00597239">
      <w:pPr>
        <w:tabs>
          <w:tab w:val="left" w:pos="851"/>
        </w:tabs>
        <w:spacing w:after="0" w:line="276" w:lineRule="auto"/>
        <w:rPr>
          <w:rFonts w:ascii="Calibri" w:eastAsia="Aptos" w:hAnsi="Calibri" w:cs="Calibri"/>
          <w:sz w:val="24"/>
          <w:szCs w:val="24"/>
        </w:rPr>
      </w:pPr>
      <w:r w:rsidRPr="00841919">
        <w:rPr>
          <w:rFonts w:ascii="Calibri" w:eastAsia="Aptos" w:hAnsi="Calibri" w:cs="Calibri"/>
          <w:bCs/>
          <w:sz w:val="24"/>
          <w:szCs w:val="24"/>
        </w:rPr>
        <w:t>Wydano 2875 decyzji nakazujących usunięcie stwierdzonych uchybień, w tym 25</w:t>
      </w:r>
      <w:r w:rsidRPr="00841919">
        <w:rPr>
          <w:rFonts w:ascii="Calibri" w:eastAsia="Aptos" w:hAnsi="Calibri" w:cs="Calibri"/>
          <w:sz w:val="24"/>
          <w:szCs w:val="24"/>
        </w:rPr>
        <w:t xml:space="preserve"> decyzji unieruchomienia zakładu </w:t>
      </w:r>
      <w:r w:rsidRPr="00841919">
        <w:rPr>
          <w:rFonts w:ascii="Calibri" w:eastAsia="Calibri" w:hAnsi="Calibri" w:cs="Calibri"/>
          <w:sz w:val="24"/>
          <w:szCs w:val="24"/>
        </w:rPr>
        <w:t>do czasu usunięcia nieprawidłowości</w:t>
      </w:r>
      <w:r w:rsidRPr="00841919">
        <w:rPr>
          <w:rFonts w:ascii="Calibri" w:eastAsia="Aptos" w:hAnsi="Calibri" w:cs="Calibri"/>
          <w:sz w:val="24"/>
          <w:szCs w:val="24"/>
        </w:rPr>
        <w:t xml:space="preserve">, a także 91 decyzji zakazujących wprowadzenia do obrotu </w:t>
      </w:r>
      <w:r w:rsidR="00FD3723" w:rsidRPr="00841919">
        <w:rPr>
          <w:rFonts w:ascii="Calibri" w:eastAsia="Aptos" w:hAnsi="Calibri" w:cs="Calibri"/>
          <w:sz w:val="24"/>
          <w:szCs w:val="24"/>
        </w:rPr>
        <w:t>kwestionowanych</w:t>
      </w:r>
      <w:r w:rsidRPr="00841919">
        <w:rPr>
          <w:rFonts w:ascii="Calibri" w:eastAsia="Aptos" w:hAnsi="Calibri" w:cs="Calibri"/>
          <w:sz w:val="24"/>
          <w:szCs w:val="24"/>
        </w:rPr>
        <w:t xml:space="preserve"> bądź przeterminowanych produktów</w:t>
      </w:r>
      <w:r w:rsidRPr="00841919">
        <w:rPr>
          <w:rFonts w:ascii="Calibri" w:eastAsia="Calibri" w:hAnsi="Calibri" w:cs="Calibri"/>
          <w:sz w:val="24"/>
          <w:szCs w:val="24"/>
        </w:rPr>
        <w:t>.</w:t>
      </w:r>
    </w:p>
    <w:p w14:paraId="565B792F" w14:textId="77777777" w:rsidR="00C545E2" w:rsidRDefault="00C545E2" w:rsidP="00597239">
      <w:pPr>
        <w:tabs>
          <w:tab w:val="left" w:pos="851"/>
        </w:tabs>
        <w:spacing w:after="0" w:line="276" w:lineRule="auto"/>
        <w:rPr>
          <w:rFonts w:ascii="Calibri" w:eastAsia="Calibri" w:hAnsi="Calibri" w:cs="Calibri"/>
          <w:sz w:val="24"/>
          <w:szCs w:val="24"/>
        </w:rPr>
      </w:pPr>
    </w:p>
    <w:p w14:paraId="47A231B2" w14:textId="47F3283D" w:rsidR="002915F4" w:rsidRPr="00841919" w:rsidRDefault="002915F4" w:rsidP="00597239">
      <w:pPr>
        <w:tabs>
          <w:tab w:val="left" w:pos="851"/>
        </w:tabs>
        <w:spacing w:after="0" w:line="276" w:lineRule="auto"/>
        <w:rPr>
          <w:rFonts w:ascii="Calibri" w:eastAsia="Aptos" w:hAnsi="Calibri" w:cs="Calibri"/>
          <w:sz w:val="24"/>
          <w:szCs w:val="24"/>
        </w:rPr>
      </w:pPr>
      <w:r w:rsidRPr="00841919">
        <w:rPr>
          <w:rFonts w:ascii="Calibri" w:eastAsia="Calibri" w:hAnsi="Calibri" w:cs="Calibri"/>
          <w:sz w:val="24"/>
          <w:szCs w:val="24"/>
        </w:rPr>
        <w:t xml:space="preserve">Wystawiono również </w:t>
      </w:r>
      <w:r w:rsidRPr="00841919">
        <w:rPr>
          <w:rFonts w:ascii="Calibri" w:eastAsia="Aptos" w:hAnsi="Calibri" w:cs="Calibri"/>
          <w:sz w:val="24"/>
          <w:szCs w:val="24"/>
        </w:rPr>
        <w:t>2081 mandatów karnych na kwotę 575 270 zł.</w:t>
      </w:r>
    </w:p>
    <w:p w14:paraId="06960793" w14:textId="77777777" w:rsidR="00C545E2" w:rsidRDefault="00C545E2" w:rsidP="00597239">
      <w:pPr>
        <w:spacing w:after="0" w:line="276" w:lineRule="auto"/>
        <w:rPr>
          <w:rFonts w:ascii="Calibri" w:eastAsia="Aptos" w:hAnsi="Calibri" w:cs="Calibri"/>
          <w:sz w:val="24"/>
          <w:szCs w:val="24"/>
        </w:rPr>
      </w:pPr>
    </w:p>
    <w:p w14:paraId="345959F3" w14:textId="0E44F5CA" w:rsidR="002915F4" w:rsidRPr="00841919" w:rsidRDefault="002915F4" w:rsidP="00597239">
      <w:pPr>
        <w:spacing w:after="0" w:line="276" w:lineRule="auto"/>
        <w:rPr>
          <w:rFonts w:ascii="Calibri" w:eastAsia="Aptos" w:hAnsi="Calibri" w:cs="Calibri"/>
          <w:sz w:val="24"/>
          <w:szCs w:val="24"/>
        </w:rPr>
      </w:pPr>
      <w:r w:rsidRPr="00841919">
        <w:rPr>
          <w:rFonts w:ascii="Calibri" w:eastAsia="Aptos" w:hAnsi="Calibri" w:cs="Calibri"/>
          <w:sz w:val="24"/>
          <w:szCs w:val="24"/>
        </w:rPr>
        <w:t>W ramach nadzoru nad jakością zdrowotną produktów pobrano do badań laboratoryjnych 4810 próbek żywności, materiałów i wyrobów przeznaczonych do kontaktu z żywnością oraz próbek sanitarnych</w:t>
      </w:r>
      <w:r w:rsidRPr="00841919">
        <w:rPr>
          <w:rFonts w:ascii="Calibri" w:eastAsia="Aptos" w:hAnsi="Calibri" w:cs="Calibri"/>
          <w:bCs/>
          <w:sz w:val="24"/>
          <w:szCs w:val="24"/>
        </w:rPr>
        <w:t xml:space="preserve">. Zakwestionowano jakość zdrowotną </w:t>
      </w:r>
      <w:r w:rsidRPr="00841919">
        <w:rPr>
          <w:rFonts w:ascii="Calibri" w:eastAsia="Aptos" w:hAnsi="Calibri" w:cs="Calibri"/>
          <w:sz w:val="24"/>
          <w:szCs w:val="24"/>
        </w:rPr>
        <w:t>336 próbek produktów spożywczych i próbek sanitarnych, natomiast nie kwestionowano wyników badań próbek wyrobów i</w:t>
      </w:r>
      <w:r w:rsidR="003326B1">
        <w:rPr>
          <w:rFonts w:ascii="Calibri" w:eastAsia="Aptos" w:hAnsi="Calibri" w:cs="Calibri"/>
          <w:sz w:val="24"/>
          <w:szCs w:val="24"/>
        </w:rPr>
        <w:t> </w:t>
      </w:r>
      <w:r w:rsidRPr="00841919">
        <w:rPr>
          <w:rFonts w:ascii="Calibri" w:eastAsia="Aptos" w:hAnsi="Calibri" w:cs="Calibri"/>
          <w:sz w:val="24"/>
          <w:szCs w:val="24"/>
        </w:rPr>
        <w:t>materiałów przeznaczonych do kontaktu z żywnością</w:t>
      </w:r>
      <w:r w:rsidRPr="002915F4">
        <w:rPr>
          <w:rFonts w:ascii="Calibri" w:eastAsia="Aptos" w:hAnsi="Calibri" w:cs="Calibri"/>
          <w:sz w:val="24"/>
          <w:szCs w:val="24"/>
        </w:rPr>
        <w:t xml:space="preserve">. (tabela </w:t>
      </w:r>
      <w:r w:rsidR="00FD3723" w:rsidRPr="002915F4">
        <w:rPr>
          <w:rFonts w:ascii="Calibri" w:eastAsia="Aptos" w:hAnsi="Calibri" w:cs="Calibri"/>
          <w:sz w:val="24"/>
          <w:szCs w:val="24"/>
        </w:rPr>
        <w:t>34)</w:t>
      </w:r>
    </w:p>
    <w:p w14:paraId="62DC8269" w14:textId="77777777" w:rsidR="002915F4" w:rsidRPr="00841919" w:rsidRDefault="002915F4" w:rsidP="00597239">
      <w:pPr>
        <w:pStyle w:val="Styl6"/>
        <w:keepNext w:val="0"/>
        <w:numPr>
          <w:ilvl w:val="0"/>
          <w:numId w:val="0"/>
        </w:numPr>
        <w:spacing w:line="276" w:lineRule="auto"/>
        <w:jc w:val="left"/>
        <w:rPr>
          <w:rFonts w:ascii="Calibri" w:hAnsi="Calibri" w:cs="Calibri"/>
          <w:b w:val="0"/>
          <w:bCs w:val="0"/>
          <w:color w:val="0D0D0D" w:themeColor="text1" w:themeTint="F2"/>
        </w:rPr>
      </w:pPr>
    </w:p>
    <w:p w14:paraId="4083ECC2" w14:textId="10C9B3EC" w:rsidR="002915F4" w:rsidRPr="00D74105" w:rsidRDefault="002915F4" w:rsidP="00597239">
      <w:pPr>
        <w:pStyle w:val="Nagwek3"/>
        <w:numPr>
          <w:ilvl w:val="1"/>
          <w:numId w:val="74"/>
        </w:numPr>
        <w:spacing w:before="0" w:after="0"/>
        <w:ind w:left="568" w:hanging="284"/>
      </w:pPr>
      <w:bookmarkStart w:id="255" w:name="_Toc194059814"/>
      <w:r w:rsidRPr="00D74105">
        <w:t>Produkcja pierwotna, dostawy bezpośrednie, rolniczy handel detaliczny</w:t>
      </w:r>
      <w:bookmarkEnd w:id="255"/>
    </w:p>
    <w:p w14:paraId="201E968F" w14:textId="437807FA" w:rsidR="002915F4" w:rsidRPr="00841919" w:rsidRDefault="002915F4" w:rsidP="00597239">
      <w:pPr>
        <w:spacing w:after="0" w:line="276" w:lineRule="auto"/>
        <w:rPr>
          <w:rFonts w:ascii="Calibri" w:eastAsia="Calibri" w:hAnsi="Calibri" w:cs="Calibri"/>
          <w:bCs/>
          <w:sz w:val="24"/>
          <w:szCs w:val="24"/>
        </w:rPr>
      </w:pPr>
      <w:r w:rsidRPr="00841919">
        <w:rPr>
          <w:rFonts w:ascii="Calibri" w:eastAsia="Calibri" w:hAnsi="Calibri" w:cs="Calibri"/>
          <w:bCs/>
          <w:sz w:val="24"/>
          <w:szCs w:val="24"/>
        </w:rPr>
        <w:t>W roku sprawozdawczym nadzorem sanitarnym było objętych 5 590 producentów produkcji pierwotnej, w tym prowadzących działalność w ramach rolniczego handlu detalicznego oraz</w:t>
      </w:r>
      <w:r w:rsidR="003326B1">
        <w:rPr>
          <w:rFonts w:ascii="Calibri" w:eastAsia="Calibri" w:hAnsi="Calibri" w:cs="Calibri"/>
          <w:bCs/>
          <w:sz w:val="24"/>
          <w:szCs w:val="24"/>
        </w:rPr>
        <w:t> </w:t>
      </w:r>
      <w:r w:rsidRPr="00841919">
        <w:rPr>
          <w:rFonts w:ascii="Calibri" w:eastAsia="Calibri" w:hAnsi="Calibri" w:cs="Calibri"/>
          <w:bCs/>
          <w:sz w:val="24"/>
          <w:szCs w:val="24"/>
        </w:rPr>
        <w:t>dostaw bezpośrednich.</w:t>
      </w:r>
    </w:p>
    <w:p w14:paraId="4686D899" w14:textId="77777777" w:rsidR="00C545E2" w:rsidRDefault="00C545E2" w:rsidP="00597239">
      <w:pPr>
        <w:spacing w:after="0" w:line="276" w:lineRule="auto"/>
        <w:rPr>
          <w:rFonts w:ascii="Calibri" w:eastAsia="Calibri" w:hAnsi="Calibri" w:cs="Calibri"/>
          <w:bCs/>
          <w:sz w:val="24"/>
          <w:szCs w:val="24"/>
        </w:rPr>
      </w:pPr>
    </w:p>
    <w:p w14:paraId="5082BBBF" w14:textId="44AD46ED" w:rsidR="002915F4" w:rsidRPr="00841919" w:rsidRDefault="002915F4" w:rsidP="00597239">
      <w:pPr>
        <w:spacing w:after="0" w:line="276" w:lineRule="auto"/>
        <w:rPr>
          <w:rFonts w:ascii="Calibri" w:eastAsia="Times New Roman" w:hAnsi="Calibri" w:cs="Calibri"/>
          <w:sz w:val="24"/>
          <w:szCs w:val="24"/>
          <w:lang w:eastAsia="pl-PL"/>
        </w:rPr>
      </w:pPr>
      <w:r w:rsidRPr="00841919">
        <w:rPr>
          <w:rFonts w:ascii="Calibri" w:eastAsia="Calibri" w:hAnsi="Calibri" w:cs="Calibri"/>
          <w:bCs/>
          <w:sz w:val="24"/>
          <w:szCs w:val="24"/>
        </w:rPr>
        <w:t xml:space="preserve">W 2024 roku przeprowadzono w gospodarstwach rolnych 354 kontrole sanitarne, w tym </w:t>
      </w:r>
      <w:r w:rsidRPr="00841919">
        <w:rPr>
          <w:rFonts w:ascii="Calibri" w:eastAsia="Times New Roman" w:hAnsi="Calibri" w:cs="Calibri"/>
          <w:sz w:val="24"/>
          <w:szCs w:val="24"/>
          <w:lang w:eastAsia="pl-PL"/>
        </w:rPr>
        <w:t>15 kontroli interwencyjnych związanych mi.in. z:</w:t>
      </w:r>
    </w:p>
    <w:p w14:paraId="42697962" w14:textId="77777777" w:rsidR="002915F4" w:rsidRPr="00C545E2" w:rsidRDefault="002915F4" w:rsidP="00597239">
      <w:pPr>
        <w:pStyle w:val="Akapitzlist"/>
        <w:numPr>
          <w:ilvl w:val="0"/>
          <w:numId w:val="97"/>
        </w:numPr>
        <w:spacing w:after="0" w:line="276" w:lineRule="auto"/>
        <w:rPr>
          <w:rFonts w:ascii="Calibri" w:eastAsia="Times New Roman" w:hAnsi="Calibri" w:cs="Calibri"/>
          <w:sz w:val="24"/>
          <w:szCs w:val="24"/>
          <w:lang w:eastAsia="pl-PL"/>
        </w:rPr>
      </w:pPr>
      <w:r w:rsidRPr="00C545E2">
        <w:rPr>
          <w:rFonts w:ascii="Calibri" w:hAnsi="Calibri" w:cs="Calibri"/>
          <w:sz w:val="24"/>
          <w:szCs w:val="24"/>
        </w:rPr>
        <w:t xml:space="preserve">przekroczeniem najwyższej dopuszczalnej wartości (NDP) pozostałości pestycydów w produktach rolnych oraz </w:t>
      </w:r>
      <w:r w:rsidRPr="00C545E2">
        <w:rPr>
          <w:rFonts w:ascii="Calibri" w:eastAsia="Times New Roman" w:hAnsi="Calibri" w:cs="Calibri"/>
          <w:sz w:val="24"/>
          <w:szCs w:val="24"/>
          <w:lang w:eastAsia="pl-PL"/>
        </w:rPr>
        <w:t xml:space="preserve">poziomu </w:t>
      </w:r>
      <w:proofErr w:type="spellStart"/>
      <w:r w:rsidRPr="00C545E2">
        <w:rPr>
          <w:rFonts w:ascii="Calibri" w:eastAsia="Times New Roman" w:hAnsi="Calibri" w:cs="Calibri"/>
          <w:sz w:val="24"/>
          <w:szCs w:val="24"/>
          <w:lang w:eastAsia="pl-PL"/>
        </w:rPr>
        <w:t>ochratoksyny</w:t>
      </w:r>
      <w:proofErr w:type="spellEnd"/>
      <w:r w:rsidRPr="00C545E2">
        <w:rPr>
          <w:rFonts w:ascii="Calibri" w:eastAsia="Times New Roman" w:hAnsi="Calibri" w:cs="Calibri"/>
          <w:sz w:val="24"/>
          <w:szCs w:val="24"/>
          <w:lang w:eastAsia="pl-PL"/>
        </w:rPr>
        <w:t xml:space="preserve"> A w mące żytniej;</w:t>
      </w:r>
    </w:p>
    <w:p w14:paraId="63628D20" w14:textId="77777777" w:rsidR="002915F4" w:rsidRPr="00C545E2" w:rsidRDefault="002915F4" w:rsidP="00597239">
      <w:pPr>
        <w:pStyle w:val="Akapitzlist"/>
        <w:numPr>
          <w:ilvl w:val="0"/>
          <w:numId w:val="97"/>
        </w:numPr>
        <w:spacing w:after="0" w:line="276" w:lineRule="auto"/>
        <w:rPr>
          <w:rFonts w:ascii="Calibri" w:eastAsia="Times New Roman" w:hAnsi="Calibri" w:cs="Calibri"/>
          <w:sz w:val="24"/>
          <w:szCs w:val="24"/>
          <w:lang w:eastAsia="pl-PL"/>
        </w:rPr>
      </w:pPr>
      <w:r w:rsidRPr="00C545E2">
        <w:rPr>
          <w:rFonts w:ascii="Calibri" w:hAnsi="Calibri" w:cs="Calibri"/>
          <w:bCs/>
          <w:sz w:val="24"/>
          <w:szCs w:val="24"/>
        </w:rPr>
        <w:t>wykryciem nieautoryzowanego genetycznie modyfikowanego lnu FP967 w siemieniu lnianym, pochodzącym z Polski;</w:t>
      </w:r>
    </w:p>
    <w:p w14:paraId="56CCED60" w14:textId="77777777" w:rsidR="002915F4" w:rsidRPr="00C545E2" w:rsidRDefault="002915F4" w:rsidP="00597239">
      <w:pPr>
        <w:pStyle w:val="Akapitzlist"/>
        <w:numPr>
          <w:ilvl w:val="0"/>
          <w:numId w:val="97"/>
        </w:numPr>
        <w:spacing w:after="0" w:line="276" w:lineRule="auto"/>
        <w:rPr>
          <w:rFonts w:ascii="Calibri" w:eastAsia="Times New Roman" w:hAnsi="Calibri" w:cs="Calibri"/>
          <w:sz w:val="24"/>
          <w:szCs w:val="24"/>
          <w:lang w:eastAsia="pl-PL"/>
        </w:rPr>
      </w:pPr>
      <w:r w:rsidRPr="00C545E2">
        <w:rPr>
          <w:rFonts w:ascii="Calibri" w:hAnsi="Calibri" w:cs="Calibri"/>
          <w:sz w:val="24"/>
          <w:szCs w:val="24"/>
          <w:lang w:eastAsia="pl-PL"/>
        </w:rPr>
        <w:t>sprzedażą produktów w opakowaniach jednostkowych bez właściwego oznakowania;</w:t>
      </w:r>
    </w:p>
    <w:p w14:paraId="0EBB532B" w14:textId="77777777" w:rsidR="002915F4" w:rsidRPr="00C545E2" w:rsidRDefault="002915F4" w:rsidP="00597239">
      <w:pPr>
        <w:pStyle w:val="Akapitzlist"/>
        <w:numPr>
          <w:ilvl w:val="0"/>
          <w:numId w:val="97"/>
        </w:numPr>
        <w:spacing w:after="0" w:line="276" w:lineRule="auto"/>
        <w:rPr>
          <w:rFonts w:ascii="Calibri" w:eastAsia="Times New Roman" w:hAnsi="Calibri" w:cs="Calibri"/>
          <w:sz w:val="24"/>
          <w:szCs w:val="24"/>
          <w:lang w:eastAsia="pl-PL"/>
        </w:rPr>
      </w:pPr>
      <w:r w:rsidRPr="00C545E2">
        <w:rPr>
          <w:rFonts w:ascii="Calibri" w:hAnsi="Calibri" w:cs="Calibri"/>
          <w:sz w:val="24"/>
          <w:szCs w:val="24"/>
          <w:lang w:eastAsia="pl-PL"/>
        </w:rPr>
        <w:lastRenderedPageBreak/>
        <w:t>sprzedażą</w:t>
      </w:r>
      <w:r w:rsidRPr="00C545E2">
        <w:rPr>
          <w:rFonts w:ascii="Calibri" w:hAnsi="Calibri" w:cs="Calibri"/>
          <w:sz w:val="24"/>
          <w:szCs w:val="24"/>
          <w:lang w:eastAsia="ar-SA"/>
        </w:rPr>
        <w:t xml:space="preserve"> grzybów świeżych bez atestu;</w:t>
      </w:r>
    </w:p>
    <w:p w14:paraId="4372638D" w14:textId="77777777" w:rsidR="002915F4" w:rsidRPr="00C545E2" w:rsidRDefault="002915F4" w:rsidP="00597239">
      <w:pPr>
        <w:pStyle w:val="Akapitzlist"/>
        <w:numPr>
          <w:ilvl w:val="0"/>
          <w:numId w:val="97"/>
        </w:numPr>
        <w:spacing w:after="0" w:line="276" w:lineRule="auto"/>
        <w:rPr>
          <w:rFonts w:ascii="Calibri" w:eastAsia="Times New Roman" w:hAnsi="Calibri" w:cs="Calibri"/>
          <w:sz w:val="24"/>
          <w:szCs w:val="24"/>
          <w:lang w:eastAsia="pl-PL"/>
        </w:rPr>
      </w:pPr>
      <w:r w:rsidRPr="00C545E2">
        <w:rPr>
          <w:rFonts w:ascii="Calibri" w:hAnsi="Calibri" w:cs="Calibri"/>
          <w:sz w:val="24"/>
          <w:szCs w:val="24"/>
        </w:rPr>
        <w:t>nieprzestrzeganiem właściwych warunków sanitarno – higienicznych podczas przechowywania i produkowania żywności</w:t>
      </w:r>
      <w:r w:rsidRPr="00C545E2">
        <w:rPr>
          <w:rFonts w:ascii="Calibri" w:eastAsia="Times New Roman" w:hAnsi="Calibri" w:cs="Calibri"/>
          <w:sz w:val="24"/>
          <w:szCs w:val="24"/>
          <w:lang w:eastAsia="pl-PL"/>
        </w:rPr>
        <w:t>.</w:t>
      </w:r>
    </w:p>
    <w:p w14:paraId="542743D3" w14:textId="77777777" w:rsidR="00C545E2" w:rsidRDefault="00C545E2" w:rsidP="00597239">
      <w:pPr>
        <w:spacing w:after="0" w:line="276" w:lineRule="auto"/>
        <w:rPr>
          <w:rFonts w:ascii="Calibri" w:eastAsia="Calibri" w:hAnsi="Calibri" w:cs="Calibri"/>
          <w:bCs/>
          <w:sz w:val="24"/>
          <w:szCs w:val="24"/>
        </w:rPr>
      </w:pPr>
    </w:p>
    <w:p w14:paraId="1661E447" w14:textId="3CFD154F" w:rsidR="002915F4" w:rsidRPr="00841919" w:rsidRDefault="002915F4" w:rsidP="00597239">
      <w:pPr>
        <w:spacing w:after="0" w:line="276" w:lineRule="auto"/>
        <w:rPr>
          <w:rFonts w:ascii="Calibri" w:eastAsia="Calibri" w:hAnsi="Calibri" w:cs="Calibri"/>
          <w:bCs/>
          <w:iCs/>
          <w:sz w:val="24"/>
          <w:szCs w:val="24"/>
        </w:rPr>
      </w:pPr>
      <w:r w:rsidRPr="00841919">
        <w:rPr>
          <w:rFonts w:ascii="Calibri" w:eastAsia="Calibri" w:hAnsi="Calibri" w:cs="Calibri"/>
          <w:bCs/>
          <w:sz w:val="24"/>
          <w:szCs w:val="24"/>
        </w:rPr>
        <w:t xml:space="preserve">W 2024 r. w ramach realizacji </w:t>
      </w:r>
      <w:r w:rsidRPr="00E1236C">
        <w:rPr>
          <w:rFonts w:ascii="Calibri" w:eastAsia="Calibri" w:hAnsi="Calibri" w:cs="Calibri"/>
          <w:bCs/>
          <w:sz w:val="24"/>
          <w:szCs w:val="24"/>
        </w:rPr>
        <w:t>Porozumienia zawartego w dniu 22 grudnia 2020 r. w sprawie współdziałania Państwowej Inspekcji Sanitarnej, Państwowej Inspekcji Ochrony Roślin i Nasiennictwa oraz Inspekcji Ochrony Środowiska</w:t>
      </w:r>
      <w:r w:rsidRPr="00841919">
        <w:rPr>
          <w:rFonts w:ascii="Calibri" w:eastAsia="Calibri" w:hAnsi="Calibri" w:cs="Calibri"/>
          <w:bCs/>
          <w:i/>
          <w:sz w:val="24"/>
          <w:szCs w:val="24"/>
        </w:rPr>
        <w:t xml:space="preserve"> w </w:t>
      </w:r>
      <w:r w:rsidRPr="00E1236C">
        <w:rPr>
          <w:rFonts w:ascii="Calibri" w:eastAsia="Calibri" w:hAnsi="Calibri" w:cs="Calibri"/>
          <w:bCs/>
          <w:iCs/>
          <w:sz w:val="24"/>
          <w:szCs w:val="24"/>
        </w:rPr>
        <w:t xml:space="preserve">zakresie zapewnienia bezpieczeństwa produkcji pierwotnej żywności pochodzenia roślinnego </w:t>
      </w:r>
      <w:r w:rsidRPr="00841919">
        <w:rPr>
          <w:rFonts w:ascii="Calibri" w:eastAsia="Calibri" w:hAnsi="Calibri" w:cs="Calibri"/>
          <w:bCs/>
          <w:iCs/>
          <w:sz w:val="24"/>
          <w:szCs w:val="24"/>
        </w:rPr>
        <w:t>przeprowadzono</w:t>
      </w:r>
      <w:r w:rsidRPr="00841919">
        <w:rPr>
          <w:rFonts w:ascii="Calibri" w:eastAsia="Calibri" w:hAnsi="Calibri" w:cs="Calibri"/>
          <w:bCs/>
          <w:sz w:val="24"/>
          <w:szCs w:val="24"/>
        </w:rPr>
        <w:t xml:space="preserve"> wspólnie z pracownikami Państwowej Inspekcji Ochrony Roślin i Nasiennictwa 42 kontrole i 8 kontroli </w:t>
      </w:r>
      <w:r w:rsidRPr="00841919">
        <w:rPr>
          <w:rFonts w:ascii="Calibri" w:eastAsia="Calibri" w:hAnsi="Calibri" w:cs="Calibri"/>
          <w:bCs/>
          <w:sz w:val="24"/>
          <w:szCs w:val="24"/>
        </w:rPr>
        <w:br/>
        <w:t xml:space="preserve">z </w:t>
      </w:r>
      <w:r w:rsidR="00FD3723" w:rsidRPr="00841919">
        <w:rPr>
          <w:rFonts w:ascii="Calibri" w:eastAsia="Calibri" w:hAnsi="Calibri" w:cs="Calibri"/>
          <w:bCs/>
          <w:sz w:val="24"/>
          <w:szCs w:val="24"/>
        </w:rPr>
        <w:t>pracownikami Inspekcji</w:t>
      </w:r>
      <w:r w:rsidRPr="00841919">
        <w:rPr>
          <w:rFonts w:ascii="Calibri" w:eastAsia="Calibri" w:hAnsi="Calibri" w:cs="Calibri"/>
          <w:bCs/>
          <w:sz w:val="24"/>
          <w:szCs w:val="24"/>
        </w:rPr>
        <w:t xml:space="preserve"> Ochrony Środowiska. </w:t>
      </w:r>
      <w:r w:rsidRPr="00841919">
        <w:rPr>
          <w:rFonts w:ascii="Calibri" w:eastAsia="Calibri" w:hAnsi="Calibri" w:cs="Calibri"/>
          <w:bCs/>
          <w:iCs/>
          <w:sz w:val="24"/>
          <w:szCs w:val="24"/>
        </w:rPr>
        <w:t>Do wspólnych kontroli wytypowano rolników uprawiających na dużym areale przede wszystkim warzywa liściaste (sałatę), warzywa korzeniowe, pomidory, ogórki, kalafiory, paprykę, ziemniaki, a także owoce miękkie (truskawki, maliny, porzeczki, borówki), jabłka oraz zboża.</w:t>
      </w:r>
    </w:p>
    <w:p w14:paraId="6D3E9FCE" w14:textId="77777777" w:rsidR="00C545E2" w:rsidRDefault="00C545E2" w:rsidP="00597239">
      <w:pPr>
        <w:spacing w:after="0" w:line="276" w:lineRule="auto"/>
        <w:rPr>
          <w:rFonts w:ascii="Calibri" w:eastAsia="Calibri" w:hAnsi="Calibri" w:cs="Calibri"/>
          <w:bCs/>
          <w:sz w:val="24"/>
          <w:szCs w:val="24"/>
        </w:rPr>
      </w:pPr>
    </w:p>
    <w:p w14:paraId="447F3948" w14:textId="410162F8" w:rsidR="002915F4" w:rsidRPr="00841919" w:rsidRDefault="002915F4" w:rsidP="00597239">
      <w:pPr>
        <w:spacing w:after="0" w:line="276" w:lineRule="auto"/>
        <w:rPr>
          <w:rFonts w:ascii="Calibri" w:eastAsia="Calibri" w:hAnsi="Calibri" w:cs="Calibri"/>
          <w:bCs/>
          <w:iCs/>
          <w:color w:val="FF0000"/>
          <w:sz w:val="24"/>
          <w:szCs w:val="24"/>
        </w:rPr>
      </w:pPr>
      <w:r w:rsidRPr="00841919">
        <w:rPr>
          <w:rFonts w:ascii="Calibri" w:eastAsia="Calibri" w:hAnsi="Calibri" w:cs="Calibri"/>
          <w:bCs/>
          <w:sz w:val="24"/>
          <w:szCs w:val="24"/>
        </w:rPr>
        <w:t xml:space="preserve">Podczas czynności kontrolnych w gospodarstwach rolnych pobrano </w:t>
      </w:r>
      <w:r w:rsidRPr="00841919">
        <w:rPr>
          <w:rFonts w:ascii="Calibri" w:eastAsia="Times New Roman" w:hAnsi="Calibri" w:cs="Calibri"/>
          <w:sz w:val="24"/>
          <w:szCs w:val="24"/>
          <w:lang w:eastAsia="pl-PL"/>
        </w:rPr>
        <w:t>do badań laboratoryjnych w kierunku oznaczania pozostałości pestycydów, zawartości metali szkodliwych dla zdrowia, azotanów i zanieczyszczeń mikrobiologicznych 117 próbek warzyw, owoców i zbóż</w:t>
      </w:r>
      <w:r w:rsidRPr="00841919">
        <w:rPr>
          <w:rFonts w:ascii="Calibri" w:eastAsia="Calibri" w:hAnsi="Calibri" w:cs="Calibri"/>
          <w:bCs/>
          <w:sz w:val="24"/>
          <w:szCs w:val="24"/>
        </w:rPr>
        <w:t xml:space="preserve">. Zakwestionowano 1 próbkę żywności – miód nektarowy, w którym stwierdzono przekroczenie pozostałości pestycydu - </w:t>
      </w:r>
      <w:proofErr w:type="spellStart"/>
      <w:r w:rsidRPr="00841919">
        <w:rPr>
          <w:rFonts w:ascii="Calibri" w:eastAsia="Calibri" w:hAnsi="Calibri" w:cs="Calibri"/>
          <w:bCs/>
          <w:sz w:val="24"/>
          <w:szCs w:val="24"/>
        </w:rPr>
        <w:t>acetamiprydu</w:t>
      </w:r>
      <w:proofErr w:type="spellEnd"/>
      <w:r w:rsidRPr="00841919">
        <w:rPr>
          <w:rFonts w:ascii="Calibri" w:hAnsi="Calibri" w:cs="Calibri"/>
          <w:sz w:val="24"/>
          <w:szCs w:val="24"/>
          <w:lang w:eastAsia="ar-SA"/>
        </w:rPr>
        <w:t>.</w:t>
      </w:r>
    </w:p>
    <w:p w14:paraId="5FC54F8D" w14:textId="77777777" w:rsidR="002915F4" w:rsidRPr="00841919" w:rsidRDefault="002915F4" w:rsidP="00597239">
      <w:pPr>
        <w:pStyle w:val="Styl6"/>
        <w:keepNext w:val="0"/>
        <w:numPr>
          <w:ilvl w:val="0"/>
          <w:numId w:val="0"/>
        </w:numPr>
        <w:spacing w:line="276" w:lineRule="auto"/>
        <w:ind w:left="709"/>
        <w:jc w:val="left"/>
        <w:rPr>
          <w:rFonts w:ascii="Calibri" w:hAnsi="Calibri" w:cs="Calibri"/>
          <w:color w:val="0D0D0D" w:themeColor="text1" w:themeTint="F2"/>
        </w:rPr>
      </w:pPr>
    </w:p>
    <w:p w14:paraId="2F89D09B" w14:textId="4EB23B1E" w:rsidR="002915F4" w:rsidRPr="00746969" w:rsidRDefault="002915F4" w:rsidP="00597239">
      <w:pPr>
        <w:pStyle w:val="Nagwek3"/>
        <w:numPr>
          <w:ilvl w:val="1"/>
          <w:numId w:val="74"/>
        </w:numPr>
        <w:spacing w:before="0" w:after="0"/>
        <w:ind w:left="568" w:hanging="284"/>
      </w:pPr>
      <w:bookmarkStart w:id="256" w:name="_Toc194059815"/>
      <w:r w:rsidRPr="00746969">
        <w:t>Zakłady produkcji i wprowadzania do obrotu materiałów i wyrobów przeznaczonych do kontaktu z żywnością</w:t>
      </w:r>
      <w:bookmarkEnd w:id="256"/>
    </w:p>
    <w:p w14:paraId="551491DD" w14:textId="773AFF9B" w:rsidR="002915F4" w:rsidRPr="00CD4C19" w:rsidRDefault="002915F4" w:rsidP="00597239">
      <w:pPr>
        <w:spacing w:after="0" w:line="276" w:lineRule="auto"/>
        <w:rPr>
          <w:sz w:val="24"/>
          <w:szCs w:val="24"/>
        </w:rPr>
      </w:pPr>
      <w:r w:rsidRPr="00CD4C19">
        <w:rPr>
          <w:sz w:val="24"/>
          <w:szCs w:val="24"/>
        </w:rPr>
        <w:t>Na terenie województwa zachodniopomorskiego w 2024 r. znajdowały się 43 wytwórnie materiałów i wyrobów przeznaczonych do kontaktu z żywnością zajmujących się</w:t>
      </w:r>
      <w:r w:rsidR="003326B1">
        <w:rPr>
          <w:sz w:val="24"/>
          <w:szCs w:val="24"/>
        </w:rPr>
        <w:t> </w:t>
      </w:r>
      <w:r w:rsidRPr="00CD4C19">
        <w:rPr>
          <w:sz w:val="24"/>
          <w:szCs w:val="24"/>
        </w:rPr>
        <w:t>m.in. produkcją: opakowań z tworzyw sztucznych, torebek papierowych, różnego rodzaju tacek jednorazowego użytku, opakowań pośrednich oraz bezpośrednich kartonowych, puszek PET do napojów, wyrobów ze stali nierdzewnej. Jeden z zakładów zajmował się</w:t>
      </w:r>
      <w:r w:rsidR="003326B1">
        <w:rPr>
          <w:sz w:val="24"/>
          <w:szCs w:val="24"/>
        </w:rPr>
        <w:t> </w:t>
      </w:r>
      <w:r w:rsidRPr="00CD4C19">
        <w:rPr>
          <w:sz w:val="24"/>
          <w:szCs w:val="24"/>
        </w:rPr>
        <w:t>konfekcjonowaniem podkładów absorpcyjnych do mięsa. W 480 miejscach prowadzona była sprzedaż materiałów i wyrobów przeznaczonych do kontaktu z żywnością (55 hurtowni, 425 sklepów).</w:t>
      </w:r>
    </w:p>
    <w:p w14:paraId="275800E7" w14:textId="77777777" w:rsidR="00C545E2" w:rsidRDefault="00C545E2" w:rsidP="00597239">
      <w:pPr>
        <w:spacing w:after="0" w:line="276" w:lineRule="auto"/>
        <w:rPr>
          <w:sz w:val="24"/>
          <w:szCs w:val="24"/>
        </w:rPr>
      </w:pPr>
    </w:p>
    <w:p w14:paraId="112CB709" w14:textId="2E0C424B" w:rsidR="002915F4" w:rsidRPr="00CD4C19" w:rsidRDefault="002915F4" w:rsidP="00597239">
      <w:pPr>
        <w:spacing w:after="0" w:line="276" w:lineRule="auto"/>
        <w:rPr>
          <w:sz w:val="24"/>
          <w:szCs w:val="24"/>
        </w:rPr>
      </w:pPr>
      <w:r w:rsidRPr="00CD4C19">
        <w:rPr>
          <w:sz w:val="24"/>
          <w:szCs w:val="24"/>
        </w:rPr>
        <w:t xml:space="preserve">W ubiegłym roku skontrolowano 130 takich zakładów (11 wytwórni, 12 hurtowni i 107 sklepów), przeprowadzając łącznie 173 kontrole sanitarne, w tym 20 kontroli interwencyjnych. Kontrole interwencyjne w większości związane były z powiadomieniami w ramach systemu RASFF. </w:t>
      </w:r>
    </w:p>
    <w:p w14:paraId="6097DCC3" w14:textId="77777777" w:rsidR="00C545E2" w:rsidRDefault="00C545E2" w:rsidP="00597239">
      <w:pPr>
        <w:spacing w:after="0" w:line="276" w:lineRule="auto"/>
        <w:rPr>
          <w:sz w:val="24"/>
          <w:szCs w:val="24"/>
        </w:rPr>
      </w:pPr>
    </w:p>
    <w:p w14:paraId="7B768F62" w14:textId="76276698" w:rsidR="002915F4" w:rsidRPr="00CD4C19" w:rsidRDefault="002915F4" w:rsidP="00597239">
      <w:pPr>
        <w:spacing w:after="0" w:line="276" w:lineRule="auto"/>
        <w:rPr>
          <w:sz w:val="24"/>
          <w:szCs w:val="24"/>
        </w:rPr>
      </w:pPr>
      <w:r w:rsidRPr="00CD4C19">
        <w:rPr>
          <w:sz w:val="24"/>
          <w:szCs w:val="24"/>
        </w:rPr>
        <w:t>W tej grupie zakładów w 2024 roku wydano 9 decyzji administracyjnych zobowiązujących do poprawy stanu sanitarno – technicznego.</w:t>
      </w:r>
    </w:p>
    <w:p w14:paraId="1AEBD268" w14:textId="106279A5" w:rsidR="00FF1251" w:rsidRPr="00E75D31" w:rsidRDefault="002915F4" w:rsidP="00597239">
      <w:pPr>
        <w:spacing w:after="0" w:line="276" w:lineRule="auto"/>
        <w:rPr>
          <w:sz w:val="24"/>
          <w:szCs w:val="24"/>
        </w:rPr>
      </w:pPr>
      <w:r w:rsidRPr="00CD4C19">
        <w:rPr>
          <w:sz w:val="24"/>
          <w:szCs w:val="24"/>
        </w:rPr>
        <w:t>Do badań laboratoryjnych w roku 2024 pobrano łącznie 44 próbki materiałów i wyrobów przeznaczonych do kontaktu z żywnością – badania nie wykazały nieprawidłowości.</w:t>
      </w:r>
    </w:p>
    <w:p w14:paraId="00600F04" w14:textId="156CE106" w:rsidR="002915F4" w:rsidRPr="00D74105" w:rsidRDefault="002915F4" w:rsidP="00597239">
      <w:pPr>
        <w:pStyle w:val="Nagwek2"/>
        <w:numPr>
          <w:ilvl w:val="0"/>
          <w:numId w:val="74"/>
        </w:numPr>
        <w:ind w:left="284" w:hanging="284"/>
        <w:jc w:val="left"/>
      </w:pPr>
      <w:bookmarkStart w:id="257" w:name="_Toc194059816"/>
      <w:r w:rsidRPr="00D74105">
        <w:lastRenderedPageBreak/>
        <w:t>Jakość zdrowotna środków spożywczych oraz materiałów i wyrobów przeznaczonych do kontaktu z żywnością.</w:t>
      </w:r>
      <w:bookmarkEnd w:id="257"/>
    </w:p>
    <w:p w14:paraId="002CCA46" w14:textId="2CD206FA" w:rsidR="002915F4" w:rsidRPr="000C0014" w:rsidRDefault="002915F4" w:rsidP="00597239">
      <w:pPr>
        <w:pStyle w:val="Legenda"/>
        <w:spacing w:after="0" w:line="276" w:lineRule="auto"/>
        <w:rPr>
          <w:rFonts w:ascii="Calibri" w:hAnsi="Calibri" w:cs="Calibri"/>
          <w:i w:val="0"/>
          <w:iCs w:val="0"/>
          <w:color w:val="auto"/>
          <w:sz w:val="24"/>
          <w:szCs w:val="24"/>
        </w:rPr>
      </w:pPr>
      <w:bookmarkStart w:id="258" w:name="_Toc193806004"/>
      <w:bookmarkStart w:id="259" w:name="_Toc193969552"/>
      <w:bookmarkStart w:id="260" w:name="_Toc194060012"/>
      <w:r w:rsidRPr="00FF1251">
        <w:rPr>
          <w:i w:val="0"/>
          <w:iCs w:val="0"/>
          <w:color w:val="auto"/>
        </w:rPr>
        <w:t xml:space="preserve">Tabela </w:t>
      </w:r>
      <w:r w:rsidRPr="00FF1251">
        <w:rPr>
          <w:i w:val="0"/>
          <w:iCs w:val="0"/>
          <w:color w:val="auto"/>
        </w:rPr>
        <w:fldChar w:fldCharType="begin"/>
      </w:r>
      <w:r w:rsidRPr="00FF1251">
        <w:rPr>
          <w:i w:val="0"/>
          <w:iCs w:val="0"/>
          <w:color w:val="auto"/>
        </w:rPr>
        <w:instrText xml:space="preserve"> SEQ Tabela \* ARABIC </w:instrText>
      </w:r>
      <w:r w:rsidRPr="00FF1251">
        <w:rPr>
          <w:i w:val="0"/>
          <w:iCs w:val="0"/>
          <w:color w:val="auto"/>
        </w:rPr>
        <w:fldChar w:fldCharType="separate"/>
      </w:r>
      <w:r w:rsidR="00FB6F6A">
        <w:rPr>
          <w:i w:val="0"/>
          <w:iCs w:val="0"/>
          <w:noProof/>
          <w:color w:val="auto"/>
        </w:rPr>
        <w:t>34</w:t>
      </w:r>
      <w:r w:rsidRPr="00FF1251">
        <w:rPr>
          <w:i w:val="0"/>
          <w:iCs w:val="0"/>
          <w:color w:val="auto"/>
        </w:rPr>
        <w:fldChar w:fldCharType="end"/>
      </w:r>
      <w:r w:rsidR="00E75D31">
        <w:rPr>
          <w:i w:val="0"/>
          <w:iCs w:val="0"/>
          <w:color w:val="auto"/>
        </w:rPr>
        <w:t>.</w:t>
      </w:r>
      <w:r w:rsidRPr="00FF1251">
        <w:rPr>
          <w:i w:val="0"/>
          <w:iCs w:val="0"/>
          <w:color w:val="auto"/>
        </w:rPr>
        <w:t xml:space="preserve"> Zestawienie wykonanych w 2024 r. badań fizykochemicznych i mikrobiologicznych środków spożywczych i próbek sanitarnych woj. zachodniopomorskim</w:t>
      </w:r>
      <w:bookmarkEnd w:id="258"/>
      <w:bookmarkEnd w:id="259"/>
      <w:bookmarkEnd w:id="260"/>
    </w:p>
    <w:tbl>
      <w:tblPr>
        <w:tblStyle w:val="Tabelasiatki4akcent1"/>
        <w:tblW w:w="5000" w:type="pct"/>
        <w:tblLayout w:type="fixed"/>
        <w:tblLook w:val="04A0" w:firstRow="1" w:lastRow="0" w:firstColumn="1" w:lastColumn="0" w:noHBand="0" w:noVBand="1"/>
        <w:tblCaption w:val=" Zestawienie wykonanych w 2024 r. badań fizykochemicznych i mikrobiologicznych środków spożywczych i próbek sanitarnych woj. zachodniopomorskim"/>
        <w:tblDescription w:val="Tabela 34 dotyczy zestawienia wykonanych w 2024 roku badań fizykochemicznych i mikrobiologicznych środków spożywczych i próbek sanitarnych w województwie zachodniopomorskim. Tabela zawiera grupy produktów według słownika GIS, grupy produktów według słownika foodex, liczbę próbek zbadanych, liczbę próbek zdyskwalifikowany, procent próbek zdyskwalifikowany, przyczyny dyskwalifikacji poszczególnych próbek.  Grupy produktów według słownika GIS, które są zawarte w tabeli są to między innymi mięso, podroby i produkty mięsne, drób, podroby i produkty drobiarskie, jaja i produkty jajeczne, ryby, owoce morza i ich przetwory, mleko i przetwory mleczne, ziarno zbóż i przetwory zbożowo-mączne, warzywa, owoce, substancje dodatkowe i rozpuszczalniki ekstrakcyjne, materiały i wyroby przeznaczone do kontaktu z żywnością. "/>
      </w:tblPr>
      <w:tblGrid>
        <w:gridCol w:w="603"/>
        <w:gridCol w:w="1198"/>
        <w:gridCol w:w="2434"/>
        <w:gridCol w:w="1023"/>
        <w:gridCol w:w="776"/>
        <w:gridCol w:w="899"/>
        <w:gridCol w:w="2129"/>
      </w:tblGrid>
      <w:tr w:rsidR="002915F4" w:rsidRPr="00FF50CD" w14:paraId="2B5D47AF" w14:textId="77777777" w:rsidTr="00C545E2">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tcPr>
          <w:p w14:paraId="51588D49" w14:textId="77777777" w:rsidR="002915F4" w:rsidRPr="00FF50CD" w:rsidRDefault="002915F4"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Grupa produktów wg słownika GIS</w:t>
            </w:r>
          </w:p>
        </w:tc>
        <w:tc>
          <w:tcPr>
            <w:tcW w:w="2371" w:type="dxa"/>
            <w:vAlign w:val="center"/>
          </w:tcPr>
          <w:p w14:paraId="4D311807"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 xml:space="preserve">Grupa produktów wg słownika </w:t>
            </w:r>
            <w:proofErr w:type="spellStart"/>
            <w:r w:rsidRPr="00FF50CD">
              <w:rPr>
                <w:rFonts w:eastAsia="Times New Roman" w:cstheme="minorHAnsi"/>
                <w:b w:val="0"/>
                <w:bCs w:val="0"/>
                <w:sz w:val="20"/>
                <w:szCs w:val="20"/>
                <w:lang w:eastAsia="pl-PL"/>
              </w:rPr>
              <w:t>Foodex</w:t>
            </w:r>
            <w:proofErr w:type="spellEnd"/>
          </w:p>
        </w:tc>
        <w:tc>
          <w:tcPr>
            <w:tcW w:w="996" w:type="dxa"/>
            <w:vAlign w:val="center"/>
          </w:tcPr>
          <w:p w14:paraId="6F7395B0"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Liczba próbek zbadanych</w:t>
            </w:r>
          </w:p>
        </w:tc>
        <w:tc>
          <w:tcPr>
            <w:tcW w:w="756" w:type="dxa"/>
            <w:vAlign w:val="center"/>
          </w:tcPr>
          <w:p w14:paraId="40427647"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Liczba próbek zdyskwalifikowanych</w:t>
            </w:r>
          </w:p>
        </w:tc>
        <w:tc>
          <w:tcPr>
            <w:tcW w:w="876" w:type="dxa"/>
            <w:vAlign w:val="center"/>
          </w:tcPr>
          <w:p w14:paraId="50C046A7"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 próbek zdyskwalifikowanych</w:t>
            </w:r>
          </w:p>
        </w:tc>
        <w:tc>
          <w:tcPr>
            <w:tcW w:w="2074" w:type="dxa"/>
            <w:vAlign w:val="center"/>
          </w:tcPr>
          <w:p w14:paraId="7B634BBB"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Przyczyny dyskwalifikacji poszczególnych próbek</w:t>
            </w:r>
          </w:p>
        </w:tc>
      </w:tr>
      <w:tr w:rsidR="002915F4" w:rsidRPr="00FF50CD" w14:paraId="50993DB0" w14:textId="77777777" w:rsidTr="00C545E2">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hideMark/>
          </w:tcPr>
          <w:p w14:paraId="3493DD11" w14:textId="77777777" w:rsidR="002915F4" w:rsidRPr="00FF50CD" w:rsidRDefault="002915F4"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Mięso, podroby i produkty mięsne</w:t>
            </w:r>
          </w:p>
        </w:tc>
        <w:tc>
          <w:tcPr>
            <w:tcW w:w="2371" w:type="dxa"/>
            <w:vAlign w:val="center"/>
            <w:hideMark/>
          </w:tcPr>
          <w:p w14:paraId="27949C82"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Mięso ssaków, podroby zwierzęce i inne produkty z uboju</w:t>
            </w:r>
          </w:p>
        </w:tc>
        <w:tc>
          <w:tcPr>
            <w:tcW w:w="996" w:type="dxa"/>
            <w:vAlign w:val="center"/>
          </w:tcPr>
          <w:p w14:paraId="0B44FE12"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223</w:t>
            </w:r>
          </w:p>
        </w:tc>
        <w:tc>
          <w:tcPr>
            <w:tcW w:w="756" w:type="dxa"/>
            <w:vAlign w:val="center"/>
          </w:tcPr>
          <w:p w14:paraId="70D3C005"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067A6499"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0,45</w:t>
            </w:r>
          </w:p>
        </w:tc>
        <w:tc>
          <w:tcPr>
            <w:tcW w:w="2074" w:type="dxa"/>
            <w:vAlign w:val="center"/>
          </w:tcPr>
          <w:p w14:paraId="207200E6" w14:textId="11131110"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obecność zanieczyszczeń fizycznych - 1 próbka</w:t>
            </w:r>
          </w:p>
        </w:tc>
      </w:tr>
      <w:tr w:rsidR="007E5BC2" w:rsidRPr="00FF50CD" w14:paraId="7AD11830"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21E06361"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38513CE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mięso mielone</w:t>
            </w:r>
          </w:p>
        </w:tc>
        <w:tc>
          <w:tcPr>
            <w:tcW w:w="996" w:type="dxa"/>
            <w:vAlign w:val="center"/>
          </w:tcPr>
          <w:p w14:paraId="1F9B553F"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92</w:t>
            </w:r>
          </w:p>
        </w:tc>
        <w:tc>
          <w:tcPr>
            <w:tcW w:w="756" w:type="dxa"/>
            <w:vAlign w:val="center"/>
          </w:tcPr>
          <w:p w14:paraId="2522231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29A9BF1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7015A27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07BE6D17"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4299D9D5"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2346858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produkty mięsne/ wędliniarskie</w:t>
            </w:r>
          </w:p>
        </w:tc>
        <w:tc>
          <w:tcPr>
            <w:tcW w:w="996" w:type="dxa"/>
            <w:vAlign w:val="center"/>
          </w:tcPr>
          <w:p w14:paraId="637DCBB5"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66</w:t>
            </w:r>
          </w:p>
        </w:tc>
        <w:tc>
          <w:tcPr>
            <w:tcW w:w="756" w:type="dxa"/>
            <w:vAlign w:val="center"/>
          </w:tcPr>
          <w:p w14:paraId="6BFCD10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5CEB86B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1,52</w:t>
            </w:r>
          </w:p>
        </w:tc>
        <w:tc>
          <w:tcPr>
            <w:tcW w:w="2074" w:type="dxa"/>
            <w:vAlign w:val="center"/>
          </w:tcPr>
          <w:p w14:paraId="529C8C93"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obecność zanieczyszczeń fizycznych - 1 próbka</w:t>
            </w:r>
          </w:p>
        </w:tc>
      </w:tr>
      <w:tr w:rsidR="007E5BC2" w:rsidRPr="00FF50CD" w14:paraId="76386542" w14:textId="77777777" w:rsidTr="00C545E2">
        <w:trPr>
          <w:trHeight w:val="811"/>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hideMark/>
          </w:tcPr>
          <w:p w14:paraId="2F6BAD39"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Drób, podroby i produkty drobiarskie, jaja i produkty jajeczne</w:t>
            </w:r>
          </w:p>
        </w:tc>
        <w:tc>
          <w:tcPr>
            <w:tcW w:w="2371" w:type="dxa"/>
            <w:vAlign w:val="center"/>
            <w:hideMark/>
          </w:tcPr>
          <w:p w14:paraId="50E1417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Mięso ptaków/podroby zwierzęce i inne produkty z uboju</w:t>
            </w:r>
          </w:p>
        </w:tc>
        <w:tc>
          <w:tcPr>
            <w:tcW w:w="996" w:type="dxa"/>
            <w:vAlign w:val="center"/>
          </w:tcPr>
          <w:p w14:paraId="6C986EC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238</w:t>
            </w:r>
          </w:p>
        </w:tc>
        <w:tc>
          <w:tcPr>
            <w:tcW w:w="756" w:type="dxa"/>
            <w:vAlign w:val="center"/>
          </w:tcPr>
          <w:p w14:paraId="2EDFBE1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w:t>
            </w:r>
          </w:p>
        </w:tc>
        <w:tc>
          <w:tcPr>
            <w:tcW w:w="876" w:type="dxa"/>
            <w:vAlign w:val="center"/>
          </w:tcPr>
          <w:p w14:paraId="588D19F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4,20</w:t>
            </w:r>
          </w:p>
        </w:tc>
        <w:tc>
          <w:tcPr>
            <w:tcW w:w="2074" w:type="dxa"/>
            <w:vAlign w:val="center"/>
          </w:tcPr>
          <w:p w14:paraId="3829810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obecność Salmonella </w:t>
            </w:r>
            <w:proofErr w:type="spellStart"/>
            <w:r w:rsidRPr="00FF50CD">
              <w:rPr>
                <w:rFonts w:eastAsia="Times New Roman" w:cstheme="minorHAnsi"/>
                <w:sz w:val="20"/>
                <w:szCs w:val="20"/>
                <w:lang w:eastAsia="pl-PL"/>
              </w:rPr>
              <w:t>spp</w:t>
            </w:r>
            <w:proofErr w:type="spellEnd"/>
            <w:r w:rsidRPr="00FF50CD">
              <w:rPr>
                <w:rFonts w:eastAsia="Times New Roman" w:cstheme="minorHAnsi"/>
                <w:sz w:val="20"/>
                <w:szCs w:val="20"/>
                <w:lang w:eastAsia="pl-PL"/>
              </w:rPr>
              <w:t>.- 10 próbek</w:t>
            </w:r>
          </w:p>
          <w:p w14:paraId="2B48C0A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7E5BC2" w:rsidRPr="00FF50CD" w14:paraId="2611DFB3"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6C9189DD"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2662CAE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mięso mielone</w:t>
            </w:r>
          </w:p>
        </w:tc>
        <w:tc>
          <w:tcPr>
            <w:tcW w:w="996" w:type="dxa"/>
            <w:vAlign w:val="center"/>
          </w:tcPr>
          <w:p w14:paraId="370F2E9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35</w:t>
            </w:r>
          </w:p>
        </w:tc>
        <w:tc>
          <w:tcPr>
            <w:tcW w:w="756" w:type="dxa"/>
            <w:vAlign w:val="center"/>
          </w:tcPr>
          <w:p w14:paraId="5C7AA6C0"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w:t>
            </w:r>
          </w:p>
        </w:tc>
        <w:tc>
          <w:tcPr>
            <w:tcW w:w="876" w:type="dxa"/>
            <w:vAlign w:val="center"/>
          </w:tcPr>
          <w:p w14:paraId="685BFC6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28,57</w:t>
            </w:r>
          </w:p>
        </w:tc>
        <w:tc>
          <w:tcPr>
            <w:tcW w:w="2074" w:type="dxa"/>
            <w:vAlign w:val="center"/>
          </w:tcPr>
          <w:p w14:paraId="2BEFB1E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obecność Salmonella </w:t>
            </w:r>
            <w:proofErr w:type="spellStart"/>
            <w:r w:rsidRPr="00FF50CD">
              <w:rPr>
                <w:rFonts w:eastAsia="Times New Roman" w:cstheme="minorHAnsi"/>
                <w:sz w:val="20"/>
                <w:szCs w:val="20"/>
                <w:lang w:eastAsia="pl-PL"/>
              </w:rPr>
              <w:t>spp</w:t>
            </w:r>
            <w:proofErr w:type="spellEnd"/>
            <w:r w:rsidRPr="00FF50CD">
              <w:rPr>
                <w:rFonts w:eastAsia="Times New Roman" w:cstheme="minorHAnsi"/>
                <w:sz w:val="20"/>
                <w:szCs w:val="20"/>
                <w:lang w:eastAsia="pl-PL"/>
              </w:rPr>
              <w:t>. – 10 próbek</w:t>
            </w:r>
          </w:p>
        </w:tc>
      </w:tr>
      <w:tr w:rsidR="007E5BC2" w:rsidRPr="00FF50CD" w14:paraId="58E95411"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16BF9B0A"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4FAB8D4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produkty mięsne/ wędliniarskie</w:t>
            </w:r>
          </w:p>
        </w:tc>
        <w:tc>
          <w:tcPr>
            <w:tcW w:w="996" w:type="dxa"/>
            <w:vAlign w:val="center"/>
          </w:tcPr>
          <w:p w14:paraId="03578A9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61</w:t>
            </w:r>
          </w:p>
        </w:tc>
        <w:tc>
          <w:tcPr>
            <w:tcW w:w="756" w:type="dxa"/>
            <w:vAlign w:val="center"/>
          </w:tcPr>
          <w:p w14:paraId="506C029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5AAB545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79D0258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0C5F98A1"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0A4B031F"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7AC361C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Jaja i produkty z jaj</w:t>
            </w:r>
          </w:p>
        </w:tc>
        <w:tc>
          <w:tcPr>
            <w:tcW w:w="996" w:type="dxa"/>
            <w:vAlign w:val="center"/>
          </w:tcPr>
          <w:p w14:paraId="348BCF63"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150</w:t>
            </w:r>
          </w:p>
        </w:tc>
        <w:tc>
          <w:tcPr>
            <w:tcW w:w="756" w:type="dxa"/>
            <w:vAlign w:val="center"/>
          </w:tcPr>
          <w:p w14:paraId="729FE19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7A9ECC93"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0,67</w:t>
            </w:r>
          </w:p>
        </w:tc>
        <w:tc>
          <w:tcPr>
            <w:tcW w:w="2074" w:type="dxa"/>
            <w:vAlign w:val="center"/>
          </w:tcPr>
          <w:p w14:paraId="391B188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niewłaściwe cechy organoleptyczne – 1 próbka</w:t>
            </w:r>
          </w:p>
        </w:tc>
      </w:tr>
      <w:tr w:rsidR="007E5BC2" w:rsidRPr="00FF50CD" w14:paraId="650BC7DE"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hideMark/>
          </w:tcPr>
          <w:p w14:paraId="4A6F1182"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Ryby, owoce morza i ich przetwory</w:t>
            </w:r>
          </w:p>
        </w:tc>
        <w:tc>
          <w:tcPr>
            <w:tcW w:w="2371" w:type="dxa"/>
            <w:vAlign w:val="center"/>
            <w:hideMark/>
          </w:tcPr>
          <w:p w14:paraId="21FF8AD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Ryby, mięso i produkty z mięsa i ryb</w:t>
            </w:r>
          </w:p>
        </w:tc>
        <w:tc>
          <w:tcPr>
            <w:tcW w:w="996" w:type="dxa"/>
            <w:vAlign w:val="center"/>
          </w:tcPr>
          <w:p w14:paraId="637DE8B7"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273</w:t>
            </w:r>
          </w:p>
        </w:tc>
        <w:tc>
          <w:tcPr>
            <w:tcW w:w="756" w:type="dxa"/>
            <w:vAlign w:val="center"/>
          </w:tcPr>
          <w:p w14:paraId="70559E6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1FABB5A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0,37</w:t>
            </w:r>
          </w:p>
        </w:tc>
        <w:tc>
          <w:tcPr>
            <w:tcW w:w="2074" w:type="dxa"/>
            <w:vAlign w:val="center"/>
          </w:tcPr>
          <w:p w14:paraId="1964C3D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brak informacji na etykiecie o napromieniowaniu produktu – 1 próbka</w:t>
            </w:r>
          </w:p>
        </w:tc>
      </w:tr>
      <w:tr w:rsidR="007E5BC2" w:rsidRPr="00FF50CD" w14:paraId="41452BF8"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0FFF7002"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5578C6D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Owoce morza i produkty z nich uzyskane</w:t>
            </w:r>
          </w:p>
        </w:tc>
        <w:tc>
          <w:tcPr>
            <w:tcW w:w="996" w:type="dxa"/>
            <w:vAlign w:val="center"/>
          </w:tcPr>
          <w:p w14:paraId="1570A58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18</w:t>
            </w:r>
          </w:p>
        </w:tc>
        <w:tc>
          <w:tcPr>
            <w:tcW w:w="756" w:type="dxa"/>
            <w:vAlign w:val="center"/>
          </w:tcPr>
          <w:p w14:paraId="1D8A34A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5A13E9D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48FF2696"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607B083A"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hideMark/>
          </w:tcPr>
          <w:p w14:paraId="15B4AC87"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Mleko i przetwory mleczne</w:t>
            </w:r>
          </w:p>
          <w:p w14:paraId="4F4B6BF1" w14:textId="23823DF9" w:rsidR="007E5BC2" w:rsidRPr="00FF50CD" w:rsidRDefault="007E5BC2" w:rsidP="00597239">
            <w:pPr>
              <w:spacing w:line="276" w:lineRule="auto"/>
              <w:rPr>
                <w:rFonts w:eastAsia="Times New Roman" w:cstheme="minorHAnsi"/>
                <w:b w:val="0"/>
                <w:bCs w:val="0"/>
                <w:i/>
                <w:iCs/>
                <w:sz w:val="20"/>
                <w:szCs w:val="20"/>
                <w:lang w:eastAsia="pl-PL"/>
              </w:rPr>
            </w:pPr>
          </w:p>
          <w:p w14:paraId="1B78DF89" w14:textId="569044E9"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07243C3A"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Mleko i produkty mleczne (nabiał)</w:t>
            </w:r>
          </w:p>
        </w:tc>
        <w:tc>
          <w:tcPr>
            <w:tcW w:w="996" w:type="dxa"/>
            <w:vAlign w:val="center"/>
          </w:tcPr>
          <w:p w14:paraId="14272C0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234</w:t>
            </w:r>
          </w:p>
        </w:tc>
        <w:tc>
          <w:tcPr>
            <w:tcW w:w="756" w:type="dxa"/>
            <w:vAlign w:val="center"/>
          </w:tcPr>
          <w:p w14:paraId="3DD1C44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3364355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0,43</w:t>
            </w:r>
          </w:p>
        </w:tc>
        <w:tc>
          <w:tcPr>
            <w:tcW w:w="2074" w:type="dxa"/>
            <w:vAlign w:val="center"/>
          </w:tcPr>
          <w:p w14:paraId="265FC22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niewłaściwe cechy organoleptyczne – 1 próbka</w:t>
            </w:r>
          </w:p>
        </w:tc>
      </w:tr>
      <w:tr w:rsidR="007E5BC2" w:rsidRPr="00FF50CD" w14:paraId="60285185"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6AF77CA6" w14:textId="77777777" w:rsidR="007E5BC2" w:rsidRPr="00FF50CD" w:rsidRDefault="007E5BC2" w:rsidP="00597239">
            <w:pPr>
              <w:spacing w:line="276" w:lineRule="auto"/>
              <w:rPr>
                <w:rFonts w:eastAsia="Times New Roman" w:cstheme="minorHAnsi"/>
                <w:b w:val="0"/>
                <w:bCs w:val="0"/>
                <w:i/>
                <w:iCs/>
                <w:sz w:val="20"/>
                <w:szCs w:val="20"/>
                <w:lang w:eastAsia="pl-PL"/>
              </w:rPr>
            </w:pPr>
          </w:p>
        </w:tc>
        <w:tc>
          <w:tcPr>
            <w:tcW w:w="2371" w:type="dxa"/>
            <w:vAlign w:val="center"/>
            <w:hideMark/>
          </w:tcPr>
          <w:p w14:paraId="3375D58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Emulsje tłuszczowe i mieszane tłuszcze/Masło</w:t>
            </w:r>
          </w:p>
        </w:tc>
        <w:tc>
          <w:tcPr>
            <w:tcW w:w="996" w:type="dxa"/>
            <w:vAlign w:val="center"/>
          </w:tcPr>
          <w:p w14:paraId="4A8C909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26</w:t>
            </w:r>
          </w:p>
        </w:tc>
        <w:tc>
          <w:tcPr>
            <w:tcW w:w="756" w:type="dxa"/>
            <w:vAlign w:val="center"/>
          </w:tcPr>
          <w:p w14:paraId="0D943C8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0AE23BE5"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24206C8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5A380563"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05CC52AE" w14:textId="77777777" w:rsidR="007E5BC2" w:rsidRPr="00FF50CD" w:rsidRDefault="007E5BC2" w:rsidP="00597239">
            <w:pPr>
              <w:spacing w:line="276" w:lineRule="auto"/>
              <w:rPr>
                <w:rFonts w:eastAsia="Times New Roman" w:cstheme="minorHAnsi"/>
                <w:b w:val="0"/>
                <w:bCs w:val="0"/>
                <w:i/>
                <w:iCs/>
                <w:sz w:val="20"/>
                <w:szCs w:val="20"/>
                <w:lang w:eastAsia="pl-PL"/>
              </w:rPr>
            </w:pPr>
          </w:p>
        </w:tc>
        <w:tc>
          <w:tcPr>
            <w:tcW w:w="2371" w:type="dxa"/>
            <w:vAlign w:val="center"/>
            <w:hideMark/>
          </w:tcPr>
          <w:p w14:paraId="0A8C9E4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Desery i lody do jedzenia łyżeczką</w:t>
            </w:r>
          </w:p>
        </w:tc>
        <w:tc>
          <w:tcPr>
            <w:tcW w:w="996" w:type="dxa"/>
            <w:vAlign w:val="center"/>
          </w:tcPr>
          <w:p w14:paraId="4F9FCA33"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727</w:t>
            </w:r>
          </w:p>
        </w:tc>
        <w:tc>
          <w:tcPr>
            <w:tcW w:w="756" w:type="dxa"/>
            <w:vAlign w:val="center"/>
          </w:tcPr>
          <w:p w14:paraId="401CF54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290</w:t>
            </w:r>
          </w:p>
        </w:tc>
        <w:tc>
          <w:tcPr>
            <w:tcW w:w="876" w:type="dxa"/>
            <w:vAlign w:val="center"/>
          </w:tcPr>
          <w:p w14:paraId="31FA43B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39,89</w:t>
            </w:r>
          </w:p>
        </w:tc>
        <w:tc>
          <w:tcPr>
            <w:tcW w:w="2074" w:type="dxa"/>
            <w:vAlign w:val="center"/>
          </w:tcPr>
          <w:p w14:paraId="6905842C" w14:textId="77B0751C"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zawyżona liczba </w:t>
            </w:r>
            <w:proofErr w:type="spellStart"/>
            <w:r w:rsidRPr="00FF50CD">
              <w:rPr>
                <w:rFonts w:eastAsia="Times New Roman" w:cstheme="minorHAnsi"/>
                <w:sz w:val="20"/>
                <w:szCs w:val="20"/>
                <w:lang w:eastAsia="pl-PL"/>
              </w:rPr>
              <w:t>Enterobacteriaceae</w:t>
            </w:r>
            <w:proofErr w:type="spellEnd"/>
            <w:r w:rsidRPr="00FF50CD">
              <w:rPr>
                <w:rFonts w:eastAsia="Times New Roman" w:cstheme="minorHAnsi"/>
                <w:sz w:val="20"/>
                <w:szCs w:val="20"/>
                <w:lang w:eastAsia="pl-PL"/>
              </w:rPr>
              <w:t xml:space="preserve"> – 290 próbek</w:t>
            </w:r>
          </w:p>
        </w:tc>
      </w:tr>
      <w:tr w:rsidR="007E5BC2" w:rsidRPr="00FF50CD" w14:paraId="5AC8F28D"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32339EED" w14:textId="77777777" w:rsidR="007E5BC2" w:rsidRPr="00FF50CD" w:rsidRDefault="007E5BC2" w:rsidP="00597239">
            <w:pPr>
              <w:spacing w:line="276" w:lineRule="auto"/>
              <w:rPr>
                <w:rFonts w:eastAsia="Times New Roman" w:cstheme="minorHAnsi"/>
                <w:b w:val="0"/>
                <w:bCs w:val="0"/>
                <w:i/>
                <w:iCs/>
                <w:sz w:val="20"/>
                <w:szCs w:val="20"/>
                <w:lang w:eastAsia="pl-PL"/>
              </w:rPr>
            </w:pPr>
          </w:p>
        </w:tc>
        <w:tc>
          <w:tcPr>
            <w:tcW w:w="2371" w:type="dxa"/>
            <w:vAlign w:val="center"/>
            <w:hideMark/>
          </w:tcPr>
          <w:p w14:paraId="0164BC86"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lody na bazie wody - sorbety/granity</w:t>
            </w:r>
          </w:p>
        </w:tc>
        <w:tc>
          <w:tcPr>
            <w:tcW w:w="996" w:type="dxa"/>
            <w:vAlign w:val="center"/>
          </w:tcPr>
          <w:p w14:paraId="10A10CA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w:t>
            </w:r>
          </w:p>
        </w:tc>
        <w:tc>
          <w:tcPr>
            <w:tcW w:w="756" w:type="dxa"/>
            <w:vAlign w:val="center"/>
          </w:tcPr>
          <w:p w14:paraId="0D6FA12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0E8596B8"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35F3C84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71683C77"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hideMark/>
          </w:tcPr>
          <w:p w14:paraId="6A0E03C8"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Ziarno zbóż i przetwory zbożowo-mączne</w:t>
            </w:r>
          </w:p>
        </w:tc>
        <w:tc>
          <w:tcPr>
            <w:tcW w:w="2371" w:type="dxa"/>
            <w:vAlign w:val="center"/>
            <w:hideMark/>
          </w:tcPr>
          <w:p w14:paraId="36B3F37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Ziarna i produkty na bazie ziaren</w:t>
            </w:r>
          </w:p>
        </w:tc>
        <w:tc>
          <w:tcPr>
            <w:tcW w:w="996" w:type="dxa"/>
            <w:vAlign w:val="center"/>
          </w:tcPr>
          <w:p w14:paraId="308FCD9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354</w:t>
            </w:r>
          </w:p>
        </w:tc>
        <w:tc>
          <w:tcPr>
            <w:tcW w:w="756" w:type="dxa"/>
            <w:vAlign w:val="center"/>
          </w:tcPr>
          <w:p w14:paraId="17CFA80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876" w:type="dxa"/>
            <w:vAlign w:val="center"/>
          </w:tcPr>
          <w:p w14:paraId="146EAE0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0,56</w:t>
            </w:r>
          </w:p>
        </w:tc>
        <w:tc>
          <w:tcPr>
            <w:tcW w:w="2074" w:type="dxa"/>
            <w:vAlign w:val="center"/>
          </w:tcPr>
          <w:p w14:paraId="7517EC7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ponadnormatywna zawartość </w:t>
            </w:r>
            <w:proofErr w:type="spellStart"/>
            <w:r w:rsidRPr="00FF50CD">
              <w:rPr>
                <w:rFonts w:eastAsia="Times New Roman" w:cstheme="minorHAnsi"/>
                <w:sz w:val="20"/>
                <w:szCs w:val="20"/>
                <w:lang w:eastAsia="pl-PL"/>
              </w:rPr>
              <w:t>mykotoksyn</w:t>
            </w:r>
            <w:proofErr w:type="spellEnd"/>
            <w:r w:rsidRPr="00FF50CD">
              <w:rPr>
                <w:rFonts w:eastAsia="Times New Roman" w:cstheme="minorHAnsi"/>
                <w:sz w:val="20"/>
                <w:szCs w:val="20"/>
                <w:lang w:eastAsia="pl-PL"/>
              </w:rPr>
              <w:t xml:space="preserve"> (OTA) – 1 próbka</w:t>
            </w:r>
          </w:p>
          <w:p w14:paraId="31D72623" w14:textId="4789A48A"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lastRenderedPageBreak/>
              <w:t>niewłaściwe cechy organoleptyczne – 1 próbki,</w:t>
            </w:r>
          </w:p>
        </w:tc>
      </w:tr>
      <w:tr w:rsidR="007E5BC2" w:rsidRPr="00FF50CD" w14:paraId="5445CDFB"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46E4924C"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49CD4B3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wyroby piekarnicze</w:t>
            </w:r>
          </w:p>
        </w:tc>
        <w:tc>
          <w:tcPr>
            <w:tcW w:w="996" w:type="dxa"/>
            <w:vAlign w:val="center"/>
          </w:tcPr>
          <w:p w14:paraId="63CA91F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196</w:t>
            </w:r>
          </w:p>
        </w:tc>
        <w:tc>
          <w:tcPr>
            <w:tcW w:w="756" w:type="dxa"/>
            <w:vAlign w:val="center"/>
          </w:tcPr>
          <w:p w14:paraId="6D4F3BB3"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13B222F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33F4F92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0AD463CC"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14FBED67"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Wyroby cukiernicze i ciastkarskie</w:t>
            </w:r>
          </w:p>
        </w:tc>
        <w:tc>
          <w:tcPr>
            <w:tcW w:w="2371" w:type="dxa"/>
            <w:vAlign w:val="center"/>
            <w:hideMark/>
          </w:tcPr>
          <w:p w14:paraId="1FCF4C6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Słodycze łącznie z czekoladą</w:t>
            </w:r>
          </w:p>
        </w:tc>
        <w:tc>
          <w:tcPr>
            <w:tcW w:w="996" w:type="dxa"/>
            <w:vAlign w:val="center"/>
          </w:tcPr>
          <w:p w14:paraId="6EB1F56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57</w:t>
            </w:r>
          </w:p>
        </w:tc>
        <w:tc>
          <w:tcPr>
            <w:tcW w:w="756" w:type="dxa"/>
            <w:vAlign w:val="center"/>
          </w:tcPr>
          <w:p w14:paraId="3C20A49F"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4B583BC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12F94CB5"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0BEDAC69"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110534A6"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Miód i produkty pszczelarskie</w:t>
            </w:r>
          </w:p>
        </w:tc>
        <w:tc>
          <w:tcPr>
            <w:tcW w:w="2371" w:type="dxa"/>
            <w:vAlign w:val="center"/>
            <w:hideMark/>
          </w:tcPr>
          <w:p w14:paraId="0FC1716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Cukry i podobne/ cukier/ Miód</w:t>
            </w:r>
          </w:p>
        </w:tc>
        <w:tc>
          <w:tcPr>
            <w:tcW w:w="996" w:type="dxa"/>
            <w:vAlign w:val="center"/>
          </w:tcPr>
          <w:p w14:paraId="0B27406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8</w:t>
            </w:r>
          </w:p>
        </w:tc>
        <w:tc>
          <w:tcPr>
            <w:tcW w:w="756" w:type="dxa"/>
            <w:vAlign w:val="center"/>
          </w:tcPr>
          <w:p w14:paraId="7BDDE340"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0A64092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12,50</w:t>
            </w:r>
          </w:p>
        </w:tc>
        <w:tc>
          <w:tcPr>
            <w:tcW w:w="2074" w:type="dxa"/>
            <w:vAlign w:val="center"/>
          </w:tcPr>
          <w:p w14:paraId="3AC0A30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ponadnormatywna zawartość pozostałości pestycydów- 1 próbka</w:t>
            </w:r>
          </w:p>
        </w:tc>
      </w:tr>
      <w:tr w:rsidR="007E5BC2" w:rsidRPr="00FF50CD" w14:paraId="5BD91709"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37FBF031"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Orzechy, w tym arachidy</w:t>
            </w:r>
          </w:p>
        </w:tc>
        <w:tc>
          <w:tcPr>
            <w:tcW w:w="2371" w:type="dxa"/>
            <w:vAlign w:val="center"/>
            <w:hideMark/>
          </w:tcPr>
          <w:p w14:paraId="573A5C8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Orzechy i ich podstawowe produkty pochodne</w:t>
            </w:r>
          </w:p>
        </w:tc>
        <w:tc>
          <w:tcPr>
            <w:tcW w:w="996" w:type="dxa"/>
            <w:vAlign w:val="center"/>
          </w:tcPr>
          <w:p w14:paraId="74FD2B0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27</w:t>
            </w:r>
          </w:p>
        </w:tc>
        <w:tc>
          <w:tcPr>
            <w:tcW w:w="756" w:type="dxa"/>
            <w:vAlign w:val="center"/>
          </w:tcPr>
          <w:p w14:paraId="2F692A13"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707FF61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7810AC5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779B4540"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32559454" w14:textId="067A153B"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Warzywa (w tym strączkowe),</w:t>
            </w:r>
          </w:p>
        </w:tc>
        <w:tc>
          <w:tcPr>
            <w:tcW w:w="2371" w:type="dxa"/>
            <w:vAlign w:val="center"/>
            <w:hideMark/>
          </w:tcPr>
          <w:p w14:paraId="18282F1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Warzywa ogrodowe i ich podstawowe produkty pochodne z wyłączeniem grzybów</w:t>
            </w:r>
          </w:p>
        </w:tc>
        <w:tc>
          <w:tcPr>
            <w:tcW w:w="996" w:type="dxa"/>
            <w:vAlign w:val="center"/>
          </w:tcPr>
          <w:p w14:paraId="58A421C8"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358</w:t>
            </w:r>
          </w:p>
        </w:tc>
        <w:tc>
          <w:tcPr>
            <w:tcW w:w="756" w:type="dxa"/>
            <w:vAlign w:val="center"/>
          </w:tcPr>
          <w:p w14:paraId="2BB0E2F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876" w:type="dxa"/>
            <w:vAlign w:val="center"/>
          </w:tcPr>
          <w:p w14:paraId="3C006B2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0,56</w:t>
            </w:r>
          </w:p>
        </w:tc>
        <w:tc>
          <w:tcPr>
            <w:tcW w:w="2074" w:type="dxa"/>
            <w:vAlign w:val="center"/>
          </w:tcPr>
          <w:p w14:paraId="771CC628"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ponadnormatywna zawartość pozostałości pestycydów- 2 próbki</w:t>
            </w:r>
          </w:p>
          <w:p w14:paraId="25EAF5C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r>
      <w:tr w:rsidR="007E5BC2" w:rsidRPr="00FF50CD" w14:paraId="5BFD04B9"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1ABCA3CF" w14:textId="148D3CC5"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Owoce</w:t>
            </w:r>
          </w:p>
        </w:tc>
        <w:tc>
          <w:tcPr>
            <w:tcW w:w="2371" w:type="dxa"/>
            <w:vAlign w:val="center"/>
            <w:hideMark/>
          </w:tcPr>
          <w:p w14:paraId="51E503E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Owoce i ich podstawowe produkty pochodne</w:t>
            </w:r>
          </w:p>
        </w:tc>
        <w:tc>
          <w:tcPr>
            <w:tcW w:w="996" w:type="dxa"/>
            <w:vAlign w:val="center"/>
          </w:tcPr>
          <w:p w14:paraId="59D3AE9A"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312</w:t>
            </w:r>
          </w:p>
        </w:tc>
        <w:tc>
          <w:tcPr>
            <w:tcW w:w="756" w:type="dxa"/>
            <w:vAlign w:val="center"/>
          </w:tcPr>
          <w:p w14:paraId="28DE2330"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w:t>
            </w:r>
          </w:p>
        </w:tc>
        <w:tc>
          <w:tcPr>
            <w:tcW w:w="876" w:type="dxa"/>
            <w:vAlign w:val="center"/>
          </w:tcPr>
          <w:p w14:paraId="6CF8A8B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1,60</w:t>
            </w:r>
          </w:p>
        </w:tc>
        <w:tc>
          <w:tcPr>
            <w:tcW w:w="2074" w:type="dxa"/>
            <w:vAlign w:val="center"/>
          </w:tcPr>
          <w:p w14:paraId="1A6DBB9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ponadnormatywna zawartość pozostałości pestycydów - 3 próbki, ponadnormatywna zawartość </w:t>
            </w:r>
            <w:proofErr w:type="spellStart"/>
            <w:r w:rsidRPr="00FF50CD">
              <w:rPr>
                <w:rFonts w:eastAsia="Times New Roman" w:cstheme="minorHAnsi"/>
                <w:sz w:val="20"/>
                <w:szCs w:val="20"/>
                <w:lang w:eastAsia="pl-PL"/>
              </w:rPr>
              <w:t>mykotoksyn</w:t>
            </w:r>
            <w:proofErr w:type="spellEnd"/>
            <w:r w:rsidRPr="00FF50CD">
              <w:rPr>
                <w:rFonts w:eastAsia="Times New Roman" w:cstheme="minorHAnsi"/>
                <w:sz w:val="20"/>
                <w:szCs w:val="20"/>
                <w:lang w:eastAsia="pl-PL"/>
              </w:rPr>
              <w:t xml:space="preserve"> (</w:t>
            </w:r>
            <w:proofErr w:type="spellStart"/>
            <w:r w:rsidRPr="00FF50CD">
              <w:rPr>
                <w:rFonts w:eastAsia="Times New Roman" w:cstheme="minorHAnsi"/>
                <w:sz w:val="20"/>
                <w:szCs w:val="20"/>
                <w:lang w:eastAsia="pl-PL"/>
              </w:rPr>
              <w:t>aflatoksyny</w:t>
            </w:r>
            <w:proofErr w:type="spellEnd"/>
            <w:r w:rsidRPr="00FF50CD">
              <w:rPr>
                <w:rFonts w:eastAsia="Times New Roman" w:cstheme="minorHAnsi"/>
                <w:sz w:val="20"/>
                <w:szCs w:val="20"/>
                <w:lang w:eastAsia="pl-PL"/>
              </w:rPr>
              <w:t>) – 1 próbka</w:t>
            </w:r>
          </w:p>
          <w:p w14:paraId="7EC174FA"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niewłaściwe cechy organoleptyczne – 1 próbka</w:t>
            </w:r>
          </w:p>
        </w:tc>
      </w:tr>
      <w:tr w:rsidR="007E5BC2" w:rsidRPr="00FF50CD" w14:paraId="4751F4A8"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14AB25D8"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Grzyby</w:t>
            </w:r>
          </w:p>
        </w:tc>
        <w:tc>
          <w:tcPr>
            <w:tcW w:w="2371" w:type="dxa"/>
            <w:vAlign w:val="center"/>
            <w:hideMark/>
          </w:tcPr>
          <w:p w14:paraId="04D793E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Grzyby</w:t>
            </w:r>
          </w:p>
        </w:tc>
        <w:tc>
          <w:tcPr>
            <w:tcW w:w="996" w:type="dxa"/>
            <w:vAlign w:val="center"/>
          </w:tcPr>
          <w:p w14:paraId="5D50F25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w:t>
            </w:r>
          </w:p>
        </w:tc>
        <w:tc>
          <w:tcPr>
            <w:tcW w:w="756" w:type="dxa"/>
            <w:vAlign w:val="center"/>
          </w:tcPr>
          <w:p w14:paraId="056E822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7B84A826"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2B33B5A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4FD41DDA"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2E23ABC5"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Napoje alkoholowe</w:t>
            </w:r>
          </w:p>
        </w:tc>
        <w:tc>
          <w:tcPr>
            <w:tcW w:w="2371" w:type="dxa"/>
            <w:vAlign w:val="center"/>
            <w:hideMark/>
          </w:tcPr>
          <w:p w14:paraId="29817D2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Napoje alkoholowe</w:t>
            </w:r>
          </w:p>
        </w:tc>
        <w:tc>
          <w:tcPr>
            <w:tcW w:w="996" w:type="dxa"/>
            <w:vAlign w:val="center"/>
          </w:tcPr>
          <w:p w14:paraId="67AA4FA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w:t>
            </w:r>
          </w:p>
        </w:tc>
        <w:tc>
          <w:tcPr>
            <w:tcW w:w="756" w:type="dxa"/>
            <w:vAlign w:val="center"/>
          </w:tcPr>
          <w:p w14:paraId="0BBE8C6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281CA030"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6D3A0C5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1971AFF3"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86" w:type="dxa"/>
            <w:vAlign w:val="center"/>
            <w:hideMark/>
          </w:tcPr>
          <w:p w14:paraId="178A081E" w14:textId="77777777" w:rsidR="007E5BC2" w:rsidRPr="00FF50CD" w:rsidRDefault="007E5BC2" w:rsidP="00597239">
            <w:pPr>
              <w:spacing w:line="276" w:lineRule="auto"/>
              <w:rPr>
                <w:rFonts w:eastAsia="Times New Roman" w:cstheme="minorHAnsi"/>
                <w:b w:val="0"/>
                <w:bCs w:val="0"/>
                <w:i/>
                <w:iCs/>
                <w:sz w:val="20"/>
                <w:szCs w:val="20"/>
                <w:lang w:eastAsia="pl-PL"/>
              </w:rPr>
            </w:pPr>
            <w:r w:rsidRPr="00FF50CD">
              <w:rPr>
                <w:rFonts w:eastAsia="Times New Roman" w:cstheme="minorHAnsi"/>
                <w:b w:val="0"/>
                <w:bCs w:val="0"/>
                <w:i/>
                <w:iCs/>
                <w:sz w:val="20"/>
                <w:szCs w:val="20"/>
                <w:lang w:eastAsia="pl-PL"/>
              </w:rPr>
              <w:t>w tym</w:t>
            </w:r>
          </w:p>
        </w:tc>
        <w:tc>
          <w:tcPr>
            <w:tcW w:w="1167" w:type="dxa"/>
            <w:vAlign w:val="center"/>
            <w:hideMark/>
          </w:tcPr>
          <w:p w14:paraId="25662B29"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Wyroby winiarskie</w:t>
            </w:r>
          </w:p>
        </w:tc>
        <w:tc>
          <w:tcPr>
            <w:tcW w:w="2371" w:type="dxa"/>
            <w:vAlign w:val="center"/>
            <w:hideMark/>
          </w:tcPr>
          <w:p w14:paraId="5B92899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w tym wino oraz wyroby </w:t>
            </w:r>
            <w:proofErr w:type="spellStart"/>
            <w:r w:rsidRPr="00FF50CD">
              <w:rPr>
                <w:rFonts w:eastAsia="Times New Roman" w:cstheme="minorHAnsi"/>
                <w:sz w:val="20"/>
                <w:szCs w:val="20"/>
                <w:lang w:eastAsia="pl-PL"/>
              </w:rPr>
              <w:t>winopodobne</w:t>
            </w:r>
            <w:proofErr w:type="spellEnd"/>
          </w:p>
        </w:tc>
        <w:tc>
          <w:tcPr>
            <w:tcW w:w="996" w:type="dxa"/>
            <w:vAlign w:val="center"/>
          </w:tcPr>
          <w:p w14:paraId="1FB4C9C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w:t>
            </w:r>
          </w:p>
        </w:tc>
        <w:tc>
          <w:tcPr>
            <w:tcW w:w="756" w:type="dxa"/>
            <w:vAlign w:val="center"/>
          </w:tcPr>
          <w:p w14:paraId="75ACECE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0608E9B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1EFB6B00"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74F7D206"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3977BDB7"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Wody mineralne i napoje bezalkoholowe</w:t>
            </w:r>
          </w:p>
        </w:tc>
        <w:tc>
          <w:tcPr>
            <w:tcW w:w="2371" w:type="dxa"/>
            <w:vAlign w:val="center"/>
            <w:hideMark/>
          </w:tcPr>
          <w:p w14:paraId="41B5F76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Woda, wodne napoje i związane składniki</w:t>
            </w:r>
          </w:p>
        </w:tc>
        <w:tc>
          <w:tcPr>
            <w:tcW w:w="996" w:type="dxa"/>
            <w:vAlign w:val="center"/>
          </w:tcPr>
          <w:p w14:paraId="7CE1607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110</w:t>
            </w:r>
          </w:p>
        </w:tc>
        <w:tc>
          <w:tcPr>
            <w:tcW w:w="756" w:type="dxa"/>
            <w:vAlign w:val="center"/>
          </w:tcPr>
          <w:p w14:paraId="6D3FAA7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3E7ACE2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0,90</w:t>
            </w:r>
          </w:p>
        </w:tc>
        <w:tc>
          <w:tcPr>
            <w:tcW w:w="2074" w:type="dxa"/>
            <w:vAlign w:val="center"/>
          </w:tcPr>
          <w:p w14:paraId="08446A7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niewłaściwe cechy organoleptyczne – 1 próbka</w:t>
            </w:r>
          </w:p>
        </w:tc>
      </w:tr>
      <w:tr w:rsidR="007E5BC2" w:rsidRPr="00FF50CD" w14:paraId="4D2FD943"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62413866"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Tłuszcze roślinne</w:t>
            </w:r>
          </w:p>
        </w:tc>
        <w:tc>
          <w:tcPr>
            <w:tcW w:w="2371" w:type="dxa"/>
            <w:vAlign w:val="center"/>
            <w:hideMark/>
          </w:tcPr>
          <w:p w14:paraId="7B1D8395"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Wydzielone czyste składniki/Tłuszcze i oleje roślinne jadalne</w:t>
            </w:r>
          </w:p>
        </w:tc>
        <w:tc>
          <w:tcPr>
            <w:tcW w:w="996" w:type="dxa"/>
            <w:vAlign w:val="center"/>
          </w:tcPr>
          <w:p w14:paraId="364DE5D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39</w:t>
            </w:r>
          </w:p>
        </w:tc>
        <w:tc>
          <w:tcPr>
            <w:tcW w:w="756" w:type="dxa"/>
            <w:vAlign w:val="center"/>
          </w:tcPr>
          <w:p w14:paraId="6578172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4B1CA156"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2466313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5131CFB3"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3FAECE29"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Ziarna roślin oleistych</w:t>
            </w:r>
          </w:p>
        </w:tc>
        <w:tc>
          <w:tcPr>
            <w:tcW w:w="2371" w:type="dxa"/>
            <w:vAlign w:val="center"/>
            <w:hideMark/>
          </w:tcPr>
          <w:p w14:paraId="3027C72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Nasiona i owoce oleiste</w:t>
            </w:r>
          </w:p>
        </w:tc>
        <w:tc>
          <w:tcPr>
            <w:tcW w:w="996" w:type="dxa"/>
            <w:vAlign w:val="center"/>
          </w:tcPr>
          <w:p w14:paraId="0110B96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46</w:t>
            </w:r>
          </w:p>
        </w:tc>
        <w:tc>
          <w:tcPr>
            <w:tcW w:w="756" w:type="dxa"/>
            <w:vAlign w:val="center"/>
          </w:tcPr>
          <w:p w14:paraId="79A48245"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37268E93"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2,17</w:t>
            </w:r>
          </w:p>
        </w:tc>
        <w:tc>
          <w:tcPr>
            <w:tcW w:w="2074" w:type="dxa"/>
            <w:vAlign w:val="center"/>
          </w:tcPr>
          <w:p w14:paraId="5D38660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ponadnormatywna zawartość pozostałości pestycydów - 1 próbka</w:t>
            </w:r>
          </w:p>
        </w:tc>
      </w:tr>
      <w:tr w:rsidR="007E5BC2" w:rsidRPr="00FF50CD" w14:paraId="4F59A285"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7EF9F12C"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Koncentraty spożywcze</w:t>
            </w:r>
          </w:p>
        </w:tc>
        <w:tc>
          <w:tcPr>
            <w:tcW w:w="2371" w:type="dxa"/>
            <w:vAlign w:val="center"/>
            <w:hideMark/>
          </w:tcPr>
          <w:p w14:paraId="55A61B7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Niesłodkie ekstrakty i składniki sosów; Dania zawierające gotowe posiłki z wyłączeniem pizzy, sandwichy i produktów faszerowanych, Przeznaczenie=niegotowe do spożycia (do spożycia po odtworzeniu z płynem)</w:t>
            </w:r>
          </w:p>
        </w:tc>
        <w:tc>
          <w:tcPr>
            <w:tcW w:w="996" w:type="dxa"/>
            <w:vAlign w:val="center"/>
          </w:tcPr>
          <w:p w14:paraId="6077C4F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756" w:type="dxa"/>
            <w:vAlign w:val="center"/>
          </w:tcPr>
          <w:p w14:paraId="6DCD49A5"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778F251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498DED3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6AAB51D8"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586" w:type="dxa"/>
            <w:vAlign w:val="center"/>
            <w:hideMark/>
          </w:tcPr>
          <w:p w14:paraId="3CBCB497" w14:textId="77777777" w:rsidR="007E5BC2" w:rsidRPr="00FF50CD" w:rsidRDefault="007E5BC2" w:rsidP="00597239">
            <w:pPr>
              <w:spacing w:line="276" w:lineRule="auto"/>
              <w:rPr>
                <w:rFonts w:eastAsia="Times New Roman" w:cstheme="minorHAnsi"/>
                <w:b w:val="0"/>
                <w:bCs w:val="0"/>
                <w:i/>
                <w:iCs/>
                <w:sz w:val="20"/>
                <w:szCs w:val="20"/>
                <w:lang w:eastAsia="pl-PL"/>
              </w:rPr>
            </w:pPr>
            <w:r w:rsidRPr="00FF50CD">
              <w:rPr>
                <w:rFonts w:eastAsia="Times New Roman" w:cstheme="minorHAnsi"/>
                <w:b w:val="0"/>
                <w:bCs w:val="0"/>
                <w:i/>
                <w:iCs/>
                <w:sz w:val="20"/>
                <w:szCs w:val="20"/>
                <w:lang w:eastAsia="pl-PL"/>
              </w:rPr>
              <w:lastRenderedPageBreak/>
              <w:t>w tym</w:t>
            </w:r>
          </w:p>
        </w:tc>
        <w:tc>
          <w:tcPr>
            <w:tcW w:w="1167" w:type="dxa"/>
            <w:vAlign w:val="center"/>
            <w:hideMark/>
          </w:tcPr>
          <w:p w14:paraId="2E68CA6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iCs/>
                <w:sz w:val="20"/>
                <w:szCs w:val="20"/>
                <w:lang w:eastAsia="pl-PL"/>
              </w:rPr>
            </w:pPr>
            <w:r w:rsidRPr="00FF50CD">
              <w:rPr>
                <w:rFonts w:eastAsia="Times New Roman" w:cstheme="minorHAnsi"/>
                <w:i/>
                <w:iCs/>
                <w:sz w:val="20"/>
                <w:szCs w:val="20"/>
                <w:lang w:eastAsia="pl-PL"/>
              </w:rPr>
              <w:t xml:space="preserve">buliony, </w:t>
            </w:r>
            <w:r w:rsidRPr="00FF50CD">
              <w:rPr>
                <w:rFonts w:eastAsia="Times New Roman" w:cstheme="minorHAnsi"/>
                <w:i/>
                <w:iCs/>
                <w:sz w:val="20"/>
                <w:szCs w:val="20"/>
                <w:lang w:eastAsia="pl-PL"/>
              </w:rPr>
              <w:br/>
              <w:t>rosoły, HVP</w:t>
            </w:r>
          </w:p>
        </w:tc>
        <w:tc>
          <w:tcPr>
            <w:tcW w:w="2371" w:type="dxa"/>
            <w:vAlign w:val="center"/>
            <w:hideMark/>
          </w:tcPr>
          <w:p w14:paraId="05292763"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Kostki bulionowe lub granulat; Białka z soi</w:t>
            </w:r>
          </w:p>
        </w:tc>
        <w:tc>
          <w:tcPr>
            <w:tcW w:w="996" w:type="dxa"/>
            <w:vAlign w:val="center"/>
          </w:tcPr>
          <w:p w14:paraId="16D8B84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756" w:type="dxa"/>
            <w:vAlign w:val="center"/>
          </w:tcPr>
          <w:p w14:paraId="1321BE2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1087BF0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42B8042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4ABC285B"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496FBF28"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Majonezy, musztardy, sosy</w:t>
            </w:r>
          </w:p>
        </w:tc>
        <w:tc>
          <w:tcPr>
            <w:tcW w:w="2371" w:type="dxa"/>
            <w:vAlign w:val="center"/>
            <w:hideMark/>
          </w:tcPr>
          <w:p w14:paraId="5F054CC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Przyprawy (w tym formy stołowe) / sosy niesłodkie np. majonez, musztardy sosy</w:t>
            </w:r>
          </w:p>
        </w:tc>
        <w:tc>
          <w:tcPr>
            <w:tcW w:w="996" w:type="dxa"/>
            <w:vAlign w:val="center"/>
          </w:tcPr>
          <w:p w14:paraId="695E5F2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14</w:t>
            </w:r>
          </w:p>
        </w:tc>
        <w:tc>
          <w:tcPr>
            <w:tcW w:w="756" w:type="dxa"/>
            <w:vAlign w:val="center"/>
          </w:tcPr>
          <w:p w14:paraId="64764418"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281F4B80"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53A02DD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498DEC6F"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2F65135C" w14:textId="09611E39"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Zioła, przyprawy</w:t>
            </w:r>
          </w:p>
        </w:tc>
        <w:tc>
          <w:tcPr>
            <w:tcW w:w="2371" w:type="dxa"/>
            <w:vAlign w:val="center"/>
            <w:hideMark/>
          </w:tcPr>
          <w:p w14:paraId="53A4844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Zioła, przyprawy i podobne produkty</w:t>
            </w:r>
          </w:p>
        </w:tc>
        <w:tc>
          <w:tcPr>
            <w:tcW w:w="996" w:type="dxa"/>
            <w:vAlign w:val="center"/>
          </w:tcPr>
          <w:p w14:paraId="6973085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131</w:t>
            </w:r>
          </w:p>
        </w:tc>
        <w:tc>
          <w:tcPr>
            <w:tcW w:w="756" w:type="dxa"/>
            <w:vAlign w:val="center"/>
          </w:tcPr>
          <w:p w14:paraId="7D147B3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w:t>
            </w:r>
          </w:p>
        </w:tc>
        <w:tc>
          <w:tcPr>
            <w:tcW w:w="876" w:type="dxa"/>
            <w:vAlign w:val="center"/>
          </w:tcPr>
          <w:p w14:paraId="15C836B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3,05</w:t>
            </w:r>
          </w:p>
        </w:tc>
        <w:tc>
          <w:tcPr>
            <w:tcW w:w="2074" w:type="dxa"/>
            <w:vAlign w:val="center"/>
          </w:tcPr>
          <w:p w14:paraId="3CE6D6E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ponadnormatywna zawartość glutenu - 2 próbki, ponadnormatywna zawartość alkaloidów </w:t>
            </w:r>
            <w:proofErr w:type="spellStart"/>
            <w:r w:rsidRPr="00FF50CD">
              <w:rPr>
                <w:rFonts w:eastAsia="Times New Roman" w:cstheme="minorHAnsi"/>
                <w:sz w:val="20"/>
                <w:szCs w:val="20"/>
                <w:lang w:eastAsia="pl-PL"/>
              </w:rPr>
              <w:t>pirolizydynowych</w:t>
            </w:r>
            <w:proofErr w:type="spellEnd"/>
            <w:r w:rsidRPr="00FF50CD">
              <w:rPr>
                <w:rFonts w:eastAsia="Times New Roman" w:cstheme="minorHAnsi"/>
                <w:sz w:val="20"/>
                <w:szCs w:val="20"/>
                <w:lang w:eastAsia="pl-PL"/>
              </w:rPr>
              <w:t xml:space="preserve"> - 2 próbki</w:t>
            </w:r>
          </w:p>
        </w:tc>
      </w:tr>
      <w:tr w:rsidR="007E5BC2" w:rsidRPr="00FF50CD" w14:paraId="53E058E1"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64B42820"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Kawa, herbata, kakao, herbatki owocowe i ziołowe</w:t>
            </w:r>
          </w:p>
        </w:tc>
        <w:tc>
          <w:tcPr>
            <w:tcW w:w="2371" w:type="dxa"/>
            <w:vAlign w:val="center"/>
            <w:hideMark/>
          </w:tcPr>
          <w:p w14:paraId="6E74509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Składniki gorących napojów i naparów/ Nasiona (kawa, kakao i podobne)</w:t>
            </w:r>
          </w:p>
        </w:tc>
        <w:tc>
          <w:tcPr>
            <w:tcW w:w="996" w:type="dxa"/>
            <w:vAlign w:val="center"/>
          </w:tcPr>
          <w:p w14:paraId="7F45233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58</w:t>
            </w:r>
          </w:p>
        </w:tc>
        <w:tc>
          <w:tcPr>
            <w:tcW w:w="756" w:type="dxa"/>
            <w:vAlign w:val="center"/>
          </w:tcPr>
          <w:p w14:paraId="1A66191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59DDE5F7"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30CC27A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630B53DA"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hideMark/>
          </w:tcPr>
          <w:p w14:paraId="60BE8860"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Wyroby garmażeryjne i kulinarne</w:t>
            </w:r>
          </w:p>
        </w:tc>
        <w:tc>
          <w:tcPr>
            <w:tcW w:w="2371" w:type="dxa"/>
            <w:vAlign w:val="center"/>
            <w:hideMark/>
          </w:tcPr>
          <w:p w14:paraId="0882C683" w14:textId="6DD11D36"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Dania złożone, Przeznaczenie=Gotowe do spożycia LUB Przeznaczone do spożycia po ugotowaniu</w:t>
            </w:r>
          </w:p>
        </w:tc>
        <w:tc>
          <w:tcPr>
            <w:tcW w:w="996" w:type="dxa"/>
            <w:vAlign w:val="center"/>
          </w:tcPr>
          <w:p w14:paraId="1C0637D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329</w:t>
            </w:r>
          </w:p>
        </w:tc>
        <w:tc>
          <w:tcPr>
            <w:tcW w:w="756" w:type="dxa"/>
            <w:vAlign w:val="center"/>
          </w:tcPr>
          <w:p w14:paraId="3598883F"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37AFB69F"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0,30</w:t>
            </w:r>
          </w:p>
        </w:tc>
        <w:tc>
          <w:tcPr>
            <w:tcW w:w="2074" w:type="dxa"/>
            <w:vAlign w:val="center"/>
          </w:tcPr>
          <w:p w14:paraId="6AFDD48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20"/>
                <w:szCs w:val="20"/>
                <w:lang w:eastAsia="pl-PL"/>
              </w:rPr>
            </w:pPr>
            <w:r w:rsidRPr="00FF50CD">
              <w:rPr>
                <w:rFonts w:eastAsia="Times New Roman" w:cstheme="minorHAnsi"/>
                <w:sz w:val="20"/>
                <w:szCs w:val="20"/>
                <w:lang w:eastAsia="pl-PL"/>
              </w:rPr>
              <w:t>wykrycie obecności enterotoksyny gronkowcowej – 1 próbka</w:t>
            </w:r>
          </w:p>
        </w:tc>
      </w:tr>
      <w:tr w:rsidR="007E5BC2" w:rsidRPr="00FF50CD" w14:paraId="74F690BB"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449CAD9C"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49BD043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 tym przekąski</w:t>
            </w:r>
          </w:p>
        </w:tc>
        <w:tc>
          <w:tcPr>
            <w:tcW w:w="996" w:type="dxa"/>
            <w:vAlign w:val="center"/>
          </w:tcPr>
          <w:p w14:paraId="7357F4A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w:t>
            </w:r>
          </w:p>
        </w:tc>
        <w:tc>
          <w:tcPr>
            <w:tcW w:w="756" w:type="dxa"/>
            <w:vAlign w:val="center"/>
          </w:tcPr>
          <w:p w14:paraId="1051340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16460BD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1842323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57E7692A"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321B3F36"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Środki spożywcze specjalnego przeznaczenia żywieniowego</w:t>
            </w:r>
          </w:p>
        </w:tc>
        <w:tc>
          <w:tcPr>
            <w:tcW w:w="2371" w:type="dxa"/>
            <w:vAlign w:val="center"/>
            <w:hideMark/>
          </w:tcPr>
          <w:p w14:paraId="5A54B60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Żywność dla niemowląt i małych dzieci</w:t>
            </w:r>
          </w:p>
        </w:tc>
        <w:tc>
          <w:tcPr>
            <w:tcW w:w="996" w:type="dxa"/>
            <w:vAlign w:val="center"/>
          </w:tcPr>
          <w:p w14:paraId="7ED852AE" w14:textId="70050239"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r w:rsidR="006F36FF" w:rsidRPr="00FF50CD">
              <w:rPr>
                <w:rFonts w:eastAsia="Times New Roman" w:cstheme="minorHAnsi"/>
                <w:sz w:val="20"/>
                <w:szCs w:val="20"/>
                <w:lang w:eastAsia="pl-PL"/>
              </w:rPr>
              <w:t>82</w:t>
            </w:r>
          </w:p>
        </w:tc>
        <w:tc>
          <w:tcPr>
            <w:tcW w:w="756" w:type="dxa"/>
            <w:vAlign w:val="center"/>
          </w:tcPr>
          <w:p w14:paraId="4BE8CE2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3D3897A3" w14:textId="24B424AD"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0,3</w:t>
            </w:r>
            <w:r w:rsidR="009B4B0D" w:rsidRPr="00FF50CD">
              <w:rPr>
                <w:rFonts w:eastAsia="Times New Roman" w:cstheme="minorHAnsi"/>
                <w:sz w:val="20"/>
                <w:szCs w:val="20"/>
                <w:lang w:eastAsia="pl-PL"/>
              </w:rPr>
              <w:t>5</w:t>
            </w:r>
          </w:p>
        </w:tc>
        <w:tc>
          <w:tcPr>
            <w:tcW w:w="2074" w:type="dxa"/>
            <w:vAlign w:val="center"/>
          </w:tcPr>
          <w:p w14:paraId="3F1E2547"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ponadnormatywna zawartość alkaloidów </w:t>
            </w:r>
            <w:proofErr w:type="spellStart"/>
            <w:r w:rsidRPr="00FF50CD">
              <w:rPr>
                <w:rFonts w:eastAsia="Times New Roman" w:cstheme="minorHAnsi"/>
                <w:sz w:val="20"/>
                <w:szCs w:val="20"/>
                <w:lang w:eastAsia="pl-PL"/>
              </w:rPr>
              <w:t>pirolizydynowych</w:t>
            </w:r>
            <w:proofErr w:type="spellEnd"/>
            <w:r w:rsidRPr="00FF50CD">
              <w:rPr>
                <w:rFonts w:eastAsia="Times New Roman" w:cstheme="minorHAnsi"/>
                <w:sz w:val="20"/>
                <w:szCs w:val="20"/>
                <w:lang w:eastAsia="pl-PL"/>
              </w:rPr>
              <w:t xml:space="preserve"> - 1 próbka</w:t>
            </w:r>
          </w:p>
        </w:tc>
      </w:tr>
      <w:tr w:rsidR="007E5BC2" w:rsidRPr="00FF50CD" w14:paraId="4424EF43"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63BA4E98"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7D6601F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Pozostałe - Żywność dla określonych grup z rozporządzenia (UE) 609/2013 (tj. żywność specjalnego przeznaczenia medycznego, środki spożywcze zastępujące całodzienną dietę, do kontroli masy ciała).</w:t>
            </w:r>
          </w:p>
        </w:tc>
        <w:tc>
          <w:tcPr>
            <w:tcW w:w="996" w:type="dxa"/>
            <w:vAlign w:val="center"/>
          </w:tcPr>
          <w:p w14:paraId="4D67793D" w14:textId="26A22E34" w:rsidR="007E5BC2" w:rsidRPr="00FF50CD" w:rsidRDefault="003712DF"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17</w:t>
            </w:r>
          </w:p>
        </w:tc>
        <w:tc>
          <w:tcPr>
            <w:tcW w:w="756" w:type="dxa"/>
            <w:vAlign w:val="center"/>
          </w:tcPr>
          <w:p w14:paraId="15A2FEB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29118480" w14:textId="7968F798" w:rsidR="007E5BC2" w:rsidRPr="00FF50CD" w:rsidRDefault="003712DF"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5,88</w:t>
            </w:r>
          </w:p>
        </w:tc>
        <w:tc>
          <w:tcPr>
            <w:tcW w:w="2074" w:type="dxa"/>
            <w:vAlign w:val="center"/>
          </w:tcPr>
          <w:p w14:paraId="2014DED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ponadnormatywna zawartość niklu – 1 próbka</w:t>
            </w:r>
          </w:p>
        </w:tc>
      </w:tr>
      <w:tr w:rsidR="007E5BC2" w:rsidRPr="00FF50CD" w14:paraId="2066631A"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57FBB169"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Suplementy diety</w:t>
            </w:r>
          </w:p>
        </w:tc>
        <w:tc>
          <w:tcPr>
            <w:tcW w:w="2371" w:type="dxa"/>
            <w:vAlign w:val="center"/>
            <w:hideMark/>
          </w:tcPr>
          <w:p w14:paraId="6DD1DB57"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Żywność dla określonych diet/Suplementy diety i podobne preparaty</w:t>
            </w:r>
          </w:p>
        </w:tc>
        <w:tc>
          <w:tcPr>
            <w:tcW w:w="996" w:type="dxa"/>
            <w:vAlign w:val="center"/>
          </w:tcPr>
          <w:p w14:paraId="26D87C6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153</w:t>
            </w:r>
          </w:p>
        </w:tc>
        <w:tc>
          <w:tcPr>
            <w:tcW w:w="756" w:type="dxa"/>
            <w:vAlign w:val="center"/>
          </w:tcPr>
          <w:p w14:paraId="5A299FE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w:t>
            </w:r>
          </w:p>
        </w:tc>
        <w:tc>
          <w:tcPr>
            <w:tcW w:w="876" w:type="dxa"/>
            <w:vAlign w:val="center"/>
          </w:tcPr>
          <w:p w14:paraId="09E795D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0,65</w:t>
            </w:r>
          </w:p>
        </w:tc>
        <w:tc>
          <w:tcPr>
            <w:tcW w:w="2074" w:type="dxa"/>
            <w:vAlign w:val="center"/>
          </w:tcPr>
          <w:p w14:paraId="146C32C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ponadnormatywna zawartość witaminy A - 1 próbka</w:t>
            </w:r>
          </w:p>
        </w:tc>
      </w:tr>
      <w:tr w:rsidR="007E5BC2" w:rsidRPr="00FF50CD" w14:paraId="7950929D"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12F4A9ED" w14:textId="77777777" w:rsidR="007E5BC2" w:rsidRPr="00FF50CD" w:rsidRDefault="007E5BC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Substancje dodatkowe i rozpuszczalniki ekstrakcyjne</w:t>
            </w:r>
          </w:p>
          <w:p w14:paraId="4F279588" w14:textId="77777777" w:rsidR="007E5BC2" w:rsidRPr="00FF50CD" w:rsidRDefault="007E5BC2" w:rsidP="00597239">
            <w:pPr>
              <w:spacing w:line="276" w:lineRule="auto"/>
              <w:rPr>
                <w:rFonts w:eastAsia="Times New Roman" w:cstheme="minorHAnsi"/>
                <w:b w:val="0"/>
                <w:bCs w:val="0"/>
                <w:sz w:val="20"/>
                <w:szCs w:val="20"/>
                <w:lang w:eastAsia="pl-PL"/>
              </w:rPr>
            </w:pPr>
          </w:p>
          <w:p w14:paraId="3CA0513B"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6D59219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Główne wyodrębnione składniki, dodatki, smaki, wspomagacze procesu pieczenia i przetwarzania</w:t>
            </w:r>
          </w:p>
        </w:tc>
        <w:tc>
          <w:tcPr>
            <w:tcW w:w="996" w:type="dxa"/>
            <w:vAlign w:val="center"/>
          </w:tcPr>
          <w:p w14:paraId="0F69AF6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20</w:t>
            </w:r>
          </w:p>
        </w:tc>
        <w:tc>
          <w:tcPr>
            <w:tcW w:w="756" w:type="dxa"/>
            <w:vAlign w:val="center"/>
          </w:tcPr>
          <w:p w14:paraId="647B332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65670BA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3D3607D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74643DCA"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23158194"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Materiały i wyroby przeznaczone do kontaktu z żywnością</w:t>
            </w:r>
          </w:p>
        </w:tc>
        <w:tc>
          <w:tcPr>
            <w:tcW w:w="2371" w:type="dxa"/>
            <w:vAlign w:val="center"/>
            <w:hideMark/>
          </w:tcPr>
          <w:p w14:paraId="0B18DE0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Macierze nieżywnościowe/ Materiały przeznaczone do kontaktu z żywnością</w:t>
            </w:r>
          </w:p>
        </w:tc>
        <w:tc>
          <w:tcPr>
            <w:tcW w:w="996" w:type="dxa"/>
            <w:vAlign w:val="center"/>
          </w:tcPr>
          <w:p w14:paraId="5409EB5C"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60</w:t>
            </w:r>
          </w:p>
        </w:tc>
        <w:tc>
          <w:tcPr>
            <w:tcW w:w="756" w:type="dxa"/>
            <w:vAlign w:val="center"/>
          </w:tcPr>
          <w:p w14:paraId="1B97133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0DC838CA"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553745C5"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6F04D429"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hideMark/>
          </w:tcPr>
          <w:p w14:paraId="44A351E3" w14:textId="0A5A9CC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Sól spożywcza i jej zamienniki</w:t>
            </w:r>
          </w:p>
        </w:tc>
        <w:tc>
          <w:tcPr>
            <w:tcW w:w="2371" w:type="dxa"/>
            <w:vAlign w:val="center"/>
            <w:hideMark/>
          </w:tcPr>
          <w:p w14:paraId="488953B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Zaprawy, sosy i dodatki smakowe/ sól</w:t>
            </w:r>
          </w:p>
        </w:tc>
        <w:tc>
          <w:tcPr>
            <w:tcW w:w="996" w:type="dxa"/>
            <w:vAlign w:val="center"/>
          </w:tcPr>
          <w:p w14:paraId="575CB286"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9</w:t>
            </w:r>
          </w:p>
        </w:tc>
        <w:tc>
          <w:tcPr>
            <w:tcW w:w="756" w:type="dxa"/>
            <w:vAlign w:val="center"/>
          </w:tcPr>
          <w:p w14:paraId="1A3996D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2E5DBAD6"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5CD564B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5DC465B2"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tcPr>
          <w:p w14:paraId="274C1432" w14:textId="77777777" w:rsidR="007E5BC2" w:rsidRPr="00FF50CD" w:rsidRDefault="007E5BC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lastRenderedPageBreak/>
              <w:t>INNE</w:t>
            </w:r>
          </w:p>
        </w:tc>
        <w:tc>
          <w:tcPr>
            <w:tcW w:w="2371" w:type="dxa"/>
            <w:vAlign w:val="center"/>
          </w:tcPr>
          <w:p w14:paraId="2CAF8560"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Inne</w:t>
            </w:r>
          </w:p>
        </w:tc>
        <w:tc>
          <w:tcPr>
            <w:tcW w:w="996" w:type="dxa"/>
            <w:vAlign w:val="center"/>
          </w:tcPr>
          <w:p w14:paraId="649C8B17"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w:t>
            </w:r>
          </w:p>
        </w:tc>
        <w:tc>
          <w:tcPr>
            <w:tcW w:w="756" w:type="dxa"/>
            <w:vAlign w:val="center"/>
          </w:tcPr>
          <w:p w14:paraId="6490DBA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24487263"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0A590115"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17598216"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527E49B6"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51DEA21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Izolowane białka i inne produkty białkowe/ Żelatyna</w:t>
            </w:r>
          </w:p>
        </w:tc>
        <w:tc>
          <w:tcPr>
            <w:tcW w:w="996" w:type="dxa"/>
            <w:vAlign w:val="center"/>
          </w:tcPr>
          <w:p w14:paraId="64FDE197"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13</w:t>
            </w:r>
          </w:p>
        </w:tc>
        <w:tc>
          <w:tcPr>
            <w:tcW w:w="756" w:type="dxa"/>
            <w:vAlign w:val="center"/>
          </w:tcPr>
          <w:p w14:paraId="7AC43A63"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5500F4A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20B795D9"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4330ED07"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5FE045D4"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Align w:val="center"/>
            <w:hideMark/>
          </w:tcPr>
          <w:p w14:paraId="39E3CCE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Smażone lub ekstrudowane produkty zbożowe lub produkty z warzyw korzeniowych, w tym </w:t>
            </w:r>
            <w:proofErr w:type="spellStart"/>
            <w:r w:rsidRPr="00FF50CD">
              <w:rPr>
                <w:rFonts w:eastAsia="Times New Roman" w:cstheme="minorHAnsi"/>
                <w:sz w:val="20"/>
                <w:szCs w:val="20"/>
                <w:lang w:eastAsia="pl-PL"/>
              </w:rPr>
              <w:t>czipsy</w:t>
            </w:r>
            <w:proofErr w:type="spellEnd"/>
            <w:r w:rsidRPr="00FF50CD">
              <w:rPr>
                <w:rFonts w:eastAsia="Times New Roman" w:cstheme="minorHAnsi"/>
                <w:sz w:val="20"/>
                <w:szCs w:val="20"/>
                <w:lang w:eastAsia="pl-PL"/>
              </w:rPr>
              <w:t>, chrupki, frytki i analogiczne wyroby na bazie ciast</w:t>
            </w:r>
          </w:p>
        </w:tc>
        <w:tc>
          <w:tcPr>
            <w:tcW w:w="996" w:type="dxa"/>
            <w:vAlign w:val="center"/>
          </w:tcPr>
          <w:p w14:paraId="7339840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23</w:t>
            </w:r>
          </w:p>
        </w:tc>
        <w:tc>
          <w:tcPr>
            <w:tcW w:w="756" w:type="dxa"/>
            <w:vAlign w:val="center"/>
          </w:tcPr>
          <w:p w14:paraId="008BCC6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0E2D51A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7BA1488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6D41A35C" w14:textId="77777777" w:rsidTr="00C545E2">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hideMark/>
          </w:tcPr>
          <w:p w14:paraId="4701EB00"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Merge w:val="restart"/>
            <w:vAlign w:val="center"/>
            <w:hideMark/>
          </w:tcPr>
          <w:p w14:paraId="2FA14774" w14:textId="513D3105"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Substytuty mięsa i nabiału/Substytuty mięsa</w:t>
            </w:r>
          </w:p>
        </w:tc>
        <w:tc>
          <w:tcPr>
            <w:tcW w:w="996" w:type="dxa"/>
            <w:vMerge w:val="restart"/>
            <w:vAlign w:val="center"/>
          </w:tcPr>
          <w:p w14:paraId="593EE88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w:t>
            </w:r>
          </w:p>
        </w:tc>
        <w:tc>
          <w:tcPr>
            <w:tcW w:w="756" w:type="dxa"/>
            <w:vMerge w:val="restart"/>
            <w:vAlign w:val="center"/>
          </w:tcPr>
          <w:p w14:paraId="5D6C915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Merge w:val="restart"/>
            <w:vAlign w:val="center"/>
          </w:tcPr>
          <w:p w14:paraId="29116757"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Merge w:val="restart"/>
            <w:vAlign w:val="center"/>
          </w:tcPr>
          <w:p w14:paraId="1BB6442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3E55311E" w14:textId="77777777" w:rsidTr="00C545E2">
        <w:trPr>
          <w:trHeight w:val="281"/>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tcPr>
          <w:p w14:paraId="6938BE97"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Merge/>
            <w:vAlign w:val="center"/>
          </w:tcPr>
          <w:p w14:paraId="40F49D7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6" w:type="dxa"/>
            <w:vMerge/>
            <w:vAlign w:val="center"/>
          </w:tcPr>
          <w:p w14:paraId="0349CCAE"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756" w:type="dxa"/>
            <w:vMerge/>
            <w:vAlign w:val="center"/>
          </w:tcPr>
          <w:p w14:paraId="413DD8A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876" w:type="dxa"/>
            <w:vMerge/>
            <w:vAlign w:val="center"/>
          </w:tcPr>
          <w:p w14:paraId="7CAD1CF0"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74" w:type="dxa"/>
            <w:vMerge/>
            <w:vAlign w:val="center"/>
          </w:tcPr>
          <w:p w14:paraId="183C22B8"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7E5BC2" w:rsidRPr="00FF50CD" w14:paraId="5C761C1C" w14:textId="77777777" w:rsidTr="00C545E2">
        <w:trPr>
          <w:cnfStyle w:val="000000100000" w:firstRow="0" w:lastRow="0" w:firstColumn="0" w:lastColumn="0" w:oddVBand="0" w:evenVBand="0" w:oddHBand="1"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tcPr>
          <w:p w14:paraId="0A24E80D"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Merge w:val="restart"/>
            <w:vAlign w:val="center"/>
          </w:tcPr>
          <w:p w14:paraId="44E6F64A" w14:textId="338E6588"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Substytuty mięsa i nabiału/Substytuty nabiału/Alternatywy dla</w:t>
            </w:r>
          </w:p>
        </w:tc>
        <w:tc>
          <w:tcPr>
            <w:tcW w:w="996" w:type="dxa"/>
            <w:vMerge w:val="restart"/>
            <w:vAlign w:val="center"/>
          </w:tcPr>
          <w:p w14:paraId="6B835E3B"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5</w:t>
            </w:r>
          </w:p>
        </w:tc>
        <w:tc>
          <w:tcPr>
            <w:tcW w:w="756" w:type="dxa"/>
            <w:vMerge w:val="restart"/>
            <w:vAlign w:val="center"/>
          </w:tcPr>
          <w:p w14:paraId="29C2E61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Merge w:val="restart"/>
            <w:vAlign w:val="center"/>
          </w:tcPr>
          <w:p w14:paraId="3502909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Merge w:val="restart"/>
            <w:vAlign w:val="center"/>
          </w:tcPr>
          <w:p w14:paraId="3E71070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16843A9C" w14:textId="77777777" w:rsidTr="00C545E2">
        <w:trPr>
          <w:trHeight w:val="281"/>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tcPr>
          <w:p w14:paraId="6903DDD1"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Merge/>
            <w:vAlign w:val="center"/>
          </w:tcPr>
          <w:p w14:paraId="54619941"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6" w:type="dxa"/>
            <w:vMerge/>
            <w:vAlign w:val="center"/>
          </w:tcPr>
          <w:p w14:paraId="3F4135E5"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756" w:type="dxa"/>
            <w:vMerge/>
            <w:vAlign w:val="center"/>
          </w:tcPr>
          <w:p w14:paraId="43BD5F8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876" w:type="dxa"/>
            <w:vMerge/>
            <w:vAlign w:val="center"/>
          </w:tcPr>
          <w:p w14:paraId="5306362D"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74" w:type="dxa"/>
            <w:vMerge/>
            <w:vAlign w:val="center"/>
          </w:tcPr>
          <w:p w14:paraId="3059336A"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7E5BC2" w:rsidRPr="00FF50CD" w14:paraId="49AF76BA" w14:textId="77777777" w:rsidTr="00C545E2">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753" w:type="dxa"/>
            <w:gridSpan w:val="2"/>
            <w:vMerge w:val="restart"/>
            <w:vAlign w:val="center"/>
          </w:tcPr>
          <w:p w14:paraId="7128FACE"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Merge w:val="restart"/>
            <w:vAlign w:val="center"/>
          </w:tcPr>
          <w:p w14:paraId="4C2A92C4" w14:textId="78D9EEA4"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przetworów mlecznych, np. Napój kokosowy</w:t>
            </w:r>
          </w:p>
        </w:tc>
        <w:tc>
          <w:tcPr>
            <w:tcW w:w="996" w:type="dxa"/>
            <w:vMerge w:val="restart"/>
            <w:vAlign w:val="center"/>
          </w:tcPr>
          <w:p w14:paraId="184D52A1"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756" w:type="dxa"/>
            <w:vMerge w:val="restart"/>
            <w:vAlign w:val="center"/>
          </w:tcPr>
          <w:p w14:paraId="6967B3C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876" w:type="dxa"/>
            <w:vMerge w:val="restart"/>
            <w:vAlign w:val="center"/>
          </w:tcPr>
          <w:p w14:paraId="4A6858C5"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74" w:type="dxa"/>
            <w:vMerge w:val="restart"/>
            <w:vAlign w:val="center"/>
          </w:tcPr>
          <w:p w14:paraId="20224CF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r>
      <w:tr w:rsidR="007E5BC2" w:rsidRPr="00FF50CD" w14:paraId="1F256B6B" w14:textId="77777777" w:rsidTr="00C545E2">
        <w:trPr>
          <w:trHeight w:val="565"/>
        </w:trPr>
        <w:tc>
          <w:tcPr>
            <w:cnfStyle w:val="001000000000" w:firstRow="0" w:lastRow="0" w:firstColumn="1" w:lastColumn="0" w:oddVBand="0" w:evenVBand="0" w:oddHBand="0" w:evenHBand="0" w:firstRowFirstColumn="0" w:firstRowLastColumn="0" w:lastRowFirstColumn="0" w:lastRowLastColumn="0"/>
            <w:tcW w:w="1753" w:type="dxa"/>
            <w:gridSpan w:val="2"/>
            <w:vMerge/>
            <w:vAlign w:val="center"/>
          </w:tcPr>
          <w:p w14:paraId="3F3474F6" w14:textId="77777777" w:rsidR="007E5BC2" w:rsidRPr="00FF50CD" w:rsidRDefault="007E5BC2" w:rsidP="00597239">
            <w:pPr>
              <w:spacing w:line="276" w:lineRule="auto"/>
              <w:rPr>
                <w:rFonts w:eastAsia="Times New Roman" w:cstheme="minorHAnsi"/>
                <w:b w:val="0"/>
                <w:bCs w:val="0"/>
                <w:sz w:val="20"/>
                <w:szCs w:val="20"/>
                <w:u w:val="single"/>
                <w:lang w:eastAsia="pl-PL"/>
              </w:rPr>
            </w:pPr>
          </w:p>
        </w:tc>
        <w:tc>
          <w:tcPr>
            <w:tcW w:w="2371" w:type="dxa"/>
            <w:vMerge/>
            <w:vAlign w:val="center"/>
          </w:tcPr>
          <w:p w14:paraId="5A77D104" w14:textId="72AD71C2"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6" w:type="dxa"/>
            <w:vMerge/>
            <w:vAlign w:val="center"/>
          </w:tcPr>
          <w:p w14:paraId="419A638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756" w:type="dxa"/>
            <w:vMerge/>
            <w:vAlign w:val="center"/>
          </w:tcPr>
          <w:p w14:paraId="5AE8895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876" w:type="dxa"/>
            <w:vMerge/>
            <w:vAlign w:val="center"/>
          </w:tcPr>
          <w:p w14:paraId="25EA5010"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74" w:type="dxa"/>
            <w:vMerge/>
            <w:vAlign w:val="center"/>
          </w:tcPr>
          <w:p w14:paraId="290E2DC9"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7E5BC2" w:rsidRPr="00FF50CD" w14:paraId="43B198CF"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tcPr>
          <w:p w14:paraId="3A213FA7"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u w:val="single"/>
                <w:lang w:eastAsia="pl-PL"/>
              </w:rPr>
              <w:t>Zatrucia pokarmowe</w:t>
            </w:r>
          </w:p>
        </w:tc>
        <w:tc>
          <w:tcPr>
            <w:tcW w:w="2371" w:type="dxa"/>
            <w:vAlign w:val="center"/>
          </w:tcPr>
          <w:p w14:paraId="2893CF9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996" w:type="dxa"/>
            <w:vAlign w:val="center"/>
          </w:tcPr>
          <w:p w14:paraId="498EEF14"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756" w:type="dxa"/>
            <w:vAlign w:val="center"/>
          </w:tcPr>
          <w:p w14:paraId="0B76A058"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w:t>
            </w:r>
          </w:p>
        </w:tc>
        <w:tc>
          <w:tcPr>
            <w:tcW w:w="876" w:type="dxa"/>
            <w:vAlign w:val="center"/>
          </w:tcPr>
          <w:p w14:paraId="60F20DC8"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100</w:t>
            </w:r>
          </w:p>
        </w:tc>
        <w:tc>
          <w:tcPr>
            <w:tcW w:w="2074" w:type="dxa"/>
            <w:vAlign w:val="center"/>
          </w:tcPr>
          <w:p w14:paraId="4107AC3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 xml:space="preserve">obecność Salmonella </w:t>
            </w:r>
            <w:proofErr w:type="spellStart"/>
            <w:r w:rsidRPr="00FF50CD">
              <w:rPr>
                <w:rFonts w:eastAsia="Times New Roman" w:cstheme="minorHAnsi"/>
                <w:sz w:val="20"/>
                <w:szCs w:val="20"/>
                <w:lang w:eastAsia="pl-PL"/>
              </w:rPr>
              <w:t>spp</w:t>
            </w:r>
            <w:proofErr w:type="spellEnd"/>
            <w:r w:rsidRPr="00FF50CD">
              <w:rPr>
                <w:rFonts w:eastAsia="Times New Roman" w:cstheme="minorHAnsi"/>
                <w:sz w:val="20"/>
                <w:szCs w:val="20"/>
                <w:lang w:eastAsia="pl-PL"/>
              </w:rPr>
              <w:t>. – 2 próbki</w:t>
            </w:r>
          </w:p>
        </w:tc>
      </w:tr>
      <w:tr w:rsidR="007E5BC2" w:rsidRPr="00FF50CD" w14:paraId="277A6881"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tcPr>
          <w:p w14:paraId="0F4015B1"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Razem środki spożywcze, materiały i wyroby przeznaczone do kontaktu z żywnością</w:t>
            </w:r>
          </w:p>
        </w:tc>
        <w:tc>
          <w:tcPr>
            <w:tcW w:w="2371" w:type="dxa"/>
            <w:vAlign w:val="center"/>
          </w:tcPr>
          <w:p w14:paraId="288CEEA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6" w:type="dxa"/>
            <w:vAlign w:val="center"/>
          </w:tcPr>
          <w:p w14:paraId="41AB93B2" w14:textId="53473666"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43</w:t>
            </w:r>
            <w:r w:rsidR="00537B64" w:rsidRPr="00FF50CD">
              <w:rPr>
                <w:rFonts w:eastAsia="Times New Roman" w:cstheme="minorHAnsi"/>
                <w:sz w:val="20"/>
                <w:szCs w:val="20"/>
                <w:lang w:eastAsia="pl-PL"/>
              </w:rPr>
              <w:t>77</w:t>
            </w:r>
          </w:p>
        </w:tc>
        <w:tc>
          <w:tcPr>
            <w:tcW w:w="756" w:type="dxa"/>
            <w:vAlign w:val="center"/>
          </w:tcPr>
          <w:p w14:paraId="6E4DDB25"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326</w:t>
            </w:r>
          </w:p>
        </w:tc>
        <w:tc>
          <w:tcPr>
            <w:tcW w:w="876" w:type="dxa"/>
            <w:vAlign w:val="center"/>
          </w:tcPr>
          <w:p w14:paraId="3BDCFF38" w14:textId="2AFEF4A5"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w:t>
            </w:r>
            <w:r w:rsidR="00537B64" w:rsidRPr="00FF50CD">
              <w:rPr>
                <w:rFonts w:eastAsia="Times New Roman" w:cstheme="minorHAnsi"/>
                <w:sz w:val="20"/>
                <w:szCs w:val="20"/>
                <w:lang w:eastAsia="pl-PL"/>
              </w:rPr>
              <w:t>45</w:t>
            </w:r>
          </w:p>
        </w:tc>
        <w:tc>
          <w:tcPr>
            <w:tcW w:w="2074" w:type="dxa"/>
            <w:vAlign w:val="center"/>
          </w:tcPr>
          <w:p w14:paraId="2837ED0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7E5BC2" w:rsidRPr="00FF50CD" w14:paraId="64E73315"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tcPr>
          <w:p w14:paraId="1E07D98F"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Badania sanitarne</w:t>
            </w:r>
          </w:p>
        </w:tc>
        <w:tc>
          <w:tcPr>
            <w:tcW w:w="2371" w:type="dxa"/>
            <w:vAlign w:val="center"/>
          </w:tcPr>
          <w:p w14:paraId="2E31FB5F"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996" w:type="dxa"/>
            <w:vAlign w:val="center"/>
          </w:tcPr>
          <w:p w14:paraId="4E853CB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390</w:t>
            </w:r>
          </w:p>
        </w:tc>
        <w:tc>
          <w:tcPr>
            <w:tcW w:w="756" w:type="dxa"/>
            <w:vAlign w:val="center"/>
          </w:tcPr>
          <w:p w14:paraId="6877CE3D"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10</w:t>
            </w:r>
          </w:p>
        </w:tc>
        <w:tc>
          <w:tcPr>
            <w:tcW w:w="876" w:type="dxa"/>
            <w:vAlign w:val="center"/>
          </w:tcPr>
          <w:p w14:paraId="572FE11C"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2,56</w:t>
            </w:r>
          </w:p>
        </w:tc>
        <w:tc>
          <w:tcPr>
            <w:tcW w:w="2074" w:type="dxa"/>
            <w:vAlign w:val="center"/>
          </w:tcPr>
          <w:p w14:paraId="62DBDF0A"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obecność zanieczyszczeń biologicznych - 10 próbek zmiotek</w:t>
            </w:r>
          </w:p>
        </w:tc>
      </w:tr>
      <w:tr w:rsidR="007E5BC2" w:rsidRPr="00FF50CD" w14:paraId="0C59ADBF" w14:textId="77777777" w:rsidTr="00C545E2">
        <w:trPr>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tcPr>
          <w:p w14:paraId="149F9C46" w14:textId="77777777" w:rsidR="007E5BC2" w:rsidRPr="00FF50CD" w:rsidRDefault="007E5BC2" w:rsidP="00597239">
            <w:pPr>
              <w:spacing w:line="276" w:lineRule="auto"/>
              <w:rPr>
                <w:rFonts w:eastAsia="Times New Roman" w:cstheme="minorHAnsi"/>
                <w:b w:val="0"/>
                <w:bCs w:val="0"/>
                <w:sz w:val="20"/>
                <w:szCs w:val="20"/>
                <w:u w:val="single"/>
                <w:lang w:eastAsia="pl-PL"/>
              </w:rPr>
            </w:pPr>
            <w:r w:rsidRPr="00FF50CD">
              <w:rPr>
                <w:rFonts w:eastAsia="Times New Roman" w:cstheme="minorHAnsi"/>
                <w:b w:val="0"/>
                <w:bCs w:val="0"/>
                <w:sz w:val="20"/>
                <w:szCs w:val="20"/>
                <w:lang w:eastAsia="pl-PL"/>
              </w:rPr>
              <w:t>Próbki kontrolne posiłków</w:t>
            </w:r>
          </w:p>
        </w:tc>
        <w:tc>
          <w:tcPr>
            <w:tcW w:w="2371" w:type="dxa"/>
            <w:vAlign w:val="center"/>
          </w:tcPr>
          <w:p w14:paraId="4A3AF5A2"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6" w:type="dxa"/>
            <w:vAlign w:val="center"/>
          </w:tcPr>
          <w:p w14:paraId="52EE1746"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74</w:t>
            </w:r>
          </w:p>
        </w:tc>
        <w:tc>
          <w:tcPr>
            <w:tcW w:w="756" w:type="dxa"/>
            <w:vAlign w:val="center"/>
          </w:tcPr>
          <w:p w14:paraId="12FFC6F4"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876" w:type="dxa"/>
            <w:vAlign w:val="center"/>
          </w:tcPr>
          <w:p w14:paraId="79802F0B"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c>
          <w:tcPr>
            <w:tcW w:w="2074" w:type="dxa"/>
            <w:vAlign w:val="center"/>
          </w:tcPr>
          <w:p w14:paraId="45999FDF" w14:textId="77777777" w:rsidR="007E5BC2" w:rsidRPr="00FF50CD" w:rsidRDefault="007E5BC2" w:rsidP="0059723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w:t>
            </w:r>
          </w:p>
        </w:tc>
      </w:tr>
      <w:tr w:rsidR="007E5BC2" w:rsidRPr="00FF50CD" w14:paraId="420FD523" w14:textId="77777777" w:rsidTr="00C545E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53" w:type="dxa"/>
            <w:gridSpan w:val="2"/>
            <w:vAlign w:val="center"/>
          </w:tcPr>
          <w:p w14:paraId="73F45E35" w14:textId="5BA4FA6B" w:rsidR="007E5BC2" w:rsidRPr="00FF50CD" w:rsidRDefault="007E5BC2" w:rsidP="00597239">
            <w:pPr>
              <w:spacing w:line="276" w:lineRule="auto"/>
              <w:rPr>
                <w:rFonts w:eastAsia="Times New Roman" w:cstheme="minorHAnsi"/>
                <w:b w:val="0"/>
                <w:bCs w:val="0"/>
                <w:sz w:val="20"/>
                <w:szCs w:val="20"/>
                <w:lang w:eastAsia="pl-PL"/>
              </w:rPr>
            </w:pPr>
            <w:r w:rsidRPr="00FF50CD">
              <w:rPr>
                <w:rFonts w:eastAsia="Times New Roman" w:cstheme="minorHAnsi"/>
                <w:b w:val="0"/>
                <w:bCs w:val="0"/>
                <w:sz w:val="20"/>
                <w:szCs w:val="20"/>
                <w:lang w:eastAsia="pl-PL"/>
              </w:rPr>
              <w:t>Ogółem</w:t>
            </w:r>
          </w:p>
        </w:tc>
        <w:tc>
          <w:tcPr>
            <w:tcW w:w="2371" w:type="dxa"/>
            <w:vAlign w:val="center"/>
          </w:tcPr>
          <w:p w14:paraId="00CF1CE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996" w:type="dxa"/>
            <w:vAlign w:val="center"/>
          </w:tcPr>
          <w:p w14:paraId="24958BBD" w14:textId="6DC60221"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48</w:t>
            </w:r>
            <w:r w:rsidR="00537B64" w:rsidRPr="00FF50CD">
              <w:rPr>
                <w:rFonts w:eastAsia="Times New Roman" w:cstheme="minorHAnsi"/>
                <w:sz w:val="20"/>
                <w:szCs w:val="20"/>
                <w:lang w:eastAsia="pl-PL"/>
              </w:rPr>
              <w:t>41</w:t>
            </w:r>
          </w:p>
        </w:tc>
        <w:tc>
          <w:tcPr>
            <w:tcW w:w="756" w:type="dxa"/>
            <w:vAlign w:val="center"/>
          </w:tcPr>
          <w:p w14:paraId="181E8AC2"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336</w:t>
            </w:r>
          </w:p>
        </w:tc>
        <w:tc>
          <w:tcPr>
            <w:tcW w:w="876" w:type="dxa"/>
            <w:vAlign w:val="center"/>
          </w:tcPr>
          <w:p w14:paraId="66BE0330" w14:textId="743DD62C"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FF50CD">
              <w:rPr>
                <w:rFonts w:eastAsia="Times New Roman" w:cstheme="minorHAnsi"/>
                <w:sz w:val="20"/>
                <w:szCs w:val="20"/>
                <w:lang w:eastAsia="pl-PL"/>
              </w:rPr>
              <w:t>6,9</w:t>
            </w:r>
            <w:r w:rsidR="00537B64" w:rsidRPr="00FF50CD">
              <w:rPr>
                <w:rFonts w:eastAsia="Times New Roman" w:cstheme="minorHAnsi"/>
                <w:sz w:val="20"/>
                <w:szCs w:val="20"/>
                <w:lang w:eastAsia="pl-PL"/>
              </w:rPr>
              <w:t>4</w:t>
            </w:r>
          </w:p>
        </w:tc>
        <w:tc>
          <w:tcPr>
            <w:tcW w:w="2074" w:type="dxa"/>
            <w:vAlign w:val="center"/>
          </w:tcPr>
          <w:p w14:paraId="228D2E4E" w14:textId="77777777" w:rsidR="007E5BC2" w:rsidRPr="00FF50CD" w:rsidRDefault="007E5BC2" w:rsidP="0059723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r>
    </w:tbl>
    <w:p w14:paraId="74707295" w14:textId="77777777" w:rsidR="002915F4" w:rsidRDefault="002915F4" w:rsidP="00597239">
      <w:pPr>
        <w:pStyle w:val="Styl6"/>
        <w:keepNext w:val="0"/>
        <w:numPr>
          <w:ilvl w:val="0"/>
          <w:numId w:val="0"/>
        </w:numPr>
        <w:spacing w:line="276" w:lineRule="auto"/>
        <w:ind w:left="284"/>
        <w:jc w:val="left"/>
        <w:rPr>
          <w:rFonts w:ascii="Calibri" w:hAnsi="Calibri" w:cs="Calibri"/>
          <w:b w:val="0"/>
          <w:bCs w:val="0"/>
          <w:color w:val="0D0D0D" w:themeColor="text1" w:themeTint="F2"/>
        </w:rPr>
      </w:pPr>
    </w:p>
    <w:p w14:paraId="56F7E4F7" w14:textId="77777777" w:rsidR="007E5BC2" w:rsidRDefault="007E5BC2" w:rsidP="00597239">
      <w:pPr>
        <w:pStyle w:val="Legenda"/>
        <w:rPr>
          <w:i w:val="0"/>
          <w:iCs w:val="0"/>
          <w:color w:val="auto"/>
        </w:rPr>
      </w:pPr>
      <w:bookmarkStart w:id="261" w:name="_Toc193806005"/>
    </w:p>
    <w:p w14:paraId="18E8BA4A" w14:textId="2CE16ABC" w:rsidR="002915F4" w:rsidRPr="002915F4" w:rsidRDefault="002915F4" w:rsidP="00597239">
      <w:pPr>
        <w:pStyle w:val="Legenda"/>
        <w:spacing w:after="0" w:line="276" w:lineRule="auto"/>
        <w:rPr>
          <w:rFonts w:ascii="Calibri" w:hAnsi="Calibri" w:cs="Calibri"/>
          <w:b/>
          <w:bCs/>
          <w:i w:val="0"/>
          <w:iCs w:val="0"/>
          <w:color w:val="auto"/>
          <w:sz w:val="24"/>
          <w:szCs w:val="24"/>
        </w:rPr>
      </w:pPr>
      <w:bookmarkStart w:id="262" w:name="_Toc193969553"/>
      <w:bookmarkStart w:id="263" w:name="_Toc194060013"/>
      <w:r w:rsidRPr="002915F4">
        <w:rPr>
          <w:i w:val="0"/>
          <w:iCs w:val="0"/>
          <w:color w:val="auto"/>
        </w:rPr>
        <w:t xml:space="preserve">Tabela </w:t>
      </w:r>
      <w:r w:rsidRPr="002915F4">
        <w:rPr>
          <w:i w:val="0"/>
          <w:iCs w:val="0"/>
          <w:color w:val="auto"/>
        </w:rPr>
        <w:fldChar w:fldCharType="begin"/>
      </w:r>
      <w:r w:rsidRPr="002915F4">
        <w:rPr>
          <w:i w:val="0"/>
          <w:iCs w:val="0"/>
          <w:color w:val="auto"/>
        </w:rPr>
        <w:instrText xml:space="preserve"> SEQ Tabela \* ARABIC </w:instrText>
      </w:r>
      <w:r w:rsidRPr="002915F4">
        <w:rPr>
          <w:i w:val="0"/>
          <w:iCs w:val="0"/>
          <w:color w:val="auto"/>
        </w:rPr>
        <w:fldChar w:fldCharType="separate"/>
      </w:r>
      <w:r w:rsidR="00FB6F6A">
        <w:rPr>
          <w:i w:val="0"/>
          <w:iCs w:val="0"/>
          <w:noProof/>
          <w:color w:val="auto"/>
        </w:rPr>
        <w:t>35</w:t>
      </w:r>
      <w:r w:rsidRPr="002915F4">
        <w:rPr>
          <w:i w:val="0"/>
          <w:iCs w:val="0"/>
          <w:color w:val="auto"/>
        </w:rPr>
        <w:fldChar w:fldCharType="end"/>
      </w:r>
      <w:r w:rsidR="00E75D31">
        <w:rPr>
          <w:i w:val="0"/>
          <w:iCs w:val="0"/>
          <w:color w:val="auto"/>
        </w:rPr>
        <w:t>.</w:t>
      </w:r>
      <w:r w:rsidRPr="002915F4">
        <w:rPr>
          <w:i w:val="0"/>
          <w:iCs w:val="0"/>
          <w:color w:val="auto"/>
        </w:rPr>
        <w:t xml:space="preserve"> Liczba próbek z województwa zachodniopomorskiego przebadanych w poszczególnych kierunkach</w:t>
      </w:r>
      <w:bookmarkEnd w:id="261"/>
      <w:bookmarkEnd w:id="262"/>
      <w:bookmarkEnd w:id="263"/>
    </w:p>
    <w:tbl>
      <w:tblPr>
        <w:tblStyle w:val="Tabelasiatki4akcent1"/>
        <w:tblW w:w="5000" w:type="pct"/>
        <w:tblLayout w:type="fixed"/>
        <w:tblLook w:val="04A0" w:firstRow="1" w:lastRow="0" w:firstColumn="1" w:lastColumn="0" w:noHBand="0" w:noVBand="1"/>
        <w:tblCaption w:val="Liczba próbek z województwa zachodniopomorskiego przebadanych w poszczególnych kierunkach"/>
        <w:tblDescription w:val="Tabela 35 przedstawia liczbę próbek pobranych z województwa zachodniopomorskiego przebadanych w poszczególnych kierunkach. Kierunki badania są to m.in. wyróżniki mikrobiologiczne, metale szkodliwe dla zdrowia, pozostałości pestycydów, mikotoksyny, zawartość substancji dodatkowych. Ogółem w roku 2024 zbadano 4841 próbek środków spożywczych, zdyskwalifikowanych zostało 336 próbek co stanowi 6,94% całości planu poboru próbek w ramach urzędowej kontroli i monitoringu PIS na rok 2024. Pierwsze miejsce wśród kwestionowania próbek zajmują próbki pobrane w kierunku zanieczyszczeń mikrobiologicznych - liczba 303. "/>
      </w:tblPr>
      <w:tblGrid>
        <w:gridCol w:w="3499"/>
        <w:gridCol w:w="1684"/>
        <w:gridCol w:w="1939"/>
        <w:gridCol w:w="1940"/>
      </w:tblGrid>
      <w:tr w:rsidR="002915F4" w:rsidRPr="00FF50CD" w14:paraId="0C6F501F" w14:textId="77777777" w:rsidTr="007E5B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333F5B9C"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Kierunek badania</w:t>
            </w:r>
          </w:p>
        </w:tc>
        <w:tc>
          <w:tcPr>
            <w:tcW w:w="1843" w:type="dxa"/>
            <w:vAlign w:val="center"/>
          </w:tcPr>
          <w:p w14:paraId="20AA4864"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F50CD">
              <w:rPr>
                <w:rFonts w:ascii="Calibri" w:hAnsi="Calibri" w:cs="Calibri"/>
                <w:b w:val="0"/>
                <w:bCs w:val="0"/>
              </w:rPr>
              <w:t>Liczba próbek zbadanych</w:t>
            </w:r>
          </w:p>
        </w:tc>
        <w:tc>
          <w:tcPr>
            <w:tcW w:w="2126" w:type="dxa"/>
            <w:vAlign w:val="center"/>
          </w:tcPr>
          <w:p w14:paraId="3FA7DA34"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F50CD">
              <w:rPr>
                <w:rFonts w:ascii="Calibri" w:hAnsi="Calibri" w:cs="Calibri"/>
                <w:b w:val="0"/>
                <w:bCs w:val="0"/>
              </w:rPr>
              <w:t>Liczba próbek zakwestionowanych</w:t>
            </w:r>
          </w:p>
        </w:tc>
        <w:tc>
          <w:tcPr>
            <w:tcW w:w="2126" w:type="dxa"/>
            <w:vAlign w:val="center"/>
          </w:tcPr>
          <w:p w14:paraId="256AC75F" w14:textId="77777777" w:rsidR="002915F4" w:rsidRPr="00FF50CD" w:rsidRDefault="002915F4" w:rsidP="0059723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FF50CD">
              <w:rPr>
                <w:rFonts w:ascii="Calibri" w:hAnsi="Calibri" w:cs="Calibri"/>
                <w:b w:val="0"/>
                <w:bCs w:val="0"/>
              </w:rPr>
              <w:t>% próbek zakwestionowanych</w:t>
            </w:r>
          </w:p>
        </w:tc>
      </w:tr>
      <w:tr w:rsidR="002915F4" w:rsidRPr="00FF50CD" w14:paraId="254310D8"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2561691D"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wyróżniki mikrobiologiczne</w:t>
            </w:r>
          </w:p>
        </w:tc>
        <w:tc>
          <w:tcPr>
            <w:tcW w:w="1843" w:type="dxa"/>
            <w:vAlign w:val="center"/>
          </w:tcPr>
          <w:p w14:paraId="250A4BB0"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2844</w:t>
            </w:r>
          </w:p>
        </w:tc>
        <w:tc>
          <w:tcPr>
            <w:tcW w:w="2126" w:type="dxa"/>
            <w:vAlign w:val="center"/>
          </w:tcPr>
          <w:p w14:paraId="170663B9"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303</w:t>
            </w:r>
          </w:p>
        </w:tc>
        <w:tc>
          <w:tcPr>
            <w:tcW w:w="2127" w:type="dxa"/>
            <w:vAlign w:val="center"/>
          </w:tcPr>
          <w:p w14:paraId="6B2C804E"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10,65</w:t>
            </w:r>
          </w:p>
        </w:tc>
      </w:tr>
      <w:tr w:rsidR="002915F4" w:rsidRPr="00FF50CD" w14:paraId="1B08AF57"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18EA0683"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metale szkodliwe dla zdrowia</w:t>
            </w:r>
          </w:p>
        </w:tc>
        <w:tc>
          <w:tcPr>
            <w:tcW w:w="1843" w:type="dxa"/>
            <w:vAlign w:val="center"/>
          </w:tcPr>
          <w:p w14:paraId="65089379"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275</w:t>
            </w:r>
          </w:p>
        </w:tc>
        <w:tc>
          <w:tcPr>
            <w:tcW w:w="2126" w:type="dxa"/>
            <w:vAlign w:val="center"/>
          </w:tcPr>
          <w:p w14:paraId="150E788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w:t>
            </w:r>
          </w:p>
        </w:tc>
        <w:tc>
          <w:tcPr>
            <w:tcW w:w="2127" w:type="dxa"/>
            <w:vAlign w:val="center"/>
          </w:tcPr>
          <w:p w14:paraId="67329846"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0,36</w:t>
            </w:r>
          </w:p>
        </w:tc>
      </w:tr>
      <w:tr w:rsidR="002915F4" w:rsidRPr="00FF50CD" w14:paraId="1E5D1FD8"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373B6463"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pozostałości pestycydów</w:t>
            </w:r>
          </w:p>
        </w:tc>
        <w:tc>
          <w:tcPr>
            <w:tcW w:w="1843" w:type="dxa"/>
            <w:vAlign w:val="center"/>
          </w:tcPr>
          <w:p w14:paraId="7C870440"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321</w:t>
            </w:r>
          </w:p>
        </w:tc>
        <w:tc>
          <w:tcPr>
            <w:tcW w:w="2126" w:type="dxa"/>
            <w:vAlign w:val="center"/>
          </w:tcPr>
          <w:p w14:paraId="62BB06BB"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7</w:t>
            </w:r>
          </w:p>
        </w:tc>
        <w:tc>
          <w:tcPr>
            <w:tcW w:w="2127" w:type="dxa"/>
            <w:vAlign w:val="center"/>
          </w:tcPr>
          <w:p w14:paraId="3BFE1AF6"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2,18</w:t>
            </w:r>
          </w:p>
        </w:tc>
      </w:tr>
      <w:tr w:rsidR="002915F4" w:rsidRPr="00FF50CD" w14:paraId="00F55BC5"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759B5817" w14:textId="77777777" w:rsidR="002915F4" w:rsidRPr="00FF50CD" w:rsidRDefault="002915F4" w:rsidP="00597239">
            <w:pPr>
              <w:spacing w:line="276" w:lineRule="auto"/>
              <w:rPr>
                <w:rFonts w:ascii="Calibri" w:hAnsi="Calibri" w:cs="Calibri"/>
                <w:b w:val="0"/>
                <w:bCs w:val="0"/>
              </w:rPr>
            </w:pPr>
            <w:proofErr w:type="spellStart"/>
            <w:r w:rsidRPr="00FF50CD">
              <w:rPr>
                <w:rFonts w:ascii="Calibri" w:hAnsi="Calibri" w:cs="Calibri"/>
                <w:b w:val="0"/>
                <w:bCs w:val="0"/>
              </w:rPr>
              <w:t>mykotoksyny</w:t>
            </w:r>
            <w:proofErr w:type="spellEnd"/>
          </w:p>
        </w:tc>
        <w:tc>
          <w:tcPr>
            <w:tcW w:w="1843" w:type="dxa"/>
            <w:vAlign w:val="center"/>
          </w:tcPr>
          <w:p w14:paraId="638F542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128</w:t>
            </w:r>
          </w:p>
        </w:tc>
        <w:tc>
          <w:tcPr>
            <w:tcW w:w="2126" w:type="dxa"/>
            <w:vAlign w:val="center"/>
          </w:tcPr>
          <w:p w14:paraId="0C9C484B"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2</w:t>
            </w:r>
          </w:p>
        </w:tc>
        <w:tc>
          <w:tcPr>
            <w:tcW w:w="2127" w:type="dxa"/>
            <w:vAlign w:val="center"/>
          </w:tcPr>
          <w:p w14:paraId="628E1CD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1,56</w:t>
            </w:r>
          </w:p>
        </w:tc>
      </w:tr>
      <w:tr w:rsidR="002915F4" w:rsidRPr="00FF50CD" w14:paraId="5D71543A"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5FCE4B1D"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lastRenderedPageBreak/>
              <w:t>zanieczyszczenie azotanami</w:t>
            </w:r>
          </w:p>
        </w:tc>
        <w:tc>
          <w:tcPr>
            <w:tcW w:w="1843" w:type="dxa"/>
            <w:vAlign w:val="center"/>
          </w:tcPr>
          <w:p w14:paraId="08247A5F"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24</w:t>
            </w:r>
          </w:p>
        </w:tc>
        <w:tc>
          <w:tcPr>
            <w:tcW w:w="2126" w:type="dxa"/>
            <w:vAlign w:val="center"/>
          </w:tcPr>
          <w:p w14:paraId="7A773D7D"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4B7EE057"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2FB5A8AA"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5FB9211E"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zawartość substancji dodatkowych (w tym Sudan I-IV)</w:t>
            </w:r>
          </w:p>
        </w:tc>
        <w:tc>
          <w:tcPr>
            <w:tcW w:w="1843" w:type="dxa"/>
            <w:vAlign w:val="center"/>
          </w:tcPr>
          <w:p w14:paraId="5C3852E4"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159</w:t>
            </w:r>
          </w:p>
        </w:tc>
        <w:tc>
          <w:tcPr>
            <w:tcW w:w="2126" w:type="dxa"/>
            <w:vAlign w:val="center"/>
          </w:tcPr>
          <w:p w14:paraId="77D0CA3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1FEBAF6D" w14:textId="77777777" w:rsidR="002915F4" w:rsidRPr="00FF50CD" w:rsidRDefault="002915F4" w:rsidP="00597239">
            <w:pPr>
              <w:spacing w:line="276" w:lineRule="auto"/>
              <w:ind w:hanging="108"/>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52214EE0"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671440D8"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kryteria czystości substancji dodatkowych</w:t>
            </w:r>
          </w:p>
        </w:tc>
        <w:tc>
          <w:tcPr>
            <w:tcW w:w="1843" w:type="dxa"/>
            <w:vAlign w:val="center"/>
          </w:tcPr>
          <w:p w14:paraId="0F089C6D"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20</w:t>
            </w:r>
          </w:p>
        </w:tc>
        <w:tc>
          <w:tcPr>
            <w:tcW w:w="2126" w:type="dxa"/>
            <w:vAlign w:val="center"/>
          </w:tcPr>
          <w:p w14:paraId="5865C209"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52D1B533"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4B40C0A9"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62DBD00C"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skażenia promieniotwórcze</w:t>
            </w:r>
          </w:p>
        </w:tc>
        <w:tc>
          <w:tcPr>
            <w:tcW w:w="1843" w:type="dxa"/>
            <w:vAlign w:val="center"/>
          </w:tcPr>
          <w:p w14:paraId="25C9530C"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16</w:t>
            </w:r>
          </w:p>
        </w:tc>
        <w:tc>
          <w:tcPr>
            <w:tcW w:w="2126" w:type="dxa"/>
            <w:vAlign w:val="center"/>
          </w:tcPr>
          <w:p w14:paraId="3783C269"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54C601D2"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1FC17AAA"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0E2BF867"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materiały i wyroby przeznaczone do kontaktu z żywnością</w:t>
            </w:r>
          </w:p>
        </w:tc>
        <w:tc>
          <w:tcPr>
            <w:tcW w:w="1843" w:type="dxa"/>
            <w:vAlign w:val="center"/>
          </w:tcPr>
          <w:p w14:paraId="47E53533"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60</w:t>
            </w:r>
          </w:p>
        </w:tc>
        <w:tc>
          <w:tcPr>
            <w:tcW w:w="2126" w:type="dxa"/>
            <w:vAlign w:val="center"/>
          </w:tcPr>
          <w:p w14:paraId="3F36BEB1"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323E6BFC"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07F1ADC2"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5C8B969C"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GMO</w:t>
            </w:r>
          </w:p>
        </w:tc>
        <w:tc>
          <w:tcPr>
            <w:tcW w:w="1843" w:type="dxa"/>
            <w:vAlign w:val="center"/>
          </w:tcPr>
          <w:p w14:paraId="721DCA1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25</w:t>
            </w:r>
          </w:p>
        </w:tc>
        <w:tc>
          <w:tcPr>
            <w:tcW w:w="2126" w:type="dxa"/>
            <w:vAlign w:val="center"/>
          </w:tcPr>
          <w:p w14:paraId="7BDFCCD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53C3571C"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69B74C5C"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5DA3A41F"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3-MCPD</w:t>
            </w:r>
          </w:p>
        </w:tc>
        <w:tc>
          <w:tcPr>
            <w:tcW w:w="1843" w:type="dxa"/>
            <w:vAlign w:val="center"/>
          </w:tcPr>
          <w:p w14:paraId="69DC1F63"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18</w:t>
            </w:r>
          </w:p>
        </w:tc>
        <w:tc>
          <w:tcPr>
            <w:tcW w:w="2126" w:type="dxa"/>
            <w:vAlign w:val="center"/>
          </w:tcPr>
          <w:p w14:paraId="3CAD08E9"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553B945B"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1720CE7E"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37F95571"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histamina</w:t>
            </w:r>
          </w:p>
        </w:tc>
        <w:tc>
          <w:tcPr>
            <w:tcW w:w="1843" w:type="dxa"/>
            <w:vAlign w:val="center"/>
          </w:tcPr>
          <w:p w14:paraId="734F98BA"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145</w:t>
            </w:r>
          </w:p>
        </w:tc>
        <w:tc>
          <w:tcPr>
            <w:tcW w:w="2126" w:type="dxa"/>
            <w:vAlign w:val="center"/>
          </w:tcPr>
          <w:p w14:paraId="4FA31F1D"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3FED8C01"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06BC2D45"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609E803A"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 xml:space="preserve">zawartość metanolu cyjanowodoru, </w:t>
            </w:r>
            <w:proofErr w:type="spellStart"/>
            <w:r w:rsidRPr="00FF50CD">
              <w:rPr>
                <w:rFonts w:ascii="Calibri" w:hAnsi="Calibri" w:cs="Calibri"/>
                <w:b w:val="0"/>
                <w:bCs w:val="0"/>
              </w:rPr>
              <w:t>karbaminianu</w:t>
            </w:r>
            <w:proofErr w:type="spellEnd"/>
            <w:r w:rsidRPr="00FF50CD">
              <w:rPr>
                <w:rFonts w:ascii="Calibri" w:hAnsi="Calibri" w:cs="Calibri"/>
                <w:b w:val="0"/>
                <w:bCs w:val="0"/>
              </w:rPr>
              <w:t xml:space="preserve"> etylu</w:t>
            </w:r>
          </w:p>
        </w:tc>
        <w:tc>
          <w:tcPr>
            <w:tcW w:w="1843" w:type="dxa"/>
            <w:vAlign w:val="center"/>
          </w:tcPr>
          <w:p w14:paraId="3BAA23B6"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4</w:t>
            </w:r>
          </w:p>
        </w:tc>
        <w:tc>
          <w:tcPr>
            <w:tcW w:w="2126" w:type="dxa"/>
            <w:vAlign w:val="center"/>
          </w:tcPr>
          <w:p w14:paraId="0928D383"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7E470C9F"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527C0331"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7C216D21"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zawartość jodu w soli spożywczej</w:t>
            </w:r>
          </w:p>
        </w:tc>
        <w:tc>
          <w:tcPr>
            <w:tcW w:w="1843" w:type="dxa"/>
            <w:vAlign w:val="center"/>
          </w:tcPr>
          <w:p w14:paraId="29648C9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8</w:t>
            </w:r>
          </w:p>
        </w:tc>
        <w:tc>
          <w:tcPr>
            <w:tcW w:w="2126" w:type="dxa"/>
            <w:vAlign w:val="center"/>
          </w:tcPr>
          <w:p w14:paraId="1173462B"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0E579F04"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720E5814"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7A93451D" w14:textId="30D88218"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wybrane parametry w środkach spożywczych specjalnego przeznaczenia żywieniowego i suplementach diety</w:t>
            </w:r>
          </w:p>
        </w:tc>
        <w:tc>
          <w:tcPr>
            <w:tcW w:w="1843" w:type="dxa"/>
            <w:vAlign w:val="center"/>
          </w:tcPr>
          <w:p w14:paraId="7ECF7353" w14:textId="0167F11F" w:rsidR="002915F4" w:rsidRPr="00FF50CD" w:rsidRDefault="00262B03"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108</w:t>
            </w:r>
          </w:p>
        </w:tc>
        <w:tc>
          <w:tcPr>
            <w:tcW w:w="2126" w:type="dxa"/>
            <w:vAlign w:val="center"/>
          </w:tcPr>
          <w:p w14:paraId="778838DA"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w:t>
            </w:r>
          </w:p>
        </w:tc>
        <w:tc>
          <w:tcPr>
            <w:tcW w:w="2127" w:type="dxa"/>
            <w:vAlign w:val="center"/>
          </w:tcPr>
          <w:p w14:paraId="3FF9ED38" w14:textId="414A7F9B" w:rsidR="002915F4" w:rsidRPr="00FF50CD" w:rsidRDefault="00262B03"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0,93</w:t>
            </w:r>
          </w:p>
        </w:tc>
      </w:tr>
      <w:tr w:rsidR="002915F4" w:rsidRPr="00FF50CD" w14:paraId="18FEF2E0"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2B55F632"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ocena znakowania</w:t>
            </w:r>
          </w:p>
        </w:tc>
        <w:tc>
          <w:tcPr>
            <w:tcW w:w="1843" w:type="dxa"/>
            <w:vAlign w:val="center"/>
          </w:tcPr>
          <w:p w14:paraId="1BD2AA9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866</w:t>
            </w:r>
          </w:p>
        </w:tc>
        <w:tc>
          <w:tcPr>
            <w:tcW w:w="2126" w:type="dxa"/>
            <w:vAlign w:val="center"/>
          </w:tcPr>
          <w:p w14:paraId="7BE829B0"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14945148"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6DB6E4B0"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07B84C4D"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badanie organoleptyczne</w:t>
            </w:r>
          </w:p>
        </w:tc>
        <w:tc>
          <w:tcPr>
            <w:tcW w:w="1843" w:type="dxa"/>
            <w:vAlign w:val="center"/>
          </w:tcPr>
          <w:p w14:paraId="4453E00B"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1061</w:t>
            </w:r>
          </w:p>
        </w:tc>
        <w:tc>
          <w:tcPr>
            <w:tcW w:w="2126" w:type="dxa"/>
            <w:vAlign w:val="center"/>
          </w:tcPr>
          <w:p w14:paraId="60C6D711"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5</w:t>
            </w:r>
          </w:p>
        </w:tc>
        <w:tc>
          <w:tcPr>
            <w:tcW w:w="2127" w:type="dxa"/>
            <w:vAlign w:val="center"/>
          </w:tcPr>
          <w:p w14:paraId="4735958C"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0,47</w:t>
            </w:r>
          </w:p>
        </w:tc>
      </w:tr>
      <w:tr w:rsidR="002915F4" w:rsidRPr="00FF50CD" w14:paraId="0F75DC2A"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1C70230F"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zanieczyszczenia biologiczne i fizyczne w środkach spożywczych</w:t>
            </w:r>
          </w:p>
        </w:tc>
        <w:tc>
          <w:tcPr>
            <w:tcW w:w="1843" w:type="dxa"/>
            <w:vAlign w:val="center"/>
          </w:tcPr>
          <w:p w14:paraId="14FDB850"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6</w:t>
            </w:r>
          </w:p>
        </w:tc>
        <w:tc>
          <w:tcPr>
            <w:tcW w:w="2126" w:type="dxa"/>
            <w:vAlign w:val="center"/>
          </w:tcPr>
          <w:p w14:paraId="6494A1F0"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w:t>
            </w:r>
          </w:p>
        </w:tc>
        <w:tc>
          <w:tcPr>
            <w:tcW w:w="2127" w:type="dxa"/>
            <w:vAlign w:val="center"/>
          </w:tcPr>
          <w:p w14:paraId="35155BF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16,67</w:t>
            </w:r>
          </w:p>
        </w:tc>
      </w:tr>
      <w:tr w:rsidR="002915F4" w:rsidRPr="00FF50CD" w14:paraId="3503F3A9"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378BEB09"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napromienianie żywności</w:t>
            </w:r>
          </w:p>
        </w:tc>
        <w:tc>
          <w:tcPr>
            <w:tcW w:w="1843" w:type="dxa"/>
            <w:vAlign w:val="center"/>
          </w:tcPr>
          <w:p w14:paraId="0DC47F74"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19</w:t>
            </w:r>
          </w:p>
        </w:tc>
        <w:tc>
          <w:tcPr>
            <w:tcW w:w="2126" w:type="dxa"/>
            <w:vAlign w:val="center"/>
          </w:tcPr>
          <w:p w14:paraId="465A4E0C"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w:t>
            </w:r>
          </w:p>
        </w:tc>
        <w:tc>
          <w:tcPr>
            <w:tcW w:w="2127" w:type="dxa"/>
            <w:vAlign w:val="center"/>
          </w:tcPr>
          <w:p w14:paraId="1170F216"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5,26</w:t>
            </w:r>
          </w:p>
        </w:tc>
      </w:tr>
      <w:tr w:rsidR="002915F4" w:rsidRPr="00FF50CD" w14:paraId="5D9C0E22"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73A760AD"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kontrola żywności wzbogaconej</w:t>
            </w:r>
          </w:p>
        </w:tc>
        <w:tc>
          <w:tcPr>
            <w:tcW w:w="1843" w:type="dxa"/>
            <w:vAlign w:val="center"/>
          </w:tcPr>
          <w:p w14:paraId="7734B538"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11</w:t>
            </w:r>
          </w:p>
        </w:tc>
        <w:tc>
          <w:tcPr>
            <w:tcW w:w="2126" w:type="dxa"/>
            <w:vAlign w:val="center"/>
          </w:tcPr>
          <w:p w14:paraId="3C192698"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2BEA7BCC"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5286AAF8"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46D72410"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WWA</w:t>
            </w:r>
          </w:p>
        </w:tc>
        <w:tc>
          <w:tcPr>
            <w:tcW w:w="1843" w:type="dxa"/>
            <w:vAlign w:val="center"/>
          </w:tcPr>
          <w:p w14:paraId="468F615D"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45</w:t>
            </w:r>
          </w:p>
        </w:tc>
        <w:tc>
          <w:tcPr>
            <w:tcW w:w="2126" w:type="dxa"/>
            <w:vAlign w:val="center"/>
          </w:tcPr>
          <w:p w14:paraId="059707AD"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0E0E37FD"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753A8D74"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1359BF91"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furan</w:t>
            </w:r>
          </w:p>
        </w:tc>
        <w:tc>
          <w:tcPr>
            <w:tcW w:w="1843" w:type="dxa"/>
            <w:vAlign w:val="center"/>
          </w:tcPr>
          <w:p w14:paraId="7516DE7C"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7</w:t>
            </w:r>
          </w:p>
        </w:tc>
        <w:tc>
          <w:tcPr>
            <w:tcW w:w="2126" w:type="dxa"/>
            <w:vAlign w:val="center"/>
          </w:tcPr>
          <w:p w14:paraId="09623FD3"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19373009"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35504E3E"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62518038"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izomery trans kwasów tłuszczowych</w:t>
            </w:r>
          </w:p>
        </w:tc>
        <w:tc>
          <w:tcPr>
            <w:tcW w:w="1843" w:type="dxa"/>
            <w:vAlign w:val="center"/>
          </w:tcPr>
          <w:p w14:paraId="6BB0BF87"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4</w:t>
            </w:r>
          </w:p>
        </w:tc>
        <w:tc>
          <w:tcPr>
            <w:tcW w:w="2126" w:type="dxa"/>
            <w:vAlign w:val="center"/>
          </w:tcPr>
          <w:p w14:paraId="76B0A06A"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710704CE"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1D904A9F"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64D680A8" w14:textId="77777777" w:rsidR="002915F4" w:rsidRPr="00FF50CD" w:rsidRDefault="002915F4" w:rsidP="00597239">
            <w:pPr>
              <w:spacing w:line="276" w:lineRule="auto"/>
              <w:rPr>
                <w:rFonts w:ascii="Calibri" w:hAnsi="Calibri" w:cs="Calibri"/>
                <w:b w:val="0"/>
                <w:bCs w:val="0"/>
              </w:rPr>
            </w:pPr>
            <w:proofErr w:type="spellStart"/>
            <w:r w:rsidRPr="00FF50CD">
              <w:rPr>
                <w:rFonts w:ascii="Calibri" w:hAnsi="Calibri" w:cs="Calibri"/>
                <w:b w:val="0"/>
                <w:bCs w:val="0"/>
              </w:rPr>
              <w:t>akryloamid</w:t>
            </w:r>
            <w:proofErr w:type="spellEnd"/>
          </w:p>
        </w:tc>
        <w:tc>
          <w:tcPr>
            <w:tcW w:w="1843" w:type="dxa"/>
            <w:vAlign w:val="center"/>
          </w:tcPr>
          <w:p w14:paraId="14128899"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19</w:t>
            </w:r>
          </w:p>
        </w:tc>
        <w:tc>
          <w:tcPr>
            <w:tcW w:w="2126" w:type="dxa"/>
            <w:vAlign w:val="center"/>
          </w:tcPr>
          <w:p w14:paraId="260F07B6"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29A79873"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445D6405"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438B7D3E" w14:textId="7D03A1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alergeny - gluten</w:t>
            </w:r>
          </w:p>
        </w:tc>
        <w:tc>
          <w:tcPr>
            <w:tcW w:w="1843" w:type="dxa"/>
            <w:vAlign w:val="center"/>
          </w:tcPr>
          <w:p w14:paraId="5950984D"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25</w:t>
            </w:r>
          </w:p>
        </w:tc>
        <w:tc>
          <w:tcPr>
            <w:tcW w:w="2126" w:type="dxa"/>
            <w:vAlign w:val="center"/>
          </w:tcPr>
          <w:p w14:paraId="03EFA794"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w:t>
            </w:r>
          </w:p>
        </w:tc>
        <w:tc>
          <w:tcPr>
            <w:tcW w:w="2127" w:type="dxa"/>
            <w:vAlign w:val="center"/>
          </w:tcPr>
          <w:p w14:paraId="1BFC97EF"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8</w:t>
            </w:r>
          </w:p>
        </w:tc>
      </w:tr>
      <w:tr w:rsidR="002915F4" w:rsidRPr="00FF50CD" w14:paraId="5E4A3265"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4DD2F67F"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alergeny - białko soi</w:t>
            </w:r>
          </w:p>
        </w:tc>
        <w:tc>
          <w:tcPr>
            <w:tcW w:w="1843" w:type="dxa"/>
            <w:vAlign w:val="center"/>
          </w:tcPr>
          <w:p w14:paraId="31474872"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9</w:t>
            </w:r>
          </w:p>
        </w:tc>
        <w:tc>
          <w:tcPr>
            <w:tcW w:w="2126" w:type="dxa"/>
            <w:vAlign w:val="center"/>
          </w:tcPr>
          <w:p w14:paraId="16B2FCE2"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6B9C17C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5561372C"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5F7C3092" w14:textId="0F564EC4"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alergeny - białko orzechów ziemnych</w:t>
            </w:r>
          </w:p>
        </w:tc>
        <w:tc>
          <w:tcPr>
            <w:tcW w:w="1843" w:type="dxa"/>
            <w:vAlign w:val="center"/>
          </w:tcPr>
          <w:p w14:paraId="3A602FC0"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9</w:t>
            </w:r>
          </w:p>
        </w:tc>
        <w:tc>
          <w:tcPr>
            <w:tcW w:w="2126" w:type="dxa"/>
            <w:vAlign w:val="center"/>
          </w:tcPr>
          <w:p w14:paraId="1714A302"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0DBE376E"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1F82ECCA"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0D8E8661"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 xml:space="preserve">oporność na środki przeciwdrobnoustrojowe u bakterii </w:t>
            </w:r>
            <w:proofErr w:type="spellStart"/>
            <w:r w:rsidRPr="00FF50CD">
              <w:rPr>
                <w:rFonts w:ascii="Calibri" w:hAnsi="Calibri" w:cs="Calibri"/>
                <w:b w:val="0"/>
                <w:bCs w:val="0"/>
              </w:rPr>
              <w:t>zoonotycznych</w:t>
            </w:r>
            <w:proofErr w:type="spellEnd"/>
            <w:r w:rsidRPr="00FF50CD">
              <w:rPr>
                <w:rFonts w:ascii="Calibri" w:hAnsi="Calibri" w:cs="Calibri"/>
                <w:b w:val="0"/>
                <w:bCs w:val="0"/>
              </w:rPr>
              <w:t xml:space="preserve"> i </w:t>
            </w:r>
            <w:proofErr w:type="spellStart"/>
            <w:r w:rsidRPr="00FF50CD">
              <w:rPr>
                <w:rFonts w:ascii="Calibri" w:hAnsi="Calibri" w:cs="Calibri"/>
                <w:b w:val="0"/>
                <w:bCs w:val="0"/>
              </w:rPr>
              <w:t>komensalnych</w:t>
            </w:r>
            <w:proofErr w:type="spellEnd"/>
          </w:p>
        </w:tc>
        <w:tc>
          <w:tcPr>
            <w:tcW w:w="1843" w:type="dxa"/>
            <w:vAlign w:val="center"/>
          </w:tcPr>
          <w:p w14:paraId="2FC5E03A"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26</w:t>
            </w:r>
          </w:p>
        </w:tc>
        <w:tc>
          <w:tcPr>
            <w:tcW w:w="2126" w:type="dxa"/>
            <w:vAlign w:val="center"/>
          </w:tcPr>
          <w:p w14:paraId="5537D242"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598A08DD"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43EBF199"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7CC2C770"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 xml:space="preserve">alkaloidy </w:t>
            </w:r>
            <w:proofErr w:type="spellStart"/>
            <w:r w:rsidRPr="00FF50CD">
              <w:rPr>
                <w:rFonts w:ascii="Calibri" w:hAnsi="Calibri" w:cs="Calibri"/>
                <w:b w:val="0"/>
                <w:bCs w:val="0"/>
              </w:rPr>
              <w:t>tropanowe</w:t>
            </w:r>
            <w:proofErr w:type="spellEnd"/>
          </w:p>
        </w:tc>
        <w:tc>
          <w:tcPr>
            <w:tcW w:w="1843" w:type="dxa"/>
            <w:vAlign w:val="center"/>
          </w:tcPr>
          <w:p w14:paraId="576A0D85"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9</w:t>
            </w:r>
          </w:p>
        </w:tc>
        <w:tc>
          <w:tcPr>
            <w:tcW w:w="2126" w:type="dxa"/>
            <w:vAlign w:val="center"/>
          </w:tcPr>
          <w:p w14:paraId="1A958EA5"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768E15EC"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74B58B36"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4DA065F4"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alkaloidy sporyszu</w:t>
            </w:r>
          </w:p>
        </w:tc>
        <w:tc>
          <w:tcPr>
            <w:tcW w:w="1843" w:type="dxa"/>
            <w:vAlign w:val="center"/>
          </w:tcPr>
          <w:p w14:paraId="1D7426A5"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23</w:t>
            </w:r>
          </w:p>
        </w:tc>
        <w:tc>
          <w:tcPr>
            <w:tcW w:w="2126" w:type="dxa"/>
            <w:vAlign w:val="center"/>
          </w:tcPr>
          <w:p w14:paraId="0BFB5C1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45089128"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7A5DDE6A"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73AA9518"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 xml:space="preserve">alkaloidy </w:t>
            </w:r>
            <w:proofErr w:type="spellStart"/>
            <w:r w:rsidRPr="00FF50CD">
              <w:rPr>
                <w:rFonts w:ascii="Calibri" w:hAnsi="Calibri" w:cs="Calibri"/>
                <w:b w:val="0"/>
                <w:bCs w:val="0"/>
              </w:rPr>
              <w:t>pirolizydynowe</w:t>
            </w:r>
            <w:proofErr w:type="spellEnd"/>
          </w:p>
        </w:tc>
        <w:tc>
          <w:tcPr>
            <w:tcW w:w="1843" w:type="dxa"/>
            <w:vAlign w:val="center"/>
          </w:tcPr>
          <w:p w14:paraId="7226AAEF"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12</w:t>
            </w:r>
          </w:p>
        </w:tc>
        <w:tc>
          <w:tcPr>
            <w:tcW w:w="2126" w:type="dxa"/>
            <w:vAlign w:val="center"/>
          </w:tcPr>
          <w:p w14:paraId="50787E58"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3</w:t>
            </w:r>
          </w:p>
        </w:tc>
        <w:tc>
          <w:tcPr>
            <w:tcW w:w="2127" w:type="dxa"/>
            <w:vAlign w:val="center"/>
          </w:tcPr>
          <w:p w14:paraId="3993E8FC"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25</w:t>
            </w:r>
          </w:p>
        </w:tc>
      </w:tr>
      <w:tr w:rsidR="002915F4" w:rsidRPr="00FF50CD" w14:paraId="4B747173"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7E2A84A9"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alkaloidy opium</w:t>
            </w:r>
          </w:p>
        </w:tc>
        <w:tc>
          <w:tcPr>
            <w:tcW w:w="1843" w:type="dxa"/>
            <w:vAlign w:val="center"/>
          </w:tcPr>
          <w:p w14:paraId="403046D9"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4</w:t>
            </w:r>
          </w:p>
        </w:tc>
        <w:tc>
          <w:tcPr>
            <w:tcW w:w="2126" w:type="dxa"/>
            <w:vAlign w:val="center"/>
          </w:tcPr>
          <w:p w14:paraId="171ACBA0"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7A0275F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52144DD5"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4D313832"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 xml:space="preserve">kwas </w:t>
            </w:r>
            <w:proofErr w:type="spellStart"/>
            <w:r w:rsidRPr="00FF50CD">
              <w:rPr>
                <w:rFonts w:ascii="Calibri" w:hAnsi="Calibri" w:cs="Calibri"/>
                <w:b w:val="0"/>
                <w:bCs w:val="0"/>
              </w:rPr>
              <w:t>erukowy</w:t>
            </w:r>
            <w:proofErr w:type="spellEnd"/>
          </w:p>
        </w:tc>
        <w:tc>
          <w:tcPr>
            <w:tcW w:w="1843" w:type="dxa"/>
            <w:vAlign w:val="center"/>
          </w:tcPr>
          <w:p w14:paraId="7445B3D2"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5</w:t>
            </w:r>
          </w:p>
        </w:tc>
        <w:tc>
          <w:tcPr>
            <w:tcW w:w="2126" w:type="dxa"/>
            <w:vAlign w:val="center"/>
          </w:tcPr>
          <w:p w14:paraId="31108171"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61429328"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5BDBB437"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6FFAB839" w14:textId="7D18647B"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nadchlorany</w:t>
            </w:r>
          </w:p>
        </w:tc>
        <w:tc>
          <w:tcPr>
            <w:tcW w:w="1843" w:type="dxa"/>
            <w:vAlign w:val="center"/>
          </w:tcPr>
          <w:p w14:paraId="007A465E"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8</w:t>
            </w:r>
          </w:p>
        </w:tc>
        <w:tc>
          <w:tcPr>
            <w:tcW w:w="2126" w:type="dxa"/>
            <w:vAlign w:val="center"/>
          </w:tcPr>
          <w:p w14:paraId="6DEA27BD"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4B036237"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79DA296C" w14:textId="77777777" w:rsidTr="007E5B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7" w:type="dxa"/>
            <w:vAlign w:val="center"/>
          </w:tcPr>
          <w:p w14:paraId="169D92D3"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próbki kontrolne posiłków</w:t>
            </w:r>
          </w:p>
        </w:tc>
        <w:tc>
          <w:tcPr>
            <w:tcW w:w="1843" w:type="dxa"/>
            <w:vAlign w:val="center"/>
          </w:tcPr>
          <w:p w14:paraId="36167142"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74</w:t>
            </w:r>
          </w:p>
        </w:tc>
        <w:tc>
          <w:tcPr>
            <w:tcW w:w="2126" w:type="dxa"/>
            <w:vAlign w:val="center"/>
          </w:tcPr>
          <w:p w14:paraId="1603CB31"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c>
          <w:tcPr>
            <w:tcW w:w="2127" w:type="dxa"/>
            <w:vAlign w:val="center"/>
          </w:tcPr>
          <w:p w14:paraId="2A96E4F4" w14:textId="77777777" w:rsidR="002915F4" w:rsidRPr="00FF50CD" w:rsidRDefault="002915F4" w:rsidP="0059723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F50CD">
              <w:rPr>
                <w:rFonts w:ascii="Calibri" w:hAnsi="Calibri" w:cs="Calibri"/>
              </w:rPr>
              <w:t>-</w:t>
            </w:r>
          </w:p>
        </w:tc>
      </w:tr>
      <w:tr w:rsidR="002915F4" w:rsidRPr="00FF50CD" w14:paraId="2FF1005F" w14:textId="77777777" w:rsidTr="007E5BC2">
        <w:tc>
          <w:tcPr>
            <w:cnfStyle w:val="001000000000" w:firstRow="0" w:lastRow="0" w:firstColumn="1" w:lastColumn="0" w:oddVBand="0" w:evenVBand="0" w:oddHBand="0" w:evenHBand="0" w:firstRowFirstColumn="0" w:firstRowLastColumn="0" w:lastRowFirstColumn="0" w:lastRowLastColumn="0"/>
            <w:tcW w:w="3857" w:type="dxa"/>
            <w:vAlign w:val="center"/>
          </w:tcPr>
          <w:p w14:paraId="41740AB2" w14:textId="77777777" w:rsidR="002915F4" w:rsidRPr="00FF50CD" w:rsidRDefault="002915F4" w:rsidP="00597239">
            <w:pPr>
              <w:spacing w:line="276" w:lineRule="auto"/>
              <w:rPr>
                <w:rFonts w:ascii="Calibri" w:hAnsi="Calibri" w:cs="Calibri"/>
                <w:b w:val="0"/>
                <w:bCs w:val="0"/>
              </w:rPr>
            </w:pPr>
            <w:r w:rsidRPr="00FF50CD">
              <w:rPr>
                <w:rFonts w:ascii="Calibri" w:hAnsi="Calibri" w:cs="Calibri"/>
                <w:b w:val="0"/>
                <w:bCs w:val="0"/>
              </w:rPr>
              <w:t>badania sanitarne</w:t>
            </w:r>
          </w:p>
        </w:tc>
        <w:tc>
          <w:tcPr>
            <w:tcW w:w="1843" w:type="dxa"/>
            <w:vAlign w:val="center"/>
          </w:tcPr>
          <w:p w14:paraId="1BCB2F40"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390</w:t>
            </w:r>
          </w:p>
        </w:tc>
        <w:tc>
          <w:tcPr>
            <w:tcW w:w="2126" w:type="dxa"/>
            <w:vAlign w:val="center"/>
          </w:tcPr>
          <w:p w14:paraId="5CE062E5"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10</w:t>
            </w:r>
          </w:p>
        </w:tc>
        <w:tc>
          <w:tcPr>
            <w:tcW w:w="2127" w:type="dxa"/>
            <w:vAlign w:val="center"/>
          </w:tcPr>
          <w:p w14:paraId="273ED152" w14:textId="77777777" w:rsidR="002915F4" w:rsidRPr="00FF50CD" w:rsidRDefault="002915F4" w:rsidP="0059723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F50CD">
              <w:rPr>
                <w:rFonts w:ascii="Calibri" w:hAnsi="Calibri" w:cs="Calibri"/>
              </w:rPr>
              <w:t>2,56</w:t>
            </w:r>
          </w:p>
        </w:tc>
      </w:tr>
    </w:tbl>
    <w:p w14:paraId="06D0B604" w14:textId="77777777" w:rsidR="002915F4" w:rsidRPr="00841919" w:rsidRDefault="002915F4" w:rsidP="00597239">
      <w:pPr>
        <w:spacing w:after="0" w:line="276" w:lineRule="auto"/>
        <w:rPr>
          <w:rFonts w:ascii="Calibri" w:eastAsia="Times New Roman" w:hAnsi="Calibri" w:cs="Calibri"/>
          <w:sz w:val="24"/>
          <w:szCs w:val="24"/>
          <w:lang w:eastAsia="pl-PL"/>
        </w:rPr>
      </w:pPr>
      <w:r w:rsidRPr="00841919">
        <w:rPr>
          <w:rFonts w:ascii="Calibri" w:eastAsia="Times New Roman" w:hAnsi="Calibri" w:cs="Calibri"/>
          <w:sz w:val="24"/>
          <w:szCs w:val="24"/>
          <w:lang w:eastAsia="pl-PL"/>
        </w:rPr>
        <w:lastRenderedPageBreak/>
        <w:t>Każdorazowo po otrzymaniu kwestionowanych wyników badań bezzwłocznie podejmowano działania nadzorowe. W stosunku do przedsiębiorców działających na terenie naszego województwa, którzy wprowadzili na rynek produkty o niewłaściwej jakości zdrowotnej prowadzono działania zmierzające do wyeliminowania zaistniałych nieprawidłowości – kwestionowane produkty wycofywano z produkcji i obrotu handlowego, przeprowadzano zabiegi mycia i dezynfekcji, bądź dezynsekcji. W przypadku kwestionowania środków spożywczych pochodzących od producentów spoza województwa zachodniopomorskiego, informacje o stwierdzonych nieprawidłowościach przekazywano również do właściwych terenowo organów Państwowej Inspekcji Sanitarnej lub Inspekcji Weterynaryjnej, pełniących nadzór nad producentem kwestionowanych środków spożywczych.</w:t>
      </w:r>
    </w:p>
    <w:p w14:paraId="0FE35ABF" w14:textId="77777777" w:rsidR="002915F4" w:rsidRPr="00841919" w:rsidRDefault="002915F4" w:rsidP="00597239">
      <w:pPr>
        <w:spacing w:after="0"/>
        <w:rPr>
          <w:rFonts w:ascii="Calibri" w:hAnsi="Calibri" w:cs="Calibri"/>
          <w:b/>
          <w:bCs/>
          <w:sz w:val="24"/>
          <w:szCs w:val="24"/>
        </w:rPr>
      </w:pPr>
    </w:p>
    <w:p w14:paraId="177DDF5C" w14:textId="17A58C02" w:rsidR="002915F4" w:rsidRPr="00F02D68" w:rsidRDefault="002915F4" w:rsidP="00597239">
      <w:pPr>
        <w:pStyle w:val="Nagwek2"/>
        <w:numPr>
          <w:ilvl w:val="0"/>
          <w:numId w:val="74"/>
        </w:numPr>
        <w:spacing w:before="0" w:after="0"/>
        <w:ind w:left="284" w:hanging="284"/>
        <w:jc w:val="left"/>
      </w:pPr>
      <w:bookmarkStart w:id="264" w:name="_Toc194059817"/>
      <w:r w:rsidRPr="00841919">
        <w:t>Suplementy diety, żywność dla określonych grup odbiorców i żywność wzbogacana</w:t>
      </w:r>
      <w:bookmarkEnd w:id="264"/>
    </w:p>
    <w:p w14:paraId="52EE9673" w14:textId="5F8CB329" w:rsidR="002915F4" w:rsidRPr="00F64E87" w:rsidRDefault="002915F4" w:rsidP="00597239">
      <w:pPr>
        <w:spacing w:after="0" w:line="276" w:lineRule="auto"/>
        <w:rPr>
          <w:sz w:val="24"/>
          <w:szCs w:val="24"/>
          <w:lang w:eastAsia="pl-PL"/>
        </w:rPr>
      </w:pPr>
      <w:r w:rsidRPr="00F64E87">
        <w:rPr>
          <w:sz w:val="24"/>
          <w:szCs w:val="24"/>
          <w:lang w:eastAsia="pl-PL"/>
        </w:rPr>
        <w:t>W ramach nadzoru nad tzw. żywnością prozdrowotną prowadzony był nadzór nad warunkami produkcji i magazynowania, prawidłowością ekspozycji oraz znakowania, prezentacji i reklamy suplementów diety, żywności dla określonych grup (żywność dla niemowląt i małych dzieci, żywność specjalnego przeznaczenia medycznego, środki spożywcze zastępujące całodzienną dietę, do kontroli masy ciała) i żywnością wzbogacaną, a także nad ich sprzedażą „na</w:t>
      </w:r>
      <w:r w:rsidR="003326B1">
        <w:rPr>
          <w:sz w:val="24"/>
          <w:szCs w:val="24"/>
          <w:lang w:eastAsia="pl-PL"/>
        </w:rPr>
        <w:t> </w:t>
      </w:r>
      <w:r w:rsidRPr="00F64E87">
        <w:rPr>
          <w:sz w:val="24"/>
          <w:szCs w:val="24"/>
          <w:lang w:eastAsia="pl-PL"/>
        </w:rPr>
        <w:t>odległość”.</w:t>
      </w:r>
    </w:p>
    <w:p w14:paraId="0EDDD110" w14:textId="77777777" w:rsidR="00C545E2" w:rsidRDefault="00C545E2" w:rsidP="00597239">
      <w:pPr>
        <w:spacing w:after="0" w:line="276" w:lineRule="auto"/>
        <w:rPr>
          <w:rFonts w:eastAsia="Aptos"/>
          <w:sz w:val="24"/>
          <w:szCs w:val="24"/>
        </w:rPr>
      </w:pPr>
    </w:p>
    <w:p w14:paraId="260EA54D" w14:textId="14940DB0" w:rsidR="002915F4" w:rsidRPr="00F64E87" w:rsidRDefault="002915F4" w:rsidP="00597239">
      <w:pPr>
        <w:spacing w:after="0" w:line="276" w:lineRule="auto"/>
        <w:rPr>
          <w:sz w:val="24"/>
          <w:szCs w:val="24"/>
          <w:lang w:eastAsia="pl-PL"/>
        </w:rPr>
      </w:pPr>
      <w:r w:rsidRPr="00F64E87">
        <w:rPr>
          <w:rFonts w:eastAsia="Aptos"/>
          <w:sz w:val="24"/>
          <w:szCs w:val="24"/>
        </w:rPr>
        <w:t xml:space="preserve">W ewidencji Państwowej Inspekcji Sanitarnej w województwie zachodniopomorskim </w:t>
      </w:r>
      <w:r w:rsidRPr="00F64E87">
        <w:rPr>
          <w:sz w:val="24"/>
          <w:szCs w:val="24"/>
        </w:rPr>
        <w:t xml:space="preserve">w roku 2024 </w:t>
      </w:r>
      <w:r w:rsidRPr="00F64E87">
        <w:rPr>
          <w:sz w:val="24"/>
          <w:szCs w:val="24"/>
          <w:lang w:eastAsia="pl-PL"/>
        </w:rPr>
        <w:t xml:space="preserve">było 7 zakładów produkcji suplementów diety, 5 z nich zostało skontrolowanych. </w:t>
      </w:r>
    </w:p>
    <w:p w14:paraId="1AE8478D" w14:textId="77777777" w:rsidR="002915F4" w:rsidRPr="00F64E87" w:rsidRDefault="002915F4" w:rsidP="00597239">
      <w:pPr>
        <w:spacing w:after="0" w:line="276" w:lineRule="auto"/>
        <w:rPr>
          <w:sz w:val="24"/>
          <w:szCs w:val="24"/>
          <w:highlight w:val="yellow"/>
          <w:lang w:eastAsia="pl-PL"/>
        </w:rPr>
      </w:pPr>
      <w:r w:rsidRPr="00F64E87">
        <w:rPr>
          <w:sz w:val="24"/>
          <w:szCs w:val="24"/>
          <w:lang w:eastAsia="pl-PL"/>
        </w:rPr>
        <w:t xml:space="preserve">W 2024 r. w ramach nadzoru nad produkcją i sprzedażą żywności prozdrowotnej przeprowadzono ogółem 643 kontrole, z czego 81 dotyczyło sprzedaży „na odległość”. </w:t>
      </w:r>
    </w:p>
    <w:p w14:paraId="5C0DB820" w14:textId="77777777" w:rsidR="002915F4" w:rsidRPr="00F64E87" w:rsidRDefault="002915F4" w:rsidP="00597239">
      <w:pPr>
        <w:spacing w:after="0" w:line="276" w:lineRule="auto"/>
        <w:rPr>
          <w:sz w:val="24"/>
          <w:szCs w:val="24"/>
          <w:lang w:eastAsia="pl-PL"/>
        </w:rPr>
      </w:pPr>
      <w:r w:rsidRPr="00F64E87">
        <w:rPr>
          <w:sz w:val="24"/>
          <w:szCs w:val="24"/>
          <w:lang w:eastAsia="pl-PL"/>
        </w:rPr>
        <w:t xml:space="preserve">Podczas kontroli dokonano oceny znakowania 402 produktów, w tym również ocenę informacji przekazywanych konsumentom w ramach sprzedaży internetowej. </w:t>
      </w:r>
    </w:p>
    <w:p w14:paraId="0C07F353" w14:textId="77777777" w:rsidR="00C545E2" w:rsidRDefault="00C545E2" w:rsidP="00597239">
      <w:pPr>
        <w:spacing w:after="0" w:line="276" w:lineRule="auto"/>
        <w:rPr>
          <w:sz w:val="24"/>
          <w:szCs w:val="24"/>
          <w:lang w:eastAsia="pl-PL"/>
        </w:rPr>
      </w:pPr>
    </w:p>
    <w:p w14:paraId="155D7D8B" w14:textId="6EAA0829" w:rsidR="002915F4" w:rsidRPr="00F64E87" w:rsidRDefault="002915F4" w:rsidP="00597239">
      <w:pPr>
        <w:spacing w:after="0" w:line="276" w:lineRule="auto"/>
        <w:rPr>
          <w:sz w:val="24"/>
          <w:szCs w:val="24"/>
          <w:lang w:eastAsia="pl-PL"/>
        </w:rPr>
      </w:pPr>
      <w:r w:rsidRPr="00F64E87">
        <w:rPr>
          <w:sz w:val="24"/>
          <w:szCs w:val="24"/>
          <w:lang w:eastAsia="pl-PL"/>
        </w:rPr>
        <w:t>Najczęściej stwierdzanymi nieprawidłowościami były:</w:t>
      </w:r>
    </w:p>
    <w:p w14:paraId="3EA5EFC6" w14:textId="77777777" w:rsidR="002915F4" w:rsidRPr="000A17F1" w:rsidRDefault="002915F4" w:rsidP="00597239">
      <w:pPr>
        <w:pStyle w:val="Akapitzlist"/>
        <w:numPr>
          <w:ilvl w:val="0"/>
          <w:numId w:val="77"/>
        </w:numPr>
        <w:spacing w:after="0" w:line="276" w:lineRule="auto"/>
        <w:rPr>
          <w:sz w:val="24"/>
          <w:szCs w:val="24"/>
          <w:lang w:eastAsia="pl-PL"/>
        </w:rPr>
      </w:pPr>
      <w:r w:rsidRPr="000A17F1">
        <w:rPr>
          <w:sz w:val="24"/>
          <w:szCs w:val="24"/>
          <w:lang w:eastAsia="pl-PL"/>
        </w:rPr>
        <w:t>niewłaściwe znakowanie;</w:t>
      </w:r>
    </w:p>
    <w:p w14:paraId="7EEC5432" w14:textId="77777777" w:rsidR="002915F4" w:rsidRPr="000A17F1" w:rsidRDefault="002915F4" w:rsidP="00597239">
      <w:pPr>
        <w:pStyle w:val="Akapitzlist"/>
        <w:numPr>
          <w:ilvl w:val="0"/>
          <w:numId w:val="77"/>
        </w:numPr>
        <w:spacing w:after="0" w:line="276" w:lineRule="auto"/>
        <w:rPr>
          <w:sz w:val="24"/>
          <w:szCs w:val="24"/>
          <w:lang w:eastAsia="pl-PL"/>
        </w:rPr>
      </w:pPr>
      <w:r w:rsidRPr="000A17F1">
        <w:rPr>
          <w:sz w:val="24"/>
          <w:szCs w:val="24"/>
          <w:lang w:eastAsia="pl-PL"/>
        </w:rPr>
        <w:t>stosowanie niedozwolonych oświadczeń żywieniowych i zdrowotnych;</w:t>
      </w:r>
    </w:p>
    <w:p w14:paraId="4B66F720" w14:textId="77777777" w:rsidR="002915F4" w:rsidRPr="000A17F1" w:rsidRDefault="002915F4" w:rsidP="00597239">
      <w:pPr>
        <w:pStyle w:val="Akapitzlist"/>
        <w:numPr>
          <w:ilvl w:val="0"/>
          <w:numId w:val="77"/>
        </w:numPr>
        <w:spacing w:after="0" w:line="276" w:lineRule="auto"/>
        <w:rPr>
          <w:sz w:val="24"/>
          <w:szCs w:val="24"/>
          <w:lang w:eastAsia="pl-PL"/>
        </w:rPr>
      </w:pPr>
      <w:r w:rsidRPr="000A17F1">
        <w:rPr>
          <w:sz w:val="24"/>
          <w:szCs w:val="24"/>
          <w:lang w:eastAsia="pl-PL"/>
        </w:rPr>
        <w:t>przypisywanie suplementom diety właściwości leczniczych;</w:t>
      </w:r>
    </w:p>
    <w:p w14:paraId="4823754B" w14:textId="77777777" w:rsidR="002915F4" w:rsidRPr="000A17F1" w:rsidRDefault="002915F4" w:rsidP="00597239">
      <w:pPr>
        <w:pStyle w:val="Akapitzlist"/>
        <w:numPr>
          <w:ilvl w:val="0"/>
          <w:numId w:val="77"/>
        </w:numPr>
        <w:spacing w:after="0" w:line="276" w:lineRule="auto"/>
        <w:rPr>
          <w:sz w:val="24"/>
          <w:szCs w:val="24"/>
          <w:lang w:eastAsia="pl-PL"/>
        </w:rPr>
      </w:pPr>
      <w:r w:rsidRPr="000A17F1">
        <w:rPr>
          <w:sz w:val="24"/>
          <w:szCs w:val="24"/>
          <w:lang w:eastAsia="pl-PL"/>
        </w:rPr>
        <w:t>zamieszczania informacji wprowadzających konsumenta w błąd;</w:t>
      </w:r>
    </w:p>
    <w:p w14:paraId="1357A2F4" w14:textId="77777777" w:rsidR="002915F4" w:rsidRPr="000A17F1" w:rsidRDefault="002915F4" w:rsidP="00597239">
      <w:pPr>
        <w:pStyle w:val="Akapitzlist"/>
        <w:numPr>
          <w:ilvl w:val="0"/>
          <w:numId w:val="77"/>
        </w:numPr>
        <w:spacing w:after="0" w:line="276" w:lineRule="auto"/>
        <w:rPr>
          <w:sz w:val="24"/>
          <w:szCs w:val="24"/>
          <w:lang w:eastAsia="pl-PL"/>
        </w:rPr>
      </w:pPr>
      <w:r w:rsidRPr="000A17F1">
        <w:rPr>
          <w:sz w:val="24"/>
          <w:szCs w:val="24"/>
          <w:lang w:eastAsia="pl-PL"/>
        </w:rPr>
        <w:t>brak zatwierdzenia i/lub rejestracji działalności związanej ze sprzedażą środków spożywczych przez Internet.</w:t>
      </w:r>
    </w:p>
    <w:p w14:paraId="4DDDDFFC" w14:textId="77777777" w:rsidR="00C545E2" w:rsidRDefault="00C545E2" w:rsidP="00597239">
      <w:pPr>
        <w:spacing w:after="0" w:line="276" w:lineRule="auto"/>
        <w:rPr>
          <w:sz w:val="24"/>
          <w:szCs w:val="24"/>
          <w:lang w:eastAsia="pl-PL"/>
        </w:rPr>
      </w:pPr>
    </w:p>
    <w:p w14:paraId="241322EA" w14:textId="280E7652" w:rsidR="002915F4" w:rsidRPr="00F64E87" w:rsidRDefault="002915F4" w:rsidP="00597239">
      <w:pPr>
        <w:spacing w:after="0" w:line="276" w:lineRule="auto"/>
        <w:rPr>
          <w:sz w:val="24"/>
          <w:szCs w:val="24"/>
          <w:lang w:eastAsia="pl-PL"/>
        </w:rPr>
      </w:pPr>
      <w:r w:rsidRPr="00F64E87">
        <w:rPr>
          <w:sz w:val="24"/>
          <w:szCs w:val="24"/>
          <w:lang w:eastAsia="pl-PL"/>
        </w:rPr>
        <w:t xml:space="preserve">Nadzorowanych przedsiębiorców zobowiązywano do usunięcia </w:t>
      </w:r>
      <w:r w:rsidR="00FD3723" w:rsidRPr="00F64E87">
        <w:rPr>
          <w:sz w:val="24"/>
          <w:szCs w:val="24"/>
          <w:lang w:eastAsia="pl-PL"/>
        </w:rPr>
        <w:t>nieprawidłowości</w:t>
      </w:r>
      <w:r w:rsidRPr="00F64E87">
        <w:rPr>
          <w:sz w:val="24"/>
          <w:szCs w:val="24"/>
          <w:lang w:eastAsia="pl-PL"/>
        </w:rPr>
        <w:t xml:space="preserve"> bądź poprawy znakowania. W stosownych przypadkach informacje były przekazywanie do</w:t>
      </w:r>
      <w:r w:rsidR="003326B1">
        <w:rPr>
          <w:sz w:val="24"/>
          <w:szCs w:val="24"/>
          <w:lang w:eastAsia="pl-PL"/>
        </w:rPr>
        <w:t> </w:t>
      </w:r>
      <w:r w:rsidRPr="00F64E87">
        <w:rPr>
          <w:sz w:val="24"/>
          <w:szCs w:val="24"/>
          <w:lang w:eastAsia="pl-PL"/>
        </w:rPr>
        <w:t>właściwych terenowo ze względu na siedzibę producenta/importera, państwowych powiatowych inspektorów sanitarnych.</w:t>
      </w:r>
    </w:p>
    <w:p w14:paraId="0D2F2E4C" w14:textId="32A515AF" w:rsidR="002915F4" w:rsidRPr="00F64E87" w:rsidRDefault="002915F4" w:rsidP="00597239">
      <w:pPr>
        <w:spacing w:after="0" w:line="276" w:lineRule="auto"/>
        <w:rPr>
          <w:rFonts w:eastAsia="SimSun"/>
          <w:kern w:val="3"/>
          <w:sz w:val="24"/>
          <w:szCs w:val="24"/>
          <w:lang w:eastAsia="pl-PL" w:bidi="hi-IN"/>
        </w:rPr>
      </w:pPr>
      <w:r w:rsidRPr="00F64E87">
        <w:rPr>
          <w:rFonts w:eastAsia="SimSun"/>
          <w:kern w:val="3"/>
          <w:sz w:val="24"/>
          <w:szCs w:val="24"/>
          <w:lang w:eastAsia="pl-PL" w:bidi="hi-IN"/>
        </w:rPr>
        <w:t>Wydano 1 decyzję administracyjną z rygorem natychmiastowej wykonalności zakazującą wprowadzania do obrotu na terytorium Rzeczypospolitej Polskiej oraz nakazującą wycofanie z</w:t>
      </w:r>
      <w:r w:rsidR="003326B1">
        <w:rPr>
          <w:rFonts w:eastAsia="SimSun"/>
          <w:kern w:val="3"/>
          <w:sz w:val="24"/>
          <w:szCs w:val="24"/>
          <w:lang w:eastAsia="pl-PL" w:bidi="hi-IN"/>
        </w:rPr>
        <w:t> </w:t>
      </w:r>
      <w:r w:rsidRPr="00F64E87">
        <w:rPr>
          <w:rFonts w:eastAsia="SimSun"/>
          <w:kern w:val="3"/>
          <w:sz w:val="24"/>
          <w:szCs w:val="24"/>
          <w:lang w:eastAsia="pl-PL" w:bidi="hi-IN"/>
        </w:rPr>
        <w:t>obrotu produktów zawierających w swoim składzie nieautoryzowaną nową żywność.</w:t>
      </w:r>
    </w:p>
    <w:p w14:paraId="660FD16E" w14:textId="77777777" w:rsidR="002915F4" w:rsidRPr="00F64E87" w:rsidRDefault="002915F4" w:rsidP="00597239">
      <w:pPr>
        <w:spacing w:after="0" w:line="276" w:lineRule="auto"/>
        <w:rPr>
          <w:sz w:val="24"/>
          <w:szCs w:val="24"/>
          <w:lang w:eastAsia="pl-PL"/>
        </w:rPr>
      </w:pPr>
      <w:r w:rsidRPr="00F64E87">
        <w:rPr>
          <w:sz w:val="24"/>
          <w:szCs w:val="24"/>
          <w:lang w:eastAsia="pl-PL"/>
        </w:rPr>
        <w:lastRenderedPageBreak/>
        <w:t>Do badań laboratoryjnych w ramach urzędowej kontroli żywności i monitoringu pobrano 353 próbki suplementów diety, żywności dla określonych grup i środków spożywczych wzbogacanych. W dwóch produktach (herbatka dla niemowląt oraz żywność specjalnego przeznaczenia medycznego) badania wykazały przekroczenie niklu. Ponadto,</w:t>
      </w:r>
      <w:r w:rsidRPr="00F64E87">
        <w:rPr>
          <w:color w:val="FF0000"/>
          <w:sz w:val="24"/>
          <w:szCs w:val="24"/>
          <w:lang w:eastAsia="pl-PL"/>
        </w:rPr>
        <w:t xml:space="preserve"> </w:t>
      </w:r>
      <w:r w:rsidRPr="00F64E87">
        <w:rPr>
          <w:sz w:val="24"/>
          <w:szCs w:val="24"/>
          <w:lang w:eastAsia="pl-PL"/>
        </w:rPr>
        <w:t xml:space="preserve">po uzyskaniu wyników badań suplementu zawierającego witaminę A, stwierdzono istotną różnicę między rzeczywistą zawartością witaminy, a deklaracją producenta zawartą na opakowaniu. </w:t>
      </w:r>
    </w:p>
    <w:p w14:paraId="07E24F2B" w14:textId="77777777" w:rsidR="002915F4" w:rsidRPr="00F64E87" w:rsidRDefault="002915F4" w:rsidP="00597239">
      <w:pPr>
        <w:spacing w:after="0" w:line="276" w:lineRule="auto"/>
        <w:rPr>
          <w:sz w:val="24"/>
          <w:szCs w:val="24"/>
          <w:lang w:eastAsia="pl-PL"/>
        </w:rPr>
      </w:pPr>
      <w:bookmarkStart w:id="265" w:name="_Hlk126067519"/>
      <w:r w:rsidRPr="00F64E87">
        <w:rPr>
          <w:sz w:val="24"/>
          <w:szCs w:val="24"/>
          <w:lang w:eastAsia="pl-PL"/>
        </w:rPr>
        <w:t xml:space="preserve">W roku 2024 podejmowano liczne działania nadzorowe w ramach funkcjonowania systemu RASFF/AAC związane z otrzymanymi powiadomieniami dotyczącymi tzw. żywności prozdrowotnej, np. stwierdzenia składników niedozwolonych do stosowania w suplementach diety lub nieautoryzowanej nowej żywności. </w:t>
      </w:r>
    </w:p>
    <w:p w14:paraId="1003CECF" w14:textId="77777777" w:rsidR="002915F4" w:rsidRPr="00F64E87" w:rsidRDefault="002915F4" w:rsidP="00597239">
      <w:pPr>
        <w:spacing w:after="0" w:line="276" w:lineRule="auto"/>
        <w:rPr>
          <w:sz w:val="24"/>
          <w:szCs w:val="24"/>
          <w:lang w:eastAsia="pl-PL"/>
        </w:rPr>
      </w:pPr>
      <w:r w:rsidRPr="00F64E87">
        <w:rPr>
          <w:sz w:val="24"/>
          <w:szCs w:val="24"/>
          <w:lang w:eastAsia="pl-PL"/>
        </w:rPr>
        <w:t>Dokonano również zgłoszeń powiadomień informacyjnych dot. stwierdzenia:</w:t>
      </w:r>
    </w:p>
    <w:p w14:paraId="7D2198C9" w14:textId="77777777" w:rsidR="002915F4" w:rsidRPr="000A17F1" w:rsidRDefault="002915F4" w:rsidP="00597239">
      <w:pPr>
        <w:pStyle w:val="Akapitzlist"/>
        <w:numPr>
          <w:ilvl w:val="0"/>
          <w:numId w:val="78"/>
        </w:numPr>
        <w:spacing w:after="0" w:line="276" w:lineRule="auto"/>
        <w:rPr>
          <w:sz w:val="24"/>
          <w:szCs w:val="24"/>
          <w:lang w:eastAsia="pl-PL"/>
        </w:rPr>
      </w:pPr>
      <w:r w:rsidRPr="000A17F1">
        <w:rPr>
          <w:sz w:val="24"/>
          <w:szCs w:val="24"/>
          <w:lang w:eastAsia="pl-PL"/>
        </w:rPr>
        <w:t>ciała obcego (prawdopodobnie kleju użytego do łączenia brzegów saszetki) w suplemencie białka do postępowania dietetycznego u niemowląt przedwcześnie urodzonych;</w:t>
      </w:r>
    </w:p>
    <w:p w14:paraId="0CEF6310" w14:textId="77777777" w:rsidR="002915F4" w:rsidRPr="000A17F1" w:rsidRDefault="002915F4" w:rsidP="00597239">
      <w:pPr>
        <w:pStyle w:val="Akapitzlist"/>
        <w:numPr>
          <w:ilvl w:val="0"/>
          <w:numId w:val="78"/>
        </w:numPr>
        <w:spacing w:after="0" w:line="276" w:lineRule="auto"/>
        <w:rPr>
          <w:sz w:val="24"/>
          <w:szCs w:val="24"/>
          <w:lang w:eastAsia="pl-PL"/>
        </w:rPr>
      </w:pPr>
      <w:r w:rsidRPr="000A17F1">
        <w:rPr>
          <w:sz w:val="24"/>
          <w:szCs w:val="24"/>
          <w:lang w:eastAsia="pl-PL"/>
        </w:rPr>
        <w:t xml:space="preserve">niklu w herbatce dla niemowląt oraz </w:t>
      </w:r>
      <w:bookmarkStart w:id="266" w:name="_Hlk192505261"/>
      <w:r w:rsidRPr="000A17F1">
        <w:rPr>
          <w:sz w:val="24"/>
          <w:szCs w:val="24"/>
          <w:lang w:eastAsia="pl-PL"/>
        </w:rPr>
        <w:t>żywności specjalnego przeznaczenia medycznego;</w:t>
      </w:r>
    </w:p>
    <w:bookmarkEnd w:id="266"/>
    <w:p w14:paraId="56B82305" w14:textId="77777777" w:rsidR="002915F4" w:rsidRPr="000A17F1" w:rsidRDefault="002915F4" w:rsidP="00597239">
      <w:pPr>
        <w:pStyle w:val="Akapitzlist"/>
        <w:numPr>
          <w:ilvl w:val="0"/>
          <w:numId w:val="78"/>
        </w:numPr>
        <w:spacing w:after="0" w:line="276" w:lineRule="auto"/>
        <w:rPr>
          <w:sz w:val="24"/>
          <w:szCs w:val="24"/>
          <w:lang w:eastAsia="pl-PL"/>
        </w:rPr>
      </w:pPr>
      <w:r w:rsidRPr="000A17F1">
        <w:rPr>
          <w:sz w:val="24"/>
          <w:szCs w:val="24"/>
          <w:lang w:eastAsia="pl-PL"/>
        </w:rPr>
        <w:t xml:space="preserve">nieautoryzowanej nowej żywności w suplemencie diety. </w:t>
      </w:r>
    </w:p>
    <w:p w14:paraId="516E3C3F" w14:textId="77777777" w:rsidR="00DD3EBB" w:rsidRDefault="00DD3EBB" w:rsidP="00597239">
      <w:pPr>
        <w:spacing w:after="0" w:line="276" w:lineRule="auto"/>
        <w:rPr>
          <w:sz w:val="24"/>
          <w:szCs w:val="24"/>
          <w:lang w:eastAsia="pl-PL"/>
        </w:rPr>
      </w:pPr>
    </w:p>
    <w:p w14:paraId="71245838" w14:textId="3A545C85" w:rsidR="002915F4" w:rsidRPr="00F64E87" w:rsidRDefault="002915F4" w:rsidP="00597239">
      <w:pPr>
        <w:spacing w:after="0" w:line="276" w:lineRule="auto"/>
        <w:rPr>
          <w:color w:val="000000"/>
          <w:sz w:val="24"/>
          <w:szCs w:val="24"/>
          <w:lang w:eastAsia="pl-PL"/>
        </w:rPr>
      </w:pPr>
      <w:r w:rsidRPr="00F64E87">
        <w:rPr>
          <w:sz w:val="24"/>
          <w:szCs w:val="24"/>
          <w:lang w:eastAsia="pl-PL"/>
        </w:rPr>
        <w:t xml:space="preserve">Z </w:t>
      </w:r>
      <w:r w:rsidRPr="00F64E87">
        <w:rPr>
          <w:color w:val="000000"/>
          <w:sz w:val="24"/>
          <w:szCs w:val="24"/>
          <w:lang w:eastAsia="pl-PL"/>
        </w:rPr>
        <w:t>uwagi na dynamiczny rozwój sprzedaży internetowej suplementów diety pracownicy PSSE</w:t>
      </w:r>
      <w:r w:rsidR="00836319">
        <w:rPr>
          <w:color w:val="000000"/>
          <w:sz w:val="24"/>
          <w:szCs w:val="24"/>
          <w:lang w:eastAsia="pl-PL"/>
        </w:rPr>
        <w:t xml:space="preserve"> </w:t>
      </w:r>
      <w:r w:rsidRPr="00F64E87">
        <w:rPr>
          <w:color w:val="000000"/>
          <w:sz w:val="24"/>
          <w:szCs w:val="24"/>
          <w:lang w:eastAsia="pl-PL"/>
        </w:rPr>
        <w:t>woj. zachodniopomorskiego prowadzili w 2024 r. stały monitoring stron internetowych oraz</w:t>
      </w:r>
      <w:r w:rsidR="003326B1">
        <w:rPr>
          <w:color w:val="000000"/>
          <w:sz w:val="24"/>
          <w:szCs w:val="24"/>
          <w:lang w:eastAsia="pl-PL"/>
        </w:rPr>
        <w:t> </w:t>
      </w:r>
      <w:r w:rsidRPr="00F64E87">
        <w:rPr>
          <w:color w:val="000000"/>
          <w:sz w:val="24"/>
          <w:szCs w:val="24"/>
          <w:lang w:eastAsia="pl-PL"/>
        </w:rPr>
        <w:t xml:space="preserve">portali sprzedażowych pod kątem wprowadzania do obrotu na nadzorowanym terenie suplementów diety. Każdorazowo oceniano, czy sprzedający dopełnił formalności dot. rejestracji/zatwierdzenia, czy prawidłowo znakuje sprzedawaną żywność, </w:t>
      </w:r>
      <w:r w:rsidRPr="00F64E87">
        <w:rPr>
          <w:sz w:val="24"/>
          <w:szCs w:val="24"/>
          <w:lang w:eastAsia="pl-PL"/>
        </w:rPr>
        <w:t>w szczególności</w:t>
      </w:r>
      <w:r w:rsidRPr="00F64E87">
        <w:rPr>
          <w:color w:val="000000"/>
          <w:sz w:val="24"/>
          <w:szCs w:val="24"/>
          <w:lang w:eastAsia="pl-PL"/>
        </w:rPr>
        <w:t>, czy</w:t>
      </w:r>
      <w:r w:rsidR="00836319">
        <w:rPr>
          <w:color w:val="000000"/>
          <w:sz w:val="24"/>
          <w:szCs w:val="24"/>
          <w:lang w:eastAsia="pl-PL"/>
        </w:rPr>
        <w:t> </w:t>
      </w:r>
      <w:r w:rsidRPr="00F64E87">
        <w:rPr>
          <w:color w:val="000000"/>
          <w:sz w:val="24"/>
          <w:szCs w:val="24"/>
          <w:lang w:eastAsia="pl-PL"/>
        </w:rPr>
        <w:t xml:space="preserve">nie przypisuje jej właściwości leczniczych. </w:t>
      </w:r>
      <w:bookmarkEnd w:id="265"/>
    </w:p>
    <w:p w14:paraId="1A5961A5" w14:textId="77777777" w:rsidR="002915F4" w:rsidRPr="00F64E87" w:rsidRDefault="002915F4" w:rsidP="00597239">
      <w:pPr>
        <w:spacing w:after="0" w:line="276" w:lineRule="auto"/>
        <w:rPr>
          <w:color w:val="0D0D0D" w:themeColor="text1" w:themeTint="F2"/>
          <w:sz w:val="24"/>
          <w:szCs w:val="24"/>
        </w:rPr>
      </w:pPr>
    </w:p>
    <w:p w14:paraId="7203AFCF" w14:textId="62361683" w:rsidR="002915F4" w:rsidRPr="00841919" w:rsidRDefault="002915F4" w:rsidP="00597239">
      <w:pPr>
        <w:pStyle w:val="Nagwek2"/>
        <w:numPr>
          <w:ilvl w:val="0"/>
          <w:numId w:val="74"/>
        </w:numPr>
        <w:spacing w:before="0" w:after="0"/>
        <w:ind w:left="284" w:hanging="284"/>
        <w:jc w:val="left"/>
      </w:pPr>
      <w:bookmarkStart w:id="267" w:name="_Toc194059818"/>
      <w:r w:rsidRPr="00841919">
        <w:t>Wzmożony nadzór nad zakładami żywienia zbiorowego w sezonie letnim</w:t>
      </w:r>
      <w:bookmarkEnd w:id="267"/>
    </w:p>
    <w:p w14:paraId="127C933C" w14:textId="77777777" w:rsidR="002915F4" w:rsidRPr="00841919" w:rsidRDefault="002915F4" w:rsidP="00597239">
      <w:pPr>
        <w:spacing w:after="0" w:line="276" w:lineRule="auto"/>
        <w:rPr>
          <w:rFonts w:ascii="Calibri" w:eastAsia="Calibri" w:hAnsi="Calibri" w:cs="Calibri"/>
          <w:sz w:val="24"/>
          <w:szCs w:val="24"/>
        </w:rPr>
      </w:pPr>
      <w:r w:rsidRPr="00841919">
        <w:rPr>
          <w:rFonts w:ascii="Calibri" w:eastAsia="Calibri" w:hAnsi="Calibri" w:cs="Calibri"/>
          <w:sz w:val="24"/>
          <w:szCs w:val="24"/>
        </w:rPr>
        <w:t xml:space="preserve">Nadzór nad bezpieczeństwem żywności i żywienia na terenie województwa zachodniopomorskiego w okresie sezonu letniego realizowany jest w obiektach działających całorocznie, które w sezonie letnim w odpowiedzi na podwyższony popyt zwiększają swoją produkcję, jak również w obiektach typowo sezonowych, jak np. stoiska z lodami, punkty małej gastronomii. </w:t>
      </w:r>
    </w:p>
    <w:p w14:paraId="5969B478" w14:textId="77777777" w:rsidR="00DD3EBB" w:rsidRDefault="00DD3EBB" w:rsidP="00597239">
      <w:pPr>
        <w:spacing w:after="0" w:line="276" w:lineRule="auto"/>
        <w:rPr>
          <w:rFonts w:ascii="Calibri" w:eastAsia="Aptos" w:hAnsi="Calibri" w:cs="Calibri"/>
          <w:sz w:val="24"/>
          <w:szCs w:val="24"/>
        </w:rPr>
      </w:pPr>
    </w:p>
    <w:p w14:paraId="5029222A" w14:textId="0D0A263D" w:rsidR="002915F4" w:rsidRPr="00841919" w:rsidRDefault="002915F4" w:rsidP="00597239">
      <w:pPr>
        <w:spacing w:after="0" w:line="276" w:lineRule="auto"/>
        <w:rPr>
          <w:rFonts w:ascii="Calibri" w:eastAsia="Aptos" w:hAnsi="Calibri" w:cs="Calibri"/>
          <w:sz w:val="24"/>
          <w:szCs w:val="24"/>
          <w:highlight w:val="yellow"/>
        </w:rPr>
      </w:pPr>
      <w:r w:rsidRPr="00841919">
        <w:rPr>
          <w:rFonts w:ascii="Calibri" w:eastAsia="Aptos" w:hAnsi="Calibri" w:cs="Calibri"/>
          <w:sz w:val="24"/>
          <w:szCs w:val="24"/>
        </w:rPr>
        <w:t>Według ewidencji Państwowej Inspekcji Sanitarnej w województwie zachodniopomorskim znajdowały się 10 242 ww. obiekty. W okresie sprawozdawczym w zakładach tych przeprowadzono ogółem 2515 kontroli.</w:t>
      </w:r>
    </w:p>
    <w:p w14:paraId="1723D735" w14:textId="77777777" w:rsidR="00DD3EBB" w:rsidRDefault="00DD3EBB" w:rsidP="00597239">
      <w:pPr>
        <w:spacing w:after="0" w:line="276" w:lineRule="auto"/>
        <w:contextualSpacing/>
        <w:rPr>
          <w:rFonts w:ascii="Calibri" w:eastAsia="Aptos" w:hAnsi="Calibri" w:cs="Calibri"/>
          <w:sz w:val="24"/>
          <w:szCs w:val="24"/>
        </w:rPr>
      </w:pPr>
    </w:p>
    <w:p w14:paraId="55107608" w14:textId="473D5648" w:rsidR="002915F4" w:rsidRPr="00841919" w:rsidRDefault="002915F4" w:rsidP="00597239">
      <w:pPr>
        <w:spacing w:after="0" w:line="276" w:lineRule="auto"/>
        <w:contextualSpacing/>
        <w:rPr>
          <w:rFonts w:ascii="Calibri" w:eastAsia="Aptos" w:hAnsi="Calibri" w:cs="Calibri"/>
          <w:sz w:val="24"/>
          <w:szCs w:val="24"/>
        </w:rPr>
      </w:pPr>
      <w:r w:rsidRPr="00841919">
        <w:rPr>
          <w:rFonts w:ascii="Calibri" w:eastAsia="Aptos" w:hAnsi="Calibri" w:cs="Calibri"/>
          <w:sz w:val="24"/>
          <w:szCs w:val="24"/>
        </w:rPr>
        <w:t xml:space="preserve">W drodze prowadzonego postępowania administracyjnego wydano 1409 decyzji, w tym 530 decyzji zatwierdzających obiekty do prowadzenia działalności żywieniowej. W celu poprawy stanu sanitarno-technicznego wydano 221 decyzji. Zarządzenia tych decyzji dotyczyły głównie: </w:t>
      </w:r>
    </w:p>
    <w:p w14:paraId="738CE366" w14:textId="77777777" w:rsidR="002915F4" w:rsidRPr="00DD3EBB" w:rsidRDefault="002915F4" w:rsidP="00597239">
      <w:pPr>
        <w:pStyle w:val="Akapitzlist"/>
        <w:numPr>
          <w:ilvl w:val="0"/>
          <w:numId w:val="98"/>
        </w:numPr>
        <w:spacing w:after="0" w:line="276" w:lineRule="auto"/>
        <w:rPr>
          <w:rFonts w:ascii="Calibri" w:eastAsia="Calibri" w:hAnsi="Calibri" w:cs="Calibri"/>
          <w:sz w:val="24"/>
          <w:szCs w:val="24"/>
        </w:rPr>
      </w:pPr>
      <w:r w:rsidRPr="00DD3EBB">
        <w:rPr>
          <w:rFonts w:ascii="Calibri" w:eastAsia="Calibri" w:hAnsi="Calibri" w:cs="Calibri"/>
          <w:sz w:val="24"/>
          <w:szCs w:val="24"/>
        </w:rPr>
        <w:lastRenderedPageBreak/>
        <w:t>doprowadzenia do właściwego stanu sanitarno–technicznego pomieszczeń oraz sprzętu w pomieszczeniach pionu żywienia;</w:t>
      </w:r>
    </w:p>
    <w:p w14:paraId="7EFCBFBB" w14:textId="77777777" w:rsidR="002915F4" w:rsidRPr="00DD3EBB" w:rsidRDefault="002915F4" w:rsidP="00597239">
      <w:pPr>
        <w:pStyle w:val="Akapitzlist"/>
        <w:numPr>
          <w:ilvl w:val="0"/>
          <w:numId w:val="98"/>
        </w:numPr>
        <w:spacing w:after="0" w:line="276" w:lineRule="auto"/>
        <w:rPr>
          <w:rFonts w:ascii="Calibri" w:eastAsia="Calibri" w:hAnsi="Calibri" w:cs="Calibri"/>
          <w:sz w:val="24"/>
          <w:szCs w:val="24"/>
        </w:rPr>
      </w:pPr>
      <w:r w:rsidRPr="00DD3EBB">
        <w:rPr>
          <w:rFonts w:ascii="Calibri" w:eastAsia="Calibri" w:hAnsi="Calibri" w:cs="Calibri"/>
          <w:sz w:val="24"/>
          <w:szCs w:val="24"/>
        </w:rPr>
        <w:t>opracowania/wdrożenia/zweryfikowania i utrzymania systemu kontroli wewnętrznej opartego na zasadach systemu HACCP, w tym warunków wstępnych GHP i GMP;</w:t>
      </w:r>
    </w:p>
    <w:p w14:paraId="4154568E" w14:textId="77777777" w:rsidR="002915F4" w:rsidRPr="00DD3EBB" w:rsidRDefault="002915F4" w:rsidP="00597239">
      <w:pPr>
        <w:pStyle w:val="Akapitzlist"/>
        <w:numPr>
          <w:ilvl w:val="0"/>
          <w:numId w:val="98"/>
        </w:numPr>
        <w:spacing w:after="0" w:line="276" w:lineRule="auto"/>
        <w:rPr>
          <w:rFonts w:ascii="Calibri" w:eastAsia="Aptos" w:hAnsi="Calibri" w:cs="Calibri"/>
          <w:sz w:val="24"/>
          <w:szCs w:val="24"/>
        </w:rPr>
      </w:pPr>
      <w:r w:rsidRPr="00DD3EBB">
        <w:rPr>
          <w:rFonts w:ascii="Calibri" w:eastAsia="Aptos" w:hAnsi="Calibri" w:cs="Calibri"/>
          <w:sz w:val="24"/>
          <w:szCs w:val="24"/>
        </w:rPr>
        <w:t>zapewnienia bieżącej ciepłej i zimnej wody w zakładzie;</w:t>
      </w:r>
    </w:p>
    <w:p w14:paraId="5B895588" w14:textId="77777777" w:rsidR="002915F4" w:rsidRPr="00DD3EBB" w:rsidRDefault="002915F4" w:rsidP="00597239">
      <w:pPr>
        <w:pStyle w:val="Akapitzlist"/>
        <w:numPr>
          <w:ilvl w:val="0"/>
          <w:numId w:val="98"/>
        </w:numPr>
        <w:suppressAutoHyphens/>
        <w:spacing w:after="0" w:line="276" w:lineRule="auto"/>
        <w:rPr>
          <w:rFonts w:ascii="Calibri" w:eastAsia="Aptos" w:hAnsi="Calibri" w:cs="Calibri"/>
          <w:sz w:val="24"/>
          <w:szCs w:val="24"/>
        </w:rPr>
      </w:pPr>
      <w:r w:rsidRPr="00DD3EBB">
        <w:rPr>
          <w:rFonts w:ascii="Calibri" w:eastAsia="SimSun" w:hAnsi="Calibri" w:cs="Calibri"/>
          <w:kern w:val="3"/>
          <w:sz w:val="24"/>
          <w:szCs w:val="24"/>
          <w:lang w:bidi="hi-IN"/>
        </w:rPr>
        <w:t>przedłożenia orzeczenia lekarskiego dla celów sanitarno-epidemiologicznych;</w:t>
      </w:r>
    </w:p>
    <w:p w14:paraId="3EA33B57" w14:textId="77777777" w:rsidR="002915F4" w:rsidRPr="00DD3EBB" w:rsidRDefault="002915F4" w:rsidP="00597239">
      <w:pPr>
        <w:pStyle w:val="Akapitzlist"/>
        <w:numPr>
          <w:ilvl w:val="0"/>
          <w:numId w:val="98"/>
        </w:numPr>
        <w:spacing w:after="0" w:line="276" w:lineRule="auto"/>
        <w:rPr>
          <w:rFonts w:ascii="Calibri" w:eastAsia="Calibri" w:hAnsi="Calibri" w:cs="Calibri"/>
          <w:sz w:val="24"/>
          <w:szCs w:val="24"/>
        </w:rPr>
      </w:pPr>
      <w:r w:rsidRPr="00DD3EBB">
        <w:rPr>
          <w:rFonts w:ascii="Calibri" w:eastAsia="Times New Roman" w:hAnsi="Calibri" w:cs="Calibri"/>
          <w:sz w:val="24"/>
          <w:szCs w:val="24"/>
          <w:lang w:eastAsia="ar-SA"/>
        </w:rPr>
        <w:t>podjęcia działań naprawczych mających na celu wyeliminowanie obecności szkodników oraz właściwe zabezpieczenie zakładu przed szkodnikami;</w:t>
      </w:r>
    </w:p>
    <w:p w14:paraId="172858E4" w14:textId="77777777" w:rsidR="002915F4" w:rsidRPr="00DD3EBB" w:rsidRDefault="002915F4" w:rsidP="00597239">
      <w:pPr>
        <w:pStyle w:val="Akapitzlist"/>
        <w:numPr>
          <w:ilvl w:val="0"/>
          <w:numId w:val="98"/>
        </w:numPr>
        <w:suppressAutoHyphens/>
        <w:spacing w:after="0" w:line="276" w:lineRule="auto"/>
        <w:rPr>
          <w:rFonts w:ascii="Calibri" w:eastAsia="Aptos" w:hAnsi="Calibri" w:cs="Calibri"/>
          <w:sz w:val="24"/>
          <w:szCs w:val="24"/>
        </w:rPr>
      </w:pPr>
      <w:r w:rsidRPr="00DD3EBB">
        <w:rPr>
          <w:rFonts w:ascii="Calibri" w:eastAsia="Aptos" w:hAnsi="Calibri" w:cs="Calibri"/>
          <w:bCs/>
          <w:sz w:val="24"/>
          <w:szCs w:val="24"/>
        </w:rPr>
        <w:t>zapewnienia bezpiecznych i higienicznych warunków składowania odpadów komunalnych;</w:t>
      </w:r>
    </w:p>
    <w:p w14:paraId="01E6E5F8" w14:textId="77777777" w:rsidR="002915F4" w:rsidRPr="00DD3EBB" w:rsidRDefault="002915F4" w:rsidP="00597239">
      <w:pPr>
        <w:pStyle w:val="Akapitzlist"/>
        <w:numPr>
          <w:ilvl w:val="0"/>
          <w:numId w:val="98"/>
        </w:numPr>
        <w:spacing w:after="0" w:line="276" w:lineRule="auto"/>
        <w:rPr>
          <w:rFonts w:ascii="Calibri" w:eastAsia="Calibri" w:hAnsi="Calibri" w:cs="Calibri"/>
          <w:sz w:val="24"/>
          <w:szCs w:val="24"/>
        </w:rPr>
      </w:pPr>
      <w:r w:rsidRPr="00DD3EBB">
        <w:rPr>
          <w:rFonts w:ascii="Calibri" w:eastAsia="Calibri" w:hAnsi="Calibri" w:cs="Calibri"/>
          <w:sz w:val="24"/>
          <w:szCs w:val="24"/>
        </w:rPr>
        <w:t>opracowania i udostępnienia konsumentom informacji dotyczącej substancji lub produktów powodujących alergie lub reakcje nietolerancji, znajdujących się w potrawach oferowanych do sprzedaży.</w:t>
      </w:r>
    </w:p>
    <w:p w14:paraId="4B7CB9CE" w14:textId="77777777" w:rsidR="00DD3EBB" w:rsidRDefault="00DD3EBB" w:rsidP="00597239">
      <w:pPr>
        <w:spacing w:after="0" w:line="276" w:lineRule="auto"/>
        <w:contextualSpacing/>
        <w:rPr>
          <w:rFonts w:ascii="Calibri" w:eastAsia="Aptos" w:hAnsi="Calibri" w:cs="Calibri"/>
          <w:sz w:val="24"/>
          <w:szCs w:val="24"/>
        </w:rPr>
      </w:pPr>
    </w:p>
    <w:p w14:paraId="121104FB" w14:textId="2C517185" w:rsidR="002915F4" w:rsidRPr="00841919" w:rsidRDefault="002915F4" w:rsidP="00597239">
      <w:pPr>
        <w:spacing w:after="0" w:line="276" w:lineRule="auto"/>
        <w:contextualSpacing/>
        <w:rPr>
          <w:rFonts w:ascii="Calibri" w:eastAsia="Calibri" w:hAnsi="Calibri" w:cs="Calibri"/>
          <w:sz w:val="24"/>
          <w:szCs w:val="24"/>
        </w:rPr>
      </w:pPr>
      <w:r w:rsidRPr="00841919">
        <w:rPr>
          <w:rFonts w:ascii="Calibri" w:eastAsia="Aptos" w:hAnsi="Calibri" w:cs="Calibri"/>
          <w:sz w:val="24"/>
          <w:szCs w:val="24"/>
        </w:rPr>
        <w:t>Wydano 8 decyzji dotyczących unieruchomienia /przerwania działalności zakładu:</w:t>
      </w:r>
    </w:p>
    <w:p w14:paraId="31F8D945" w14:textId="77777777" w:rsidR="002915F4" w:rsidRPr="00DD3EBB" w:rsidRDefault="002915F4" w:rsidP="00597239">
      <w:pPr>
        <w:pStyle w:val="Akapitzlist"/>
        <w:numPr>
          <w:ilvl w:val="0"/>
          <w:numId w:val="99"/>
        </w:numPr>
        <w:spacing w:after="0" w:line="276" w:lineRule="auto"/>
        <w:rPr>
          <w:rFonts w:ascii="Calibri" w:eastAsia="Calibri" w:hAnsi="Calibri" w:cs="Calibri"/>
          <w:sz w:val="24"/>
          <w:szCs w:val="24"/>
        </w:rPr>
      </w:pPr>
      <w:r w:rsidRPr="00DD3EBB">
        <w:rPr>
          <w:rFonts w:ascii="Calibri" w:eastAsia="Times New Roman" w:hAnsi="Calibri" w:cs="Calibri"/>
          <w:iCs/>
          <w:sz w:val="24"/>
          <w:szCs w:val="24"/>
          <w:lang w:eastAsia="pl-PL"/>
        </w:rPr>
        <w:t>5 decyzji w związku z otrzymaniem złych wyników badań lodów z automatu wyprodukowanych w zakładach małej gastronomii;</w:t>
      </w:r>
    </w:p>
    <w:p w14:paraId="32B3EC82" w14:textId="77777777" w:rsidR="002915F4" w:rsidRPr="00DD3EBB" w:rsidRDefault="002915F4" w:rsidP="00597239">
      <w:pPr>
        <w:pStyle w:val="Akapitzlist"/>
        <w:numPr>
          <w:ilvl w:val="0"/>
          <w:numId w:val="99"/>
        </w:numPr>
        <w:spacing w:after="0" w:line="276" w:lineRule="auto"/>
        <w:rPr>
          <w:rFonts w:ascii="Calibri" w:eastAsia="Calibri" w:hAnsi="Calibri" w:cs="Calibri"/>
          <w:sz w:val="24"/>
          <w:szCs w:val="24"/>
        </w:rPr>
      </w:pPr>
      <w:r w:rsidRPr="00DD3EBB">
        <w:rPr>
          <w:rFonts w:ascii="Calibri" w:eastAsia="Aptos" w:hAnsi="Calibri" w:cs="Calibri"/>
          <w:iCs/>
          <w:sz w:val="24"/>
          <w:szCs w:val="24"/>
        </w:rPr>
        <w:t>1 decyzję ze względu na brak</w:t>
      </w:r>
      <w:r w:rsidRPr="00DD3EBB">
        <w:rPr>
          <w:rFonts w:ascii="Calibri" w:eastAsia="Aptos" w:hAnsi="Calibri" w:cs="Calibri"/>
          <w:sz w:val="24"/>
          <w:szCs w:val="24"/>
        </w:rPr>
        <w:t xml:space="preserve"> w zakładzie bieżącej ciepłej i zimnej wody spełniającej wymagania przepisów prawa żywnościowego;</w:t>
      </w:r>
    </w:p>
    <w:p w14:paraId="3B84F2CC" w14:textId="77777777" w:rsidR="002915F4" w:rsidRPr="00DD3EBB" w:rsidRDefault="002915F4" w:rsidP="00597239">
      <w:pPr>
        <w:pStyle w:val="Akapitzlist"/>
        <w:numPr>
          <w:ilvl w:val="0"/>
          <w:numId w:val="99"/>
        </w:numPr>
        <w:spacing w:after="0" w:line="276" w:lineRule="auto"/>
        <w:rPr>
          <w:rFonts w:ascii="Calibri" w:eastAsia="Calibri" w:hAnsi="Calibri" w:cs="Calibri"/>
          <w:sz w:val="24"/>
          <w:szCs w:val="24"/>
        </w:rPr>
      </w:pPr>
      <w:r w:rsidRPr="00DD3EBB">
        <w:rPr>
          <w:rFonts w:ascii="Calibri" w:eastAsia="Aptos" w:hAnsi="Calibri" w:cs="Calibri"/>
          <w:iCs/>
          <w:sz w:val="24"/>
          <w:szCs w:val="24"/>
        </w:rPr>
        <w:t xml:space="preserve">2 decyzje </w:t>
      </w:r>
      <w:r w:rsidRPr="00DD3EBB">
        <w:rPr>
          <w:rFonts w:ascii="Calibri" w:eastAsia="Times New Roman" w:hAnsi="Calibri" w:cs="Calibri"/>
          <w:sz w:val="24"/>
          <w:szCs w:val="24"/>
          <w:lang w:eastAsia="pl-PL"/>
        </w:rPr>
        <w:t>nakazujące zaprzestania prowadzenia działalności do czasu spełnienia wymagań prawa żywnościowego</w:t>
      </w:r>
      <w:r w:rsidRPr="00DD3EBB">
        <w:rPr>
          <w:rFonts w:ascii="Calibri" w:eastAsia="Aptos" w:hAnsi="Calibri" w:cs="Calibri"/>
          <w:sz w:val="24"/>
          <w:szCs w:val="24"/>
        </w:rPr>
        <w:t>.</w:t>
      </w:r>
    </w:p>
    <w:p w14:paraId="5AA97730" w14:textId="77777777" w:rsidR="00DD3EBB" w:rsidRDefault="00DD3EBB" w:rsidP="00597239">
      <w:pPr>
        <w:spacing w:after="0" w:line="276" w:lineRule="auto"/>
        <w:rPr>
          <w:rFonts w:ascii="Calibri" w:eastAsia="Aptos" w:hAnsi="Calibri" w:cs="Calibri"/>
          <w:sz w:val="24"/>
          <w:szCs w:val="24"/>
        </w:rPr>
      </w:pPr>
    </w:p>
    <w:p w14:paraId="76633F18" w14:textId="0AF10069" w:rsidR="002915F4" w:rsidRPr="00841919" w:rsidRDefault="002915F4" w:rsidP="00597239">
      <w:pPr>
        <w:spacing w:after="0" w:line="276" w:lineRule="auto"/>
        <w:rPr>
          <w:rFonts w:ascii="Calibri" w:eastAsia="Aptos" w:hAnsi="Calibri" w:cs="Calibri"/>
          <w:sz w:val="24"/>
          <w:szCs w:val="24"/>
        </w:rPr>
      </w:pPr>
      <w:r w:rsidRPr="00841919">
        <w:rPr>
          <w:rFonts w:ascii="Calibri" w:eastAsia="Aptos" w:hAnsi="Calibri" w:cs="Calibri"/>
          <w:sz w:val="24"/>
          <w:szCs w:val="24"/>
        </w:rPr>
        <w:t>Wydano 17 decyzji nakazujących wycofanie środków spożywczych niewłaściwej jakości, w stanie zamrożenia, które przechowywano niezgodnie z zaleceniami producentów, po</w:t>
      </w:r>
      <w:r w:rsidR="003326B1">
        <w:rPr>
          <w:rFonts w:ascii="Calibri" w:eastAsia="Aptos" w:hAnsi="Calibri" w:cs="Calibri"/>
          <w:sz w:val="24"/>
          <w:szCs w:val="24"/>
        </w:rPr>
        <w:t> </w:t>
      </w:r>
      <w:r w:rsidRPr="00841919">
        <w:rPr>
          <w:rFonts w:ascii="Calibri" w:eastAsia="Aptos" w:hAnsi="Calibri" w:cs="Calibri"/>
          <w:sz w:val="24"/>
          <w:szCs w:val="24"/>
        </w:rPr>
        <w:t>upływie terminów przydatności do spożycia oraz środki spożywcze nieoznakowane we właściwy sposób, bez możliwości ich identyfikacji.</w:t>
      </w:r>
    </w:p>
    <w:p w14:paraId="00AE5AAD" w14:textId="77777777" w:rsidR="00DD3EBB" w:rsidRDefault="00DD3EBB" w:rsidP="00597239">
      <w:pPr>
        <w:spacing w:after="0" w:line="276" w:lineRule="auto"/>
        <w:rPr>
          <w:rFonts w:ascii="Calibri" w:eastAsia="Aptos" w:hAnsi="Calibri" w:cs="Calibri"/>
          <w:sz w:val="24"/>
          <w:szCs w:val="24"/>
        </w:rPr>
      </w:pPr>
    </w:p>
    <w:p w14:paraId="58786464" w14:textId="324E4B5F" w:rsidR="002915F4" w:rsidRPr="00841919" w:rsidRDefault="002915F4" w:rsidP="00597239">
      <w:pPr>
        <w:spacing w:after="0" w:line="276" w:lineRule="auto"/>
        <w:rPr>
          <w:rFonts w:ascii="Calibri" w:eastAsia="Aptos" w:hAnsi="Calibri" w:cs="Calibri"/>
          <w:sz w:val="24"/>
          <w:szCs w:val="24"/>
        </w:rPr>
      </w:pPr>
      <w:r w:rsidRPr="00841919">
        <w:rPr>
          <w:rFonts w:ascii="Calibri" w:eastAsia="Aptos" w:hAnsi="Calibri" w:cs="Calibri"/>
          <w:sz w:val="24"/>
          <w:szCs w:val="24"/>
        </w:rPr>
        <w:t>Za nieprawidłowości w bieżącym stanie sanitarnym nałożono 442 mandaty karne w łącznej kwocie 139 050 zł.</w:t>
      </w:r>
      <w:r w:rsidRPr="00841919">
        <w:rPr>
          <w:rFonts w:ascii="Calibri" w:eastAsia="Aptos" w:hAnsi="Calibri" w:cs="Calibri"/>
          <w:color w:val="FF0000"/>
          <w:sz w:val="24"/>
          <w:szCs w:val="24"/>
        </w:rPr>
        <w:t xml:space="preserve"> </w:t>
      </w:r>
      <w:r w:rsidRPr="00841919">
        <w:rPr>
          <w:rFonts w:ascii="Calibri" w:eastAsia="Aptos" w:hAnsi="Calibri" w:cs="Calibri"/>
          <w:sz w:val="24"/>
          <w:szCs w:val="24"/>
        </w:rPr>
        <w:t>Najczęściej stwierdzanymi w trakcie kontroli uchybieniami kwalifikującymi się do nałożenia mandatów karnych były:</w:t>
      </w:r>
    </w:p>
    <w:p w14:paraId="1DB04718" w14:textId="77777777" w:rsidR="002915F4" w:rsidRPr="00DD3EBB" w:rsidRDefault="002915F4" w:rsidP="00597239">
      <w:pPr>
        <w:pStyle w:val="Akapitzlist"/>
        <w:numPr>
          <w:ilvl w:val="0"/>
          <w:numId w:val="100"/>
        </w:numPr>
        <w:spacing w:after="0" w:line="276" w:lineRule="auto"/>
        <w:rPr>
          <w:rFonts w:ascii="Calibri" w:eastAsia="Calibri" w:hAnsi="Calibri" w:cs="Calibri"/>
          <w:sz w:val="24"/>
          <w:szCs w:val="24"/>
        </w:rPr>
      </w:pPr>
      <w:r w:rsidRPr="00DD3EBB">
        <w:rPr>
          <w:rFonts w:ascii="Calibri" w:eastAsia="Calibri" w:hAnsi="Calibri" w:cs="Calibri"/>
          <w:sz w:val="24"/>
          <w:szCs w:val="24"/>
        </w:rPr>
        <w:t xml:space="preserve">brudny sprzęt produkcyjny, naczynia, powierzchnie robocze, urządzenia chłodnicze; </w:t>
      </w:r>
    </w:p>
    <w:p w14:paraId="0EA41360" w14:textId="77777777" w:rsidR="002915F4" w:rsidRPr="00DD3EBB" w:rsidRDefault="002915F4" w:rsidP="00597239">
      <w:pPr>
        <w:pStyle w:val="Akapitzlist"/>
        <w:numPr>
          <w:ilvl w:val="0"/>
          <w:numId w:val="100"/>
        </w:numPr>
        <w:spacing w:after="0" w:line="276" w:lineRule="auto"/>
        <w:rPr>
          <w:rFonts w:ascii="Calibri" w:eastAsia="Aptos" w:hAnsi="Calibri" w:cs="Calibri"/>
          <w:sz w:val="24"/>
          <w:szCs w:val="24"/>
        </w:rPr>
      </w:pPr>
      <w:r w:rsidRPr="00DD3EBB">
        <w:rPr>
          <w:rFonts w:ascii="Calibri" w:eastAsia="Aptos" w:hAnsi="Calibri" w:cs="Calibri"/>
          <w:sz w:val="24"/>
          <w:szCs w:val="24"/>
        </w:rPr>
        <w:t>nieprzestrzeganie zasad higieny przez personel pracujący przy produkcji żywności;</w:t>
      </w:r>
    </w:p>
    <w:p w14:paraId="4788116E" w14:textId="77777777" w:rsidR="002915F4" w:rsidRPr="00DD3EBB" w:rsidRDefault="002915F4" w:rsidP="00597239">
      <w:pPr>
        <w:pStyle w:val="Akapitzlist"/>
        <w:numPr>
          <w:ilvl w:val="0"/>
          <w:numId w:val="100"/>
        </w:numPr>
        <w:spacing w:after="0" w:line="276" w:lineRule="auto"/>
        <w:rPr>
          <w:rFonts w:ascii="Calibri" w:eastAsia="Aptos" w:hAnsi="Calibri" w:cs="Calibri"/>
          <w:sz w:val="24"/>
          <w:szCs w:val="24"/>
        </w:rPr>
      </w:pPr>
      <w:r w:rsidRPr="00DD3EBB">
        <w:rPr>
          <w:rFonts w:ascii="Calibri" w:eastAsia="Aptos" w:hAnsi="Calibri" w:cs="Calibri"/>
          <w:sz w:val="24"/>
          <w:szCs w:val="24"/>
        </w:rPr>
        <w:t>wykorzystywanie do produkcji przeterminowanych środków spożywczych bądź nieoznakowanych;</w:t>
      </w:r>
    </w:p>
    <w:p w14:paraId="4A1194B5" w14:textId="77777777" w:rsidR="002915F4" w:rsidRPr="00DD3EBB" w:rsidRDefault="002915F4" w:rsidP="00597239">
      <w:pPr>
        <w:pStyle w:val="Akapitzlist"/>
        <w:numPr>
          <w:ilvl w:val="0"/>
          <w:numId w:val="100"/>
        </w:numPr>
        <w:spacing w:after="0" w:line="276" w:lineRule="auto"/>
        <w:rPr>
          <w:rFonts w:ascii="Calibri" w:eastAsia="Aptos" w:hAnsi="Calibri" w:cs="Calibri"/>
          <w:sz w:val="24"/>
          <w:szCs w:val="24"/>
        </w:rPr>
      </w:pPr>
      <w:r w:rsidRPr="00DD3EBB">
        <w:rPr>
          <w:rFonts w:ascii="Calibri" w:eastAsia="Aptos" w:hAnsi="Calibri" w:cs="Calibri"/>
          <w:bCs/>
          <w:sz w:val="24"/>
          <w:szCs w:val="24"/>
        </w:rPr>
        <w:t>przechowywanie środków spożywczych niezgodnie z zaleceniami producentów;</w:t>
      </w:r>
      <w:r w:rsidRPr="00DD3EBB">
        <w:rPr>
          <w:rFonts w:ascii="Calibri" w:eastAsia="Aptos" w:hAnsi="Calibri" w:cs="Calibri"/>
          <w:sz w:val="24"/>
          <w:szCs w:val="24"/>
        </w:rPr>
        <w:t xml:space="preserve"> w sposób niezabezpieczający przed zanieczyszczeniami wtórnymi, brak ich segregacji;</w:t>
      </w:r>
    </w:p>
    <w:p w14:paraId="1F82C53D" w14:textId="77777777" w:rsidR="002915F4" w:rsidRPr="00DD3EBB" w:rsidRDefault="002915F4" w:rsidP="00597239">
      <w:pPr>
        <w:pStyle w:val="Akapitzlist"/>
        <w:numPr>
          <w:ilvl w:val="0"/>
          <w:numId w:val="100"/>
        </w:numPr>
        <w:spacing w:after="0" w:line="276" w:lineRule="auto"/>
        <w:rPr>
          <w:rFonts w:ascii="Calibri" w:eastAsia="Calibri" w:hAnsi="Calibri" w:cs="Calibri"/>
          <w:sz w:val="24"/>
          <w:szCs w:val="24"/>
        </w:rPr>
      </w:pPr>
      <w:r w:rsidRPr="00DD3EBB">
        <w:rPr>
          <w:rFonts w:ascii="Calibri" w:eastAsia="Aptos" w:hAnsi="Calibri" w:cs="Calibri"/>
          <w:sz w:val="24"/>
          <w:szCs w:val="24"/>
        </w:rPr>
        <w:t>brak/nieprzestrzeganie opracowanych i wdrożonych procedur systemu kontroli wewnętrznej opartych na zasadach HACCP;</w:t>
      </w:r>
      <w:r w:rsidRPr="00DD3EBB">
        <w:rPr>
          <w:rFonts w:ascii="Calibri" w:eastAsia="Calibri" w:hAnsi="Calibri" w:cs="Calibri"/>
          <w:sz w:val="24"/>
          <w:szCs w:val="24"/>
        </w:rPr>
        <w:t xml:space="preserve"> </w:t>
      </w:r>
    </w:p>
    <w:p w14:paraId="76D574B2" w14:textId="77777777" w:rsidR="002915F4" w:rsidRPr="00DD3EBB" w:rsidRDefault="002915F4" w:rsidP="00597239">
      <w:pPr>
        <w:pStyle w:val="Akapitzlist"/>
        <w:numPr>
          <w:ilvl w:val="0"/>
          <w:numId w:val="100"/>
        </w:numPr>
        <w:spacing w:after="0" w:line="276" w:lineRule="auto"/>
        <w:rPr>
          <w:rFonts w:ascii="Calibri" w:eastAsia="Calibri" w:hAnsi="Calibri" w:cs="Calibri"/>
          <w:sz w:val="24"/>
          <w:szCs w:val="24"/>
        </w:rPr>
      </w:pPr>
      <w:r w:rsidRPr="00DD3EBB">
        <w:rPr>
          <w:rFonts w:ascii="Calibri" w:eastAsia="Calibri" w:hAnsi="Calibri" w:cs="Calibri"/>
          <w:sz w:val="24"/>
          <w:szCs w:val="24"/>
        </w:rPr>
        <w:t>brak dokumentacji lekarskiej do celów sanitarno-epidemiologicznych osób mających kontakt z żywnością.</w:t>
      </w:r>
    </w:p>
    <w:p w14:paraId="2B578D93" w14:textId="77777777" w:rsidR="00DD3EBB" w:rsidRDefault="00DD3EBB" w:rsidP="00597239">
      <w:pPr>
        <w:spacing w:after="0" w:line="276" w:lineRule="auto"/>
        <w:rPr>
          <w:rFonts w:ascii="Calibri" w:eastAsia="Aptos" w:hAnsi="Calibri" w:cs="Calibri"/>
          <w:sz w:val="24"/>
          <w:szCs w:val="24"/>
        </w:rPr>
      </w:pPr>
    </w:p>
    <w:p w14:paraId="75EAD210" w14:textId="11B36C89" w:rsidR="002915F4" w:rsidRPr="00841919" w:rsidRDefault="002915F4" w:rsidP="00597239">
      <w:pPr>
        <w:spacing w:after="0" w:line="276" w:lineRule="auto"/>
        <w:rPr>
          <w:rFonts w:ascii="Calibri" w:eastAsia="Aptos" w:hAnsi="Calibri" w:cs="Calibri"/>
          <w:sz w:val="24"/>
          <w:szCs w:val="24"/>
          <w:highlight w:val="yellow"/>
        </w:rPr>
      </w:pPr>
      <w:r w:rsidRPr="00841919">
        <w:rPr>
          <w:rFonts w:ascii="Calibri" w:eastAsia="Aptos" w:hAnsi="Calibri" w:cs="Calibri"/>
          <w:sz w:val="24"/>
          <w:szCs w:val="24"/>
        </w:rPr>
        <w:t>Do Państwowej Inspekcji Sanitarnej województwa zachodniopomorskiego wpłynęło 227 zgłoszeń interwencyjnych, z czego ok. 40 % (90) zostało potwierdzonych.</w:t>
      </w:r>
      <w:r w:rsidRPr="00841919">
        <w:rPr>
          <w:rFonts w:ascii="Calibri" w:eastAsia="Aptos" w:hAnsi="Calibri" w:cs="Calibri"/>
          <w:color w:val="FF0000"/>
          <w:sz w:val="24"/>
          <w:szCs w:val="24"/>
        </w:rPr>
        <w:t xml:space="preserve"> </w:t>
      </w:r>
      <w:r w:rsidRPr="00841919">
        <w:rPr>
          <w:rFonts w:ascii="Calibri" w:eastAsia="Aptos" w:hAnsi="Calibri" w:cs="Calibri"/>
          <w:sz w:val="24"/>
          <w:szCs w:val="24"/>
        </w:rPr>
        <w:t>Zarzuty podnoszone przez wnoszących interwencje dotyczyły przede wszystkim:</w:t>
      </w:r>
    </w:p>
    <w:p w14:paraId="4C89A453"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niewłaściwego stanu sanitarnego pomieszczeń i wyposażenia zakładu;</w:t>
      </w:r>
    </w:p>
    <w:p w14:paraId="5771EF60"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wystąpienia dolegliwości żołądkowo-jelitowych po spożyciu żywności;</w:t>
      </w:r>
    </w:p>
    <w:p w14:paraId="48F90CF1"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braku toalety dla klientów;</w:t>
      </w:r>
    </w:p>
    <w:p w14:paraId="157255F1"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obecności szkodników i ich odchodów w zakładzie i w żywności;</w:t>
      </w:r>
    </w:p>
    <w:p w14:paraId="5E57B09A"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braku udostępnienia informacji o składnikach potraw;</w:t>
      </w:r>
    </w:p>
    <w:p w14:paraId="651EEAAC"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braku dostępu do wody w zakładzie;</w:t>
      </w:r>
    </w:p>
    <w:p w14:paraId="6E1DA372"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nieprzestrzegania higieny podczas prowadzonej działalności;</w:t>
      </w:r>
    </w:p>
    <w:p w14:paraId="021439E3"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niewłaściwej jakości środków spożywczych;</w:t>
      </w:r>
    </w:p>
    <w:p w14:paraId="5CFD7B7A" w14:textId="77777777" w:rsidR="002915F4" w:rsidRPr="00DD3EBB" w:rsidRDefault="002915F4" w:rsidP="00597239">
      <w:pPr>
        <w:pStyle w:val="Akapitzlist"/>
        <w:numPr>
          <w:ilvl w:val="0"/>
          <w:numId w:val="101"/>
        </w:numPr>
        <w:spacing w:after="0" w:line="276" w:lineRule="auto"/>
        <w:rPr>
          <w:rFonts w:ascii="Calibri" w:eastAsia="Aptos" w:hAnsi="Calibri" w:cs="Calibri"/>
          <w:sz w:val="24"/>
          <w:szCs w:val="24"/>
        </w:rPr>
      </w:pPr>
      <w:r w:rsidRPr="00DD3EBB">
        <w:rPr>
          <w:rFonts w:ascii="Calibri" w:eastAsia="Aptos" w:hAnsi="Calibri" w:cs="Calibri"/>
          <w:sz w:val="24"/>
          <w:szCs w:val="24"/>
        </w:rPr>
        <w:t>nieprawidłowego przechowywania środków spożywczych.</w:t>
      </w:r>
    </w:p>
    <w:p w14:paraId="124C3C56" w14:textId="77777777" w:rsidR="00DD3EBB" w:rsidRDefault="00DD3EBB" w:rsidP="00597239">
      <w:pPr>
        <w:spacing w:after="0" w:line="276" w:lineRule="auto"/>
        <w:rPr>
          <w:rFonts w:ascii="Calibri" w:eastAsia="Aptos" w:hAnsi="Calibri" w:cs="Calibri"/>
          <w:sz w:val="24"/>
          <w:szCs w:val="24"/>
        </w:rPr>
      </w:pPr>
    </w:p>
    <w:p w14:paraId="0376D224" w14:textId="39BFE8A1" w:rsidR="002915F4" w:rsidRPr="00841919" w:rsidRDefault="002915F4" w:rsidP="00597239">
      <w:pPr>
        <w:spacing w:after="0" w:line="276" w:lineRule="auto"/>
        <w:rPr>
          <w:rFonts w:ascii="Calibri" w:eastAsia="Aptos" w:hAnsi="Calibri" w:cs="Calibri"/>
          <w:sz w:val="24"/>
          <w:szCs w:val="24"/>
        </w:rPr>
      </w:pPr>
      <w:r w:rsidRPr="00841919">
        <w:rPr>
          <w:rFonts w:ascii="Calibri" w:eastAsia="Aptos" w:hAnsi="Calibri" w:cs="Calibri"/>
          <w:sz w:val="24"/>
          <w:szCs w:val="24"/>
        </w:rPr>
        <w:t>Każdorazowo po otrzymaniu zgłoszenia niezwłocznie podejmowano działania kontrolne.</w:t>
      </w:r>
    </w:p>
    <w:p w14:paraId="006858E4" w14:textId="0182F3C3" w:rsidR="002915F4" w:rsidRPr="00841919" w:rsidRDefault="002915F4" w:rsidP="00597239">
      <w:pPr>
        <w:spacing w:after="0" w:line="276" w:lineRule="auto"/>
        <w:rPr>
          <w:rFonts w:ascii="Calibri" w:eastAsia="Calibri" w:hAnsi="Calibri" w:cs="Calibri"/>
          <w:sz w:val="24"/>
          <w:szCs w:val="24"/>
        </w:rPr>
      </w:pPr>
      <w:r w:rsidRPr="00841919">
        <w:rPr>
          <w:rFonts w:ascii="Calibri" w:eastAsia="Calibri" w:hAnsi="Calibri" w:cs="Calibri"/>
          <w:sz w:val="24"/>
          <w:szCs w:val="24"/>
        </w:rPr>
        <w:t>W trakcie trwania sezonu letniego przeprowadzono wyrywkowe kontrole automatów do lodów wraz z poborem próbek do badań laboratoryjnych w kierunku zanieczyszczeń mikrobiologicznych. Do kontroli wytypowano obiekty zlokalizowane w miejscach o zwiększonym ruchu turystycznym. Do badań mikrobiologicznych pobrano łącznie 365 próbek z 73 partii lodów z automatu. W próbkach lodów nie stwierdzono drobnoustrojów chorobotwórczych, tj. Salmonella (obecność w 25 g) oraz Listeria monocytogenes (liczba w</w:t>
      </w:r>
      <w:r w:rsidR="00DD3EBB">
        <w:rPr>
          <w:rFonts w:ascii="Calibri" w:eastAsia="Calibri" w:hAnsi="Calibri" w:cs="Calibri"/>
          <w:sz w:val="24"/>
          <w:szCs w:val="24"/>
        </w:rPr>
        <w:t> </w:t>
      </w:r>
      <w:r w:rsidRPr="00841919">
        <w:rPr>
          <w:rFonts w:ascii="Calibri" w:eastAsia="Calibri" w:hAnsi="Calibri" w:cs="Calibri"/>
          <w:sz w:val="24"/>
          <w:szCs w:val="24"/>
        </w:rPr>
        <w:t xml:space="preserve">1g). Jednak ze względu na zawyżoną ilość bakterii </w:t>
      </w:r>
      <w:proofErr w:type="spellStart"/>
      <w:r w:rsidRPr="00841919">
        <w:rPr>
          <w:rFonts w:ascii="Calibri" w:eastAsia="Calibri" w:hAnsi="Calibri" w:cs="Calibri"/>
          <w:sz w:val="24"/>
          <w:szCs w:val="24"/>
        </w:rPr>
        <w:t>Enterobacteriacae</w:t>
      </w:r>
      <w:proofErr w:type="spellEnd"/>
      <w:r w:rsidRPr="00841919">
        <w:rPr>
          <w:rFonts w:ascii="Calibri" w:eastAsia="Calibri" w:hAnsi="Calibri" w:cs="Calibri"/>
          <w:sz w:val="24"/>
          <w:szCs w:val="24"/>
        </w:rPr>
        <w:t xml:space="preserve"> (liczba w 1g), będących mikroorganizmami wskaźnikowymi, świadczącymi o braku zachowania należytej higieny w procesie produkcji kwestionowano 160 próbek lodów z 32 partii lodów z automatu (44 %).</w:t>
      </w:r>
    </w:p>
    <w:p w14:paraId="3E26E3F1" w14:textId="77777777" w:rsidR="002915F4" w:rsidRPr="00841919" w:rsidRDefault="002915F4" w:rsidP="00597239">
      <w:pPr>
        <w:spacing w:after="0" w:line="276" w:lineRule="auto"/>
        <w:rPr>
          <w:rFonts w:ascii="Calibri" w:eastAsia="Aptos" w:hAnsi="Calibri" w:cs="Calibri"/>
          <w:sz w:val="24"/>
          <w:szCs w:val="24"/>
        </w:rPr>
      </w:pPr>
      <w:r w:rsidRPr="00841919">
        <w:rPr>
          <w:rFonts w:ascii="Calibri" w:eastAsia="Calibri" w:hAnsi="Calibri" w:cs="Calibri"/>
          <w:sz w:val="24"/>
          <w:szCs w:val="24"/>
        </w:rPr>
        <w:t>Jednocześnie w trakcie trwania sezonu letniego 2024 r. prowadzono wzmożony nadzór w z</w:t>
      </w:r>
      <w:r w:rsidRPr="00841919">
        <w:rPr>
          <w:rFonts w:ascii="Calibri" w:eastAsia="Calibri" w:hAnsi="Calibri" w:cs="Calibri"/>
          <w:color w:val="000000"/>
          <w:sz w:val="24"/>
          <w:szCs w:val="24"/>
        </w:rPr>
        <w:t xml:space="preserve">akładach żywienia zbiorowego produkujących </w:t>
      </w:r>
      <w:proofErr w:type="spellStart"/>
      <w:r w:rsidRPr="00841919">
        <w:rPr>
          <w:rFonts w:ascii="Calibri" w:eastAsia="Calibri" w:hAnsi="Calibri" w:cs="Calibri"/>
          <w:color w:val="000000"/>
          <w:sz w:val="24"/>
          <w:szCs w:val="24"/>
        </w:rPr>
        <w:t>pizze</w:t>
      </w:r>
      <w:proofErr w:type="spellEnd"/>
      <w:r w:rsidRPr="00841919">
        <w:rPr>
          <w:rFonts w:ascii="Calibri" w:eastAsia="Calibri" w:hAnsi="Calibri" w:cs="Calibri"/>
          <w:color w:val="000000"/>
          <w:sz w:val="24"/>
          <w:szCs w:val="24"/>
        </w:rPr>
        <w:t xml:space="preserve">/kebaby. Skontrolowano 254 obiekty tego typu, </w:t>
      </w:r>
      <w:r w:rsidRPr="00841919">
        <w:rPr>
          <w:rFonts w:ascii="Calibri" w:eastAsia="Aptos" w:hAnsi="Calibri" w:cs="Calibri"/>
          <w:color w:val="000000"/>
          <w:sz w:val="24"/>
          <w:szCs w:val="24"/>
        </w:rPr>
        <w:t xml:space="preserve">przeprowadzając w nich łącznie 334 kontrole. </w:t>
      </w:r>
      <w:r w:rsidRPr="00841919">
        <w:rPr>
          <w:rFonts w:ascii="Calibri" w:hAnsi="Calibri" w:cs="Calibri"/>
          <w:sz w:val="24"/>
          <w:szCs w:val="24"/>
        </w:rPr>
        <w:t>W</w:t>
      </w:r>
      <w:r w:rsidRPr="00841919">
        <w:rPr>
          <w:rFonts w:ascii="Calibri" w:hAnsi="Calibri" w:cs="Calibri"/>
          <w:color w:val="FF0000"/>
          <w:sz w:val="24"/>
          <w:szCs w:val="24"/>
        </w:rPr>
        <w:t xml:space="preserve"> </w:t>
      </w:r>
      <w:r w:rsidRPr="00841919">
        <w:rPr>
          <w:rFonts w:ascii="Calibri" w:hAnsi="Calibri" w:cs="Calibri"/>
          <w:sz w:val="24"/>
          <w:szCs w:val="24"/>
        </w:rPr>
        <w:t>119</w:t>
      </w:r>
      <w:r w:rsidRPr="00841919">
        <w:rPr>
          <w:rFonts w:ascii="Calibri" w:hAnsi="Calibri" w:cs="Calibri"/>
          <w:b/>
          <w:bCs/>
          <w:sz w:val="24"/>
          <w:szCs w:val="24"/>
        </w:rPr>
        <w:t xml:space="preserve"> </w:t>
      </w:r>
      <w:r w:rsidRPr="00841919">
        <w:rPr>
          <w:rFonts w:ascii="Calibri" w:hAnsi="Calibri" w:cs="Calibri"/>
          <w:sz w:val="24"/>
          <w:szCs w:val="24"/>
        </w:rPr>
        <w:t>obiektach (47 %)</w:t>
      </w:r>
      <w:r w:rsidRPr="00841919">
        <w:rPr>
          <w:rFonts w:ascii="Calibri" w:hAnsi="Calibri" w:cs="Calibri"/>
          <w:color w:val="FF0000"/>
          <w:sz w:val="24"/>
          <w:szCs w:val="24"/>
        </w:rPr>
        <w:t xml:space="preserve"> </w:t>
      </w:r>
      <w:r w:rsidRPr="00841919">
        <w:rPr>
          <w:rFonts w:ascii="Calibri" w:hAnsi="Calibri" w:cs="Calibri"/>
          <w:sz w:val="24"/>
          <w:szCs w:val="24"/>
        </w:rPr>
        <w:t xml:space="preserve">stwierdzono nieprawidłowości. </w:t>
      </w:r>
      <w:r w:rsidRPr="00841919">
        <w:rPr>
          <w:rFonts w:ascii="Calibri" w:eastAsia="Aptos" w:hAnsi="Calibri" w:cs="Calibri"/>
          <w:color w:val="000000"/>
          <w:sz w:val="24"/>
          <w:szCs w:val="24"/>
        </w:rPr>
        <w:t xml:space="preserve">Za nieprawidłowości w bieżącym stanie sanitarnym nałożono 95 mandatów karnych na kwotę 29200 zł. </w:t>
      </w:r>
    </w:p>
    <w:p w14:paraId="75036878" w14:textId="77777777" w:rsidR="002915F4" w:rsidRPr="00841919" w:rsidRDefault="002915F4" w:rsidP="00597239">
      <w:pPr>
        <w:pStyle w:val="Styl6"/>
        <w:keepNext w:val="0"/>
        <w:numPr>
          <w:ilvl w:val="0"/>
          <w:numId w:val="0"/>
        </w:numPr>
        <w:spacing w:line="276" w:lineRule="auto"/>
        <w:ind w:left="284"/>
        <w:jc w:val="left"/>
        <w:rPr>
          <w:rFonts w:ascii="Calibri" w:hAnsi="Calibri" w:cs="Calibri"/>
          <w:color w:val="0D0D0D" w:themeColor="text1" w:themeTint="F2"/>
        </w:rPr>
      </w:pPr>
    </w:p>
    <w:p w14:paraId="1ECBBC9B" w14:textId="1F41AFBD" w:rsidR="002915F4" w:rsidRPr="00841919" w:rsidRDefault="002915F4" w:rsidP="00597239">
      <w:pPr>
        <w:pStyle w:val="Nagwek2"/>
        <w:numPr>
          <w:ilvl w:val="0"/>
          <w:numId w:val="74"/>
        </w:numPr>
        <w:spacing w:before="0" w:after="0"/>
        <w:ind w:left="284" w:hanging="284"/>
        <w:jc w:val="left"/>
      </w:pPr>
      <w:bookmarkStart w:id="268" w:name="_Toc194059819"/>
      <w:r w:rsidRPr="00841919">
        <w:t>System Wczesnego Ostrzegania o Niebezpiecznej Żywności i Paszach – RASFF</w:t>
      </w:r>
      <w:bookmarkEnd w:id="268"/>
    </w:p>
    <w:p w14:paraId="090F4746" w14:textId="3175D93B" w:rsidR="002915F4" w:rsidRPr="00841919" w:rsidRDefault="002915F4" w:rsidP="00597239">
      <w:pPr>
        <w:spacing w:after="0" w:line="276" w:lineRule="auto"/>
        <w:rPr>
          <w:rFonts w:ascii="Calibri" w:hAnsi="Calibri" w:cs="Calibri"/>
          <w:sz w:val="24"/>
          <w:szCs w:val="24"/>
        </w:rPr>
      </w:pPr>
      <w:r w:rsidRPr="00841919">
        <w:rPr>
          <w:rFonts w:ascii="Calibri" w:hAnsi="Calibri" w:cs="Calibri"/>
          <w:sz w:val="24"/>
          <w:szCs w:val="24"/>
        </w:rPr>
        <w:t>W 2024 roku w ramach funkcjonowania Systemu Wczesnego Ostrzegania o Niebezpiecznej Żywności i Paszach (RASFF), podjęte zostały działania w związku z 165 powiadomieniami o niebezpiecznych produktach żywnościowych, w tym 34 powiadomieniami alarmowymi i 90 powiadomieniami informacyjnymi, 10 powiadomieniami o niezgodności oraz</w:t>
      </w:r>
      <w:r w:rsidR="003326B1">
        <w:rPr>
          <w:rFonts w:ascii="Calibri" w:hAnsi="Calibri" w:cs="Calibri"/>
          <w:sz w:val="24"/>
          <w:szCs w:val="24"/>
        </w:rPr>
        <w:t> </w:t>
      </w:r>
      <w:r w:rsidRPr="00841919">
        <w:rPr>
          <w:rFonts w:ascii="Calibri" w:hAnsi="Calibri" w:cs="Calibri"/>
          <w:sz w:val="24"/>
          <w:szCs w:val="24"/>
        </w:rPr>
        <w:t>31 powiadomieniami zgłoszonymi przez Zachodniopomorskiego Państwowego Wojewódzkiego Inspektora Sanitarnego w Szczecinie (30 informacyjnymi i 1 o niezgodności).</w:t>
      </w:r>
    </w:p>
    <w:p w14:paraId="2A2E0E6A" w14:textId="33FE87C2" w:rsidR="002915F4" w:rsidRPr="00841919" w:rsidRDefault="002915F4" w:rsidP="00597239">
      <w:pPr>
        <w:spacing w:after="0" w:line="276" w:lineRule="auto"/>
        <w:contextualSpacing/>
        <w:rPr>
          <w:rFonts w:ascii="Calibri" w:eastAsia="Aptos" w:hAnsi="Calibri" w:cs="Calibri"/>
          <w:sz w:val="24"/>
          <w:szCs w:val="24"/>
        </w:rPr>
      </w:pPr>
      <w:r w:rsidRPr="00841919">
        <w:rPr>
          <w:rFonts w:ascii="Calibri" w:eastAsia="Aptos" w:hAnsi="Calibri" w:cs="Calibri"/>
          <w:sz w:val="24"/>
          <w:szCs w:val="24"/>
        </w:rPr>
        <w:t xml:space="preserve">W kwestionowanych produktach stwierdzano między innymi zanieczyszczenia bakteriami Salmonella, </w:t>
      </w:r>
      <w:proofErr w:type="spellStart"/>
      <w:r w:rsidRPr="00841919">
        <w:rPr>
          <w:rFonts w:ascii="Calibri" w:eastAsia="Aptos" w:hAnsi="Calibri" w:cs="Calibri"/>
          <w:sz w:val="24"/>
          <w:szCs w:val="24"/>
        </w:rPr>
        <w:t>Listeria</w:t>
      </w:r>
      <w:proofErr w:type="spellEnd"/>
      <w:r w:rsidRPr="00841919">
        <w:rPr>
          <w:rFonts w:ascii="Calibri" w:eastAsia="Aptos" w:hAnsi="Calibri" w:cs="Calibri"/>
          <w:sz w:val="24"/>
          <w:szCs w:val="24"/>
        </w:rPr>
        <w:t xml:space="preserve"> </w:t>
      </w:r>
      <w:proofErr w:type="spellStart"/>
      <w:r w:rsidRPr="00841919">
        <w:rPr>
          <w:rFonts w:ascii="Calibri" w:eastAsia="Aptos" w:hAnsi="Calibri" w:cs="Calibri"/>
          <w:sz w:val="24"/>
          <w:szCs w:val="24"/>
        </w:rPr>
        <w:t>monocytogenes</w:t>
      </w:r>
      <w:proofErr w:type="spellEnd"/>
      <w:r w:rsidRPr="00841919">
        <w:rPr>
          <w:rFonts w:ascii="Calibri" w:eastAsia="Aptos" w:hAnsi="Calibri" w:cs="Calibri"/>
          <w:sz w:val="24"/>
          <w:szCs w:val="24"/>
        </w:rPr>
        <w:t xml:space="preserve">, metalami, </w:t>
      </w:r>
      <w:proofErr w:type="spellStart"/>
      <w:r w:rsidRPr="00841919">
        <w:rPr>
          <w:rFonts w:ascii="Calibri" w:eastAsia="Aptos" w:hAnsi="Calibri" w:cs="Calibri"/>
          <w:sz w:val="24"/>
          <w:szCs w:val="24"/>
        </w:rPr>
        <w:t>mikotoksynami</w:t>
      </w:r>
      <w:proofErr w:type="spellEnd"/>
      <w:r w:rsidRPr="00841919">
        <w:rPr>
          <w:rFonts w:ascii="Calibri" w:eastAsia="Aptos" w:hAnsi="Calibri" w:cs="Calibri"/>
          <w:sz w:val="24"/>
          <w:szCs w:val="24"/>
        </w:rPr>
        <w:t xml:space="preserve">, </w:t>
      </w:r>
      <w:proofErr w:type="spellStart"/>
      <w:r w:rsidRPr="00841919">
        <w:rPr>
          <w:rFonts w:ascii="Calibri" w:eastAsia="Aptos" w:hAnsi="Calibri" w:cs="Calibri"/>
          <w:sz w:val="24"/>
          <w:szCs w:val="24"/>
        </w:rPr>
        <w:t>akryloamidem</w:t>
      </w:r>
      <w:proofErr w:type="spellEnd"/>
      <w:r w:rsidRPr="00841919">
        <w:rPr>
          <w:rFonts w:ascii="Calibri" w:eastAsia="Aptos" w:hAnsi="Calibri" w:cs="Calibri"/>
          <w:sz w:val="24"/>
          <w:szCs w:val="24"/>
        </w:rPr>
        <w:t xml:space="preserve">, alkaloidami </w:t>
      </w:r>
      <w:proofErr w:type="spellStart"/>
      <w:r w:rsidRPr="00841919">
        <w:rPr>
          <w:rFonts w:ascii="Calibri" w:eastAsia="Aptos" w:hAnsi="Calibri" w:cs="Calibri"/>
          <w:sz w:val="24"/>
          <w:szCs w:val="24"/>
        </w:rPr>
        <w:t>pirolizydowymi</w:t>
      </w:r>
      <w:proofErr w:type="spellEnd"/>
      <w:r w:rsidRPr="00841919">
        <w:rPr>
          <w:rFonts w:ascii="Calibri" w:eastAsia="Aptos" w:hAnsi="Calibri" w:cs="Calibri"/>
          <w:sz w:val="24"/>
          <w:szCs w:val="24"/>
        </w:rPr>
        <w:t xml:space="preserve"> oraz pozostałości pestycydów, obecność ciał obcych, niezadeklarowanych </w:t>
      </w:r>
      <w:r w:rsidRPr="00841919">
        <w:rPr>
          <w:rFonts w:ascii="Calibri" w:eastAsia="Aptos" w:hAnsi="Calibri" w:cs="Calibri"/>
          <w:sz w:val="24"/>
          <w:szCs w:val="24"/>
        </w:rPr>
        <w:lastRenderedPageBreak/>
        <w:t xml:space="preserve">w składzie substancji alergennych, niedozwoloną migrację szkodliwych związków z materiałów i wyrobów przeznaczonych do kontaktu z żywnością. Działania w celu wycofania z obrotu handlowego produktów będących przedmiotem powiadomienia, wielokrotnie podejmowali ich producenci bądź importerzy. </w:t>
      </w:r>
    </w:p>
    <w:p w14:paraId="76D04C73" w14:textId="77777777" w:rsidR="00DD3EBB" w:rsidRDefault="00DD3EBB" w:rsidP="00597239">
      <w:pPr>
        <w:spacing w:after="0" w:line="276" w:lineRule="auto"/>
        <w:contextualSpacing/>
        <w:rPr>
          <w:rFonts w:ascii="Calibri" w:eastAsia="Aptos" w:hAnsi="Calibri" w:cs="Calibri"/>
          <w:sz w:val="24"/>
          <w:szCs w:val="24"/>
        </w:rPr>
      </w:pPr>
    </w:p>
    <w:p w14:paraId="43EBC502" w14:textId="1F6935BF" w:rsidR="002915F4" w:rsidRPr="00841919" w:rsidRDefault="002915F4" w:rsidP="00597239">
      <w:pPr>
        <w:spacing w:after="0" w:line="276" w:lineRule="auto"/>
        <w:contextualSpacing/>
        <w:rPr>
          <w:rFonts w:ascii="Calibri" w:eastAsia="Aptos" w:hAnsi="Calibri" w:cs="Calibri"/>
          <w:sz w:val="24"/>
          <w:szCs w:val="24"/>
        </w:rPr>
      </w:pPr>
      <w:r w:rsidRPr="00841919">
        <w:rPr>
          <w:rFonts w:ascii="Calibri" w:eastAsia="Aptos" w:hAnsi="Calibri" w:cs="Calibri"/>
          <w:sz w:val="24"/>
          <w:szCs w:val="24"/>
        </w:rPr>
        <w:t>W przypadku sklepów sieciowych kwestionowane partie produktów często wycofywane były przez samych przedsiębiorców, którzy także informowali swoich klientów o kwestionowaniu produktu i możliwości jego zwrotu do sklepu– wszystkie te działania zgodnie z obowiązującą procedurą systemu RASFF były monitorowane przez organy urzędowej kontroli żywności Państwowej Inspekcji Sanitarnej.</w:t>
      </w:r>
    </w:p>
    <w:p w14:paraId="46F1C906" w14:textId="088C139C" w:rsidR="002915F4" w:rsidRPr="00841919" w:rsidRDefault="002915F4" w:rsidP="00597239">
      <w:pPr>
        <w:spacing w:after="0"/>
        <w:rPr>
          <w:rFonts w:ascii="Calibri" w:hAnsi="Calibri" w:cs="Calibri"/>
          <w:sz w:val="24"/>
          <w:szCs w:val="24"/>
        </w:rPr>
      </w:pPr>
    </w:p>
    <w:p w14:paraId="2FAEBA74" w14:textId="77777777" w:rsidR="002A6551" w:rsidRDefault="002A6551" w:rsidP="00597239">
      <w:pPr>
        <w:rPr>
          <w:i/>
          <w:iCs/>
          <w:color w:val="000000" w:themeColor="text1"/>
          <w:sz w:val="24"/>
          <w:szCs w:val="24"/>
        </w:rPr>
      </w:pPr>
    </w:p>
    <w:p w14:paraId="7E2CEDAC" w14:textId="77777777" w:rsidR="00A34E7D" w:rsidRDefault="00A34E7D" w:rsidP="00597239">
      <w:pPr>
        <w:rPr>
          <w:i/>
          <w:iCs/>
          <w:noProof/>
          <w:color w:val="000000" w:themeColor="text1"/>
          <w:sz w:val="24"/>
          <w:szCs w:val="24"/>
        </w:rPr>
      </w:pPr>
      <w:r>
        <w:rPr>
          <w:i/>
          <w:iCs/>
          <w:noProof/>
          <w:color w:val="000000" w:themeColor="text1"/>
          <w:sz w:val="24"/>
          <w:szCs w:val="24"/>
        </w:rPr>
        <w:br w:type="page"/>
      </w:r>
    </w:p>
    <w:p w14:paraId="17CFBF23" w14:textId="2621F19F" w:rsidR="002A6551" w:rsidRPr="009D27BC" w:rsidRDefault="009D27BC" w:rsidP="00597239">
      <w:pPr>
        <w:rPr>
          <w:noProof/>
          <w:color w:val="000000" w:themeColor="text1"/>
          <w:sz w:val="24"/>
          <w:szCs w:val="24"/>
        </w:rPr>
      </w:pPr>
      <w:r>
        <w:rPr>
          <w:noProof/>
          <w:color w:val="000000" w:themeColor="text1"/>
          <w:sz w:val="24"/>
          <w:szCs w:val="24"/>
        </w:rPr>
        <w:lastRenderedPageBreak/>
        <mc:AlternateContent>
          <mc:Choice Requires="wps">
            <w:drawing>
              <wp:anchor distT="0" distB="0" distL="114300" distR="114300" simplePos="0" relativeHeight="251685888" behindDoc="0" locked="0" layoutInCell="1" allowOverlap="1" wp14:anchorId="0D477EAE" wp14:editId="737D1F32">
                <wp:simplePos x="0" y="0"/>
                <wp:positionH relativeFrom="margin">
                  <wp:align>right</wp:align>
                </wp:positionH>
                <wp:positionV relativeFrom="paragraph">
                  <wp:posOffset>7418211</wp:posOffset>
                </wp:positionV>
                <wp:extent cx="914400" cy="970844"/>
                <wp:effectExtent l="0" t="0" r="0" b="1270"/>
                <wp:wrapNone/>
                <wp:docPr id="1719330341" name="Pole tekstowe 8"/>
                <wp:cNvGraphicFramePr/>
                <a:graphic xmlns:a="http://schemas.openxmlformats.org/drawingml/2006/main">
                  <a:graphicData uri="http://schemas.microsoft.com/office/word/2010/wordprocessingShape">
                    <wps:wsp>
                      <wps:cNvSpPr txBox="1"/>
                      <wps:spPr>
                        <a:xfrm>
                          <a:off x="0" y="0"/>
                          <a:ext cx="914400" cy="970844"/>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D92D31" w14:textId="77777777" w:rsidR="009D27BC" w:rsidRPr="00761314" w:rsidRDefault="009D27BC" w:rsidP="009D27BC">
                            <w:pPr>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Jakość wody w woj. zachodniopomorskim</w:t>
                            </w:r>
                          </w:p>
                          <w:p w14:paraId="65EAD271" w14:textId="77777777" w:rsidR="009D27BC" w:rsidRDefault="009D27B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77EAE" id="Pole tekstowe 8" o:spid="_x0000_s1028" type="#_x0000_t202" style="position:absolute;margin-left:20.8pt;margin-top:584.1pt;width:1in;height:76.45pt;z-index:251685888;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" fillcolor="#a5a5a5 [3206]" stroked="f">
                <v:fill opacity="32896f"/>
                <v:textbox>
                  <w:txbxContent>
                    <w:p w14:paraId="0BD92D31" w14:textId="77777777" w:rsidR="009D27BC" w:rsidRPr="00761314" w:rsidRDefault="009D27BC" w:rsidP="009D27BC">
                      <w:pPr>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Jakość wody w woj. zachodniopomorskim</w:t>
                      </w:r>
                    </w:p>
                    <w:p w14:paraId="65EAD271" w14:textId="77777777" w:rsidR="009D27BC" w:rsidRDefault="009D27BC"/>
                  </w:txbxContent>
                </v:textbox>
                <w10:wrap anchorx="margin"/>
              </v:shape>
            </w:pict>
          </mc:Fallback>
        </mc:AlternateContent>
      </w:r>
      <w:r>
        <w:rPr>
          <w:noProof/>
          <w:color w:val="000000" w:themeColor="text1"/>
          <w:sz w:val="24"/>
          <w:szCs w:val="24"/>
        </w:rPr>
        <w:drawing>
          <wp:anchor distT="0" distB="0" distL="114300" distR="114300" simplePos="0" relativeHeight="251684864" behindDoc="0" locked="0" layoutInCell="1" allowOverlap="1" wp14:anchorId="1CFB306F" wp14:editId="5C68BD22">
            <wp:simplePos x="0" y="0"/>
            <wp:positionH relativeFrom="margin">
              <wp:posOffset>-253365</wp:posOffset>
            </wp:positionH>
            <wp:positionV relativeFrom="paragraph">
              <wp:posOffset>222250</wp:posOffset>
            </wp:positionV>
            <wp:extent cx="6264000" cy="8352000"/>
            <wp:effectExtent l="0" t="0" r="3810" b="0"/>
            <wp:wrapSquare wrapText="bothSides"/>
            <wp:docPr id="8715830" name="Obraz 7" descr="Zdjęcie przedstawia morze, kapiących się w oddali ludzi i łódkę na brzegu z kołem ratunkowy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5830" name="Obraz 7" descr="Zdjęcie przedstawia morze, kapiących się w oddali ludzi i łódkę na brzegu z kołem ratunkowym."/>
                    <pic:cNvPicPr>
                      <a:picLocks noChangeAspect="1" noChangeArrowheads="1"/>
                    </pic:cNvPicPr>
                  </pic:nvPicPr>
                  <pic:blipFill>
                    <a:blip r:embed="rId27">
                      <a:alphaModFix amt="80000"/>
                      <a:extLst>
                        <a:ext uri="{28A0092B-C50C-407E-A947-70E740481C1C}">
                          <a14:useLocalDpi xmlns:a14="http://schemas.microsoft.com/office/drawing/2010/main" val="0"/>
                        </a:ext>
                      </a:extLst>
                    </a:blip>
                    <a:srcRect/>
                    <a:stretch>
                      <a:fillRect/>
                    </a:stretch>
                  </pic:blipFill>
                  <pic:spPr bwMode="auto">
                    <a:xfrm>
                      <a:off x="0" y="0"/>
                      <a:ext cx="6264000" cy="8352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A6551">
        <w:rPr>
          <w:i/>
          <w:iCs/>
          <w:color w:val="000000" w:themeColor="text1"/>
          <w:sz w:val="24"/>
          <w:szCs w:val="24"/>
        </w:rPr>
        <w:br w:type="page"/>
      </w:r>
    </w:p>
    <w:p w14:paraId="533F261F" w14:textId="69983190" w:rsidR="00394C62" w:rsidRDefault="00394C62" w:rsidP="00597239">
      <w:pPr>
        <w:pStyle w:val="Nagwek1"/>
        <w:numPr>
          <w:ilvl w:val="0"/>
          <w:numId w:val="63"/>
        </w:numPr>
        <w:spacing w:before="0" w:after="0"/>
        <w:ind w:left="284" w:firstLine="0"/>
        <w:jc w:val="left"/>
        <w:rPr>
          <w:lang w:eastAsia="pl-PL"/>
        </w:rPr>
      </w:pPr>
      <w:bookmarkStart w:id="269" w:name="_Toc194059820"/>
      <w:r w:rsidRPr="003C51C4">
        <w:rPr>
          <w:lang w:eastAsia="pl-PL"/>
        </w:rPr>
        <w:lastRenderedPageBreak/>
        <w:t>Jakość wody przeznaczonej do spożycia oraz wody użytkowej</w:t>
      </w:r>
      <w:bookmarkEnd w:id="269"/>
    </w:p>
    <w:p w14:paraId="4DD0BBC0" w14:textId="77777777" w:rsidR="00E75D31" w:rsidRPr="00E75D31" w:rsidRDefault="00E75D31" w:rsidP="00597239">
      <w:pPr>
        <w:spacing w:after="0"/>
        <w:rPr>
          <w:lang w:eastAsia="pl-PL"/>
        </w:rPr>
      </w:pPr>
    </w:p>
    <w:p w14:paraId="62D3F15E" w14:textId="163CCC5D" w:rsidR="00394C62" w:rsidRDefault="00394C62" w:rsidP="00597239">
      <w:pPr>
        <w:spacing w:after="0" w:line="276" w:lineRule="auto"/>
        <w:rPr>
          <w:rFonts w:cstheme="minorHAnsi"/>
          <w:color w:val="000000" w:themeColor="text1"/>
          <w:sz w:val="24"/>
          <w:szCs w:val="24"/>
        </w:rPr>
      </w:pPr>
      <w:r w:rsidRPr="005534E1">
        <w:rPr>
          <w:rStyle w:val="markedcontent"/>
          <w:rFonts w:cstheme="minorHAnsi"/>
          <w:color w:val="000000" w:themeColor="text1"/>
          <w:sz w:val="24"/>
          <w:szCs w:val="24"/>
        </w:rPr>
        <w:t>Podstawę oceny jakości wody przeznaczonej do spożycia stanowią wymagania określone w</w:t>
      </w:r>
      <w:r w:rsidR="00B37BC5">
        <w:rPr>
          <w:rStyle w:val="markedcontent"/>
          <w:rFonts w:cstheme="minorHAnsi"/>
          <w:color w:val="000000" w:themeColor="text1"/>
          <w:sz w:val="24"/>
          <w:szCs w:val="24"/>
        </w:rPr>
        <w:t> </w:t>
      </w:r>
      <w:r w:rsidRPr="005534E1">
        <w:rPr>
          <w:rStyle w:val="markedcontent"/>
          <w:rFonts w:cstheme="minorHAnsi"/>
          <w:color w:val="000000" w:themeColor="text1"/>
          <w:sz w:val="24"/>
          <w:szCs w:val="24"/>
        </w:rPr>
        <w:t xml:space="preserve">rozporządzeniu Ministra Zdrowia z dnia 7 grudnia 2017 r. </w:t>
      </w:r>
      <w:r w:rsidRPr="00E1236C">
        <w:rPr>
          <w:rStyle w:val="markedcontent"/>
          <w:rFonts w:cstheme="minorHAnsi"/>
          <w:color w:val="000000" w:themeColor="text1"/>
          <w:sz w:val="24"/>
          <w:szCs w:val="24"/>
        </w:rPr>
        <w:t>w sprawie jakości wody przeznaczonej do spożycia przez ludzi (Dz. U. z 2017 r., poz. 2294</w:t>
      </w:r>
      <w:r w:rsidRPr="005534E1">
        <w:rPr>
          <w:rStyle w:val="markedcontent"/>
          <w:rFonts w:cstheme="minorHAnsi"/>
          <w:color w:val="000000" w:themeColor="text1"/>
          <w:sz w:val="24"/>
          <w:szCs w:val="24"/>
        </w:rPr>
        <w:t xml:space="preserve">). </w:t>
      </w:r>
      <w:r>
        <w:rPr>
          <w:rStyle w:val="markedcontent"/>
          <w:rFonts w:cstheme="minorHAnsi"/>
          <w:color w:val="000000" w:themeColor="text1"/>
          <w:sz w:val="24"/>
          <w:szCs w:val="24"/>
        </w:rPr>
        <w:t xml:space="preserve"> </w:t>
      </w:r>
      <w:r w:rsidRPr="005534E1">
        <w:rPr>
          <w:rFonts w:cstheme="minorHAnsi"/>
          <w:color w:val="000000" w:themeColor="text1"/>
          <w:sz w:val="24"/>
          <w:szCs w:val="24"/>
        </w:rPr>
        <w:t>Ocen</w:t>
      </w:r>
      <w:r>
        <w:rPr>
          <w:rFonts w:cstheme="minorHAnsi"/>
          <w:color w:val="000000" w:themeColor="text1"/>
          <w:sz w:val="24"/>
          <w:szCs w:val="24"/>
        </w:rPr>
        <w:t>a</w:t>
      </w:r>
      <w:r w:rsidRPr="005534E1">
        <w:rPr>
          <w:rFonts w:cstheme="minorHAnsi"/>
          <w:color w:val="000000" w:themeColor="text1"/>
          <w:sz w:val="24"/>
          <w:szCs w:val="24"/>
        </w:rPr>
        <w:t xml:space="preserve"> jakości </w:t>
      </w:r>
      <w:r>
        <w:rPr>
          <w:rFonts w:cstheme="minorHAnsi"/>
          <w:color w:val="000000" w:themeColor="text1"/>
          <w:sz w:val="24"/>
          <w:szCs w:val="24"/>
        </w:rPr>
        <w:t>wody prowadzona była w oparciu w wyniki badań.  Woda do badań pobierana była zgodnie z</w:t>
      </w:r>
      <w:r w:rsidR="00B37BC5">
        <w:rPr>
          <w:rFonts w:cstheme="minorHAnsi"/>
          <w:color w:val="000000" w:themeColor="text1"/>
          <w:sz w:val="24"/>
          <w:szCs w:val="24"/>
        </w:rPr>
        <w:t> </w:t>
      </w:r>
      <w:r>
        <w:rPr>
          <w:rFonts w:cstheme="minorHAnsi"/>
          <w:color w:val="000000" w:themeColor="text1"/>
          <w:sz w:val="24"/>
          <w:szCs w:val="24"/>
        </w:rPr>
        <w:t xml:space="preserve">harmonogramami uzgodnionymi z Państwową Inspekcją Sanitarną, zarówno przez przedsiębiorstwa </w:t>
      </w:r>
      <w:r w:rsidR="00FD3723">
        <w:rPr>
          <w:rFonts w:cstheme="minorHAnsi"/>
          <w:color w:val="000000" w:themeColor="text1"/>
          <w:sz w:val="24"/>
          <w:szCs w:val="24"/>
        </w:rPr>
        <w:t>wodociągowe (</w:t>
      </w:r>
      <w:r>
        <w:rPr>
          <w:rFonts w:cstheme="minorHAnsi"/>
          <w:color w:val="000000" w:themeColor="text1"/>
          <w:sz w:val="24"/>
          <w:szCs w:val="24"/>
        </w:rPr>
        <w:t>kontrola wewnętrzna), jak również przez organy Państwowej Inspekcji Sanitarnej (kontrola urzędowa), w ramach prowadzonego monitoringu jakości wody. B</w:t>
      </w:r>
      <w:r w:rsidRPr="005534E1">
        <w:rPr>
          <w:rFonts w:cstheme="minorHAnsi"/>
          <w:color w:val="000000" w:themeColor="text1"/>
          <w:sz w:val="24"/>
          <w:szCs w:val="24"/>
        </w:rPr>
        <w:t>adania wykonywało laboratorium Wojewódzkiej Stacji Sanitarno-Epidemiologicznej w</w:t>
      </w:r>
      <w:r w:rsidR="00B37BC5">
        <w:rPr>
          <w:rFonts w:cstheme="minorHAnsi"/>
          <w:color w:val="000000" w:themeColor="text1"/>
          <w:sz w:val="24"/>
          <w:szCs w:val="24"/>
        </w:rPr>
        <w:t> </w:t>
      </w:r>
      <w:r w:rsidR="00FD3723" w:rsidRPr="005534E1">
        <w:rPr>
          <w:rFonts w:cstheme="minorHAnsi"/>
          <w:color w:val="000000" w:themeColor="text1"/>
          <w:sz w:val="24"/>
          <w:szCs w:val="24"/>
        </w:rPr>
        <w:t>Szczecinie oraz</w:t>
      </w:r>
      <w:r w:rsidRPr="005534E1">
        <w:rPr>
          <w:rFonts w:cstheme="minorHAnsi"/>
          <w:color w:val="000000" w:themeColor="text1"/>
          <w:sz w:val="24"/>
          <w:szCs w:val="24"/>
        </w:rPr>
        <w:t xml:space="preserve"> inne laboratoria o udokumentowanym systemie jakości zatwierdzonym przez właściwych państwowych inspektorów sanitarnych, w tym 14 na terenie woj. zachodniopomorskiego.</w:t>
      </w:r>
    </w:p>
    <w:p w14:paraId="555CE2DE" w14:textId="77777777" w:rsidR="00DD3EBB" w:rsidRPr="00394C62" w:rsidRDefault="00DD3EBB" w:rsidP="00597239">
      <w:pPr>
        <w:spacing w:after="0" w:line="276" w:lineRule="auto"/>
        <w:rPr>
          <w:rFonts w:cstheme="minorHAnsi"/>
          <w:color w:val="000000" w:themeColor="text1"/>
          <w:sz w:val="24"/>
          <w:szCs w:val="24"/>
        </w:rPr>
      </w:pPr>
    </w:p>
    <w:p w14:paraId="55EFCEE1" w14:textId="7AD1122B" w:rsidR="00394C62" w:rsidRPr="00836319" w:rsidRDefault="00394C62" w:rsidP="00597239">
      <w:pPr>
        <w:pStyle w:val="Nagwek2"/>
        <w:numPr>
          <w:ilvl w:val="0"/>
          <w:numId w:val="80"/>
        </w:numPr>
        <w:spacing w:before="0" w:after="0"/>
        <w:ind w:left="284" w:hanging="284"/>
        <w:jc w:val="left"/>
      </w:pPr>
      <w:bookmarkStart w:id="270" w:name="_Toc194059821"/>
      <w:r w:rsidRPr="00836319">
        <w:rPr>
          <w:rStyle w:val="Nagwek2Znak"/>
          <w:b/>
          <w:bCs/>
        </w:rPr>
        <w:t>Infrastruktura zaopatrzenia ludności w wodę</w:t>
      </w:r>
      <w:bookmarkEnd w:id="270"/>
    </w:p>
    <w:p w14:paraId="6BE079B5" w14:textId="7D1A6CBD" w:rsidR="00394C62" w:rsidRDefault="00394C62" w:rsidP="00597239">
      <w:pPr>
        <w:spacing w:after="0" w:line="276" w:lineRule="auto"/>
        <w:rPr>
          <w:rFonts w:cstheme="minorHAnsi"/>
          <w:color w:val="000000" w:themeColor="text1"/>
          <w:sz w:val="24"/>
          <w:szCs w:val="24"/>
        </w:rPr>
      </w:pPr>
      <w:r w:rsidRPr="00223F5F">
        <w:rPr>
          <w:rFonts w:cstheme="minorHAnsi"/>
          <w:color w:val="000000" w:themeColor="text1"/>
          <w:sz w:val="24"/>
          <w:szCs w:val="24"/>
        </w:rPr>
        <w:t>W 2024 roku nadzorem sanitarnym objętych było łącznie 101</w:t>
      </w:r>
      <w:r w:rsidR="002C7C5A">
        <w:rPr>
          <w:rFonts w:cstheme="minorHAnsi"/>
          <w:color w:val="000000" w:themeColor="text1"/>
          <w:sz w:val="24"/>
          <w:szCs w:val="24"/>
        </w:rPr>
        <w:t>7</w:t>
      </w:r>
      <w:r w:rsidRPr="00223F5F">
        <w:rPr>
          <w:rFonts w:cstheme="minorHAnsi"/>
          <w:color w:val="000000" w:themeColor="text1"/>
          <w:sz w:val="24"/>
          <w:szCs w:val="24"/>
        </w:rPr>
        <w:t xml:space="preserve"> wodociągów, tj. 86</w:t>
      </w:r>
      <w:r w:rsidR="002C7C5A">
        <w:rPr>
          <w:rFonts w:cstheme="minorHAnsi"/>
          <w:color w:val="000000" w:themeColor="text1"/>
          <w:sz w:val="24"/>
          <w:szCs w:val="24"/>
        </w:rPr>
        <w:t>2</w:t>
      </w:r>
      <w:r w:rsidRPr="00223F5F">
        <w:rPr>
          <w:rFonts w:cstheme="minorHAnsi"/>
          <w:color w:val="000000" w:themeColor="text1"/>
          <w:sz w:val="24"/>
          <w:szCs w:val="24"/>
        </w:rPr>
        <w:t xml:space="preserve"> wodociągów zbiorowego zaopatrzenia oraz 155 innych podmiotów wykorzystujących wodę z</w:t>
      </w:r>
      <w:r w:rsidR="00B37BC5">
        <w:rPr>
          <w:rFonts w:cstheme="minorHAnsi"/>
          <w:color w:val="000000" w:themeColor="text1"/>
          <w:sz w:val="24"/>
          <w:szCs w:val="24"/>
        </w:rPr>
        <w:t> </w:t>
      </w:r>
      <w:r w:rsidRPr="00223F5F">
        <w:rPr>
          <w:rFonts w:cstheme="minorHAnsi"/>
          <w:color w:val="000000" w:themeColor="text1"/>
          <w:sz w:val="24"/>
          <w:szCs w:val="24"/>
        </w:rPr>
        <w:t>indywidualnych ujęć (szpitale, gospodarstwa agroturystyczne, kolonie, obozy, domy pomocy społecznej, obiekty szkolne, nadleśnictwa, zakłady karne oraz inne, w których woda jest wykorzystywana do działalności handlowej lub celów publicznych)</w:t>
      </w:r>
      <w:r>
        <w:rPr>
          <w:rFonts w:cstheme="minorHAnsi"/>
          <w:color w:val="000000" w:themeColor="text1"/>
          <w:sz w:val="24"/>
          <w:szCs w:val="24"/>
        </w:rPr>
        <w:t xml:space="preserve">, co przedstawia poniższa tabela nr </w:t>
      </w:r>
      <w:r w:rsidR="00C5712D">
        <w:rPr>
          <w:rFonts w:cstheme="minorHAnsi"/>
          <w:color w:val="000000" w:themeColor="text1"/>
          <w:sz w:val="24"/>
          <w:szCs w:val="24"/>
        </w:rPr>
        <w:t>3</w:t>
      </w:r>
      <w:r w:rsidR="007C71C7">
        <w:rPr>
          <w:rFonts w:cstheme="minorHAnsi"/>
          <w:color w:val="000000" w:themeColor="text1"/>
          <w:sz w:val="24"/>
          <w:szCs w:val="24"/>
        </w:rPr>
        <w:t>7</w:t>
      </w:r>
      <w:r w:rsidRPr="005534E1">
        <w:rPr>
          <w:rFonts w:cstheme="minorHAnsi"/>
          <w:color w:val="000000" w:themeColor="text1"/>
          <w:sz w:val="24"/>
          <w:szCs w:val="24"/>
        </w:rPr>
        <w:t>.</w:t>
      </w:r>
    </w:p>
    <w:p w14:paraId="33DDA287" w14:textId="77777777" w:rsidR="00DD3EBB" w:rsidRPr="005534E1" w:rsidRDefault="00DD3EBB" w:rsidP="00597239">
      <w:pPr>
        <w:spacing w:after="0" w:line="276" w:lineRule="auto"/>
        <w:rPr>
          <w:rFonts w:cstheme="minorHAnsi"/>
          <w:color w:val="000000" w:themeColor="text1"/>
          <w:sz w:val="24"/>
          <w:szCs w:val="24"/>
        </w:rPr>
      </w:pPr>
    </w:p>
    <w:p w14:paraId="1DAA0B25" w14:textId="73F44868" w:rsidR="00394C62" w:rsidRPr="00674945" w:rsidRDefault="00674945" w:rsidP="00597239">
      <w:pPr>
        <w:pStyle w:val="Legenda"/>
        <w:spacing w:after="0" w:line="276" w:lineRule="auto"/>
        <w:rPr>
          <w:rFonts w:cstheme="minorHAnsi"/>
          <w:bCs/>
          <w:i w:val="0"/>
          <w:iCs w:val="0"/>
          <w:color w:val="auto"/>
        </w:rPr>
      </w:pPr>
      <w:bookmarkStart w:id="271" w:name="_Toc193806006"/>
      <w:bookmarkStart w:id="272" w:name="_Toc193969554"/>
      <w:bookmarkStart w:id="273" w:name="_Toc194060014"/>
      <w:r w:rsidRPr="00674945">
        <w:rPr>
          <w:i w:val="0"/>
          <w:iCs w:val="0"/>
          <w:color w:val="auto"/>
        </w:rPr>
        <w:t xml:space="preserve">Tabela </w:t>
      </w:r>
      <w:r w:rsidRPr="00674945">
        <w:rPr>
          <w:i w:val="0"/>
          <w:iCs w:val="0"/>
          <w:color w:val="auto"/>
        </w:rPr>
        <w:fldChar w:fldCharType="begin"/>
      </w:r>
      <w:r w:rsidRPr="00674945">
        <w:rPr>
          <w:i w:val="0"/>
          <w:iCs w:val="0"/>
          <w:color w:val="auto"/>
        </w:rPr>
        <w:instrText xml:space="preserve"> SEQ Tabela \* ARABIC </w:instrText>
      </w:r>
      <w:r w:rsidRPr="00674945">
        <w:rPr>
          <w:i w:val="0"/>
          <w:iCs w:val="0"/>
          <w:color w:val="auto"/>
        </w:rPr>
        <w:fldChar w:fldCharType="separate"/>
      </w:r>
      <w:r w:rsidR="00FB6F6A">
        <w:rPr>
          <w:i w:val="0"/>
          <w:iCs w:val="0"/>
          <w:noProof/>
          <w:color w:val="auto"/>
        </w:rPr>
        <w:t>36</w:t>
      </w:r>
      <w:r w:rsidRPr="00674945">
        <w:rPr>
          <w:i w:val="0"/>
          <w:iCs w:val="0"/>
          <w:color w:val="auto"/>
        </w:rPr>
        <w:fldChar w:fldCharType="end"/>
      </w:r>
      <w:r w:rsidR="00E75D31">
        <w:rPr>
          <w:i w:val="0"/>
          <w:iCs w:val="0"/>
          <w:color w:val="auto"/>
        </w:rPr>
        <w:t>.</w:t>
      </w:r>
      <w:r w:rsidRPr="00674945">
        <w:rPr>
          <w:i w:val="0"/>
          <w:iCs w:val="0"/>
          <w:color w:val="auto"/>
        </w:rPr>
        <w:t xml:space="preserve"> Zestawienie liczbowe wodociągów zaopatrujących ludność w wodę do spożycia na terenie woj. zachodniopomorskiego w 2024 r. - wodociągi w ewidencji organów Państwowej Inspekcji Sanitarnej</w:t>
      </w:r>
      <w:bookmarkEnd w:id="271"/>
      <w:bookmarkEnd w:id="272"/>
      <w:bookmarkEnd w:id="273"/>
    </w:p>
    <w:tbl>
      <w:tblPr>
        <w:tblStyle w:val="Tabelasiatki4akcent1"/>
        <w:tblW w:w="5000" w:type="pct"/>
        <w:tblLook w:val="04A0" w:firstRow="1" w:lastRow="0" w:firstColumn="1" w:lastColumn="0" w:noHBand="0" w:noVBand="1"/>
        <w:tblCaption w:val="Zestawienie liczbowe wodociągów zaopatrujących ludność w wodę do spożycia na terenie woj. zachodniopomorskiego w 2024 r. - wodociągi w ewidencji organów Państwowej Inspekcji Sanitarnej."/>
        <w:tblDescription w:val="Zestawienie tabelaryczne, liczby wodociągów zbiorowego zaopatrzenia w województwie zachodniopomorskim, z podziałem na wielkość produkcji wody, wyrażoną w metrach sześciennych."/>
      </w:tblPr>
      <w:tblGrid>
        <w:gridCol w:w="1783"/>
        <w:gridCol w:w="850"/>
        <w:gridCol w:w="993"/>
        <w:gridCol w:w="1134"/>
        <w:gridCol w:w="1107"/>
        <w:gridCol w:w="1019"/>
        <w:gridCol w:w="1276"/>
        <w:gridCol w:w="900"/>
      </w:tblGrid>
      <w:tr w:rsidR="00394C62" w:rsidRPr="00FF50CD" w14:paraId="2F9AB290" w14:textId="77777777" w:rsidTr="007E5BC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259" w:type="dxa"/>
            <w:gridSpan w:val="8"/>
            <w:vAlign w:val="center"/>
            <w:hideMark/>
          </w:tcPr>
          <w:p w14:paraId="1F7A3D9F" w14:textId="70958A42" w:rsidR="00394C62" w:rsidRPr="00FF50CD" w:rsidRDefault="00394C62" w:rsidP="00597239">
            <w:pPr>
              <w:rPr>
                <w:rFonts w:cstheme="minorHAnsi"/>
                <w:b w:val="0"/>
                <w:bCs w:val="0"/>
                <w:lang w:eastAsia="pl-PL"/>
              </w:rPr>
            </w:pPr>
            <w:r w:rsidRPr="00FF50CD">
              <w:rPr>
                <w:rFonts w:cstheme="minorHAnsi"/>
                <w:b w:val="0"/>
                <w:bCs w:val="0"/>
                <w:lang w:eastAsia="pl-PL"/>
              </w:rPr>
              <w:t>2024 rok</w:t>
            </w:r>
          </w:p>
        </w:tc>
      </w:tr>
      <w:tr w:rsidR="00394C62" w:rsidRPr="00FF50CD" w14:paraId="6620D003" w14:textId="77777777" w:rsidTr="007E5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83" w:type="dxa"/>
            <w:gridSpan w:val="6"/>
            <w:vAlign w:val="center"/>
            <w:hideMark/>
          </w:tcPr>
          <w:p w14:paraId="5CC101D2"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wodociągi zbiorowego zaopatrzenia o produkcji w m³ / dobę:</w:t>
            </w:r>
          </w:p>
        </w:tc>
        <w:tc>
          <w:tcPr>
            <w:tcW w:w="1276" w:type="dxa"/>
            <w:vMerge w:val="restart"/>
            <w:vAlign w:val="center"/>
            <w:hideMark/>
          </w:tcPr>
          <w:p w14:paraId="736FC860" w14:textId="33E5FBEA"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wodociągi innych podmiotów</w:t>
            </w:r>
          </w:p>
        </w:tc>
        <w:tc>
          <w:tcPr>
            <w:tcW w:w="900" w:type="dxa"/>
            <w:vMerge w:val="restart"/>
            <w:vAlign w:val="center"/>
            <w:hideMark/>
          </w:tcPr>
          <w:p w14:paraId="22670B1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suma</w:t>
            </w:r>
          </w:p>
        </w:tc>
      </w:tr>
      <w:tr w:rsidR="00394C62" w:rsidRPr="00FF50CD" w14:paraId="3F08E4CC" w14:textId="77777777" w:rsidTr="007E5BC2">
        <w:trPr>
          <w:trHeight w:val="52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3D8E373"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Powiaty</w:t>
            </w:r>
          </w:p>
        </w:tc>
        <w:tc>
          <w:tcPr>
            <w:tcW w:w="850" w:type="dxa"/>
            <w:vAlign w:val="center"/>
            <w:hideMark/>
          </w:tcPr>
          <w:p w14:paraId="029A7CE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do 100</w:t>
            </w:r>
          </w:p>
        </w:tc>
        <w:tc>
          <w:tcPr>
            <w:tcW w:w="993" w:type="dxa"/>
            <w:vAlign w:val="center"/>
            <w:hideMark/>
          </w:tcPr>
          <w:p w14:paraId="7BB5B63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101-1.000</w:t>
            </w:r>
          </w:p>
        </w:tc>
        <w:tc>
          <w:tcPr>
            <w:tcW w:w="1134" w:type="dxa"/>
            <w:vAlign w:val="center"/>
            <w:hideMark/>
          </w:tcPr>
          <w:p w14:paraId="051CBDE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1.001-10.000</w:t>
            </w:r>
          </w:p>
        </w:tc>
        <w:tc>
          <w:tcPr>
            <w:tcW w:w="1107" w:type="dxa"/>
            <w:vAlign w:val="center"/>
            <w:hideMark/>
          </w:tcPr>
          <w:p w14:paraId="3AADB71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10.001-100.000</w:t>
            </w:r>
          </w:p>
        </w:tc>
        <w:tc>
          <w:tcPr>
            <w:tcW w:w="1019" w:type="dxa"/>
            <w:vAlign w:val="center"/>
            <w:hideMark/>
          </w:tcPr>
          <w:p w14:paraId="35567A80"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&gt; 100.001</w:t>
            </w:r>
          </w:p>
        </w:tc>
        <w:tc>
          <w:tcPr>
            <w:tcW w:w="1276" w:type="dxa"/>
            <w:vMerge/>
            <w:vAlign w:val="center"/>
            <w:hideMark/>
          </w:tcPr>
          <w:p w14:paraId="51A6455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p>
        </w:tc>
        <w:tc>
          <w:tcPr>
            <w:tcW w:w="900" w:type="dxa"/>
            <w:vMerge/>
            <w:vAlign w:val="center"/>
            <w:hideMark/>
          </w:tcPr>
          <w:p w14:paraId="72BFB17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p>
        </w:tc>
      </w:tr>
      <w:tr w:rsidR="00394C62" w:rsidRPr="00FF50CD" w14:paraId="43652C17" w14:textId="77777777" w:rsidTr="007E5B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533E3E99"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Białogard</w:t>
            </w:r>
          </w:p>
        </w:tc>
        <w:tc>
          <w:tcPr>
            <w:tcW w:w="850" w:type="dxa"/>
            <w:vAlign w:val="center"/>
            <w:hideMark/>
          </w:tcPr>
          <w:p w14:paraId="15F4614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8</w:t>
            </w:r>
          </w:p>
        </w:tc>
        <w:tc>
          <w:tcPr>
            <w:tcW w:w="993" w:type="dxa"/>
            <w:vAlign w:val="center"/>
            <w:hideMark/>
          </w:tcPr>
          <w:p w14:paraId="5B44B7A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5</w:t>
            </w:r>
          </w:p>
        </w:tc>
        <w:tc>
          <w:tcPr>
            <w:tcW w:w="1134" w:type="dxa"/>
            <w:vAlign w:val="center"/>
            <w:hideMark/>
          </w:tcPr>
          <w:p w14:paraId="7645AFB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6A72247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37ECE8BB"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16A9141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900" w:type="dxa"/>
            <w:noWrap/>
            <w:vAlign w:val="center"/>
            <w:hideMark/>
          </w:tcPr>
          <w:p w14:paraId="6F73AA9D"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17</w:t>
            </w:r>
          </w:p>
        </w:tc>
      </w:tr>
      <w:tr w:rsidR="00394C62" w:rsidRPr="00FF50CD" w14:paraId="72B73A0D" w14:textId="77777777" w:rsidTr="007E5BC2">
        <w:trPr>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B594D4B"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Choszczno</w:t>
            </w:r>
          </w:p>
        </w:tc>
        <w:tc>
          <w:tcPr>
            <w:tcW w:w="850" w:type="dxa"/>
            <w:vAlign w:val="center"/>
            <w:hideMark/>
          </w:tcPr>
          <w:p w14:paraId="4BF6EF0B" w14:textId="67736D16"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5</w:t>
            </w:r>
            <w:r w:rsidR="002C7C5A" w:rsidRPr="00FF50CD">
              <w:rPr>
                <w:rFonts w:cstheme="minorHAnsi"/>
                <w:color w:val="000000"/>
                <w:lang w:eastAsia="pl-PL"/>
              </w:rPr>
              <w:t>4</w:t>
            </w:r>
          </w:p>
        </w:tc>
        <w:tc>
          <w:tcPr>
            <w:tcW w:w="993" w:type="dxa"/>
            <w:vAlign w:val="center"/>
            <w:hideMark/>
          </w:tcPr>
          <w:p w14:paraId="5B3D46B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7</w:t>
            </w:r>
          </w:p>
        </w:tc>
        <w:tc>
          <w:tcPr>
            <w:tcW w:w="1134" w:type="dxa"/>
            <w:vAlign w:val="center"/>
            <w:hideMark/>
          </w:tcPr>
          <w:p w14:paraId="58CE025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723D929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3F2E48E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6DB0BFC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900" w:type="dxa"/>
            <w:noWrap/>
            <w:vAlign w:val="center"/>
            <w:hideMark/>
          </w:tcPr>
          <w:p w14:paraId="30BA3605" w14:textId="1D285A72"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6</w:t>
            </w:r>
            <w:r w:rsidR="002C7C5A" w:rsidRPr="00FF50CD">
              <w:rPr>
                <w:rFonts w:cstheme="minorHAnsi"/>
                <w:color w:val="000000"/>
                <w:lang w:eastAsia="pl-PL"/>
              </w:rPr>
              <w:t>4</w:t>
            </w:r>
          </w:p>
        </w:tc>
      </w:tr>
      <w:tr w:rsidR="00394C62" w:rsidRPr="00FF50CD" w14:paraId="1188CACC" w14:textId="77777777" w:rsidTr="007E5BC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7A3AF590"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Drawsko Pomorskie</w:t>
            </w:r>
          </w:p>
        </w:tc>
        <w:tc>
          <w:tcPr>
            <w:tcW w:w="850" w:type="dxa"/>
            <w:noWrap/>
            <w:vAlign w:val="center"/>
            <w:hideMark/>
          </w:tcPr>
          <w:p w14:paraId="42EB846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45</w:t>
            </w:r>
          </w:p>
        </w:tc>
        <w:tc>
          <w:tcPr>
            <w:tcW w:w="993" w:type="dxa"/>
            <w:vAlign w:val="center"/>
            <w:hideMark/>
          </w:tcPr>
          <w:p w14:paraId="6044582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6</w:t>
            </w:r>
          </w:p>
        </w:tc>
        <w:tc>
          <w:tcPr>
            <w:tcW w:w="1134" w:type="dxa"/>
            <w:vAlign w:val="center"/>
            <w:hideMark/>
          </w:tcPr>
          <w:p w14:paraId="38F7F65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noWrap/>
            <w:vAlign w:val="center"/>
            <w:hideMark/>
          </w:tcPr>
          <w:p w14:paraId="1BB142D7"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7A5DFB8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028790E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13</w:t>
            </w:r>
          </w:p>
        </w:tc>
        <w:tc>
          <w:tcPr>
            <w:tcW w:w="900" w:type="dxa"/>
            <w:noWrap/>
            <w:vAlign w:val="center"/>
            <w:hideMark/>
          </w:tcPr>
          <w:p w14:paraId="25CF01E7"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66</w:t>
            </w:r>
          </w:p>
        </w:tc>
      </w:tr>
      <w:tr w:rsidR="00394C62" w:rsidRPr="00FF50CD" w14:paraId="7A4DC01A" w14:textId="77777777" w:rsidTr="007E5BC2">
        <w:trPr>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47D8B05A"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Goleniów</w:t>
            </w:r>
          </w:p>
        </w:tc>
        <w:tc>
          <w:tcPr>
            <w:tcW w:w="850" w:type="dxa"/>
            <w:vAlign w:val="center"/>
            <w:hideMark/>
          </w:tcPr>
          <w:p w14:paraId="5EF2480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32</w:t>
            </w:r>
          </w:p>
        </w:tc>
        <w:tc>
          <w:tcPr>
            <w:tcW w:w="993" w:type="dxa"/>
            <w:vAlign w:val="center"/>
            <w:hideMark/>
          </w:tcPr>
          <w:p w14:paraId="0FC244D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16</w:t>
            </w:r>
          </w:p>
        </w:tc>
        <w:tc>
          <w:tcPr>
            <w:tcW w:w="1134" w:type="dxa"/>
            <w:vAlign w:val="center"/>
            <w:hideMark/>
          </w:tcPr>
          <w:p w14:paraId="2AD85941"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noWrap/>
            <w:vAlign w:val="center"/>
            <w:hideMark/>
          </w:tcPr>
          <w:p w14:paraId="48E4E85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10B1D6E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118F17F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w:t>
            </w:r>
          </w:p>
        </w:tc>
        <w:tc>
          <w:tcPr>
            <w:tcW w:w="900" w:type="dxa"/>
            <w:noWrap/>
            <w:vAlign w:val="center"/>
            <w:hideMark/>
          </w:tcPr>
          <w:p w14:paraId="39973EB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54</w:t>
            </w:r>
          </w:p>
        </w:tc>
      </w:tr>
      <w:tr w:rsidR="00394C62" w:rsidRPr="00FF50CD" w14:paraId="549403E3" w14:textId="77777777" w:rsidTr="007E5B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3CFAC8B"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Gryfice</w:t>
            </w:r>
          </w:p>
        </w:tc>
        <w:tc>
          <w:tcPr>
            <w:tcW w:w="850" w:type="dxa"/>
            <w:vAlign w:val="center"/>
            <w:hideMark/>
          </w:tcPr>
          <w:p w14:paraId="211B172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44</w:t>
            </w:r>
          </w:p>
        </w:tc>
        <w:tc>
          <w:tcPr>
            <w:tcW w:w="993" w:type="dxa"/>
            <w:vAlign w:val="center"/>
            <w:hideMark/>
          </w:tcPr>
          <w:p w14:paraId="27541806"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12</w:t>
            </w:r>
          </w:p>
        </w:tc>
        <w:tc>
          <w:tcPr>
            <w:tcW w:w="1134" w:type="dxa"/>
            <w:vAlign w:val="center"/>
            <w:hideMark/>
          </w:tcPr>
          <w:p w14:paraId="602A646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noWrap/>
            <w:vAlign w:val="center"/>
            <w:hideMark/>
          </w:tcPr>
          <w:p w14:paraId="555A0B5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7A731A7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2CCA669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900" w:type="dxa"/>
            <w:noWrap/>
            <w:vAlign w:val="center"/>
            <w:hideMark/>
          </w:tcPr>
          <w:p w14:paraId="6BCDE34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61</w:t>
            </w:r>
          </w:p>
        </w:tc>
      </w:tr>
      <w:tr w:rsidR="00394C62" w:rsidRPr="00FF50CD" w14:paraId="1DA74FC1" w14:textId="77777777" w:rsidTr="007E5BC2">
        <w:trPr>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4D65FC32"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Gryfino</w:t>
            </w:r>
          </w:p>
        </w:tc>
        <w:tc>
          <w:tcPr>
            <w:tcW w:w="850" w:type="dxa"/>
            <w:vAlign w:val="center"/>
            <w:hideMark/>
          </w:tcPr>
          <w:p w14:paraId="5C88F71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61</w:t>
            </w:r>
          </w:p>
        </w:tc>
        <w:tc>
          <w:tcPr>
            <w:tcW w:w="993" w:type="dxa"/>
            <w:vAlign w:val="center"/>
            <w:hideMark/>
          </w:tcPr>
          <w:p w14:paraId="0D7CCB0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25</w:t>
            </w:r>
          </w:p>
        </w:tc>
        <w:tc>
          <w:tcPr>
            <w:tcW w:w="1134" w:type="dxa"/>
            <w:vAlign w:val="center"/>
            <w:hideMark/>
          </w:tcPr>
          <w:p w14:paraId="0786C8C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noWrap/>
            <w:vAlign w:val="center"/>
            <w:hideMark/>
          </w:tcPr>
          <w:p w14:paraId="58D15B5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72A9619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67126B1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5</w:t>
            </w:r>
          </w:p>
        </w:tc>
        <w:tc>
          <w:tcPr>
            <w:tcW w:w="900" w:type="dxa"/>
            <w:noWrap/>
            <w:vAlign w:val="center"/>
            <w:hideMark/>
          </w:tcPr>
          <w:p w14:paraId="48A283C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92</w:t>
            </w:r>
          </w:p>
        </w:tc>
      </w:tr>
      <w:tr w:rsidR="00394C62" w:rsidRPr="00FF50CD" w14:paraId="5729C09F" w14:textId="77777777" w:rsidTr="007E5BC2">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6AB5164"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Kamień Pomorski</w:t>
            </w:r>
          </w:p>
        </w:tc>
        <w:tc>
          <w:tcPr>
            <w:tcW w:w="850" w:type="dxa"/>
            <w:noWrap/>
            <w:vAlign w:val="center"/>
            <w:hideMark/>
          </w:tcPr>
          <w:p w14:paraId="655E3E9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34</w:t>
            </w:r>
          </w:p>
        </w:tc>
        <w:tc>
          <w:tcPr>
            <w:tcW w:w="993" w:type="dxa"/>
            <w:noWrap/>
            <w:vAlign w:val="center"/>
            <w:hideMark/>
          </w:tcPr>
          <w:p w14:paraId="6B94422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13</w:t>
            </w:r>
          </w:p>
        </w:tc>
        <w:tc>
          <w:tcPr>
            <w:tcW w:w="1134" w:type="dxa"/>
            <w:vAlign w:val="center"/>
            <w:hideMark/>
          </w:tcPr>
          <w:p w14:paraId="31BBCD4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1107" w:type="dxa"/>
            <w:noWrap/>
            <w:vAlign w:val="center"/>
            <w:hideMark/>
          </w:tcPr>
          <w:p w14:paraId="0CC0071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3DDC204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40CFC68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10</w:t>
            </w:r>
          </w:p>
        </w:tc>
        <w:tc>
          <w:tcPr>
            <w:tcW w:w="900" w:type="dxa"/>
            <w:noWrap/>
            <w:vAlign w:val="center"/>
            <w:hideMark/>
          </w:tcPr>
          <w:p w14:paraId="7DFFBE0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60</w:t>
            </w:r>
          </w:p>
        </w:tc>
      </w:tr>
      <w:tr w:rsidR="00394C62" w:rsidRPr="00FF50CD" w14:paraId="75C1C44E" w14:textId="77777777" w:rsidTr="007E5BC2">
        <w:trPr>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77CF88DF"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Kołobrzeg</w:t>
            </w:r>
          </w:p>
        </w:tc>
        <w:tc>
          <w:tcPr>
            <w:tcW w:w="850" w:type="dxa"/>
            <w:vAlign w:val="center"/>
            <w:hideMark/>
          </w:tcPr>
          <w:p w14:paraId="6FC2CF8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993" w:type="dxa"/>
            <w:vAlign w:val="center"/>
            <w:hideMark/>
          </w:tcPr>
          <w:p w14:paraId="1FA0DD2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5</w:t>
            </w:r>
          </w:p>
        </w:tc>
        <w:tc>
          <w:tcPr>
            <w:tcW w:w="1134" w:type="dxa"/>
            <w:vAlign w:val="center"/>
            <w:hideMark/>
          </w:tcPr>
          <w:p w14:paraId="7950793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1F47AD6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019" w:type="dxa"/>
            <w:vAlign w:val="center"/>
            <w:hideMark/>
          </w:tcPr>
          <w:p w14:paraId="1BD3B0F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2338D331"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8</w:t>
            </w:r>
          </w:p>
        </w:tc>
        <w:tc>
          <w:tcPr>
            <w:tcW w:w="900" w:type="dxa"/>
            <w:noWrap/>
            <w:vAlign w:val="center"/>
            <w:hideMark/>
          </w:tcPr>
          <w:p w14:paraId="560AC20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15</w:t>
            </w:r>
          </w:p>
        </w:tc>
      </w:tr>
      <w:tr w:rsidR="00394C62" w:rsidRPr="00FF50CD" w14:paraId="4ADCE910" w14:textId="77777777" w:rsidTr="007E5B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594CEA9"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Koszalin</w:t>
            </w:r>
          </w:p>
        </w:tc>
        <w:tc>
          <w:tcPr>
            <w:tcW w:w="850" w:type="dxa"/>
            <w:vAlign w:val="center"/>
            <w:hideMark/>
          </w:tcPr>
          <w:p w14:paraId="58C8F9A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72</w:t>
            </w:r>
          </w:p>
        </w:tc>
        <w:tc>
          <w:tcPr>
            <w:tcW w:w="993" w:type="dxa"/>
            <w:vAlign w:val="center"/>
            <w:hideMark/>
          </w:tcPr>
          <w:p w14:paraId="311DF706"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14</w:t>
            </w:r>
          </w:p>
        </w:tc>
        <w:tc>
          <w:tcPr>
            <w:tcW w:w="1134" w:type="dxa"/>
            <w:vAlign w:val="center"/>
            <w:hideMark/>
          </w:tcPr>
          <w:p w14:paraId="659A70F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vAlign w:val="center"/>
            <w:hideMark/>
          </w:tcPr>
          <w:p w14:paraId="70ED11D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019" w:type="dxa"/>
            <w:vAlign w:val="center"/>
            <w:hideMark/>
          </w:tcPr>
          <w:p w14:paraId="51D1677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697A8F9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16</w:t>
            </w:r>
          </w:p>
        </w:tc>
        <w:tc>
          <w:tcPr>
            <w:tcW w:w="900" w:type="dxa"/>
            <w:noWrap/>
            <w:vAlign w:val="center"/>
            <w:hideMark/>
          </w:tcPr>
          <w:p w14:paraId="1DE3E53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105</w:t>
            </w:r>
          </w:p>
        </w:tc>
      </w:tr>
      <w:tr w:rsidR="00394C62" w:rsidRPr="00FF50CD" w14:paraId="1CA6E2A5" w14:textId="77777777" w:rsidTr="007E5BC2">
        <w:trPr>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7E5D73E"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Myślibórz</w:t>
            </w:r>
          </w:p>
        </w:tc>
        <w:tc>
          <w:tcPr>
            <w:tcW w:w="850" w:type="dxa"/>
            <w:vAlign w:val="center"/>
            <w:hideMark/>
          </w:tcPr>
          <w:p w14:paraId="677F237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25</w:t>
            </w:r>
          </w:p>
        </w:tc>
        <w:tc>
          <w:tcPr>
            <w:tcW w:w="993" w:type="dxa"/>
            <w:vAlign w:val="center"/>
            <w:hideMark/>
          </w:tcPr>
          <w:p w14:paraId="1381549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8</w:t>
            </w:r>
          </w:p>
        </w:tc>
        <w:tc>
          <w:tcPr>
            <w:tcW w:w="1134" w:type="dxa"/>
            <w:vAlign w:val="center"/>
            <w:hideMark/>
          </w:tcPr>
          <w:p w14:paraId="63961691"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1107" w:type="dxa"/>
            <w:vAlign w:val="center"/>
            <w:hideMark/>
          </w:tcPr>
          <w:p w14:paraId="0FEC94F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021C7F5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1A4EB0E9"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6</w:t>
            </w:r>
          </w:p>
        </w:tc>
        <w:tc>
          <w:tcPr>
            <w:tcW w:w="900" w:type="dxa"/>
            <w:noWrap/>
            <w:vAlign w:val="center"/>
            <w:hideMark/>
          </w:tcPr>
          <w:p w14:paraId="57E58ED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42</w:t>
            </w:r>
          </w:p>
        </w:tc>
      </w:tr>
      <w:tr w:rsidR="00394C62" w:rsidRPr="00FF50CD" w14:paraId="51FAFC53" w14:textId="77777777" w:rsidTr="007E5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4951A16B"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Police</w:t>
            </w:r>
          </w:p>
        </w:tc>
        <w:tc>
          <w:tcPr>
            <w:tcW w:w="850" w:type="dxa"/>
            <w:vAlign w:val="center"/>
            <w:hideMark/>
          </w:tcPr>
          <w:p w14:paraId="5BAA58A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993" w:type="dxa"/>
            <w:vAlign w:val="center"/>
            <w:hideMark/>
          </w:tcPr>
          <w:p w14:paraId="311866F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13</w:t>
            </w:r>
          </w:p>
        </w:tc>
        <w:tc>
          <w:tcPr>
            <w:tcW w:w="1134" w:type="dxa"/>
            <w:vAlign w:val="center"/>
            <w:hideMark/>
          </w:tcPr>
          <w:p w14:paraId="10322F0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4</w:t>
            </w:r>
          </w:p>
        </w:tc>
        <w:tc>
          <w:tcPr>
            <w:tcW w:w="1107" w:type="dxa"/>
            <w:vAlign w:val="center"/>
            <w:hideMark/>
          </w:tcPr>
          <w:p w14:paraId="7043D71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759F979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0687A75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900" w:type="dxa"/>
            <w:noWrap/>
            <w:vAlign w:val="center"/>
            <w:hideMark/>
          </w:tcPr>
          <w:p w14:paraId="1D2C927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23</w:t>
            </w:r>
          </w:p>
        </w:tc>
      </w:tr>
      <w:tr w:rsidR="00394C62" w:rsidRPr="00FF50CD" w14:paraId="1AB3B11C" w14:textId="77777777" w:rsidTr="007E5BC2">
        <w:trPr>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4AEDEFC"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Pyrzyce</w:t>
            </w:r>
          </w:p>
        </w:tc>
        <w:tc>
          <w:tcPr>
            <w:tcW w:w="850" w:type="dxa"/>
            <w:noWrap/>
            <w:vAlign w:val="center"/>
            <w:hideMark/>
          </w:tcPr>
          <w:p w14:paraId="63AD336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23</w:t>
            </w:r>
          </w:p>
        </w:tc>
        <w:tc>
          <w:tcPr>
            <w:tcW w:w="993" w:type="dxa"/>
            <w:noWrap/>
            <w:vAlign w:val="center"/>
            <w:hideMark/>
          </w:tcPr>
          <w:p w14:paraId="069ABA30"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13</w:t>
            </w:r>
          </w:p>
        </w:tc>
        <w:tc>
          <w:tcPr>
            <w:tcW w:w="1134" w:type="dxa"/>
            <w:noWrap/>
            <w:vAlign w:val="center"/>
            <w:hideMark/>
          </w:tcPr>
          <w:p w14:paraId="78E571E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154F2959"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18F1F601"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noWrap/>
            <w:vAlign w:val="center"/>
            <w:hideMark/>
          </w:tcPr>
          <w:p w14:paraId="1577407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900" w:type="dxa"/>
            <w:noWrap/>
            <w:vAlign w:val="center"/>
            <w:hideMark/>
          </w:tcPr>
          <w:p w14:paraId="1AF095E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40</w:t>
            </w:r>
          </w:p>
        </w:tc>
      </w:tr>
      <w:tr w:rsidR="00394C62" w:rsidRPr="00FF50CD" w14:paraId="2A901218" w14:textId="77777777" w:rsidTr="007E5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7A9E521D"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Sławno</w:t>
            </w:r>
          </w:p>
        </w:tc>
        <w:tc>
          <w:tcPr>
            <w:tcW w:w="850" w:type="dxa"/>
            <w:vAlign w:val="center"/>
            <w:hideMark/>
          </w:tcPr>
          <w:p w14:paraId="26C125A9"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24</w:t>
            </w:r>
          </w:p>
        </w:tc>
        <w:tc>
          <w:tcPr>
            <w:tcW w:w="993" w:type="dxa"/>
            <w:vAlign w:val="center"/>
            <w:hideMark/>
          </w:tcPr>
          <w:p w14:paraId="5ACE997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17</w:t>
            </w:r>
          </w:p>
        </w:tc>
        <w:tc>
          <w:tcPr>
            <w:tcW w:w="1134" w:type="dxa"/>
            <w:vAlign w:val="center"/>
            <w:hideMark/>
          </w:tcPr>
          <w:p w14:paraId="42E13DB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vAlign w:val="center"/>
            <w:hideMark/>
          </w:tcPr>
          <w:p w14:paraId="560A9CFB"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703525CB"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41F7CA1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10</w:t>
            </w:r>
          </w:p>
        </w:tc>
        <w:tc>
          <w:tcPr>
            <w:tcW w:w="900" w:type="dxa"/>
            <w:noWrap/>
            <w:vAlign w:val="center"/>
            <w:hideMark/>
          </w:tcPr>
          <w:p w14:paraId="5A0FC89D"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53</w:t>
            </w:r>
          </w:p>
        </w:tc>
      </w:tr>
      <w:tr w:rsidR="00394C62" w:rsidRPr="00FF50CD" w14:paraId="1FF2E887" w14:textId="77777777" w:rsidTr="007E5BC2">
        <w:trPr>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7412DB23"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Stargard</w:t>
            </w:r>
          </w:p>
        </w:tc>
        <w:tc>
          <w:tcPr>
            <w:tcW w:w="850" w:type="dxa"/>
            <w:vAlign w:val="center"/>
            <w:hideMark/>
          </w:tcPr>
          <w:p w14:paraId="126DC54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40</w:t>
            </w:r>
          </w:p>
        </w:tc>
        <w:tc>
          <w:tcPr>
            <w:tcW w:w="993" w:type="dxa"/>
            <w:vAlign w:val="center"/>
            <w:hideMark/>
          </w:tcPr>
          <w:p w14:paraId="1836F0E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24</w:t>
            </w:r>
          </w:p>
        </w:tc>
        <w:tc>
          <w:tcPr>
            <w:tcW w:w="1134" w:type="dxa"/>
            <w:vAlign w:val="center"/>
            <w:hideMark/>
          </w:tcPr>
          <w:p w14:paraId="0EC527F6"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vAlign w:val="center"/>
            <w:hideMark/>
          </w:tcPr>
          <w:p w14:paraId="3C9AD1D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1A72391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2B061D5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6</w:t>
            </w:r>
          </w:p>
        </w:tc>
        <w:tc>
          <w:tcPr>
            <w:tcW w:w="900" w:type="dxa"/>
            <w:noWrap/>
            <w:vAlign w:val="center"/>
            <w:hideMark/>
          </w:tcPr>
          <w:p w14:paraId="249FC26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72</w:t>
            </w:r>
          </w:p>
        </w:tc>
      </w:tr>
      <w:tr w:rsidR="00394C62" w:rsidRPr="00FF50CD" w14:paraId="18F418A9" w14:textId="77777777" w:rsidTr="007E5B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44CF5278"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lastRenderedPageBreak/>
              <w:t>Szczecinek</w:t>
            </w:r>
          </w:p>
        </w:tc>
        <w:tc>
          <w:tcPr>
            <w:tcW w:w="850" w:type="dxa"/>
            <w:noWrap/>
            <w:vAlign w:val="center"/>
            <w:hideMark/>
          </w:tcPr>
          <w:p w14:paraId="609B8DB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13</w:t>
            </w:r>
          </w:p>
        </w:tc>
        <w:tc>
          <w:tcPr>
            <w:tcW w:w="993" w:type="dxa"/>
            <w:vAlign w:val="center"/>
            <w:hideMark/>
          </w:tcPr>
          <w:p w14:paraId="4A99D58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11</w:t>
            </w:r>
          </w:p>
        </w:tc>
        <w:tc>
          <w:tcPr>
            <w:tcW w:w="1134" w:type="dxa"/>
            <w:vAlign w:val="center"/>
            <w:hideMark/>
          </w:tcPr>
          <w:p w14:paraId="0AA10FD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5FE920E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0DA0963D"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64B064D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8</w:t>
            </w:r>
          </w:p>
        </w:tc>
        <w:tc>
          <w:tcPr>
            <w:tcW w:w="900" w:type="dxa"/>
            <w:noWrap/>
            <w:vAlign w:val="center"/>
            <w:hideMark/>
          </w:tcPr>
          <w:p w14:paraId="5E19A5A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33</w:t>
            </w:r>
          </w:p>
        </w:tc>
      </w:tr>
      <w:tr w:rsidR="00394C62" w:rsidRPr="00FF50CD" w14:paraId="1B8D2C19" w14:textId="77777777" w:rsidTr="007E5BC2">
        <w:trPr>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762D8F1"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Świdwin</w:t>
            </w:r>
          </w:p>
        </w:tc>
        <w:tc>
          <w:tcPr>
            <w:tcW w:w="850" w:type="dxa"/>
            <w:vAlign w:val="center"/>
            <w:hideMark/>
          </w:tcPr>
          <w:p w14:paraId="562995A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46</w:t>
            </w:r>
          </w:p>
        </w:tc>
        <w:tc>
          <w:tcPr>
            <w:tcW w:w="993" w:type="dxa"/>
            <w:vAlign w:val="center"/>
            <w:hideMark/>
          </w:tcPr>
          <w:p w14:paraId="145FFEE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10</w:t>
            </w:r>
          </w:p>
        </w:tc>
        <w:tc>
          <w:tcPr>
            <w:tcW w:w="1134" w:type="dxa"/>
            <w:vAlign w:val="center"/>
            <w:hideMark/>
          </w:tcPr>
          <w:p w14:paraId="41C3348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78C2A02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5D8760E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2D9D11E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29</w:t>
            </w:r>
          </w:p>
        </w:tc>
        <w:tc>
          <w:tcPr>
            <w:tcW w:w="900" w:type="dxa"/>
            <w:noWrap/>
            <w:vAlign w:val="center"/>
            <w:hideMark/>
          </w:tcPr>
          <w:p w14:paraId="7DC577A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86</w:t>
            </w:r>
          </w:p>
        </w:tc>
      </w:tr>
      <w:tr w:rsidR="00394C62" w:rsidRPr="00FF50CD" w14:paraId="41DE825D" w14:textId="77777777" w:rsidTr="007E5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1E1857D"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Wałcz</w:t>
            </w:r>
          </w:p>
        </w:tc>
        <w:tc>
          <w:tcPr>
            <w:tcW w:w="850" w:type="dxa"/>
            <w:vAlign w:val="center"/>
            <w:hideMark/>
          </w:tcPr>
          <w:p w14:paraId="13CACE0D" w14:textId="374CBD6E"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r w:rsidR="002C7C5A" w:rsidRPr="00FF50CD">
              <w:rPr>
                <w:rFonts w:cstheme="minorHAnsi"/>
                <w:color w:val="000000"/>
                <w:lang w:eastAsia="pl-PL"/>
              </w:rPr>
              <w:t>9</w:t>
            </w:r>
          </w:p>
        </w:tc>
        <w:tc>
          <w:tcPr>
            <w:tcW w:w="993" w:type="dxa"/>
            <w:vAlign w:val="center"/>
            <w:hideMark/>
          </w:tcPr>
          <w:p w14:paraId="664F80B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9</w:t>
            </w:r>
          </w:p>
        </w:tc>
        <w:tc>
          <w:tcPr>
            <w:tcW w:w="1134" w:type="dxa"/>
            <w:vAlign w:val="center"/>
            <w:hideMark/>
          </w:tcPr>
          <w:p w14:paraId="1308FA7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5A7C895B"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76AE4CC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17C3B37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6</w:t>
            </w:r>
          </w:p>
        </w:tc>
        <w:tc>
          <w:tcPr>
            <w:tcW w:w="900" w:type="dxa"/>
            <w:noWrap/>
            <w:vAlign w:val="center"/>
            <w:hideMark/>
          </w:tcPr>
          <w:p w14:paraId="49C912AE" w14:textId="64211CD1"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5</w:t>
            </w:r>
            <w:r w:rsidR="002C7C5A" w:rsidRPr="00FF50CD">
              <w:rPr>
                <w:rFonts w:cstheme="minorHAnsi"/>
                <w:color w:val="000000"/>
                <w:lang w:eastAsia="pl-PL"/>
              </w:rPr>
              <w:t>5</w:t>
            </w:r>
          </w:p>
        </w:tc>
      </w:tr>
      <w:tr w:rsidR="00394C62" w:rsidRPr="00FF50CD" w14:paraId="64AF1A03" w14:textId="77777777" w:rsidTr="007E5BC2">
        <w:trPr>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103C0BDF"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Łobez</w:t>
            </w:r>
          </w:p>
        </w:tc>
        <w:tc>
          <w:tcPr>
            <w:tcW w:w="850" w:type="dxa"/>
            <w:vAlign w:val="center"/>
            <w:hideMark/>
          </w:tcPr>
          <w:p w14:paraId="6AA0149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46</w:t>
            </w:r>
          </w:p>
        </w:tc>
        <w:tc>
          <w:tcPr>
            <w:tcW w:w="993" w:type="dxa"/>
            <w:vAlign w:val="center"/>
            <w:hideMark/>
          </w:tcPr>
          <w:p w14:paraId="1A420579"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7</w:t>
            </w:r>
          </w:p>
        </w:tc>
        <w:tc>
          <w:tcPr>
            <w:tcW w:w="1134" w:type="dxa"/>
            <w:vAlign w:val="center"/>
            <w:hideMark/>
          </w:tcPr>
          <w:p w14:paraId="71D8C40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107" w:type="dxa"/>
            <w:vAlign w:val="center"/>
            <w:hideMark/>
          </w:tcPr>
          <w:p w14:paraId="23E52EE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2A458FE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49AED3B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4</w:t>
            </w:r>
          </w:p>
        </w:tc>
        <w:tc>
          <w:tcPr>
            <w:tcW w:w="900" w:type="dxa"/>
            <w:noWrap/>
            <w:vAlign w:val="center"/>
            <w:hideMark/>
          </w:tcPr>
          <w:p w14:paraId="52FD90F6"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58</w:t>
            </w:r>
          </w:p>
        </w:tc>
      </w:tr>
      <w:tr w:rsidR="00394C62" w:rsidRPr="00FF50CD" w14:paraId="7064CCE1" w14:textId="77777777" w:rsidTr="007E5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2C85CD77"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Szczecin</w:t>
            </w:r>
          </w:p>
        </w:tc>
        <w:tc>
          <w:tcPr>
            <w:tcW w:w="850" w:type="dxa"/>
            <w:vAlign w:val="center"/>
            <w:hideMark/>
          </w:tcPr>
          <w:p w14:paraId="2428290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993" w:type="dxa"/>
            <w:vAlign w:val="center"/>
            <w:hideMark/>
          </w:tcPr>
          <w:p w14:paraId="33BB6A8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134" w:type="dxa"/>
            <w:vAlign w:val="center"/>
            <w:hideMark/>
          </w:tcPr>
          <w:p w14:paraId="37F2AD96"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107" w:type="dxa"/>
            <w:vAlign w:val="center"/>
            <w:hideMark/>
          </w:tcPr>
          <w:p w14:paraId="73FA2696"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w:t>
            </w:r>
          </w:p>
        </w:tc>
        <w:tc>
          <w:tcPr>
            <w:tcW w:w="1019" w:type="dxa"/>
            <w:vAlign w:val="center"/>
            <w:hideMark/>
          </w:tcPr>
          <w:p w14:paraId="5EA7333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4F63AB7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16</w:t>
            </w:r>
          </w:p>
        </w:tc>
        <w:tc>
          <w:tcPr>
            <w:tcW w:w="900" w:type="dxa"/>
            <w:noWrap/>
            <w:vAlign w:val="center"/>
            <w:hideMark/>
          </w:tcPr>
          <w:p w14:paraId="3DB5540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19</w:t>
            </w:r>
          </w:p>
        </w:tc>
      </w:tr>
      <w:tr w:rsidR="00394C62" w:rsidRPr="00FF50CD" w14:paraId="0FAFAECA" w14:textId="77777777" w:rsidTr="007E5BC2">
        <w:trPr>
          <w:trHeight w:val="356"/>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614D31D" w14:textId="18FE1641"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Świnoujście</w:t>
            </w:r>
          </w:p>
        </w:tc>
        <w:tc>
          <w:tcPr>
            <w:tcW w:w="850" w:type="dxa"/>
            <w:vAlign w:val="center"/>
            <w:hideMark/>
          </w:tcPr>
          <w:p w14:paraId="47F3F7A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993" w:type="dxa"/>
            <w:vAlign w:val="center"/>
            <w:hideMark/>
          </w:tcPr>
          <w:p w14:paraId="7570554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134" w:type="dxa"/>
            <w:vAlign w:val="center"/>
            <w:hideMark/>
          </w:tcPr>
          <w:p w14:paraId="7185351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c>
          <w:tcPr>
            <w:tcW w:w="1107" w:type="dxa"/>
            <w:noWrap/>
            <w:vAlign w:val="center"/>
            <w:hideMark/>
          </w:tcPr>
          <w:p w14:paraId="1E520C7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019" w:type="dxa"/>
            <w:vAlign w:val="center"/>
            <w:hideMark/>
          </w:tcPr>
          <w:p w14:paraId="4CB5271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vAlign w:val="center"/>
            <w:hideMark/>
          </w:tcPr>
          <w:p w14:paraId="5CA992D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900" w:type="dxa"/>
            <w:noWrap/>
            <w:vAlign w:val="center"/>
            <w:hideMark/>
          </w:tcPr>
          <w:p w14:paraId="70733B1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lang w:eastAsia="pl-PL"/>
              </w:rPr>
            </w:pPr>
            <w:r w:rsidRPr="00FF50CD">
              <w:rPr>
                <w:rFonts w:cstheme="minorHAnsi"/>
                <w:color w:val="000000"/>
                <w:lang w:eastAsia="pl-PL"/>
              </w:rPr>
              <w:t>2</w:t>
            </w:r>
          </w:p>
        </w:tc>
      </w:tr>
      <w:tr w:rsidR="00394C62" w:rsidRPr="00FF50CD" w14:paraId="393AE53F" w14:textId="77777777" w:rsidTr="007E5B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1D13A8C" w14:textId="77777777" w:rsidR="00394C62" w:rsidRPr="00FF50CD" w:rsidRDefault="00394C62" w:rsidP="00597239">
            <w:pPr>
              <w:rPr>
                <w:rFonts w:cstheme="minorHAnsi"/>
                <w:b w:val="0"/>
                <w:bCs w:val="0"/>
                <w:color w:val="000000"/>
                <w:lang w:eastAsia="pl-PL"/>
              </w:rPr>
            </w:pPr>
            <w:r w:rsidRPr="00FF50CD">
              <w:rPr>
                <w:rFonts w:cstheme="minorHAnsi"/>
                <w:b w:val="0"/>
                <w:bCs w:val="0"/>
                <w:color w:val="000000"/>
                <w:lang w:eastAsia="pl-PL"/>
              </w:rPr>
              <w:t>RAZEM</w:t>
            </w:r>
          </w:p>
        </w:tc>
        <w:tc>
          <w:tcPr>
            <w:tcW w:w="850" w:type="dxa"/>
            <w:noWrap/>
            <w:vAlign w:val="center"/>
            <w:hideMark/>
          </w:tcPr>
          <w:p w14:paraId="32BFEB6C" w14:textId="7F39A9BB"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61</w:t>
            </w:r>
            <w:r w:rsidR="002C7C5A" w:rsidRPr="00FF50CD">
              <w:rPr>
                <w:rFonts w:cstheme="minorHAnsi"/>
                <w:color w:val="000000"/>
                <w:lang w:eastAsia="pl-PL"/>
              </w:rPr>
              <w:t>1</w:t>
            </w:r>
          </w:p>
        </w:tc>
        <w:tc>
          <w:tcPr>
            <w:tcW w:w="993" w:type="dxa"/>
            <w:noWrap/>
            <w:vAlign w:val="center"/>
            <w:hideMark/>
          </w:tcPr>
          <w:p w14:paraId="07B74A8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215</w:t>
            </w:r>
          </w:p>
        </w:tc>
        <w:tc>
          <w:tcPr>
            <w:tcW w:w="1134" w:type="dxa"/>
            <w:noWrap/>
            <w:vAlign w:val="center"/>
            <w:hideMark/>
          </w:tcPr>
          <w:p w14:paraId="1DB3E58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33</w:t>
            </w:r>
          </w:p>
        </w:tc>
        <w:tc>
          <w:tcPr>
            <w:tcW w:w="1107" w:type="dxa"/>
            <w:noWrap/>
            <w:vAlign w:val="center"/>
            <w:hideMark/>
          </w:tcPr>
          <w:p w14:paraId="197951E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3</w:t>
            </w:r>
          </w:p>
        </w:tc>
        <w:tc>
          <w:tcPr>
            <w:tcW w:w="1019" w:type="dxa"/>
            <w:noWrap/>
            <w:vAlign w:val="center"/>
            <w:hideMark/>
          </w:tcPr>
          <w:p w14:paraId="5E46AC1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0</w:t>
            </w:r>
          </w:p>
        </w:tc>
        <w:tc>
          <w:tcPr>
            <w:tcW w:w="1276" w:type="dxa"/>
            <w:noWrap/>
            <w:vAlign w:val="center"/>
            <w:hideMark/>
          </w:tcPr>
          <w:p w14:paraId="584473D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155</w:t>
            </w:r>
          </w:p>
        </w:tc>
        <w:tc>
          <w:tcPr>
            <w:tcW w:w="900" w:type="dxa"/>
            <w:noWrap/>
            <w:vAlign w:val="center"/>
            <w:hideMark/>
          </w:tcPr>
          <w:p w14:paraId="551C4975" w14:textId="1AC5C809"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lang w:eastAsia="pl-PL"/>
              </w:rPr>
            </w:pPr>
            <w:r w:rsidRPr="00FF50CD">
              <w:rPr>
                <w:rFonts w:cstheme="minorHAnsi"/>
                <w:color w:val="000000"/>
                <w:lang w:eastAsia="pl-PL"/>
              </w:rPr>
              <w:t>1 01</w:t>
            </w:r>
            <w:r w:rsidR="002C7C5A" w:rsidRPr="00FF50CD">
              <w:rPr>
                <w:rFonts w:cstheme="minorHAnsi"/>
                <w:color w:val="000000"/>
                <w:lang w:eastAsia="pl-PL"/>
              </w:rPr>
              <w:t>7</w:t>
            </w:r>
          </w:p>
        </w:tc>
      </w:tr>
    </w:tbl>
    <w:p w14:paraId="0E4934FA" w14:textId="77777777" w:rsidR="00DD3EBB" w:rsidRDefault="00DD3EBB" w:rsidP="00597239">
      <w:pPr>
        <w:pStyle w:val="Nagwek2"/>
        <w:spacing w:before="0" w:after="0"/>
        <w:ind w:firstLine="0"/>
        <w:jc w:val="left"/>
        <w:rPr>
          <w:color w:val="000000" w:themeColor="text1"/>
        </w:rPr>
      </w:pPr>
    </w:p>
    <w:p w14:paraId="29E80736" w14:textId="6778545C" w:rsidR="00394C62" w:rsidRPr="00BD5543" w:rsidRDefault="00394C62" w:rsidP="00597239">
      <w:pPr>
        <w:pStyle w:val="Nagwek2"/>
        <w:numPr>
          <w:ilvl w:val="0"/>
          <w:numId w:val="64"/>
        </w:numPr>
        <w:spacing w:before="0" w:after="0"/>
        <w:ind w:left="284" w:hanging="284"/>
        <w:jc w:val="left"/>
        <w:rPr>
          <w:color w:val="000000" w:themeColor="text1"/>
        </w:rPr>
      </w:pPr>
      <w:bookmarkStart w:id="274" w:name="_Toc194059822"/>
      <w:r w:rsidRPr="000F413F">
        <w:rPr>
          <w:color w:val="000000" w:themeColor="text1"/>
        </w:rPr>
        <w:t>Nadzór nad jakością wody do spożycia</w:t>
      </w:r>
      <w:bookmarkEnd w:id="274"/>
    </w:p>
    <w:p w14:paraId="45697018" w14:textId="721B4009" w:rsidR="00394C62" w:rsidRPr="004D1012" w:rsidRDefault="00394C62" w:rsidP="00597239">
      <w:pPr>
        <w:spacing w:after="0" w:line="276" w:lineRule="auto"/>
        <w:rPr>
          <w:rFonts w:cstheme="minorHAnsi"/>
          <w:color w:val="000000" w:themeColor="text1"/>
          <w:sz w:val="24"/>
          <w:szCs w:val="24"/>
        </w:rPr>
      </w:pPr>
      <w:r w:rsidRPr="000F413F">
        <w:rPr>
          <w:rFonts w:cstheme="minorHAnsi"/>
          <w:color w:val="000000" w:themeColor="text1"/>
          <w:sz w:val="24"/>
          <w:szCs w:val="24"/>
        </w:rPr>
        <w:t>Badania jakości wody z wodociągów realizowane są w systemie ciągłym zgodnie z ustalonymi rocznymi „Harmonogramami pobierania próbek wody”, w zakresie parametrów grupy A i</w:t>
      </w:r>
      <w:r w:rsidR="00B37BC5">
        <w:rPr>
          <w:rFonts w:cstheme="minorHAnsi"/>
          <w:color w:val="000000" w:themeColor="text1"/>
          <w:sz w:val="24"/>
          <w:szCs w:val="24"/>
        </w:rPr>
        <w:t> </w:t>
      </w:r>
      <w:r w:rsidRPr="000F413F">
        <w:rPr>
          <w:rFonts w:cstheme="minorHAnsi"/>
          <w:color w:val="000000" w:themeColor="text1"/>
          <w:sz w:val="24"/>
          <w:szCs w:val="24"/>
        </w:rPr>
        <w:t>parametrów grupy B, z częstotliwością określoną w przywołanym powyżej rozporządzeniu</w:t>
      </w:r>
      <w:r>
        <w:rPr>
          <w:rFonts w:cstheme="minorHAnsi"/>
          <w:color w:val="000000" w:themeColor="text1"/>
          <w:sz w:val="24"/>
          <w:szCs w:val="24"/>
        </w:rPr>
        <w:t xml:space="preserve"> </w:t>
      </w:r>
      <w:r w:rsidRPr="005534E1">
        <w:rPr>
          <w:rStyle w:val="markedcontent"/>
          <w:rFonts w:cstheme="minorHAnsi"/>
          <w:color w:val="000000" w:themeColor="text1"/>
          <w:sz w:val="24"/>
          <w:szCs w:val="24"/>
        </w:rPr>
        <w:t xml:space="preserve">Ministra </w:t>
      </w:r>
      <w:r w:rsidRPr="004D1012">
        <w:rPr>
          <w:rStyle w:val="markedcontent"/>
          <w:rFonts w:cstheme="minorHAnsi"/>
          <w:color w:val="000000" w:themeColor="text1"/>
          <w:sz w:val="24"/>
          <w:szCs w:val="24"/>
        </w:rPr>
        <w:t xml:space="preserve">Zdrowia z dnia 7 grudnia 2017 r. </w:t>
      </w:r>
      <w:r w:rsidRPr="00E1236C">
        <w:rPr>
          <w:rStyle w:val="markedcontent"/>
          <w:rFonts w:cstheme="minorHAnsi"/>
          <w:color w:val="000000" w:themeColor="text1"/>
          <w:sz w:val="24"/>
          <w:szCs w:val="24"/>
        </w:rPr>
        <w:t>w sprawie jakości wody przeznaczonej do spożycia przez ludzi</w:t>
      </w:r>
      <w:r w:rsidRPr="00E1236C">
        <w:rPr>
          <w:rFonts w:cstheme="minorHAnsi"/>
          <w:color w:val="000000" w:themeColor="text1"/>
          <w:sz w:val="24"/>
          <w:szCs w:val="24"/>
        </w:rPr>
        <w:t>.</w:t>
      </w:r>
      <w:r w:rsidRPr="004D1012">
        <w:rPr>
          <w:rFonts w:cstheme="minorHAnsi"/>
          <w:color w:val="000000" w:themeColor="text1"/>
          <w:sz w:val="24"/>
          <w:szCs w:val="24"/>
        </w:rPr>
        <w:t xml:space="preserve"> Próbki wody pobierane były głównie z punktów zlokalizowanych na sieci wodociągowej (u odbiorców) oraz w stacjach uzdatniania wody (woda uzdatniona). </w:t>
      </w:r>
    </w:p>
    <w:p w14:paraId="7D938978" w14:textId="77777777" w:rsidR="00DD3EBB" w:rsidRDefault="00DD3EBB" w:rsidP="00597239">
      <w:pPr>
        <w:spacing w:after="0" w:line="276" w:lineRule="auto"/>
        <w:rPr>
          <w:rFonts w:cstheme="minorHAnsi"/>
          <w:color w:val="000000" w:themeColor="text1"/>
          <w:sz w:val="24"/>
          <w:szCs w:val="24"/>
        </w:rPr>
      </w:pPr>
    </w:p>
    <w:p w14:paraId="477265C7" w14:textId="29820F59" w:rsidR="00394C62" w:rsidRDefault="00394C62" w:rsidP="00597239">
      <w:pPr>
        <w:spacing w:after="0" w:line="276" w:lineRule="auto"/>
        <w:rPr>
          <w:rFonts w:cstheme="minorHAnsi"/>
          <w:color w:val="000000" w:themeColor="text1"/>
          <w:sz w:val="24"/>
          <w:szCs w:val="24"/>
        </w:rPr>
      </w:pPr>
      <w:r w:rsidRPr="004D1012">
        <w:rPr>
          <w:rFonts w:cstheme="minorHAnsi"/>
          <w:color w:val="000000" w:themeColor="text1"/>
          <w:sz w:val="24"/>
          <w:szCs w:val="24"/>
        </w:rPr>
        <w:t xml:space="preserve">W 2024 roku na terenie woj. zachodniopomorskiego pracownicy Państwowej Inspekcji Sanitarnej pobrali 3 084 próbki </w:t>
      </w:r>
      <w:r w:rsidR="00FD3723" w:rsidRPr="004D1012">
        <w:rPr>
          <w:rFonts w:cstheme="minorHAnsi"/>
          <w:color w:val="000000" w:themeColor="text1"/>
          <w:sz w:val="24"/>
          <w:szCs w:val="24"/>
        </w:rPr>
        <w:t>wody, spośród</w:t>
      </w:r>
      <w:r w:rsidRPr="004D1012">
        <w:rPr>
          <w:rFonts w:cstheme="minorHAnsi"/>
          <w:color w:val="000000" w:themeColor="text1"/>
          <w:sz w:val="24"/>
          <w:szCs w:val="24"/>
        </w:rPr>
        <w:t xml:space="preserve"> których zakwestionowano 435, ze względu na</w:t>
      </w:r>
      <w:r w:rsidR="003326B1">
        <w:rPr>
          <w:rFonts w:cstheme="minorHAnsi"/>
          <w:color w:val="000000" w:themeColor="text1"/>
          <w:sz w:val="24"/>
          <w:szCs w:val="24"/>
        </w:rPr>
        <w:t> </w:t>
      </w:r>
      <w:r w:rsidRPr="004D1012">
        <w:rPr>
          <w:rFonts w:cstheme="minorHAnsi"/>
          <w:color w:val="000000" w:themeColor="text1"/>
          <w:sz w:val="24"/>
          <w:szCs w:val="24"/>
        </w:rPr>
        <w:t>przekroczenia parametrów mikrobiologicznych oraz 323 ze względu na przekroczenia parametrów fizykochemicznych. Przedsiębiorstwa wodociągowo-kanalizacyjne</w:t>
      </w:r>
      <w:r>
        <w:rPr>
          <w:rFonts w:cstheme="minorHAnsi"/>
          <w:color w:val="000000" w:themeColor="text1"/>
          <w:sz w:val="24"/>
          <w:szCs w:val="24"/>
        </w:rPr>
        <w:t xml:space="preserve"> </w:t>
      </w:r>
      <w:r w:rsidRPr="004D1012">
        <w:rPr>
          <w:rFonts w:cstheme="minorHAnsi"/>
          <w:color w:val="000000" w:themeColor="text1"/>
          <w:sz w:val="24"/>
          <w:szCs w:val="24"/>
        </w:rPr>
        <w:t>w ramach wewnętrznej kontroli jakości wody oraz podmioty wykorzystujące wodę, pochodzącą z</w:t>
      </w:r>
      <w:r w:rsidR="00B37BC5">
        <w:rPr>
          <w:rFonts w:cstheme="minorHAnsi"/>
          <w:color w:val="000000" w:themeColor="text1"/>
          <w:sz w:val="24"/>
          <w:szCs w:val="24"/>
        </w:rPr>
        <w:t> </w:t>
      </w:r>
      <w:r w:rsidRPr="004D1012">
        <w:rPr>
          <w:rFonts w:cstheme="minorHAnsi"/>
          <w:color w:val="000000" w:themeColor="text1"/>
          <w:sz w:val="24"/>
          <w:szCs w:val="24"/>
        </w:rPr>
        <w:t>indywidualnego ujęcia, jako część działalności handlowej lub w budynkach użyteczności publicznej, pobrali łącznie 5 009 próbek, z których zakwestionowano 239 ze względu na</w:t>
      </w:r>
      <w:r w:rsidR="003326B1">
        <w:rPr>
          <w:rFonts w:cstheme="minorHAnsi"/>
          <w:color w:val="000000" w:themeColor="text1"/>
          <w:sz w:val="24"/>
          <w:szCs w:val="24"/>
        </w:rPr>
        <w:t> </w:t>
      </w:r>
      <w:r w:rsidRPr="004D1012">
        <w:rPr>
          <w:rFonts w:cstheme="minorHAnsi"/>
          <w:color w:val="000000" w:themeColor="text1"/>
          <w:sz w:val="24"/>
          <w:szCs w:val="24"/>
        </w:rPr>
        <w:t>przekroczenia mikrobiologiczne oraz 354 próbek ze względu na przekroczenia fizykochemiczne.</w:t>
      </w:r>
    </w:p>
    <w:p w14:paraId="47B345FF" w14:textId="77777777" w:rsidR="00DD3EBB" w:rsidRPr="004D1012" w:rsidRDefault="00DD3EBB" w:rsidP="00597239">
      <w:pPr>
        <w:spacing w:after="0" w:line="276" w:lineRule="auto"/>
        <w:rPr>
          <w:rFonts w:cstheme="minorHAnsi"/>
          <w:color w:val="000000" w:themeColor="text1"/>
          <w:sz w:val="24"/>
          <w:szCs w:val="24"/>
        </w:rPr>
      </w:pPr>
    </w:p>
    <w:p w14:paraId="37FB2D55" w14:textId="6FE1ADB3" w:rsidR="00394C62" w:rsidRPr="00BD5543" w:rsidRDefault="00394C62" w:rsidP="00597239">
      <w:pPr>
        <w:pStyle w:val="Nagwek3"/>
        <w:numPr>
          <w:ilvl w:val="1"/>
          <w:numId w:val="64"/>
        </w:numPr>
        <w:spacing w:before="0" w:after="0"/>
        <w:ind w:left="568" w:hanging="284"/>
      </w:pPr>
      <w:bookmarkStart w:id="275" w:name="_Toc194059823"/>
      <w:r>
        <w:t>Tymczasowe braki przydatności wody do spożycia, w związku z p</w:t>
      </w:r>
      <w:r w:rsidRPr="00796F12">
        <w:t>rzekroczenia</w:t>
      </w:r>
      <w:r>
        <w:t>mi</w:t>
      </w:r>
      <w:r w:rsidRPr="00796F12">
        <w:t xml:space="preserve"> parametrów mikrobiologicznych i fizykochemicznych</w:t>
      </w:r>
      <w:bookmarkEnd w:id="275"/>
    </w:p>
    <w:p w14:paraId="2F6509B1" w14:textId="43026333" w:rsidR="00394C62" w:rsidRPr="00CC5CE7" w:rsidRDefault="00394C62" w:rsidP="00597239">
      <w:pPr>
        <w:spacing w:after="0" w:line="276" w:lineRule="auto"/>
        <w:rPr>
          <w:rFonts w:cstheme="minorHAnsi"/>
          <w:color w:val="000000" w:themeColor="text1"/>
          <w:sz w:val="24"/>
          <w:szCs w:val="24"/>
        </w:rPr>
      </w:pPr>
      <w:r w:rsidRPr="008C4381">
        <w:rPr>
          <w:rFonts w:cstheme="minorHAnsi"/>
          <w:color w:val="000000" w:themeColor="text1"/>
          <w:sz w:val="24"/>
          <w:szCs w:val="24"/>
        </w:rPr>
        <w:t>Stwierdzenie w wodzie wskaźników zanieczyszczenia mikrobiologicznego</w:t>
      </w:r>
      <w:r>
        <w:rPr>
          <w:rFonts w:cstheme="minorHAnsi"/>
          <w:color w:val="000000" w:themeColor="text1"/>
          <w:sz w:val="24"/>
          <w:szCs w:val="24"/>
        </w:rPr>
        <w:t>,</w:t>
      </w:r>
      <w:r w:rsidRPr="008C4381">
        <w:rPr>
          <w:rFonts w:cstheme="minorHAnsi"/>
          <w:color w:val="000000" w:themeColor="text1"/>
          <w:sz w:val="24"/>
          <w:szCs w:val="24"/>
        </w:rPr>
        <w:t xml:space="preserve"> takich jak </w:t>
      </w:r>
      <w:r w:rsidRPr="008C4381">
        <w:rPr>
          <w:rFonts w:cstheme="minorHAnsi"/>
          <w:i/>
          <w:iCs/>
          <w:color w:val="000000" w:themeColor="text1"/>
          <w:sz w:val="24"/>
          <w:szCs w:val="24"/>
        </w:rPr>
        <w:t>Escherichia coli</w:t>
      </w:r>
      <w:r w:rsidRPr="008C4381">
        <w:rPr>
          <w:rFonts w:cstheme="minorHAnsi"/>
          <w:color w:val="000000" w:themeColor="text1"/>
          <w:sz w:val="24"/>
          <w:szCs w:val="24"/>
        </w:rPr>
        <w:t xml:space="preserve"> i </w:t>
      </w:r>
      <w:proofErr w:type="spellStart"/>
      <w:r w:rsidRPr="008C4381">
        <w:rPr>
          <w:rFonts w:cstheme="minorHAnsi"/>
          <w:color w:val="000000" w:themeColor="text1"/>
          <w:sz w:val="24"/>
          <w:szCs w:val="24"/>
        </w:rPr>
        <w:t>enterokoki</w:t>
      </w:r>
      <w:proofErr w:type="spellEnd"/>
      <w:r w:rsidRPr="008C4381">
        <w:rPr>
          <w:rFonts w:cstheme="minorHAnsi"/>
          <w:color w:val="000000" w:themeColor="text1"/>
          <w:sz w:val="24"/>
          <w:szCs w:val="24"/>
        </w:rPr>
        <w:t xml:space="preserve"> (paciorkowce kałowe), bytujących zwykle w odchodach ludzi i</w:t>
      </w:r>
      <w:r w:rsidR="00B37BC5">
        <w:rPr>
          <w:rFonts w:cstheme="minorHAnsi"/>
          <w:color w:val="000000" w:themeColor="text1"/>
          <w:sz w:val="24"/>
          <w:szCs w:val="24"/>
        </w:rPr>
        <w:t> </w:t>
      </w:r>
      <w:r w:rsidRPr="008C4381">
        <w:rPr>
          <w:rFonts w:cstheme="minorHAnsi"/>
          <w:color w:val="000000" w:themeColor="text1"/>
          <w:sz w:val="24"/>
          <w:szCs w:val="24"/>
        </w:rPr>
        <w:t>zwierząt stałocieplnych wiąże się z koniecznością podjęcia natychmiastowych działań naprawczyc</w:t>
      </w:r>
      <w:r w:rsidRPr="002C76DB">
        <w:rPr>
          <w:rFonts w:cstheme="minorHAnsi"/>
          <w:color w:val="000000" w:themeColor="text1"/>
          <w:sz w:val="24"/>
          <w:szCs w:val="24"/>
        </w:rPr>
        <w:t>h. W sytuacji potwierdzenia ww. zanieczyszczenia mikrobiologicznego oraz</w:t>
      </w:r>
      <w:r w:rsidR="003326B1">
        <w:rPr>
          <w:rFonts w:cstheme="minorHAnsi"/>
          <w:color w:val="000000" w:themeColor="text1"/>
          <w:sz w:val="24"/>
          <w:szCs w:val="24"/>
        </w:rPr>
        <w:t> </w:t>
      </w:r>
      <w:r w:rsidRPr="002C76DB">
        <w:rPr>
          <w:rFonts w:cstheme="minorHAnsi"/>
          <w:color w:val="000000" w:themeColor="text1"/>
          <w:sz w:val="24"/>
          <w:szCs w:val="24"/>
        </w:rPr>
        <w:t>w</w:t>
      </w:r>
      <w:r w:rsidR="00B37BC5">
        <w:rPr>
          <w:rFonts w:cstheme="minorHAnsi"/>
          <w:color w:val="000000" w:themeColor="text1"/>
          <w:sz w:val="24"/>
          <w:szCs w:val="24"/>
        </w:rPr>
        <w:t> </w:t>
      </w:r>
      <w:r w:rsidRPr="002C76DB">
        <w:rPr>
          <w:rFonts w:cstheme="minorHAnsi"/>
          <w:color w:val="000000" w:themeColor="text1"/>
          <w:sz w:val="24"/>
          <w:szCs w:val="24"/>
        </w:rPr>
        <w:t xml:space="preserve">przypadku, gdy woda jest niezdatna do użycia, a jej jakość zagraża zdrowiu konsumentów </w:t>
      </w:r>
      <w:r>
        <w:rPr>
          <w:rFonts w:cstheme="minorHAnsi"/>
          <w:color w:val="000000" w:themeColor="text1"/>
          <w:sz w:val="24"/>
          <w:szCs w:val="24"/>
        </w:rPr>
        <w:t>–</w:t>
      </w:r>
      <w:r w:rsidRPr="002C76DB">
        <w:rPr>
          <w:rFonts w:cstheme="minorHAnsi"/>
          <w:color w:val="000000" w:themeColor="text1"/>
          <w:sz w:val="24"/>
          <w:szCs w:val="24"/>
        </w:rPr>
        <w:t xml:space="preserve"> </w:t>
      </w:r>
      <w:r>
        <w:rPr>
          <w:rFonts w:cstheme="minorHAnsi"/>
          <w:color w:val="000000" w:themeColor="text1"/>
          <w:sz w:val="24"/>
          <w:szCs w:val="24"/>
        </w:rPr>
        <w:t xml:space="preserve">właściwy </w:t>
      </w:r>
      <w:r w:rsidRPr="002C76DB">
        <w:rPr>
          <w:rFonts w:cstheme="minorHAnsi"/>
          <w:color w:val="000000" w:themeColor="text1"/>
          <w:sz w:val="24"/>
          <w:szCs w:val="24"/>
        </w:rPr>
        <w:t>państwow</w:t>
      </w:r>
      <w:r>
        <w:rPr>
          <w:rFonts w:cstheme="minorHAnsi"/>
          <w:color w:val="000000" w:themeColor="text1"/>
          <w:sz w:val="24"/>
          <w:szCs w:val="24"/>
        </w:rPr>
        <w:t xml:space="preserve">y </w:t>
      </w:r>
      <w:r w:rsidRPr="002C76DB">
        <w:rPr>
          <w:rFonts w:cstheme="minorHAnsi"/>
          <w:color w:val="000000" w:themeColor="text1"/>
          <w:sz w:val="24"/>
          <w:szCs w:val="24"/>
        </w:rPr>
        <w:t>powiatow</w:t>
      </w:r>
      <w:r>
        <w:rPr>
          <w:rFonts w:cstheme="minorHAnsi"/>
          <w:color w:val="000000" w:themeColor="text1"/>
          <w:sz w:val="24"/>
          <w:szCs w:val="24"/>
        </w:rPr>
        <w:t xml:space="preserve">y </w:t>
      </w:r>
      <w:r w:rsidRPr="002C76DB">
        <w:rPr>
          <w:rFonts w:cstheme="minorHAnsi"/>
          <w:color w:val="000000" w:themeColor="text1"/>
          <w:sz w:val="24"/>
          <w:szCs w:val="24"/>
        </w:rPr>
        <w:t>inspektor sanitar</w:t>
      </w:r>
      <w:r>
        <w:rPr>
          <w:rFonts w:cstheme="minorHAnsi"/>
          <w:color w:val="000000" w:themeColor="text1"/>
          <w:sz w:val="24"/>
          <w:szCs w:val="24"/>
        </w:rPr>
        <w:t>ny</w:t>
      </w:r>
      <w:r w:rsidRPr="002C76DB">
        <w:rPr>
          <w:rFonts w:cstheme="minorHAnsi"/>
          <w:color w:val="000000" w:themeColor="text1"/>
          <w:sz w:val="24"/>
          <w:szCs w:val="24"/>
        </w:rPr>
        <w:t xml:space="preserve"> stwierdza tymczasow</w:t>
      </w:r>
      <w:r>
        <w:rPr>
          <w:rFonts w:cstheme="minorHAnsi"/>
          <w:color w:val="000000" w:themeColor="text1"/>
          <w:sz w:val="24"/>
          <w:szCs w:val="24"/>
        </w:rPr>
        <w:t>y</w:t>
      </w:r>
      <w:r w:rsidRPr="002C76DB">
        <w:rPr>
          <w:rFonts w:cstheme="minorHAnsi"/>
          <w:color w:val="000000" w:themeColor="text1"/>
          <w:sz w:val="24"/>
          <w:szCs w:val="24"/>
        </w:rPr>
        <w:t xml:space="preserve"> brak przydatności wody do spożycia.</w:t>
      </w:r>
    </w:p>
    <w:p w14:paraId="34C913F2" w14:textId="77777777" w:rsidR="00DD3EBB" w:rsidRDefault="00DD3EBB" w:rsidP="00597239">
      <w:pPr>
        <w:spacing w:after="0" w:line="276" w:lineRule="auto"/>
        <w:rPr>
          <w:rFonts w:cstheme="minorHAnsi"/>
          <w:color w:val="000000" w:themeColor="text1"/>
          <w:sz w:val="24"/>
          <w:szCs w:val="24"/>
        </w:rPr>
      </w:pPr>
    </w:p>
    <w:p w14:paraId="5231A55D" w14:textId="439135C8" w:rsidR="00394C62" w:rsidRDefault="00394C62" w:rsidP="00597239">
      <w:pPr>
        <w:spacing w:after="0" w:line="276" w:lineRule="auto"/>
        <w:rPr>
          <w:rFonts w:cstheme="minorHAnsi"/>
          <w:color w:val="000000" w:themeColor="text1"/>
          <w:sz w:val="24"/>
          <w:szCs w:val="24"/>
        </w:rPr>
      </w:pPr>
      <w:r w:rsidRPr="009F49CA">
        <w:rPr>
          <w:rFonts w:cstheme="minorHAnsi"/>
          <w:color w:val="000000" w:themeColor="text1"/>
          <w:sz w:val="24"/>
          <w:szCs w:val="24"/>
        </w:rPr>
        <w:t>W 2024 roku na terenie woj. zachodniopomorskiego obowiązywało</w:t>
      </w:r>
      <w:r>
        <w:rPr>
          <w:rFonts w:cstheme="minorHAnsi"/>
          <w:color w:val="000000" w:themeColor="text1"/>
          <w:sz w:val="24"/>
          <w:szCs w:val="24"/>
        </w:rPr>
        <w:t xml:space="preserve"> łącznie</w:t>
      </w:r>
      <w:r w:rsidRPr="009F49CA">
        <w:rPr>
          <w:rFonts w:cstheme="minorHAnsi"/>
          <w:color w:val="000000" w:themeColor="text1"/>
          <w:sz w:val="24"/>
          <w:szCs w:val="24"/>
        </w:rPr>
        <w:t xml:space="preserve"> </w:t>
      </w:r>
      <w:r w:rsidRPr="00EE7ED1">
        <w:rPr>
          <w:rFonts w:cstheme="minorHAnsi"/>
          <w:color w:val="000000" w:themeColor="text1"/>
          <w:sz w:val="24"/>
          <w:szCs w:val="24"/>
        </w:rPr>
        <w:t xml:space="preserve">127 </w:t>
      </w:r>
      <w:r w:rsidRPr="009F49CA">
        <w:rPr>
          <w:rFonts w:cstheme="minorHAnsi"/>
          <w:color w:val="000000" w:themeColor="text1"/>
          <w:sz w:val="24"/>
          <w:szCs w:val="24"/>
        </w:rPr>
        <w:t>tymczasowych braków przydatności wody do spożycia</w:t>
      </w:r>
      <w:r>
        <w:rPr>
          <w:rFonts w:cstheme="minorHAnsi"/>
          <w:color w:val="000000" w:themeColor="text1"/>
          <w:sz w:val="24"/>
          <w:szCs w:val="24"/>
        </w:rPr>
        <w:t xml:space="preserve"> (co przestawia tabela nr </w:t>
      </w:r>
      <w:r w:rsidR="00C10D6C">
        <w:rPr>
          <w:rFonts w:cstheme="minorHAnsi"/>
          <w:color w:val="000000" w:themeColor="text1"/>
          <w:sz w:val="24"/>
          <w:szCs w:val="24"/>
        </w:rPr>
        <w:t>3</w:t>
      </w:r>
      <w:r w:rsidR="00A537AC">
        <w:rPr>
          <w:rFonts w:cstheme="minorHAnsi"/>
          <w:color w:val="000000" w:themeColor="text1"/>
          <w:sz w:val="24"/>
          <w:szCs w:val="24"/>
        </w:rPr>
        <w:t>7</w:t>
      </w:r>
      <w:r>
        <w:rPr>
          <w:rFonts w:cstheme="minorHAnsi"/>
          <w:color w:val="000000" w:themeColor="text1"/>
          <w:sz w:val="24"/>
          <w:szCs w:val="24"/>
        </w:rPr>
        <w:t xml:space="preserve">), w tym 2 braki przydatności stwierdzone w latach poprzednich - była to liczba dwukrotnie większa niż w roku 2023. </w:t>
      </w:r>
      <w:r w:rsidRPr="009F49CA">
        <w:rPr>
          <w:rFonts w:cstheme="minorHAnsi"/>
          <w:color w:val="000000" w:themeColor="text1"/>
          <w:sz w:val="24"/>
          <w:szCs w:val="24"/>
        </w:rPr>
        <w:t>Najwięcej przypadków tymczasow</w:t>
      </w:r>
      <w:r>
        <w:rPr>
          <w:rFonts w:cstheme="minorHAnsi"/>
          <w:color w:val="000000" w:themeColor="text1"/>
          <w:sz w:val="24"/>
          <w:szCs w:val="24"/>
        </w:rPr>
        <w:t>ego</w:t>
      </w:r>
      <w:r w:rsidRPr="009F49CA">
        <w:rPr>
          <w:rFonts w:cstheme="minorHAnsi"/>
          <w:color w:val="000000" w:themeColor="text1"/>
          <w:sz w:val="24"/>
          <w:szCs w:val="24"/>
        </w:rPr>
        <w:t xml:space="preserve"> brak</w:t>
      </w:r>
      <w:r>
        <w:rPr>
          <w:rFonts w:cstheme="minorHAnsi"/>
          <w:color w:val="000000" w:themeColor="text1"/>
          <w:sz w:val="24"/>
          <w:szCs w:val="24"/>
        </w:rPr>
        <w:t>u</w:t>
      </w:r>
      <w:r w:rsidRPr="009F49CA">
        <w:rPr>
          <w:rFonts w:cstheme="minorHAnsi"/>
          <w:color w:val="000000" w:themeColor="text1"/>
          <w:sz w:val="24"/>
          <w:szCs w:val="24"/>
        </w:rPr>
        <w:t xml:space="preserve"> przydatności wody do spożycia</w:t>
      </w:r>
      <w:r>
        <w:rPr>
          <w:rFonts w:cstheme="minorHAnsi"/>
          <w:color w:val="000000" w:themeColor="text1"/>
          <w:sz w:val="24"/>
          <w:szCs w:val="24"/>
        </w:rPr>
        <w:t>,</w:t>
      </w:r>
      <w:r w:rsidRPr="009F49CA">
        <w:rPr>
          <w:rFonts w:cstheme="minorHAnsi"/>
          <w:color w:val="000000" w:themeColor="text1"/>
          <w:sz w:val="24"/>
          <w:szCs w:val="24"/>
        </w:rPr>
        <w:t xml:space="preserve"> </w:t>
      </w:r>
      <w:r w:rsidRPr="009F49CA">
        <w:rPr>
          <w:rFonts w:cstheme="minorHAnsi"/>
          <w:color w:val="000000" w:themeColor="text1"/>
          <w:sz w:val="24"/>
          <w:szCs w:val="24"/>
        </w:rPr>
        <w:lastRenderedPageBreak/>
        <w:t>podobnie jak w latach ubiegłych</w:t>
      </w:r>
      <w:r>
        <w:rPr>
          <w:rFonts w:cstheme="minorHAnsi"/>
          <w:color w:val="000000" w:themeColor="text1"/>
          <w:sz w:val="24"/>
          <w:szCs w:val="24"/>
        </w:rPr>
        <w:t>,</w:t>
      </w:r>
      <w:r w:rsidRPr="009F49CA">
        <w:rPr>
          <w:rFonts w:cstheme="minorHAnsi"/>
          <w:color w:val="000000" w:themeColor="text1"/>
          <w:sz w:val="24"/>
          <w:szCs w:val="24"/>
        </w:rPr>
        <w:t xml:space="preserve"> stwierdzano w stosunku do wodociągów o najniższej dobowej produkcji wody, tj. poniżej 100 m</w:t>
      </w:r>
      <w:r w:rsidRPr="009F49CA">
        <w:rPr>
          <w:rFonts w:cstheme="minorHAnsi"/>
          <w:color w:val="000000" w:themeColor="text1"/>
          <w:sz w:val="24"/>
          <w:szCs w:val="24"/>
          <w:vertAlign w:val="superscript"/>
        </w:rPr>
        <w:t>3</w:t>
      </w:r>
      <w:r w:rsidRPr="009F49CA">
        <w:rPr>
          <w:rFonts w:cstheme="minorHAnsi"/>
          <w:color w:val="000000" w:themeColor="text1"/>
          <w:sz w:val="24"/>
          <w:szCs w:val="24"/>
        </w:rPr>
        <w:t xml:space="preserve">/d. </w:t>
      </w:r>
    </w:p>
    <w:p w14:paraId="578119EE" w14:textId="77777777" w:rsidR="00DD3EBB" w:rsidRPr="00CC5CE7" w:rsidRDefault="00DD3EBB" w:rsidP="00597239">
      <w:pPr>
        <w:spacing w:after="0" w:line="276" w:lineRule="auto"/>
        <w:rPr>
          <w:rFonts w:cstheme="minorHAnsi"/>
          <w:color w:val="000000" w:themeColor="text1"/>
          <w:sz w:val="24"/>
          <w:szCs w:val="24"/>
        </w:rPr>
      </w:pPr>
    </w:p>
    <w:p w14:paraId="55A1C75C" w14:textId="7D8ABBCF" w:rsidR="00394C62" w:rsidRPr="00A02064" w:rsidRDefault="00A02064" w:rsidP="00597239">
      <w:pPr>
        <w:pStyle w:val="Legenda"/>
        <w:spacing w:after="0" w:line="276" w:lineRule="auto"/>
        <w:rPr>
          <w:rFonts w:cstheme="minorHAnsi"/>
          <w:bCs/>
          <w:i w:val="0"/>
          <w:iCs w:val="0"/>
          <w:color w:val="auto"/>
        </w:rPr>
      </w:pPr>
      <w:bookmarkStart w:id="276" w:name="_Toc193806007"/>
      <w:bookmarkStart w:id="277" w:name="_Toc193969555"/>
      <w:bookmarkStart w:id="278" w:name="_Toc194060015"/>
      <w:r w:rsidRPr="00A02064">
        <w:rPr>
          <w:i w:val="0"/>
          <w:iCs w:val="0"/>
          <w:color w:val="auto"/>
        </w:rPr>
        <w:t xml:space="preserve">Tabela </w:t>
      </w:r>
      <w:r w:rsidRPr="00A02064">
        <w:rPr>
          <w:i w:val="0"/>
          <w:iCs w:val="0"/>
          <w:color w:val="auto"/>
        </w:rPr>
        <w:fldChar w:fldCharType="begin"/>
      </w:r>
      <w:r w:rsidRPr="00A02064">
        <w:rPr>
          <w:i w:val="0"/>
          <w:iCs w:val="0"/>
          <w:color w:val="auto"/>
        </w:rPr>
        <w:instrText xml:space="preserve"> SEQ Tabela \* ARABIC </w:instrText>
      </w:r>
      <w:r w:rsidRPr="00A02064">
        <w:rPr>
          <w:i w:val="0"/>
          <w:iCs w:val="0"/>
          <w:color w:val="auto"/>
        </w:rPr>
        <w:fldChar w:fldCharType="separate"/>
      </w:r>
      <w:r w:rsidR="00FB6F6A">
        <w:rPr>
          <w:i w:val="0"/>
          <w:iCs w:val="0"/>
          <w:noProof/>
          <w:color w:val="auto"/>
        </w:rPr>
        <w:t>37</w:t>
      </w:r>
      <w:r w:rsidRPr="00A02064">
        <w:rPr>
          <w:i w:val="0"/>
          <w:iCs w:val="0"/>
          <w:color w:val="auto"/>
        </w:rPr>
        <w:fldChar w:fldCharType="end"/>
      </w:r>
      <w:r w:rsidR="00E75D31">
        <w:rPr>
          <w:i w:val="0"/>
          <w:iCs w:val="0"/>
          <w:color w:val="auto"/>
        </w:rPr>
        <w:t>.</w:t>
      </w:r>
      <w:r w:rsidRPr="00A02064">
        <w:rPr>
          <w:i w:val="0"/>
          <w:iCs w:val="0"/>
          <w:color w:val="auto"/>
        </w:rPr>
        <w:t xml:space="preserve"> Tymczasowy brak przydatności wody do spożycia przez ludzi, decyzje w woj. zachodniopomorskim w 2024 roku z</w:t>
      </w:r>
      <w:r w:rsidR="00B37BC5">
        <w:rPr>
          <w:i w:val="0"/>
          <w:iCs w:val="0"/>
          <w:color w:val="auto"/>
        </w:rPr>
        <w:t> </w:t>
      </w:r>
      <w:r w:rsidRPr="00A02064">
        <w:rPr>
          <w:i w:val="0"/>
          <w:iCs w:val="0"/>
          <w:color w:val="auto"/>
        </w:rPr>
        <w:t>uwzględnieniem produkcji dobowej wodociągów</w:t>
      </w:r>
      <w:bookmarkEnd w:id="276"/>
      <w:bookmarkEnd w:id="277"/>
      <w:bookmarkEnd w:id="278"/>
    </w:p>
    <w:tbl>
      <w:tblPr>
        <w:tblStyle w:val="Tabelasiatki4akcent1"/>
        <w:tblW w:w="9209" w:type="dxa"/>
        <w:tblLayout w:type="fixed"/>
        <w:tblLook w:val="04A0" w:firstRow="1" w:lastRow="0" w:firstColumn="1" w:lastColumn="0" w:noHBand="0" w:noVBand="1"/>
        <w:tblCaption w:val="Tymczasowy brak przydatności wody do spożycia przez ludzi, decyzje w woj. zachodniopomorskim w 2024 roku z uwzględnieniem produkcji dobowej wodociągów."/>
        <w:tblDescription w:val="Zestawienie tabelaryczne, liczby tymczasowych braków przydatności wody do spożycia na terenie województwa zachodniopomorskiego, z podziałem na wielkość produkcji wody, wyrażoną w metrach sześciennych."/>
      </w:tblPr>
      <w:tblGrid>
        <w:gridCol w:w="1696"/>
        <w:gridCol w:w="1418"/>
        <w:gridCol w:w="1417"/>
        <w:gridCol w:w="1418"/>
        <w:gridCol w:w="1559"/>
        <w:gridCol w:w="1701"/>
      </w:tblGrid>
      <w:tr w:rsidR="00394C62" w:rsidRPr="00FF50CD" w14:paraId="1134B189" w14:textId="77777777" w:rsidTr="007E5BC2">
        <w:trPr>
          <w:cnfStyle w:val="100000000000" w:firstRow="1" w:lastRow="0" w:firstColumn="0" w:lastColumn="0" w:oddVBand="0" w:evenVBand="0" w:oddHBand="0" w:evenHBand="0" w:firstRowFirstColumn="0" w:firstRowLastColumn="0" w:lastRowFirstColumn="0" w:lastRowLastColumn="0"/>
          <w:trHeight w:val="1071"/>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A6A07D0" w14:textId="77777777" w:rsidR="00394C62" w:rsidRPr="00FF50CD" w:rsidRDefault="00394C62" w:rsidP="00597239">
            <w:pPr>
              <w:spacing w:before="240"/>
              <w:rPr>
                <w:rFonts w:ascii="Calibri" w:hAnsi="Calibri" w:cs="Calibri"/>
                <w:b w:val="0"/>
                <w:bCs w:val="0"/>
                <w:color w:val="FBFBFB"/>
                <w:lang w:eastAsia="pl-PL"/>
              </w:rPr>
            </w:pPr>
            <w:r w:rsidRPr="00FF50CD">
              <w:rPr>
                <w:rFonts w:ascii="Calibri" w:hAnsi="Calibri" w:cs="Calibri"/>
                <w:b w:val="0"/>
                <w:bCs w:val="0"/>
                <w:color w:val="FBFBFB"/>
                <w:lang w:eastAsia="pl-PL"/>
              </w:rPr>
              <w:t>Powiat</w:t>
            </w:r>
          </w:p>
        </w:tc>
        <w:tc>
          <w:tcPr>
            <w:tcW w:w="1418" w:type="dxa"/>
            <w:vAlign w:val="center"/>
            <w:hideMark/>
          </w:tcPr>
          <w:p w14:paraId="10BA85EA" w14:textId="77777777" w:rsidR="00394C62" w:rsidRPr="00FF50CD" w:rsidRDefault="00394C62" w:rsidP="00597239">
            <w:pPr>
              <w:spacing w:before="24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lang w:eastAsia="pl-PL"/>
              </w:rPr>
            </w:pPr>
            <w:r w:rsidRPr="00FF50CD">
              <w:rPr>
                <w:rFonts w:ascii="Calibri" w:hAnsi="Calibri" w:cs="Calibri"/>
                <w:b w:val="0"/>
                <w:bCs w:val="0"/>
                <w:color w:val="FFFFFF"/>
                <w:lang w:eastAsia="pl-PL"/>
              </w:rPr>
              <w:t>Liczba braków przydatności</w:t>
            </w:r>
          </w:p>
        </w:tc>
        <w:tc>
          <w:tcPr>
            <w:tcW w:w="1417" w:type="dxa"/>
            <w:vAlign w:val="center"/>
            <w:hideMark/>
          </w:tcPr>
          <w:p w14:paraId="5EB02332" w14:textId="77777777" w:rsidR="00394C62" w:rsidRPr="00FF50CD" w:rsidRDefault="00394C62" w:rsidP="00597239">
            <w:pPr>
              <w:spacing w:before="240"/>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lang w:eastAsia="pl-PL"/>
              </w:rPr>
            </w:pPr>
            <w:r w:rsidRPr="00FF50CD">
              <w:rPr>
                <w:rFonts w:ascii="Calibri" w:hAnsi="Calibri" w:cs="Calibri"/>
                <w:b w:val="0"/>
                <w:bCs w:val="0"/>
                <w:color w:val="FFFFFF"/>
                <w:lang w:eastAsia="pl-PL"/>
              </w:rPr>
              <w:t xml:space="preserve">Wodociągi o </w:t>
            </w:r>
            <w:proofErr w:type="spellStart"/>
            <w:r w:rsidRPr="00FF50CD">
              <w:rPr>
                <w:rFonts w:ascii="Calibri" w:hAnsi="Calibri" w:cs="Calibri"/>
                <w:b w:val="0"/>
                <w:bCs w:val="0"/>
                <w:color w:val="FFFFFF"/>
                <w:lang w:eastAsia="pl-PL"/>
              </w:rPr>
              <w:t>prod</w:t>
            </w:r>
            <w:proofErr w:type="spellEnd"/>
            <w:r w:rsidRPr="00FF50CD">
              <w:rPr>
                <w:rFonts w:ascii="Calibri" w:hAnsi="Calibri" w:cs="Calibri"/>
                <w:b w:val="0"/>
                <w:bCs w:val="0"/>
                <w:color w:val="FFFFFF"/>
                <w:lang w:eastAsia="pl-PL"/>
              </w:rPr>
              <w:t>.  &lt;100 m</w:t>
            </w:r>
            <w:r w:rsidRPr="00FF50CD">
              <w:rPr>
                <w:rFonts w:ascii="Calibri" w:hAnsi="Calibri" w:cs="Calibri"/>
                <w:b w:val="0"/>
                <w:bCs w:val="0"/>
                <w:color w:val="FFFFFF"/>
                <w:vertAlign w:val="superscript"/>
                <w:lang w:eastAsia="pl-PL"/>
              </w:rPr>
              <w:t>3</w:t>
            </w:r>
            <w:r w:rsidRPr="00FF50CD">
              <w:rPr>
                <w:rFonts w:ascii="Calibri" w:hAnsi="Calibri" w:cs="Calibri"/>
                <w:b w:val="0"/>
                <w:bCs w:val="0"/>
                <w:color w:val="FFFFFF"/>
                <w:lang w:eastAsia="pl-PL"/>
              </w:rPr>
              <w:t>/d</w:t>
            </w:r>
          </w:p>
        </w:tc>
        <w:tc>
          <w:tcPr>
            <w:tcW w:w="1418" w:type="dxa"/>
            <w:vAlign w:val="center"/>
          </w:tcPr>
          <w:p w14:paraId="2643100E" w14:textId="77777777" w:rsidR="00394C62" w:rsidRPr="00FF50CD" w:rsidRDefault="00394C62" w:rsidP="00597239">
            <w:pPr>
              <w:spacing w:before="240"/>
              <w:cnfStyle w:val="100000000000" w:firstRow="1" w:lastRow="0" w:firstColumn="0" w:lastColumn="0" w:oddVBand="0" w:evenVBand="0" w:oddHBand="0" w:evenHBand="0" w:firstRowFirstColumn="0" w:firstRowLastColumn="0" w:lastRowFirstColumn="0" w:lastRowLastColumn="0"/>
              <w:rPr>
                <w:rFonts w:cstheme="minorHAnsi"/>
                <w:b w:val="0"/>
                <w:bCs w:val="0"/>
                <w:color w:val="000000"/>
                <w:lang w:eastAsia="pl-PL"/>
              </w:rPr>
            </w:pPr>
            <w:r w:rsidRPr="00FF50CD">
              <w:rPr>
                <w:rFonts w:cstheme="minorHAnsi"/>
                <w:b w:val="0"/>
                <w:bCs w:val="0"/>
              </w:rPr>
              <w:t xml:space="preserve">Wodociągi o </w:t>
            </w:r>
            <w:proofErr w:type="spellStart"/>
            <w:r w:rsidRPr="00FF50CD">
              <w:rPr>
                <w:rFonts w:cstheme="minorHAnsi"/>
                <w:b w:val="0"/>
                <w:bCs w:val="0"/>
              </w:rPr>
              <w:t>prod</w:t>
            </w:r>
            <w:proofErr w:type="spellEnd"/>
            <w:r w:rsidRPr="00FF50CD">
              <w:rPr>
                <w:rFonts w:cstheme="minorHAnsi"/>
                <w:b w:val="0"/>
                <w:bCs w:val="0"/>
              </w:rPr>
              <w:t>. 100-1 000 m</w:t>
            </w:r>
            <w:r w:rsidRPr="00FF50CD">
              <w:rPr>
                <w:rFonts w:cstheme="minorHAnsi"/>
                <w:b w:val="0"/>
                <w:bCs w:val="0"/>
                <w:vertAlign w:val="superscript"/>
              </w:rPr>
              <w:t>3</w:t>
            </w:r>
            <w:r w:rsidRPr="00FF50CD">
              <w:rPr>
                <w:rFonts w:cstheme="minorHAnsi"/>
                <w:b w:val="0"/>
                <w:bCs w:val="0"/>
              </w:rPr>
              <w:t>/d</w:t>
            </w:r>
          </w:p>
        </w:tc>
        <w:tc>
          <w:tcPr>
            <w:tcW w:w="1559" w:type="dxa"/>
            <w:vAlign w:val="center"/>
          </w:tcPr>
          <w:p w14:paraId="75CBA939" w14:textId="77777777" w:rsidR="00394C62" w:rsidRPr="00FF50CD" w:rsidRDefault="00394C62" w:rsidP="00597239">
            <w:pPr>
              <w:spacing w:before="240"/>
              <w:cnfStyle w:val="100000000000" w:firstRow="1" w:lastRow="0" w:firstColumn="0" w:lastColumn="0" w:oddVBand="0" w:evenVBand="0" w:oddHBand="0" w:evenHBand="0" w:firstRowFirstColumn="0" w:firstRowLastColumn="0" w:lastRowFirstColumn="0" w:lastRowLastColumn="0"/>
              <w:rPr>
                <w:rFonts w:cstheme="minorHAnsi"/>
                <w:b w:val="0"/>
                <w:bCs w:val="0"/>
                <w:color w:val="000000"/>
                <w:lang w:eastAsia="pl-PL"/>
              </w:rPr>
            </w:pPr>
            <w:r w:rsidRPr="00FF50CD">
              <w:rPr>
                <w:rFonts w:cstheme="minorHAnsi"/>
                <w:b w:val="0"/>
                <w:bCs w:val="0"/>
              </w:rPr>
              <w:t xml:space="preserve">Wodociągi o </w:t>
            </w:r>
            <w:proofErr w:type="spellStart"/>
            <w:r w:rsidRPr="00FF50CD">
              <w:rPr>
                <w:rFonts w:cstheme="minorHAnsi"/>
                <w:b w:val="0"/>
                <w:bCs w:val="0"/>
              </w:rPr>
              <w:t>prod</w:t>
            </w:r>
            <w:proofErr w:type="spellEnd"/>
            <w:r w:rsidRPr="00FF50CD">
              <w:rPr>
                <w:rFonts w:cstheme="minorHAnsi"/>
                <w:b w:val="0"/>
                <w:bCs w:val="0"/>
              </w:rPr>
              <w:t>. 1000-10 000 m</w:t>
            </w:r>
            <w:r w:rsidRPr="00FF50CD">
              <w:rPr>
                <w:rFonts w:cstheme="minorHAnsi"/>
                <w:b w:val="0"/>
                <w:bCs w:val="0"/>
                <w:vertAlign w:val="superscript"/>
              </w:rPr>
              <w:t>3</w:t>
            </w:r>
            <w:r w:rsidRPr="00FF50CD">
              <w:rPr>
                <w:rFonts w:cstheme="minorHAnsi"/>
                <w:b w:val="0"/>
                <w:bCs w:val="0"/>
              </w:rPr>
              <w:t>/d</w:t>
            </w:r>
          </w:p>
        </w:tc>
        <w:tc>
          <w:tcPr>
            <w:tcW w:w="1701" w:type="dxa"/>
            <w:vAlign w:val="center"/>
          </w:tcPr>
          <w:p w14:paraId="2127DC21" w14:textId="77777777" w:rsidR="00394C62" w:rsidRPr="00FF50CD" w:rsidRDefault="00394C62" w:rsidP="00597239">
            <w:pPr>
              <w:spacing w:before="240"/>
              <w:cnfStyle w:val="100000000000" w:firstRow="1" w:lastRow="0" w:firstColumn="0" w:lastColumn="0" w:oddVBand="0" w:evenVBand="0" w:oddHBand="0" w:evenHBand="0" w:firstRowFirstColumn="0" w:firstRowLastColumn="0" w:lastRowFirstColumn="0" w:lastRowLastColumn="0"/>
              <w:rPr>
                <w:rFonts w:cstheme="minorHAnsi"/>
                <w:b w:val="0"/>
                <w:bCs w:val="0"/>
                <w:color w:val="000000"/>
                <w:lang w:eastAsia="pl-PL"/>
              </w:rPr>
            </w:pPr>
            <w:r w:rsidRPr="00FF50CD">
              <w:rPr>
                <w:rFonts w:cstheme="minorHAnsi"/>
                <w:b w:val="0"/>
                <w:bCs w:val="0"/>
              </w:rPr>
              <w:t xml:space="preserve">Wodociągi o </w:t>
            </w:r>
            <w:proofErr w:type="spellStart"/>
            <w:r w:rsidRPr="00FF50CD">
              <w:rPr>
                <w:rFonts w:cstheme="minorHAnsi"/>
                <w:b w:val="0"/>
                <w:bCs w:val="0"/>
              </w:rPr>
              <w:t>prod</w:t>
            </w:r>
            <w:proofErr w:type="spellEnd"/>
            <w:r w:rsidRPr="00FF50CD">
              <w:rPr>
                <w:rFonts w:cstheme="minorHAnsi"/>
                <w:b w:val="0"/>
                <w:bCs w:val="0"/>
              </w:rPr>
              <w:t>. 10 000-100 000 m</w:t>
            </w:r>
            <w:r w:rsidRPr="00FF50CD">
              <w:rPr>
                <w:rFonts w:cstheme="minorHAnsi"/>
                <w:b w:val="0"/>
                <w:bCs w:val="0"/>
                <w:vertAlign w:val="superscript"/>
              </w:rPr>
              <w:t>3</w:t>
            </w:r>
            <w:r w:rsidRPr="00FF50CD">
              <w:rPr>
                <w:rFonts w:cstheme="minorHAnsi"/>
                <w:b w:val="0"/>
                <w:bCs w:val="0"/>
              </w:rPr>
              <w:t>/d</w:t>
            </w:r>
          </w:p>
        </w:tc>
      </w:tr>
      <w:tr w:rsidR="00394C62" w:rsidRPr="00FF50CD" w14:paraId="44DEAFFF"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D8B9C8D"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Białogard</w:t>
            </w:r>
          </w:p>
        </w:tc>
        <w:tc>
          <w:tcPr>
            <w:tcW w:w="1418" w:type="dxa"/>
            <w:vAlign w:val="center"/>
            <w:hideMark/>
          </w:tcPr>
          <w:p w14:paraId="6001A78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7" w:type="dxa"/>
            <w:vAlign w:val="center"/>
            <w:hideMark/>
          </w:tcPr>
          <w:p w14:paraId="3A8421B6" w14:textId="6E94E0CA"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7A0E03C7"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06B3E02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3DAA2F2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63B993BA" w14:textId="77777777" w:rsidTr="007E5BC2">
        <w:trPr>
          <w:trHeight w:val="472"/>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E12AD84"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Choszczno</w:t>
            </w:r>
          </w:p>
        </w:tc>
        <w:tc>
          <w:tcPr>
            <w:tcW w:w="1418" w:type="dxa"/>
            <w:vAlign w:val="center"/>
            <w:hideMark/>
          </w:tcPr>
          <w:p w14:paraId="1D977FA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10</w:t>
            </w:r>
          </w:p>
        </w:tc>
        <w:tc>
          <w:tcPr>
            <w:tcW w:w="1417" w:type="dxa"/>
            <w:vAlign w:val="center"/>
            <w:hideMark/>
          </w:tcPr>
          <w:p w14:paraId="5809670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9</w:t>
            </w:r>
          </w:p>
        </w:tc>
        <w:tc>
          <w:tcPr>
            <w:tcW w:w="1418" w:type="dxa"/>
            <w:vAlign w:val="center"/>
            <w:hideMark/>
          </w:tcPr>
          <w:p w14:paraId="7BC1B826"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559" w:type="dxa"/>
            <w:vAlign w:val="center"/>
            <w:hideMark/>
          </w:tcPr>
          <w:p w14:paraId="51C296B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311DEA7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4E0ADF8A"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1652A00"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Drawsko Pomorskie</w:t>
            </w:r>
          </w:p>
        </w:tc>
        <w:tc>
          <w:tcPr>
            <w:tcW w:w="1418" w:type="dxa"/>
            <w:vAlign w:val="center"/>
            <w:hideMark/>
          </w:tcPr>
          <w:p w14:paraId="01091D4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19</w:t>
            </w:r>
          </w:p>
        </w:tc>
        <w:tc>
          <w:tcPr>
            <w:tcW w:w="1417" w:type="dxa"/>
            <w:vAlign w:val="center"/>
            <w:hideMark/>
          </w:tcPr>
          <w:p w14:paraId="55B4765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14</w:t>
            </w:r>
          </w:p>
        </w:tc>
        <w:tc>
          <w:tcPr>
            <w:tcW w:w="1418" w:type="dxa"/>
            <w:vAlign w:val="center"/>
            <w:hideMark/>
          </w:tcPr>
          <w:p w14:paraId="072BFF9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4</w:t>
            </w:r>
          </w:p>
        </w:tc>
        <w:tc>
          <w:tcPr>
            <w:tcW w:w="1559" w:type="dxa"/>
            <w:vAlign w:val="center"/>
            <w:hideMark/>
          </w:tcPr>
          <w:p w14:paraId="3DF9BE1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701" w:type="dxa"/>
            <w:vAlign w:val="center"/>
            <w:hideMark/>
          </w:tcPr>
          <w:p w14:paraId="30FF527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6DC69A71"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22EA234"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Goleniów</w:t>
            </w:r>
          </w:p>
        </w:tc>
        <w:tc>
          <w:tcPr>
            <w:tcW w:w="1418" w:type="dxa"/>
            <w:vAlign w:val="center"/>
            <w:hideMark/>
          </w:tcPr>
          <w:p w14:paraId="22115C0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7" w:type="dxa"/>
            <w:vAlign w:val="center"/>
            <w:hideMark/>
          </w:tcPr>
          <w:p w14:paraId="0F04B97D" w14:textId="6080A4AF"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434C995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6CA2BF5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3A947E8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4A905342"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771FD0FE"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Gryfice</w:t>
            </w:r>
          </w:p>
        </w:tc>
        <w:tc>
          <w:tcPr>
            <w:tcW w:w="1418" w:type="dxa"/>
            <w:vAlign w:val="center"/>
            <w:hideMark/>
          </w:tcPr>
          <w:p w14:paraId="1AA1888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11</w:t>
            </w:r>
          </w:p>
        </w:tc>
        <w:tc>
          <w:tcPr>
            <w:tcW w:w="1417" w:type="dxa"/>
            <w:vAlign w:val="center"/>
            <w:hideMark/>
          </w:tcPr>
          <w:p w14:paraId="41FE637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10</w:t>
            </w:r>
          </w:p>
        </w:tc>
        <w:tc>
          <w:tcPr>
            <w:tcW w:w="1418" w:type="dxa"/>
            <w:vAlign w:val="center"/>
            <w:hideMark/>
          </w:tcPr>
          <w:p w14:paraId="573A218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559" w:type="dxa"/>
            <w:vAlign w:val="center"/>
            <w:hideMark/>
          </w:tcPr>
          <w:p w14:paraId="6C24D6F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5C58826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5478DC3F"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DD6E5A4"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Gryfino</w:t>
            </w:r>
          </w:p>
        </w:tc>
        <w:tc>
          <w:tcPr>
            <w:tcW w:w="1418" w:type="dxa"/>
            <w:vAlign w:val="center"/>
            <w:hideMark/>
          </w:tcPr>
          <w:p w14:paraId="5834962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6</w:t>
            </w:r>
          </w:p>
        </w:tc>
        <w:tc>
          <w:tcPr>
            <w:tcW w:w="1417" w:type="dxa"/>
            <w:vAlign w:val="center"/>
            <w:hideMark/>
          </w:tcPr>
          <w:p w14:paraId="74720EC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5</w:t>
            </w:r>
          </w:p>
        </w:tc>
        <w:tc>
          <w:tcPr>
            <w:tcW w:w="1418" w:type="dxa"/>
            <w:vAlign w:val="center"/>
            <w:hideMark/>
          </w:tcPr>
          <w:p w14:paraId="56AD6DE9"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559" w:type="dxa"/>
            <w:vAlign w:val="center"/>
            <w:hideMark/>
          </w:tcPr>
          <w:p w14:paraId="565E7576"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00CD065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3A317F51"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BA62FE9"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Kamień Pomorski</w:t>
            </w:r>
          </w:p>
        </w:tc>
        <w:tc>
          <w:tcPr>
            <w:tcW w:w="1418" w:type="dxa"/>
            <w:vAlign w:val="center"/>
            <w:hideMark/>
          </w:tcPr>
          <w:p w14:paraId="7188C679"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7" w:type="dxa"/>
            <w:vAlign w:val="center"/>
            <w:hideMark/>
          </w:tcPr>
          <w:p w14:paraId="2732FF1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6A70642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74BE12DD"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3AE6901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127C3DDF"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7EE2789"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Kołobrzeg</w:t>
            </w:r>
          </w:p>
        </w:tc>
        <w:tc>
          <w:tcPr>
            <w:tcW w:w="1418" w:type="dxa"/>
            <w:vAlign w:val="center"/>
            <w:hideMark/>
          </w:tcPr>
          <w:p w14:paraId="266F75D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3</w:t>
            </w:r>
          </w:p>
        </w:tc>
        <w:tc>
          <w:tcPr>
            <w:tcW w:w="1417" w:type="dxa"/>
            <w:vAlign w:val="center"/>
            <w:hideMark/>
          </w:tcPr>
          <w:p w14:paraId="1D0835A9" w14:textId="423ABECB"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5EFF609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06299D0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05791DE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r>
      <w:tr w:rsidR="00394C62" w:rsidRPr="00FF50CD" w14:paraId="42292E54"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35E5486"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Koszalin</w:t>
            </w:r>
          </w:p>
        </w:tc>
        <w:tc>
          <w:tcPr>
            <w:tcW w:w="1418" w:type="dxa"/>
            <w:vAlign w:val="center"/>
            <w:hideMark/>
          </w:tcPr>
          <w:p w14:paraId="14DD819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18</w:t>
            </w:r>
          </w:p>
        </w:tc>
        <w:tc>
          <w:tcPr>
            <w:tcW w:w="1417" w:type="dxa"/>
            <w:vAlign w:val="center"/>
            <w:hideMark/>
          </w:tcPr>
          <w:p w14:paraId="10C0EFF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15</w:t>
            </w:r>
          </w:p>
        </w:tc>
        <w:tc>
          <w:tcPr>
            <w:tcW w:w="1418" w:type="dxa"/>
            <w:vAlign w:val="center"/>
            <w:hideMark/>
          </w:tcPr>
          <w:p w14:paraId="54C3CC5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3</w:t>
            </w:r>
          </w:p>
        </w:tc>
        <w:tc>
          <w:tcPr>
            <w:tcW w:w="1559" w:type="dxa"/>
            <w:vAlign w:val="center"/>
            <w:hideMark/>
          </w:tcPr>
          <w:p w14:paraId="768258F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019B697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4C7BF3D0"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0E32648"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Myślibórz</w:t>
            </w:r>
          </w:p>
        </w:tc>
        <w:tc>
          <w:tcPr>
            <w:tcW w:w="1418" w:type="dxa"/>
            <w:vAlign w:val="center"/>
            <w:hideMark/>
          </w:tcPr>
          <w:p w14:paraId="65406E5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7" w:type="dxa"/>
            <w:vAlign w:val="center"/>
            <w:hideMark/>
          </w:tcPr>
          <w:p w14:paraId="73D53BA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565E0C7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559" w:type="dxa"/>
            <w:vAlign w:val="center"/>
            <w:hideMark/>
          </w:tcPr>
          <w:p w14:paraId="711053A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1A65BFC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7B957A81"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A455252"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Police</w:t>
            </w:r>
          </w:p>
        </w:tc>
        <w:tc>
          <w:tcPr>
            <w:tcW w:w="1418" w:type="dxa"/>
            <w:vAlign w:val="center"/>
            <w:hideMark/>
          </w:tcPr>
          <w:p w14:paraId="6073F2D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417" w:type="dxa"/>
            <w:vAlign w:val="center"/>
            <w:hideMark/>
          </w:tcPr>
          <w:p w14:paraId="5B39421B"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418" w:type="dxa"/>
            <w:vAlign w:val="center"/>
            <w:hideMark/>
          </w:tcPr>
          <w:p w14:paraId="3EA9F1A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18A795F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702FF9F7"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4CB44C4D"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08997C8"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Pyrzyce</w:t>
            </w:r>
          </w:p>
        </w:tc>
        <w:tc>
          <w:tcPr>
            <w:tcW w:w="1418" w:type="dxa"/>
            <w:vAlign w:val="center"/>
            <w:hideMark/>
          </w:tcPr>
          <w:p w14:paraId="2990A34F"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417" w:type="dxa"/>
            <w:vAlign w:val="center"/>
            <w:hideMark/>
          </w:tcPr>
          <w:p w14:paraId="2CD5C466"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418" w:type="dxa"/>
            <w:vAlign w:val="center"/>
            <w:hideMark/>
          </w:tcPr>
          <w:p w14:paraId="1FDC4776"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60AE3B81"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172DA23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5424AE7F"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BE014A4"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Sławno</w:t>
            </w:r>
          </w:p>
        </w:tc>
        <w:tc>
          <w:tcPr>
            <w:tcW w:w="1418" w:type="dxa"/>
            <w:vAlign w:val="center"/>
            <w:hideMark/>
          </w:tcPr>
          <w:p w14:paraId="1E84BC49"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3</w:t>
            </w:r>
          </w:p>
        </w:tc>
        <w:tc>
          <w:tcPr>
            <w:tcW w:w="1417" w:type="dxa"/>
            <w:vAlign w:val="center"/>
            <w:hideMark/>
          </w:tcPr>
          <w:p w14:paraId="6537F4C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8" w:type="dxa"/>
            <w:vAlign w:val="center"/>
            <w:hideMark/>
          </w:tcPr>
          <w:p w14:paraId="2EB6D30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559" w:type="dxa"/>
            <w:vAlign w:val="center"/>
            <w:hideMark/>
          </w:tcPr>
          <w:p w14:paraId="36CAB81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1A05308F"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7912D482"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E472218"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Stargard</w:t>
            </w:r>
          </w:p>
        </w:tc>
        <w:tc>
          <w:tcPr>
            <w:tcW w:w="1418" w:type="dxa"/>
            <w:vAlign w:val="center"/>
            <w:hideMark/>
          </w:tcPr>
          <w:p w14:paraId="29F3B209"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7" w:type="dxa"/>
            <w:vAlign w:val="center"/>
            <w:hideMark/>
          </w:tcPr>
          <w:p w14:paraId="0501C96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30984EDC"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559" w:type="dxa"/>
            <w:vAlign w:val="center"/>
            <w:hideMark/>
          </w:tcPr>
          <w:p w14:paraId="5E160A9D"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0EA207D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049514F1"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26F7B88"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Szczecinek</w:t>
            </w:r>
          </w:p>
        </w:tc>
        <w:tc>
          <w:tcPr>
            <w:tcW w:w="1418" w:type="dxa"/>
            <w:vAlign w:val="center"/>
            <w:hideMark/>
          </w:tcPr>
          <w:p w14:paraId="69E2F76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7" w:type="dxa"/>
            <w:vAlign w:val="center"/>
            <w:hideMark/>
          </w:tcPr>
          <w:p w14:paraId="433B2DC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8" w:type="dxa"/>
            <w:vAlign w:val="center"/>
            <w:hideMark/>
          </w:tcPr>
          <w:p w14:paraId="5058C81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79012A8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3CC8F61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72C302AF"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6511373"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Świdwin</w:t>
            </w:r>
          </w:p>
        </w:tc>
        <w:tc>
          <w:tcPr>
            <w:tcW w:w="1418" w:type="dxa"/>
            <w:vAlign w:val="center"/>
            <w:hideMark/>
          </w:tcPr>
          <w:p w14:paraId="4F6421E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18</w:t>
            </w:r>
          </w:p>
        </w:tc>
        <w:tc>
          <w:tcPr>
            <w:tcW w:w="1417" w:type="dxa"/>
            <w:vAlign w:val="center"/>
            <w:hideMark/>
          </w:tcPr>
          <w:p w14:paraId="4F768AA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15</w:t>
            </w:r>
          </w:p>
        </w:tc>
        <w:tc>
          <w:tcPr>
            <w:tcW w:w="1418" w:type="dxa"/>
            <w:vAlign w:val="center"/>
            <w:hideMark/>
          </w:tcPr>
          <w:p w14:paraId="11B2887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559" w:type="dxa"/>
            <w:vAlign w:val="center"/>
            <w:hideMark/>
          </w:tcPr>
          <w:p w14:paraId="092A9FA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701" w:type="dxa"/>
            <w:vAlign w:val="center"/>
            <w:hideMark/>
          </w:tcPr>
          <w:p w14:paraId="433C137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153FA20C"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E4AE098"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Wałcz</w:t>
            </w:r>
          </w:p>
        </w:tc>
        <w:tc>
          <w:tcPr>
            <w:tcW w:w="1418" w:type="dxa"/>
            <w:vAlign w:val="center"/>
            <w:hideMark/>
          </w:tcPr>
          <w:p w14:paraId="59970C2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24</w:t>
            </w:r>
          </w:p>
        </w:tc>
        <w:tc>
          <w:tcPr>
            <w:tcW w:w="1417" w:type="dxa"/>
            <w:vAlign w:val="center"/>
            <w:hideMark/>
          </w:tcPr>
          <w:p w14:paraId="12B9DAF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22</w:t>
            </w:r>
          </w:p>
        </w:tc>
        <w:tc>
          <w:tcPr>
            <w:tcW w:w="1418" w:type="dxa"/>
            <w:vAlign w:val="center"/>
            <w:hideMark/>
          </w:tcPr>
          <w:p w14:paraId="7F12AC77"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559" w:type="dxa"/>
            <w:vAlign w:val="center"/>
            <w:hideMark/>
          </w:tcPr>
          <w:p w14:paraId="0A6F56E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6C65B78E"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58AECEE4"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53869B8"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Łobez</w:t>
            </w:r>
          </w:p>
        </w:tc>
        <w:tc>
          <w:tcPr>
            <w:tcW w:w="1418" w:type="dxa"/>
            <w:vAlign w:val="center"/>
            <w:hideMark/>
          </w:tcPr>
          <w:p w14:paraId="203C9D00"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7" w:type="dxa"/>
            <w:vAlign w:val="center"/>
            <w:hideMark/>
          </w:tcPr>
          <w:p w14:paraId="505FC4B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8" w:type="dxa"/>
            <w:vAlign w:val="center"/>
            <w:hideMark/>
          </w:tcPr>
          <w:p w14:paraId="050A97C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026D1AA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2EA3B04A"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66743F2C"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4543E0A9"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Świnoujście</w:t>
            </w:r>
          </w:p>
        </w:tc>
        <w:tc>
          <w:tcPr>
            <w:tcW w:w="1418" w:type="dxa"/>
            <w:vAlign w:val="center"/>
            <w:hideMark/>
          </w:tcPr>
          <w:p w14:paraId="580E997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7" w:type="dxa"/>
            <w:vAlign w:val="center"/>
            <w:hideMark/>
          </w:tcPr>
          <w:p w14:paraId="4321936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418" w:type="dxa"/>
            <w:vAlign w:val="center"/>
            <w:hideMark/>
          </w:tcPr>
          <w:p w14:paraId="7A202928"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3ED7EED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701" w:type="dxa"/>
            <w:vAlign w:val="center"/>
            <w:hideMark/>
          </w:tcPr>
          <w:p w14:paraId="7CF1E1E6"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r>
      <w:tr w:rsidR="00394C62" w:rsidRPr="00FF50CD" w14:paraId="486CC3F1" w14:textId="77777777" w:rsidTr="007E5BC2">
        <w:trPr>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4A85653"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Szczecin</w:t>
            </w:r>
          </w:p>
        </w:tc>
        <w:tc>
          <w:tcPr>
            <w:tcW w:w="1418" w:type="dxa"/>
            <w:vAlign w:val="center"/>
            <w:hideMark/>
          </w:tcPr>
          <w:p w14:paraId="190471BE"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2</w:t>
            </w:r>
          </w:p>
        </w:tc>
        <w:tc>
          <w:tcPr>
            <w:tcW w:w="1417" w:type="dxa"/>
            <w:vAlign w:val="center"/>
            <w:hideMark/>
          </w:tcPr>
          <w:p w14:paraId="5A8C335B"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c>
          <w:tcPr>
            <w:tcW w:w="1418" w:type="dxa"/>
            <w:vAlign w:val="center"/>
            <w:hideMark/>
          </w:tcPr>
          <w:p w14:paraId="4F9AFFC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559" w:type="dxa"/>
            <w:vAlign w:val="center"/>
            <w:hideMark/>
          </w:tcPr>
          <w:p w14:paraId="0853475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0</w:t>
            </w:r>
          </w:p>
        </w:tc>
        <w:tc>
          <w:tcPr>
            <w:tcW w:w="1701" w:type="dxa"/>
            <w:vAlign w:val="center"/>
            <w:hideMark/>
          </w:tcPr>
          <w:p w14:paraId="7DE4AA78"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w:t>
            </w:r>
          </w:p>
        </w:tc>
      </w:tr>
      <w:tr w:rsidR="00394C62" w:rsidRPr="00FF50CD" w14:paraId="7187D6FD" w14:textId="77777777" w:rsidTr="007E5BC2">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FA5C241" w14:textId="77777777" w:rsidR="00394C62" w:rsidRPr="00FF50CD" w:rsidRDefault="00394C62" w:rsidP="00597239">
            <w:pPr>
              <w:rPr>
                <w:rFonts w:ascii="Calibri" w:hAnsi="Calibri" w:cs="Calibri"/>
                <w:b w:val="0"/>
                <w:bCs w:val="0"/>
                <w:color w:val="000000"/>
                <w:lang w:eastAsia="pl-PL"/>
              </w:rPr>
            </w:pPr>
            <w:r w:rsidRPr="00FF50CD">
              <w:rPr>
                <w:rFonts w:ascii="Calibri" w:hAnsi="Calibri" w:cs="Calibri"/>
                <w:b w:val="0"/>
                <w:bCs w:val="0"/>
                <w:color w:val="000000"/>
                <w:lang w:eastAsia="pl-PL"/>
              </w:rPr>
              <w:t>SUMA</w:t>
            </w:r>
          </w:p>
        </w:tc>
        <w:tc>
          <w:tcPr>
            <w:tcW w:w="1418" w:type="dxa"/>
            <w:vAlign w:val="center"/>
            <w:hideMark/>
          </w:tcPr>
          <w:p w14:paraId="6519F8F3"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127</w:t>
            </w:r>
          </w:p>
        </w:tc>
        <w:tc>
          <w:tcPr>
            <w:tcW w:w="1417" w:type="dxa"/>
            <w:vAlign w:val="center"/>
            <w:hideMark/>
          </w:tcPr>
          <w:p w14:paraId="30706B1A"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103</w:t>
            </w:r>
          </w:p>
        </w:tc>
        <w:tc>
          <w:tcPr>
            <w:tcW w:w="1418" w:type="dxa"/>
            <w:vAlign w:val="center"/>
            <w:hideMark/>
          </w:tcPr>
          <w:p w14:paraId="63C9A2B4"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17</w:t>
            </w:r>
          </w:p>
        </w:tc>
        <w:tc>
          <w:tcPr>
            <w:tcW w:w="1559" w:type="dxa"/>
            <w:vAlign w:val="center"/>
            <w:hideMark/>
          </w:tcPr>
          <w:p w14:paraId="4973C090"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4</w:t>
            </w:r>
          </w:p>
        </w:tc>
        <w:tc>
          <w:tcPr>
            <w:tcW w:w="1701" w:type="dxa"/>
            <w:vAlign w:val="center"/>
            <w:hideMark/>
          </w:tcPr>
          <w:p w14:paraId="78AF20B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eastAsia="pl-PL"/>
              </w:rPr>
            </w:pPr>
            <w:r w:rsidRPr="00FF50CD">
              <w:rPr>
                <w:rFonts w:ascii="Calibri" w:hAnsi="Calibri" w:cs="Calibri"/>
                <w:color w:val="000000"/>
                <w:lang w:eastAsia="pl-PL"/>
              </w:rPr>
              <w:t>3</w:t>
            </w:r>
          </w:p>
        </w:tc>
      </w:tr>
    </w:tbl>
    <w:p w14:paraId="034F8A25" w14:textId="77777777" w:rsidR="00394C62" w:rsidRPr="00CC5CE7" w:rsidRDefault="00394C62" w:rsidP="00597239">
      <w:pPr>
        <w:spacing w:line="276" w:lineRule="auto"/>
        <w:rPr>
          <w:rFonts w:cstheme="minorHAnsi"/>
          <w:color w:val="FF0000"/>
          <w:sz w:val="24"/>
          <w:szCs w:val="24"/>
        </w:rPr>
      </w:pPr>
    </w:p>
    <w:p w14:paraId="6F1D6040" w14:textId="4E53E21E" w:rsidR="00394C62" w:rsidRPr="008C1703" w:rsidRDefault="008C1703" w:rsidP="00597239">
      <w:pPr>
        <w:pStyle w:val="Legenda"/>
        <w:spacing w:after="0" w:line="276" w:lineRule="auto"/>
        <w:rPr>
          <w:rFonts w:cstheme="minorHAnsi"/>
          <w:i w:val="0"/>
          <w:iCs w:val="0"/>
          <w:color w:val="auto"/>
          <w:sz w:val="24"/>
          <w:szCs w:val="24"/>
        </w:rPr>
      </w:pPr>
      <w:bookmarkStart w:id="279" w:name="_Toc193806008"/>
      <w:bookmarkStart w:id="280" w:name="_Toc193969556"/>
      <w:bookmarkStart w:id="281" w:name="_Toc194060016"/>
      <w:r w:rsidRPr="008C1703">
        <w:rPr>
          <w:i w:val="0"/>
          <w:iCs w:val="0"/>
          <w:color w:val="auto"/>
        </w:rPr>
        <w:lastRenderedPageBreak/>
        <w:t xml:space="preserve">Tabela </w:t>
      </w:r>
      <w:r w:rsidRPr="008C1703">
        <w:rPr>
          <w:i w:val="0"/>
          <w:iCs w:val="0"/>
          <w:color w:val="auto"/>
        </w:rPr>
        <w:fldChar w:fldCharType="begin"/>
      </w:r>
      <w:r w:rsidRPr="008C1703">
        <w:rPr>
          <w:i w:val="0"/>
          <w:iCs w:val="0"/>
          <w:color w:val="auto"/>
        </w:rPr>
        <w:instrText xml:space="preserve"> SEQ Tabela \* ARABIC </w:instrText>
      </w:r>
      <w:r w:rsidRPr="008C1703">
        <w:rPr>
          <w:i w:val="0"/>
          <w:iCs w:val="0"/>
          <w:color w:val="auto"/>
        </w:rPr>
        <w:fldChar w:fldCharType="separate"/>
      </w:r>
      <w:r w:rsidR="00FB6F6A">
        <w:rPr>
          <w:i w:val="0"/>
          <w:iCs w:val="0"/>
          <w:noProof/>
          <w:color w:val="auto"/>
        </w:rPr>
        <w:t>38</w:t>
      </w:r>
      <w:r w:rsidRPr="008C1703">
        <w:rPr>
          <w:i w:val="0"/>
          <w:iCs w:val="0"/>
          <w:color w:val="auto"/>
        </w:rPr>
        <w:fldChar w:fldCharType="end"/>
      </w:r>
      <w:r w:rsidR="00E75D31">
        <w:rPr>
          <w:i w:val="0"/>
          <w:iCs w:val="0"/>
          <w:color w:val="auto"/>
        </w:rPr>
        <w:t>.</w:t>
      </w:r>
      <w:r w:rsidRPr="008C1703">
        <w:rPr>
          <w:i w:val="0"/>
          <w:iCs w:val="0"/>
          <w:color w:val="auto"/>
        </w:rPr>
        <w:t xml:space="preserve"> Tymczasowy brak przydatności wody do spożycia przez ludzi, decyzje w woj. zachodniopomorskim w 2024 roku z</w:t>
      </w:r>
      <w:r w:rsidR="00B37BC5">
        <w:rPr>
          <w:i w:val="0"/>
          <w:iCs w:val="0"/>
          <w:color w:val="auto"/>
        </w:rPr>
        <w:t> </w:t>
      </w:r>
      <w:r w:rsidRPr="008C1703">
        <w:rPr>
          <w:i w:val="0"/>
          <w:iCs w:val="0"/>
          <w:color w:val="auto"/>
        </w:rPr>
        <w:t>uwzględnieniem przekroczonego parametru</w:t>
      </w:r>
      <w:bookmarkEnd w:id="279"/>
      <w:bookmarkEnd w:id="280"/>
      <w:bookmarkEnd w:id="281"/>
    </w:p>
    <w:tbl>
      <w:tblPr>
        <w:tblStyle w:val="Tabelasiatki4akcent1"/>
        <w:tblW w:w="0" w:type="auto"/>
        <w:tblLook w:val="04A0" w:firstRow="1" w:lastRow="0" w:firstColumn="1" w:lastColumn="0" w:noHBand="0" w:noVBand="1"/>
        <w:tblCaption w:val="Tymczasowy brak przydatności wody do spożycia przez ludzi, decyzje w woj. zachodniopomorskim w 2024 roku z uwzględnieniem przekroczonego parametru"/>
        <w:tblDescription w:val="Zestawienie tabelaryczne, liczby tymczasowych braków przydatności wody do spożycia przez ludzi, na terenie województwa zachodniopomorskiego, uwzględniająca podział na przekroczenia fizykochemiczne i mikrobiologiczne."/>
      </w:tblPr>
      <w:tblGrid>
        <w:gridCol w:w="6371"/>
        <w:gridCol w:w="2526"/>
      </w:tblGrid>
      <w:tr w:rsidR="00394C62" w:rsidRPr="00FF50CD" w14:paraId="338F2D14" w14:textId="77777777" w:rsidTr="00FD3723">
        <w:trPr>
          <w:cnfStyle w:val="100000000000" w:firstRow="1" w:lastRow="0" w:firstColumn="0" w:lastColumn="0" w:oddVBand="0" w:evenVBand="0" w:oddHBand="0"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6371" w:type="dxa"/>
            <w:vAlign w:val="center"/>
            <w:hideMark/>
          </w:tcPr>
          <w:p w14:paraId="55025BF4" w14:textId="77777777" w:rsidR="00394C62" w:rsidRPr="00FF50CD" w:rsidRDefault="00394C62" w:rsidP="00597239">
            <w:pPr>
              <w:rPr>
                <w:rFonts w:cstheme="minorHAnsi"/>
                <w:b w:val="0"/>
                <w:bCs w:val="0"/>
              </w:rPr>
            </w:pPr>
            <w:r w:rsidRPr="00FF50CD">
              <w:rPr>
                <w:rFonts w:cstheme="minorHAnsi"/>
                <w:b w:val="0"/>
                <w:bCs w:val="0"/>
              </w:rPr>
              <w:t>Parametr</w:t>
            </w:r>
          </w:p>
        </w:tc>
        <w:tc>
          <w:tcPr>
            <w:tcW w:w="2526" w:type="dxa"/>
            <w:vAlign w:val="center"/>
            <w:hideMark/>
          </w:tcPr>
          <w:p w14:paraId="568E7E46" w14:textId="77777777" w:rsidR="00394C62" w:rsidRPr="00FF50CD" w:rsidRDefault="00394C62" w:rsidP="00597239">
            <w:pP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FF50CD">
              <w:rPr>
                <w:rFonts w:cstheme="minorHAnsi"/>
                <w:b w:val="0"/>
                <w:bCs w:val="0"/>
              </w:rPr>
              <w:t>Liczba braków przydatności</w:t>
            </w:r>
          </w:p>
        </w:tc>
      </w:tr>
      <w:tr w:rsidR="00394C62" w:rsidRPr="00FF50CD" w14:paraId="3A9BD0BB"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hideMark/>
          </w:tcPr>
          <w:p w14:paraId="16C13674" w14:textId="069F75A9"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bakterie grupy coli</w:t>
            </w:r>
          </w:p>
        </w:tc>
        <w:tc>
          <w:tcPr>
            <w:tcW w:w="2526" w:type="dxa"/>
            <w:vAlign w:val="center"/>
            <w:hideMark/>
          </w:tcPr>
          <w:p w14:paraId="0D52BFF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FF50CD">
              <w:rPr>
                <w:rFonts w:cstheme="minorHAnsi"/>
                <w:color w:val="000000" w:themeColor="text1"/>
              </w:rPr>
              <w:t>106</w:t>
            </w:r>
          </w:p>
        </w:tc>
      </w:tr>
      <w:tr w:rsidR="00394C62" w:rsidRPr="00FF50CD" w14:paraId="1F885494" w14:textId="77777777" w:rsidTr="00FD3723">
        <w:trPr>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hideMark/>
          </w:tcPr>
          <w:p w14:paraId="06A379E4" w14:textId="2E718087" w:rsidR="00394C62" w:rsidRPr="00FF50CD" w:rsidRDefault="00394C62" w:rsidP="00597239">
            <w:pPr>
              <w:rPr>
                <w:rFonts w:cstheme="minorHAnsi"/>
                <w:b w:val="0"/>
                <w:bCs w:val="0"/>
                <w:color w:val="000000" w:themeColor="text1"/>
              </w:rPr>
            </w:pPr>
            <w:proofErr w:type="spellStart"/>
            <w:r w:rsidRPr="00FF50CD">
              <w:rPr>
                <w:rFonts w:cstheme="minorHAnsi"/>
                <w:b w:val="0"/>
                <w:bCs w:val="0"/>
                <w:color w:val="000000" w:themeColor="text1"/>
              </w:rPr>
              <w:t>Enterokoki</w:t>
            </w:r>
            <w:proofErr w:type="spellEnd"/>
          </w:p>
        </w:tc>
        <w:tc>
          <w:tcPr>
            <w:tcW w:w="2526" w:type="dxa"/>
            <w:vAlign w:val="center"/>
            <w:hideMark/>
          </w:tcPr>
          <w:p w14:paraId="4887DF2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FF50CD">
              <w:rPr>
                <w:rFonts w:cstheme="minorHAnsi"/>
                <w:color w:val="000000" w:themeColor="text1"/>
              </w:rPr>
              <w:t>8</w:t>
            </w:r>
          </w:p>
        </w:tc>
      </w:tr>
      <w:tr w:rsidR="00394C62" w:rsidRPr="00FF50CD" w14:paraId="75411FAD"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hideMark/>
          </w:tcPr>
          <w:p w14:paraId="4C2165D7" w14:textId="77777777"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 xml:space="preserve">bakterie grupy coli, </w:t>
            </w:r>
            <w:r w:rsidRPr="00FF50CD">
              <w:rPr>
                <w:rFonts w:cstheme="minorHAnsi"/>
                <w:b w:val="0"/>
                <w:bCs w:val="0"/>
                <w:i/>
                <w:iCs/>
                <w:color w:val="000000" w:themeColor="text1"/>
              </w:rPr>
              <w:t>Escherichia coli</w:t>
            </w:r>
          </w:p>
        </w:tc>
        <w:tc>
          <w:tcPr>
            <w:tcW w:w="2526" w:type="dxa"/>
            <w:vAlign w:val="center"/>
            <w:hideMark/>
          </w:tcPr>
          <w:p w14:paraId="384CCC29"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FF50CD">
              <w:rPr>
                <w:rFonts w:cstheme="minorHAnsi"/>
                <w:color w:val="000000" w:themeColor="text1"/>
              </w:rPr>
              <w:t>5</w:t>
            </w:r>
          </w:p>
        </w:tc>
      </w:tr>
      <w:tr w:rsidR="00394C62" w:rsidRPr="00FF50CD" w14:paraId="2FF64EA8" w14:textId="77777777" w:rsidTr="00FD3723">
        <w:trPr>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hideMark/>
          </w:tcPr>
          <w:p w14:paraId="5E69276F" w14:textId="77777777"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 xml:space="preserve">bakterie grupy coli, Escherichia coli, </w:t>
            </w:r>
            <w:proofErr w:type="spellStart"/>
            <w:r w:rsidRPr="00FF50CD">
              <w:rPr>
                <w:rFonts w:cstheme="minorHAnsi"/>
                <w:b w:val="0"/>
                <w:bCs w:val="0"/>
                <w:color w:val="000000" w:themeColor="text1"/>
              </w:rPr>
              <w:t>enterokoki</w:t>
            </w:r>
            <w:proofErr w:type="spellEnd"/>
            <w:r w:rsidRPr="00FF50CD">
              <w:rPr>
                <w:rFonts w:cstheme="minorHAnsi"/>
                <w:b w:val="0"/>
                <w:bCs w:val="0"/>
                <w:color w:val="000000" w:themeColor="text1"/>
              </w:rPr>
              <w:t xml:space="preserve"> kałowe</w:t>
            </w:r>
          </w:p>
        </w:tc>
        <w:tc>
          <w:tcPr>
            <w:tcW w:w="2526" w:type="dxa"/>
            <w:vAlign w:val="center"/>
            <w:hideMark/>
          </w:tcPr>
          <w:p w14:paraId="031AA34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FF50CD">
              <w:rPr>
                <w:rFonts w:cstheme="minorHAnsi"/>
                <w:color w:val="000000" w:themeColor="text1"/>
              </w:rPr>
              <w:t>2</w:t>
            </w:r>
          </w:p>
        </w:tc>
      </w:tr>
      <w:tr w:rsidR="00394C62" w:rsidRPr="00FF50CD" w14:paraId="775F6718"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hideMark/>
          </w:tcPr>
          <w:p w14:paraId="17344C8B" w14:textId="535C945B" w:rsidR="00394C62" w:rsidRPr="00FF50CD" w:rsidRDefault="00394C62" w:rsidP="00597239">
            <w:pPr>
              <w:rPr>
                <w:rFonts w:cstheme="minorHAnsi"/>
                <w:b w:val="0"/>
                <w:bCs w:val="0"/>
                <w:i/>
                <w:color w:val="000000" w:themeColor="text1"/>
              </w:rPr>
            </w:pPr>
            <w:r w:rsidRPr="00FF50CD">
              <w:rPr>
                <w:rFonts w:cstheme="minorHAnsi"/>
                <w:b w:val="0"/>
                <w:bCs w:val="0"/>
                <w:i/>
                <w:color w:val="000000" w:themeColor="text1"/>
              </w:rPr>
              <w:t>Escherichia coli</w:t>
            </w:r>
          </w:p>
        </w:tc>
        <w:tc>
          <w:tcPr>
            <w:tcW w:w="2526" w:type="dxa"/>
            <w:vAlign w:val="center"/>
            <w:hideMark/>
          </w:tcPr>
          <w:p w14:paraId="4C691BE1"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FF50CD">
              <w:rPr>
                <w:rFonts w:cstheme="minorHAnsi"/>
                <w:color w:val="000000" w:themeColor="text1"/>
              </w:rPr>
              <w:t>2</w:t>
            </w:r>
          </w:p>
        </w:tc>
      </w:tr>
      <w:tr w:rsidR="00394C62" w:rsidRPr="00FF50CD" w14:paraId="576BE000" w14:textId="77777777" w:rsidTr="00FD3723">
        <w:trPr>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tcPr>
          <w:p w14:paraId="2202F430" w14:textId="21B454AE"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 xml:space="preserve">bakterie grupy coli, </w:t>
            </w:r>
            <w:proofErr w:type="spellStart"/>
            <w:r w:rsidRPr="00FF50CD">
              <w:rPr>
                <w:rFonts w:cstheme="minorHAnsi"/>
                <w:b w:val="0"/>
                <w:bCs w:val="0"/>
                <w:color w:val="000000" w:themeColor="text1"/>
              </w:rPr>
              <w:t>Enterokoki</w:t>
            </w:r>
            <w:proofErr w:type="spellEnd"/>
            <w:r w:rsidRPr="00FF50CD">
              <w:rPr>
                <w:rFonts w:cstheme="minorHAnsi"/>
                <w:b w:val="0"/>
                <w:bCs w:val="0"/>
                <w:color w:val="000000" w:themeColor="text1"/>
              </w:rPr>
              <w:t xml:space="preserve">, </w:t>
            </w:r>
            <w:r w:rsidRPr="00FF50CD">
              <w:rPr>
                <w:rFonts w:cstheme="minorHAnsi"/>
                <w:b w:val="0"/>
                <w:bCs w:val="0"/>
                <w:i/>
                <w:iCs/>
                <w:color w:val="000000" w:themeColor="text1"/>
              </w:rPr>
              <w:t>Escherichia coli</w:t>
            </w:r>
            <w:r w:rsidRPr="00FF50CD">
              <w:rPr>
                <w:rFonts w:cstheme="minorHAnsi"/>
                <w:b w:val="0"/>
                <w:bCs w:val="0"/>
                <w:color w:val="000000" w:themeColor="text1"/>
              </w:rPr>
              <w:t>, ogólna liczba mikroorganizmów w 22±2 ºC po 72 h</w:t>
            </w:r>
          </w:p>
        </w:tc>
        <w:tc>
          <w:tcPr>
            <w:tcW w:w="2526" w:type="dxa"/>
            <w:vAlign w:val="center"/>
          </w:tcPr>
          <w:p w14:paraId="665EA1A3"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FF50CD">
              <w:rPr>
                <w:rFonts w:cstheme="minorHAnsi"/>
                <w:color w:val="000000" w:themeColor="text1"/>
              </w:rPr>
              <w:t>1</w:t>
            </w:r>
          </w:p>
        </w:tc>
      </w:tr>
      <w:tr w:rsidR="00394C62" w:rsidRPr="00FF50CD" w14:paraId="4A2DDB81"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tcPr>
          <w:p w14:paraId="607D4E84" w14:textId="77777777"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Chlor wolny, nieakceptowalny zapach</w:t>
            </w:r>
          </w:p>
        </w:tc>
        <w:tc>
          <w:tcPr>
            <w:tcW w:w="2526" w:type="dxa"/>
            <w:vAlign w:val="center"/>
          </w:tcPr>
          <w:p w14:paraId="423A1B15"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FF50CD">
              <w:rPr>
                <w:rFonts w:cstheme="minorHAnsi"/>
                <w:color w:val="000000" w:themeColor="text1"/>
              </w:rPr>
              <w:t>2</w:t>
            </w:r>
          </w:p>
        </w:tc>
      </w:tr>
      <w:tr w:rsidR="00394C62" w:rsidRPr="00FF50CD" w14:paraId="1D26873A" w14:textId="77777777" w:rsidTr="00FD3723">
        <w:trPr>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tcPr>
          <w:p w14:paraId="5C4ACCC3" w14:textId="77777777"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bezo(a)</w:t>
            </w:r>
            <w:proofErr w:type="spellStart"/>
            <w:r w:rsidRPr="00FF50CD">
              <w:rPr>
                <w:rFonts w:cstheme="minorHAnsi"/>
                <w:b w:val="0"/>
                <w:bCs w:val="0"/>
                <w:color w:val="000000" w:themeColor="text1"/>
              </w:rPr>
              <w:t>piren</w:t>
            </w:r>
            <w:proofErr w:type="spellEnd"/>
          </w:p>
        </w:tc>
        <w:tc>
          <w:tcPr>
            <w:tcW w:w="2526" w:type="dxa"/>
            <w:vAlign w:val="center"/>
          </w:tcPr>
          <w:p w14:paraId="3C9E3A12"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FF50CD">
              <w:rPr>
                <w:rFonts w:cstheme="minorHAnsi"/>
                <w:color w:val="000000" w:themeColor="text1"/>
              </w:rPr>
              <w:t>1</w:t>
            </w:r>
          </w:p>
        </w:tc>
      </w:tr>
      <w:tr w:rsidR="00394C62" w:rsidRPr="00FF50CD" w14:paraId="2E804CD7"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371" w:type="dxa"/>
            <w:vAlign w:val="center"/>
          </w:tcPr>
          <w:p w14:paraId="6A1E88DF" w14:textId="77777777" w:rsidR="00394C62" w:rsidRPr="00FF50CD" w:rsidRDefault="00394C62" w:rsidP="00597239">
            <w:pPr>
              <w:rPr>
                <w:rFonts w:cstheme="minorHAnsi"/>
                <w:b w:val="0"/>
                <w:bCs w:val="0"/>
                <w:color w:val="000000" w:themeColor="text1"/>
              </w:rPr>
            </w:pPr>
            <w:r w:rsidRPr="00FF50CD">
              <w:rPr>
                <w:rFonts w:cstheme="minorHAnsi"/>
                <w:b w:val="0"/>
                <w:bCs w:val="0"/>
                <w:color w:val="000000" w:themeColor="text1"/>
              </w:rPr>
              <w:t>Razem</w:t>
            </w:r>
          </w:p>
        </w:tc>
        <w:tc>
          <w:tcPr>
            <w:tcW w:w="2526" w:type="dxa"/>
            <w:vAlign w:val="center"/>
            <w:hideMark/>
          </w:tcPr>
          <w:p w14:paraId="3075B3D2"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FF50CD">
              <w:rPr>
                <w:rFonts w:cstheme="minorHAnsi"/>
                <w:color w:val="000000" w:themeColor="text1"/>
              </w:rPr>
              <w:t>127</w:t>
            </w:r>
          </w:p>
        </w:tc>
      </w:tr>
    </w:tbl>
    <w:p w14:paraId="0B10ADE0" w14:textId="77777777" w:rsidR="00394C62" w:rsidRPr="00905787" w:rsidRDefault="00394C62" w:rsidP="00597239">
      <w:pPr>
        <w:spacing w:after="0" w:line="276" w:lineRule="auto"/>
        <w:rPr>
          <w:rFonts w:cstheme="minorHAnsi"/>
          <w:sz w:val="24"/>
          <w:szCs w:val="24"/>
        </w:rPr>
      </w:pPr>
    </w:p>
    <w:p w14:paraId="69A05FFD" w14:textId="4AE820F0" w:rsidR="00394C62" w:rsidRDefault="00394C62" w:rsidP="00597239">
      <w:pPr>
        <w:spacing w:after="0" w:line="276" w:lineRule="auto"/>
        <w:rPr>
          <w:rFonts w:cstheme="minorHAnsi"/>
          <w:sz w:val="24"/>
          <w:szCs w:val="24"/>
        </w:rPr>
      </w:pPr>
      <w:r w:rsidRPr="00905787">
        <w:rPr>
          <w:rFonts w:cstheme="minorHAnsi"/>
          <w:sz w:val="24"/>
          <w:szCs w:val="24"/>
        </w:rPr>
        <w:t xml:space="preserve">W 2024 organy Państwowej Inspekcji Sanitarnej wydały 124 decyzje dot. </w:t>
      </w:r>
      <w:r w:rsidRPr="00905787">
        <w:rPr>
          <w:rFonts w:cstheme="minorHAnsi"/>
          <w:iCs/>
          <w:sz w:val="24"/>
          <w:szCs w:val="24"/>
        </w:rPr>
        <w:t xml:space="preserve">tymczasowego braku przydatności </w:t>
      </w:r>
      <w:r w:rsidRPr="00905787">
        <w:rPr>
          <w:rFonts w:cstheme="minorHAnsi"/>
          <w:sz w:val="24"/>
          <w:szCs w:val="24"/>
        </w:rPr>
        <w:t>wody do spożycia z uwagi na przekroczenia parametrów mikrobiologicznych oraz</w:t>
      </w:r>
      <w:r w:rsidR="00B37BC5">
        <w:rPr>
          <w:rFonts w:cstheme="minorHAnsi"/>
          <w:sz w:val="24"/>
          <w:szCs w:val="24"/>
        </w:rPr>
        <w:t> </w:t>
      </w:r>
      <w:r w:rsidRPr="00905787">
        <w:rPr>
          <w:rFonts w:cstheme="minorHAnsi"/>
          <w:sz w:val="24"/>
          <w:szCs w:val="24"/>
        </w:rPr>
        <w:t>3 decyzje z powodu przekroczeń fizykochemicznych (co zostało zaprezentowane w tabeli nr</w:t>
      </w:r>
      <w:r w:rsidR="00B37BC5">
        <w:rPr>
          <w:rFonts w:cstheme="minorHAnsi"/>
          <w:sz w:val="24"/>
          <w:szCs w:val="24"/>
        </w:rPr>
        <w:t> </w:t>
      </w:r>
      <w:r w:rsidRPr="00905787">
        <w:rPr>
          <w:rFonts w:cstheme="minorHAnsi"/>
          <w:sz w:val="24"/>
          <w:szCs w:val="24"/>
        </w:rPr>
        <w:t>3</w:t>
      </w:r>
      <w:r w:rsidR="00A537AC">
        <w:rPr>
          <w:rFonts w:cstheme="minorHAnsi"/>
          <w:sz w:val="24"/>
          <w:szCs w:val="24"/>
        </w:rPr>
        <w:t>8</w:t>
      </w:r>
      <w:r w:rsidRPr="00905787">
        <w:rPr>
          <w:rFonts w:cstheme="minorHAnsi"/>
          <w:sz w:val="24"/>
          <w:szCs w:val="24"/>
        </w:rPr>
        <w:t xml:space="preserve">). </w:t>
      </w:r>
    </w:p>
    <w:p w14:paraId="0A3B0F72" w14:textId="77777777" w:rsidR="00DD3EBB" w:rsidRPr="002A6551" w:rsidRDefault="00DD3EBB" w:rsidP="00597239">
      <w:pPr>
        <w:spacing w:after="0" w:line="276" w:lineRule="auto"/>
        <w:rPr>
          <w:rFonts w:cstheme="minorHAnsi"/>
          <w:sz w:val="24"/>
          <w:szCs w:val="24"/>
        </w:rPr>
      </w:pPr>
    </w:p>
    <w:p w14:paraId="3F8DD7E6" w14:textId="0E6F1A3F" w:rsidR="00394C62" w:rsidRPr="009E33D6" w:rsidRDefault="00394C62" w:rsidP="00597239">
      <w:pPr>
        <w:pStyle w:val="Nagwek3"/>
        <w:numPr>
          <w:ilvl w:val="1"/>
          <w:numId w:val="64"/>
        </w:numPr>
        <w:spacing w:before="0" w:after="0"/>
        <w:ind w:left="568" w:hanging="284"/>
      </w:pPr>
      <w:bookmarkStart w:id="282" w:name="_Toc194059824"/>
      <w:r w:rsidRPr="0086737C">
        <w:t>Przekroczenia parametrów mikrobiologicznych i fizykochemicznych stwierdzające okresową warunkową przydatność wody</w:t>
      </w:r>
      <w:bookmarkEnd w:id="282"/>
    </w:p>
    <w:p w14:paraId="3FA07323" w14:textId="77777777" w:rsidR="00394C62" w:rsidRPr="007A60D6" w:rsidRDefault="00394C62" w:rsidP="00597239">
      <w:pPr>
        <w:spacing w:after="0" w:line="276" w:lineRule="auto"/>
        <w:rPr>
          <w:rFonts w:ascii="Calibri" w:hAnsi="Calibri" w:cs="Calibri"/>
          <w:sz w:val="24"/>
          <w:szCs w:val="24"/>
        </w:rPr>
      </w:pPr>
      <w:r w:rsidRPr="006A775D">
        <w:rPr>
          <w:rFonts w:ascii="Calibri" w:hAnsi="Calibri" w:cs="Calibri"/>
          <w:sz w:val="24"/>
          <w:szCs w:val="24"/>
        </w:rPr>
        <w:t>Właściwy państwowy powiatowy inspektor sanitarny może stwierdzić</w:t>
      </w:r>
      <w:r w:rsidRPr="006A775D">
        <w:rPr>
          <w:rFonts w:ascii="Calibri" w:hAnsi="Calibri" w:cs="Calibri"/>
          <w:i/>
          <w:iCs/>
          <w:sz w:val="24"/>
          <w:szCs w:val="24"/>
        </w:rPr>
        <w:t xml:space="preserve"> </w:t>
      </w:r>
      <w:r w:rsidRPr="006A775D">
        <w:rPr>
          <w:rFonts w:ascii="Calibri" w:hAnsi="Calibri" w:cs="Calibri"/>
          <w:sz w:val="24"/>
          <w:szCs w:val="24"/>
        </w:rPr>
        <w:t xml:space="preserve">warunkową przydatność wody do spożycia na okres przeprowadzenia działań naprawczych w przypadku, </w:t>
      </w:r>
      <w:r w:rsidRPr="006A775D">
        <w:rPr>
          <w:rFonts w:ascii="Calibri" w:hAnsi="Calibri" w:cs="Calibri"/>
          <w:color w:val="3F3731"/>
          <w:sz w:val="24"/>
          <w:szCs w:val="24"/>
        </w:rPr>
        <w:t>gdy przekroczenie wartości dopuszczalnej dla danego parametru przez określony czas nie stwarza zagrożenia dla zdrowia ludzi.</w:t>
      </w:r>
    </w:p>
    <w:p w14:paraId="668A1A0E" w14:textId="77777777" w:rsidR="00DD3EBB" w:rsidRDefault="00DD3EBB" w:rsidP="00597239">
      <w:pPr>
        <w:spacing w:after="0" w:line="276" w:lineRule="auto"/>
        <w:rPr>
          <w:rFonts w:cstheme="minorHAnsi"/>
          <w:color w:val="000000" w:themeColor="text1"/>
          <w:sz w:val="24"/>
          <w:szCs w:val="24"/>
        </w:rPr>
      </w:pPr>
    </w:p>
    <w:p w14:paraId="096DE4BA" w14:textId="1063FA68" w:rsidR="00394C62" w:rsidRDefault="00394C62" w:rsidP="00597239">
      <w:pPr>
        <w:spacing w:after="0" w:line="276" w:lineRule="auto"/>
        <w:rPr>
          <w:rFonts w:cstheme="minorHAnsi"/>
          <w:color w:val="000000" w:themeColor="text1"/>
          <w:sz w:val="24"/>
          <w:szCs w:val="24"/>
        </w:rPr>
      </w:pPr>
      <w:r w:rsidRPr="00223F5F">
        <w:rPr>
          <w:rFonts w:cstheme="minorHAnsi"/>
          <w:color w:val="000000" w:themeColor="text1"/>
          <w:sz w:val="24"/>
          <w:szCs w:val="24"/>
        </w:rPr>
        <w:t>W 2024 roku na terenie woj. zachodniopomorskiego obowiązywało</w:t>
      </w:r>
      <w:r w:rsidRPr="006322AC">
        <w:rPr>
          <w:rFonts w:cstheme="minorHAnsi"/>
          <w:b/>
          <w:bCs/>
          <w:color w:val="000000" w:themeColor="text1"/>
          <w:sz w:val="24"/>
          <w:szCs w:val="24"/>
        </w:rPr>
        <w:t xml:space="preserve"> </w:t>
      </w:r>
      <w:r w:rsidRPr="00E752A2">
        <w:rPr>
          <w:rFonts w:cstheme="minorHAnsi"/>
          <w:color w:val="000000" w:themeColor="text1"/>
          <w:sz w:val="24"/>
          <w:szCs w:val="24"/>
        </w:rPr>
        <w:t>108</w:t>
      </w:r>
      <w:r>
        <w:rPr>
          <w:rFonts w:cstheme="minorHAnsi"/>
          <w:color w:val="000000" w:themeColor="text1"/>
          <w:sz w:val="24"/>
          <w:szCs w:val="24"/>
        </w:rPr>
        <w:t xml:space="preserve"> „</w:t>
      </w:r>
      <w:r w:rsidRPr="00223F5F">
        <w:rPr>
          <w:rFonts w:cstheme="minorHAnsi"/>
          <w:color w:val="000000" w:themeColor="text1"/>
          <w:sz w:val="24"/>
          <w:szCs w:val="24"/>
        </w:rPr>
        <w:t xml:space="preserve">warunkowych </w:t>
      </w:r>
      <w:r w:rsidRPr="00C60818">
        <w:rPr>
          <w:rFonts w:cstheme="minorHAnsi"/>
          <w:iCs/>
          <w:color w:val="000000" w:themeColor="text1"/>
          <w:sz w:val="24"/>
          <w:szCs w:val="24"/>
        </w:rPr>
        <w:t>przydatności wody d</w:t>
      </w:r>
      <w:r w:rsidRPr="00223F5F">
        <w:rPr>
          <w:rFonts w:cstheme="minorHAnsi"/>
          <w:color w:val="000000" w:themeColor="text1"/>
          <w:sz w:val="24"/>
          <w:szCs w:val="24"/>
        </w:rPr>
        <w:t>o spożycia</w:t>
      </w:r>
      <w:r>
        <w:rPr>
          <w:rFonts w:cstheme="minorHAnsi"/>
          <w:color w:val="000000" w:themeColor="text1"/>
          <w:sz w:val="24"/>
          <w:szCs w:val="24"/>
        </w:rPr>
        <w:t xml:space="preserve">” (co stanowi ok. 20 % wzrost w stosunku do roku ubiegłego), z czego 74 decyzje zostały wydane w 2024 roku (tabela nr </w:t>
      </w:r>
      <w:r w:rsidR="00E54D38">
        <w:rPr>
          <w:rFonts w:cstheme="minorHAnsi"/>
          <w:color w:val="000000" w:themeColor="text1"/>
          <w:sz w:val="24"/>
          <w:szCs w:val="24"/>
        </w:rPr>
        <w:t>39</w:t>
      </w:r>
      <w:r>
        <w:rPr>
          <w:rFonts w:cstheme="minorHAnsi"/>
          <w:color w:val="000000" w:themeColor="text1"/>
          <w:sz w:val="24"/>
          <w:szCs w:val="24"/>
        </w:rPr>
        <w:t xml:space="preserve">), w tym: </w:t>
      </w:r>
    </w:p>
    <w:p w14:paraId="57EC7355" w14:textId="77777777" w:rsidR="00394C62" w:rsidRPr="009E33D6" w:rsidRDefault="00394C62" w:rsidP="00597239">
      <w:pPr>
        <w:pStyle w:val="Akapitzlist"/>
        <w:numPr>
          <w:ilvl w:val="0"/>
          <w:numId w:val="65"/>
        </w:numPr>
        <w:spacing w:after="0" w:line="276" w:lineRule="auto"/>
        <w:rPr>
          <w:rFonts w:cstheme="minorHAnsi"/>
          <w:color w:val="000000" w:themeColor="text1"/>
          <w:sz w:val="24"/>
          <w:szCs w:val="24"/>
        </w:rPr>
      </w:pPr>
      <w:r w:rsidRPr="009E33D6">
        <w:rPr>
          <w:rFonts w:cstheme="minorHAnsi"/>
          <w:color w:val="000000" w:themeColor="text1"/>
          <w:sz w:val="24"/>
          <w:szCs w:val="24"/>
        </w:rPr>
        <w:t>26 decyzji - wydano z uwagi na przekroczenia parametrów mikrobiologicznych.</w:t>
      </w:r>
    </w:p>
    <w:p w14:paraId="251173D3" w14:textId="77777777" w:rsidR="00394C62" w:rsidRPr="009E33D6" w:rsidRDefault="00394C62" w:rsidP="00597239">
      <w:pPr>
        <w:pStyle w:val="Akapitzlist"/>
        <w:numPr>
          <w:ilvl w:val="0"/>
          <w:numId w:val="65"/>
        </w:numPr>
        <w:spacing w:after="0" w:line="276" w:lineRule="auto"/>
        <w:rPr>
          <w:rFonts w:cstheme="minorHAnsi"/>
          <w:color w:val="000000" w:themeColor="text1"/>
          <w:sz w:val="24"/>
          <w:szCs w:val="24"/>
        </w:rPr>
      </w:pPr>
      <w:r w:rsidRPr="009E33D6">
        <w:rPr>
          <w:rFonts w:cstheme="minorHAnsi"/>
          <w:color w:val="000000" w:themeColor="text1"/>
          <w:sz w:val="24"/>
          <w:szCs w:val="24"/>
        </w:rPr>
        <w:t>47 decyzji – w wydano z uwagi na przekroczenia parametrów fizykochemicznych.</w:t>
      </w:r>
    </w:p>
    <w:p w14:paraId="2995275E" w14:textId="77777777" w:rsidR="00394C62" w:rsidRPr="009E33D6" w:rsidRDefault="00394C62" w:rsidP="00597239">
      <w:pPr>
        <w:pStyle w:val="Akapitzlist"/>
        <w:numPr>
          <w:ilvl w:val="0"/>
          <w:numId w:val="65"/>
        </w:numPr>
        <w:spacing w:after="0" w:line="276" w:lineRule="auto"/>
        <w:rPr>
          <w:rFonts w:cstheme="minorHAnsi"/>
          <w:b/>
          <w:bCs/>
          <w:color w:val="000000" w:themeColor="text1"/>
          <w:sz w:val="24"/>
          <w:szCs w:val="24"/>
        </w:rPr>
      </w:pPr>
      <w:r w:rsidRPr="009E33D6">
        <w:rPr>
          <w:rFonts w:cstheme="minorHAnsi"/>
          <w:color w:val="000000" w:themeColor="text1"/>
          <w:sz w:val="24"/>
          <w:szCs w:val="24"/>
        </w:rPr>
        <w:t>1 decyzja – wydana zarówno na fizykochemię jak również mikrobiologię.</w:t>
      </w:r>
    </w:p>
    <w:p w14:paraId="4C543C02" w14:textId="0106A257" w:rsidR="00394C62" w:rsidRPr="009E33D6" w:rsidRDefault="00394C62" w:rsidP="00597239">
      <w:pPr>
        <w:spacing w:after="0" w:line="276" w:lineRule="auto"/>
        <w:rPr>
          <w:rFonts w:cstheme="minorHAnsi"/>
          <w:color w:val="000000" w:themeColor="text1"/>
          <w:sz w:val="24"/>
          <w:szCs w:val="24"/>
        </w:rPr>
      </w:pPr>
      <w:r>
        <w:rPr>
          <w:rFonts w:cstheme="minorHAnsi"/>
          <w:color w:val="000000" w:themeColor="text1"/>
          <w:sz w:val="24"/>
          <w:szCs w:val="24"/>
        </w:rPr>
        <w:t>Ponadto nadal obowiązywały 34 decyzje dot. warunkowej przydatności wody do spożycia, które wydane zostały w latach ubiegłych.</w:t>
      </w:r>
      <w:r w:rsidRPr="00756590">
        <w:rPr>
          <w:rFonts w:cstheme="minorHAnsi"/>
          <w:color w:val="000000" w:themeColor="text1"/>
          <w:sz w:val="24"/>
          <w:szCs w:val="24"/>
        </w:rPr>
        <w:t xml:space="preserve"> </w:t>
      </w:r>
    </w:p>
    <w:p w14:paraId="762A075F" w14:textId="77777777" w:rsidR="007E5BC2" w:rsidRPr="00DD3EBB" w:rsidRDefault="007E5BC2" w:rsidP="00597239">
      <w:pPr>
        <w:pStyle w:val="Legenda"/>
        <w:spacing w:after="0"/>
        <w:rPr>
          <w:i w:val="0"/>
          <w:iCs w:val="0"/>
          <w:color w:val="auto"/>
          <w:sz w:val="24"/>
          <w:szCs w:val="24"/>
        </w:rPr>
      </w:pPr>
      <w:bookmarkStart w:id="283" w:name="_Toc193806009"/>
    </w:p>
    <w:p w14:paraId="4829F1C0" w14:textId="031684B9" w:rsidR="00394C62" w:rsidRPr="009E33D6" w:rsidRDefault="009E33D6" w:rsidP="00597239">
      <w:pPr>
        <w:pStyle w:val="Legenda"/>
        <w:spacing w:after="0" w:line="276" w:lineRule="auto"/>
        <w:rPr>
          <w:rFonts w:cstheme="minorHAnsi"/>
          <w:i w:val="0"/>
          <w:iCs w:val="0"/>
          <w:color w:val="auto"/>
          <w:sz w:val="24"/>
          <w:szCs w:val="24"/>
        </w:rPr>
      </w:pPr>
      <w:bookmarkStart w:id="284" w:name="_Toc193969557"/>
      <w:bookmarkStart w:id="285" w:name="_Toc194060017"/>
      <w:r w:rsidRPr="009E33D6">
        <w:rPr>
          <w:i w:val="0"/>
          <w:iCs w:val="0"/>
          <w:color w:val="auto"/>
        </w:rPr>
        <w:t xml:space="preserve">Tabela </w:t>
      </w:r>
      <w:r w:rsidRPr="009E33D6">
        <w:rPr>
          <w:i w:val="0"/>
          <w:iCs w:val="0"/>
          <w:color w:val="auto"/>
        </w:rPr>
        <w:fldChar w:fldCharType="begin"/>
      </w:r>
      <w:r w:rsidRPr="009E33D6">
        <w:rPr>
          <w:i w:val="0"/>
          <w:iCs w:val="0"/>
          <w:color w:val="auto"/>
        </w:rPr>
        <w:instrText xml:space="preserve"> SEQ Tabela \* ARABIC </w:instrText>
      </w:r>
      <w:r w:rsidRPr="009E33D6">
        <w:rPr>
          <w:i w:val="0"/>
          <w:iCs w:val="0"/>
          <w:color w:val="auto"/>
        </w:rPr>
        <w:fldChar w:fldCharType="separate"/>
      </w:r>
      <w:r w:rsidR="00FB6F6A">
        <w:rPr>
          <w:i w:val="0"/>
          <w:iCs w:val="0"/>
          <w:noProof/>
          <w:color w:val="auto"/>
        </w:rPr>
        <w:t>39</w:t>
      </w:r>
      <w:r w:rsidRPr="009E33D6">
        <w:rPr>
          <w:i w:val="0"/>
          <w:iCs w:val="0"/>
          <w:color w:val="auto"/>
        </w:rPr>
        <w:fldChar w:fldCharType="end"/>
      </w:r>
      <w:r w:rsidR="00E75D31">
        <w:rPr>
          <w:i w:val="0"/>
          <w:iCs w:val="0"/>
          <w:color w:val="auto"/>
        </w:rPr>
        <w:t>.</w:t>
      </w:r>
      <w:r w:rsidRPr="009E33D6">
        <w:rPr>
          <w:i w:val="0"/>
          <w:iCs w:val="0"/>
          <w:color w:val="auto"/>
        </w:rPr>
        <w:t xml:space="preserve"> Decyzje stwierdzające warunkową przydatności wody do spożycia przez ludzi w woj. zachodniopomorskim wydane w 2024 roku, z uwzględnieniem przekroczonego parametru</w:t>
      </w:r>
      <w:bookmarkEnd w:id="283"/>
      <w:bookmarkEnd w:id="284"/>
      <w:bookmarkEnd w:id="285"/>
    </w:p>
    <w:tbl>
      <w:tblPr>
        <w:tblStyle w:val="Tabelasiatki4akcent1"/>
        <w:tblW w:w="0" w:type="auto"/>
        <w:tblLook w:val="04A0" w:firstRow="1" w:lastRow="0" w:firstColumn="1" w:lastColumn="0" w:noHBand="0" w:noVBand="1"/>
        <w:tblCaption w:val="Decyzje stwierdzające warunkową przydatności wody do spożycia przez ludzi w woj. zachodniopomorskim wydane w 2024 roku, z uwzględnieniem przekroczonego parametru."/>
        <w:tblDescription w:val="Zestawienie tabelaryczne, liczby decyzji stwierdzających warunkową przydatność wody do spożycia przez ludzi, na terenie województwa zachodniopomorskiego, uwzględniająca podział na przekroczenia fizykochemiczne i mikrobiologiczne."/>
      </w:tblPr>
      <w:tblGrid>
        <w:gridCol w:w="6088"/>
        <w:gridCol w:w="2809"/>
      </w:tblGrid>
      <w:tr w:rsidR="00394C62" w:rsidRPr="00FF50CD" w14:paraId="550EC380" w14:textId="77777777" w:rsidTr="00FD3723">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6088" w:type="dxa"/>
            <w:vAlign w:val="center"/>
            <w:hideMark/>
          </w:tcPr>
          <w:p w14:paraId="0C2C1CC8" w14:textId="77777777" w:rsidR="00394C62" w:rsidRPr="00FF50CD" w:rsidRDefault="00394C62" w:rsidP="00597239">
            <w:pPr>
              <w:rPr>
                <w:rFonts w:cstheme="minorHAnsi"/>
                <w:b w:val="0"/>
                <w:bCs w:val="0"/>
                <w:sz w:val="20"/>
                <w:szCs w:val="20"/>
              </w:rPr>
            </w:pPr>
            <w:r w:rsidRPr="00FF50CD">
              <w:rPr>
                <w:rFonts w:cstheme="minorHAnsi"/>
                <w:b w:val="0"/>
                <w:bCs w:val="0"/>
                <w:sz w:val="20"/>
                <w:szCs w:val="20"/>
              </w:rPr>
              <w:t>Parametr</w:t>
            </w:r>
          </w:p>
        </w:tc>
        <w:tc>
          <w:tcPr>
            <w:tcW w:w="2809" w:type="dxa"/>
            <w:vAlign w:val="center"/>
            <w:hideMark/>
          </w:tcPr>
          <w:p w14:paraId="1358E9D1" w14:textId="77777777" w:rsidR="00394C62" w:rsidRPr="00FF50CD" w:rsidRDefault="00394C62" w:rsidP="00597239">
            <w:pP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FF50CD">
              <w:rPr>
                <w:rFonts w:cstheme="minorHAnsi"/>
                <w:b w:val="0"/>
                <w:bCs w:val="0"/>
                <w:sz w:val="20"/>
                <w:szCs w:val="20"/>
              </w:rPr>
              <w:t>Liczba warunkowej przydatności</w:t>
            </w:r>
          </w:p>
        </w:tc>
      </w:tr>
      <w:tr w:rsidR="00394C62" w:rsidRPr="00FF50CD" w14:paraId="0C58FB8B"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088" w:type="dxa"/>
            <w:vAlign w:val="center"/>
            <w:hideMark/>
          </w:tcPr>
          <w:p w14:paraId="326EF7C4" w14:textId="77777777"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t>Bakterie grupy coli</w:t>
            </w:r>
          </w:p>
        </w:tc>
        <w:tc>
          <w:tcPr>
            <w:tcW w:w="2809" w:type="dxa"/>
            <w:vAlign w:val="center"/>
            <w:hideMark/>
          </w:tcPr>
          <w:p w14:paraId="6623F41D"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22</w:t>
            </w:r>
          </w:p>
        </w:tc>
      </w:tr>
      <w:tr w:rsidR="00394C62" w:rsidRPr="00FF50CD" w14:paraId="105FD00D" w14:textId="77777777" w:rsidTr="00FD3723">
        <w:trPr>
          <w:trHeight w:val="261"/>
        </w:trPr>
        <w:tc>
          <w:tcPr>
            <w:cnfStyle w:val="001000000000" w:firstRow="0" w:lastRow="0" w:firstColumn="1" w:lastColumn="0" w:oddVBand="0" w:evenVBand="0" w:oddHBand="0" w:evenHBand="0" w:firstRowFirstColumn="0" w:firstRowLastColumn="0" w:lastRowFirstColumn="0" w:lastRowLastColumn="0"/>
            <w:tcW w:w="6088" w:type="dxa"/>
            <w:vAlign w:val="center"/>
            <w:hideMark/>
          </w:tcPr>
          <w:p w14:paraId="4CB6B267" w14:textId="77777777"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t>Ogólna liczba mikroorganizmów w temp. 22±2°C</w:t>
            </w:r>
          </w:p>
        </w:tc>
        <w:tc>
          <w:tcPr>
            <w:tcW w:w="2809" w:type="dxa"/>
            <w:vAlign w:val="center"/>
            <w:hideMark/>
          </w:tcPr>
          <w:p w14:paraId="17E6E805"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5</w:t>
            </w:r>
          </w:p>
        </w:tc>
      </w:tr>
      <w:tr w:rsidR="00394C62" w:rsidRPr="00FF50CD" w14:paraId="66C2443B"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46BD3A18" w14:textId="77777777"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t>Barwa, utlenialność</w:t>
            </w:r>
          </w:p>
        </w:tc>
        <w:tc>
          <w:tcPr>
            <w:tcW w:w="2809" w:type="dxa"/>
            <w:vAlign w:val="center"/>
          </w:tcPr>
          <w:p w14:paraId="646A8D79"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1</w:t>
            </w:r>
          </w:p>
        </w:tc>
      </w:tr>
      <w:tr w:rsidR="00394C62" w:rsidRPr="00FF50CD" w14:paraId="4CC42D5B" w14:textId="77777777" w:rsidTr="00FD3723">
        <w:trPr>
          <w:trHeight w:val="261"/>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45C06D24" w14:textId="77777777" w:rsidR="00394C62" w:rsidRPr="00FF50CD" w:rsidRDefault="00394C62" w:rsidP="00597239">
            <w:pPr>
              <w:rPr>
                <w:rFonts w:cstheme="minorHAnsi"/>
                <w:b w:val="0"/>
                <w:bCs w:val="0"/>
                <w:iCs/>
                <w:color w:val="000000" w:themeColor="text1"/>
                <w:sz w:val="20"/>
                <w:szCs w:val="20"/>
              </w:rPr>
            </w:pPr>
            <w:r w:rsidRPr="00FF50CD">
              <w:rPr>
                <w:rFonts w:cstheme="minorHAnsi"/>
                <w:b w:val="0"/>
                <w:bCs w:val="0"/>
                <w:iCs/>
                <w:color w:val="000000" w:themeColor="text1"/>
                <w:sz w:val="20"/>
                <w:szCs w:val="20"/>
              </w:rPr>
              <w:t>Jon amonowy</w:t>
            </w:r>
          </w:p>
        </w:tc>
        <w:tc>
          <w:tcPr>
            <w:tcW w:w="2809" w:type="dxa"/>
            <w:vAlign w:val="center"/>
          </w:tcPr>
          <w:p w14:paraId="0227D287"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3</w:t>
            </w:r>
          </w:p>
        </w:tc>
      </w:tr>
      <w:tr w:rsidR="00394C62" w:rsidRPr="00FF50CD" w14:paraId="0BD10849"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1D0CCB43" w14:textId="77777777"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t>Mangan</w:t>
            </w:r>
          </w:p>
        </w:tc>
        <w:tc>
          <w:tcPr>
            <w:tcW w:w="2809" w:type="dxa"/>
            <w:vAlign w:val="center"/>
          </w:tcPr>
          <w:p w14:paraId="0EDE9399"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8</w:t>
            </w:r>
          </w:p>
        </w:tc>
      </w:tr>
      <w:tr w:rsidR="00394C62" w:rsidRPr="00FF50CD" w14:paraId="41D00C80" w14:textId="77777777" w:rsidTr="00FD3723">
        <w:trPr>
          <w:trHeight w:val="363"/>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6D3798BB" w14:textId="77777777"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lastRenderedPageBreak/>
              <w:t>Mangan, żelazo, jon amonowy</w:t>
            </w:r>
          </w:p>
        </w:tc>
        <w:tc>
          <w:tcPr>
            <w:tcW w:w="2809" w:type="dxa"/>
            <w:vAlign w:val="center"/>
          </w:tcPr>
          <w:p w14:paraId="08EB3154" w14:textId="77777777" w:rsidR="00394C62" w:rsidRPr="00FF50CD" w:rsidRDefault="00394C62" w:rsidP="00597239">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2</w:t>
            </w:r>
          </w:p>
        </w:tc>
      </w:tr>
      <w:tr w:rsidR="00394C62" w:rsidRPr="00FF50CD" w14:paraId="3ED2422D" w14:textId="77777777" w:rsidTr="00FD3723">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657C720D" w14:textId="77777777"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t>Mętność</w:t>
            </w:r>
          </w:p>
        </w:tc>
        <w:tc>
          <w:tcPr>
            <w:tcW w:w="2809" w:type="dxa"/>
            <w:vAlign w:val="center"/>
          </w:tcPr>
          <w:p w14:paraId="7230379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12</w:t>
            </w:r>
          </w:p>
        </w:tc>
      </w:tr>
      <w:tr w:rsidR="00394C62" w:rsidRPr="00FF50CD" w14:paraId="3670916D" w14:textId="77777777" w:rsidTr="00FD3723">
        <w:trPr>
          <w:trHeight w:val="363"/>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23417E68"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Mętność, jon amonowy</w:t>
            </w:r>
          </w:p>
        </w:tc>
        <w:tc>
          <w:tcPr>
            <w:tcW w:w="2809" w:type="dxa"/>
            <w:vAlign w:val="center"/>
          </w:tcPr>
          <w:p w14:paraId="229B2F41" w14:textId="77777777" w:rsidR="00394C62" w:rsidRPr="00FF50CD" w:rsidRDefault="00394C62" w:rsidP="00597239">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1</w:t>
            </w:r>
          </w:p>
        </w:tc>
      </w:tr>
      <w:tr w:rsidR="00394C62" w:rsidRPr="00FF50CD" w14:paraId="0B968C25" w14:textId="77777777" w:rsidTr="00FD372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1787E103"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Żelazo</w:t>
            </w:r>
          </w:p>
        </w:tc>
        <w:tc>
          <w:tcPr>
            <w:tcW w:w="2809" w:type="dxa"/>
            <w:vAlign w:val="center"/>
          </w:tcPr>
          <w:p w14:paraId="52CFDE78" w14:textId="77777777" w:rsidR="00394C62" w:rsidRPr="00FF50CD" w:rsidRDefault="00394C62" w:rsidP="00597239">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2</w:t>
            </w:r>
          </w:p>
        </w:tc>
      </w:tr>
      <w:tr w:rsidR="00394C62" w:rsidRPr="00FF50CD" w14:paraId="708339FB" w14:textId="77777777" w:rsidTr="00FD3723">
        <w:trPr>
          <w:trHeight w:val="200"/>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298B2628"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Żelazo, mangan</w:t>
            </w:r>
          </w:p>
        </w:tc>
        <w:tc>
          <w:tcPr>
            <w:tcW w:w="2809" w:type="dxa"/>
            <w:vAlign w:val="center"/>
          </w:tcPr>
          <w:p w14:paraId="5A43A7A5" w14:textId="77777777" w:rsidR="00394C62" w:rsidRPr="00FF50CD" w:rsidRDefault="00394C62" w:rsidP="00597239">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2</w:t>
            </w:r>
          </w:p>
        </w:tc>
      </w:tr>
      <w:tr w:rsidR="00394C62" w:rsidRPr="00FF50CD" w14:paraId="5D936858" w14:textId="77777777" w:rsidTr="00FD3723">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7554589A"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Żelazo, mangan, mętność</w:t>
            </w:r>
          </w:p>
        </w:tc>
        <w:tc>
          <w:tcPr>
            <w:tcW w:w="2809" w:type="dxa"/>
            <w:vAlign w:val="center"/>
          </w:tcPr>
          <w:p w14:paraId="3FD8070E" w14:textId="77777777" w:rsidR="00394C62" w:rsidRPr="00FF50CD" w:rsidRDefault="00394C62" w:rsidP="00597239">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9</w:t>
            </w:r>
          </w:p>
        </w:tc>
      </w:tr>
      <w:tr w:rsidR="00394C62" w:rsidRPr="00FF50CD" w14:paraId="54990DC9" w14:textId="77777777" w:rsidTr="00FD3723">
        <w:trPr>
          <w:trHeight w:val="313"/>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7B16E403"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Żelazo, mętność</w:t>
            </w:r>
          </w:p>
        </w:tc>
        <w:tc>
          <w:tcPr>
            <w:tcW w:w="2809" w:type="dxa"/>
            <w:vAlign w:val="center"/>
          </w:tcPr>
          <w:p w14:paraId="14EC9EE9" w14:textId="768E88FE" w:rsidR="00394C62" w:rsidRPr="00FF50CD" w:rsidRDefault="00394C62" w:rsidP="00597239">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5</w:t>
            </w:r>
          </w:p>
        </w:tc>
      </w:tr>
      <w:tr w:rsidR="00394C62" w:rsidRPr="00FF50CD" w14:paraId="0B63F25E" w14:textId="77777777" w:rsidTr="00FD372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0EB2BA41"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Żelazo, mętność, jon amonowy</w:t>
            </w:r>
          </w:p>
        </w:tc>
        <w:tc>
          <w:tcPr>
            <w:tcW w:w="2809" w:type="dxa"/>
            <w:vAlign w:val="center"/>
          </w:tcPr>
          <w:p w14:paraId="79A0081B" w14:textId="77777777" w:rsidR="00394C62" w:rsidRPr="00FF50CD" w:rsidRDefault="00394C62" w:rsidP="00597239">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1</w:t>
            </w:r>
          </w:p>
        </w:tc>
      </w:tr>
      <w:tr w:rsidR="00394C62" w:rsidRPr="00FF50CD" w14:paraId="0DF3DD18" w14:textId="77777777" w:rsidTr="00FD3723">
        <w:trPr>
          <w:trHeight w:val="392"/>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1455ABAF" w14:textId="77777777" w:rsidR="00394C62" w:rsidRPr="00FF50CD" w:rsidRDefault="00394C62" w:rsidP="00597239">
            <w:pPr>
              <w:spacing w:line="276" w:lineRule="auto"/>
              <w:rPr>
                <w:rFonts w:cstheme="minorHAnsi"/>
                <w:b w:val="0"/>
                <w:bCs w:val="0"/>
                <w:color w:val="000000" w:themeColor="text1"/>
                <w:sz w:val="20"/>
                <w:szCs w:val="20"/>
              </w:rPr>
            </w:pPr>
            <w:r w:rsidRPr="00FF50CD">
              <w:rPr>
                <w:rFonts w:cstheme="minorHAnsi"/>
                <w:b w:val="0"/>
                <w:bCs w:val="0"/>
                <w:color w:val="000000" w:themeColor="text1"/>
                <w:sz w:val="20"/>
                <w:szCs w:val="20"/>
              </w:rPr>
              <w:t>Mętność, żelazo, ogólna liczba mikroorganizmów w temp. 22±2°C</w:t>
            </w:r>
          </w:p>
        </w:tc>
        <w:tc>
          <w:tcPr>
            <w:tcW w:w="2809" w:type="dxa"/>
            <w:vAlign w:val="center"/>
          </w:tcPr>
          <w:p w14:paraId="35A82082" w14:textId="77777777" w:rsidR="00394C62" w:rsidRPr="00FF50CD" w:rsidRDefault="00394C62" w:rsidP="00597239">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1</w:t>
            </w:r>
          </w:p>
        </w:tc>
      </w:tr>
      <w:tr w:rsidR="00394C62" w:rsidRPr="00FF50CD" w14:paraId="25AC0280" w14:textId="77777777" w:rsidTr="00FD372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088" w:type="dxa"/>
            <w:vAlign w:val="center"/>
          </w:tcPr>
          <w:p w14:paraId="3AF82736" w14:textId="552A6A9D" w:rsidR="00394C62" w:rsidRPr="00FF50CD" w:rsidRDefault="00394C62" w:rsidP="00597239">
            <w:pPr>
              <w:rPr>
                <w:rFonts w:cstheme="minorHAnsi"/>
                <w:b w:val="0"/>
                <w:bCs w:val="0"/>
                <w:color w:val="000000" w:themeColor="text1"/>
                <w:sz w:val="20"/>
                <w:szCs w:val="20"/>
              </w:rPr>
            </w:pPr>
            <w:r w:rsidRPr="00FF50CD">
              <w:rPr>
                <w:rFonts w:cstheme="minorHAnsi"/>
                <w:b w:val="0"/>
                <w:bCs w:val="0"/>
                <w:color w:val="000000" w:themeColor="text1"/>
                <w:sz w:val="20"/>
                <w:szCs w:val="20"/>
              </w:rPr>
              <w:t>Razem</w:t>
            </w:r>
          </w:p>
        </w:tc>
        <w:tc>
          <w:tcPr>
            <w:tcW w:w="2809" w:type="dxa"/>
            <w:vAlign w:val="center"/>
            <w:hideMark/>
          </w:tcPr>
          <w:p w14:paraId="5D050C0C" w14:textId="77777777" w:rsidR="00394C62" w:rsidRPr="00FF50CD" w:rsidRDefault="00394C62" w:rsidP="00597239">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FF50CD">
              <w:rPr>
                <w:rFonts w:cstheme="minorHAnsi"/>
                <w:color w:val="000000" w:themeColor="text1"/>
                <w:sz w:val="20"/>
                <w:szCs w:val="20"/>
              </w:rPr>
              <w:t>74</w:t>
            </w:r>
          </w:p>
        </w:tc>
      </w:tr>
    </w:tbl>
    <w:p w14:paraId="52E8AFAE" w14:textId="77777777" w:rsidR="00394C62" w:rsidRPr="00CC5CE7" w:rsidRDefault="00394C62" w:rsidP="00597239">
      <w:pPr>
        <w:pStyle w:val="Nagwek3"/>
        <w:spacing w:after="0"/>
        <w:ind w:left="0" w:firstLine="0"/>
        <w:rPr>
          <w:highlight w:val="cyan"/>
        </w:rPr>
      </w:pPr>
    </w:p>
    <w:p w14:paraId="357B5F69" w14:textId="128B4586" w:rsidR="00394C62" w:rsidRPr="000C214C" w:rsidRDefault="00394C62" w:rsidP="00597239">
      <w:pPr>
        <w:pStyle w:val="Nagwek3"/>
        <w:numPr>
          <w:ilvl w:val="1"/>
          <w:numId w:val="64"/>
        </w:numPr>
        <w:spacing w:after="0"/>
        <w:ind w:left="568" w:hanging="284"/>
      </w:pPr>
      <w:bookmarkStart w:id="286" w:name="_Toc194059825"/>
      <w:r w:rsidRPr="00B51809">
        <w:t>Odstępstwa od wymaganej jakości wody do spożycia</w:t>
      </w:r>
      <w:bookmarkEnd w:id="286"/>
      <w:r w:rsidRPr="00B51809">
        <w:t xml:space="preserve"> </w:t>
      </w:r>
    </w:p>
    <w:p w14:paraId="5907FCCF" w14:textId="1B075139" w:rsidR="00394C62" w:rsidRPr="00B51809" w:rsidRDefault="00394C62" w:rsidP="00597239">
      <w:pPr>
        <w:spacing w:after="0" w:line="276" w:lineRule="auto"/>
        <w:rPr>
          <w:rFonts w:cstheme="minorHAnsi"/>
          <w:color w:val="00B0F0"/>
          <w:sz w:val="24"/>
          <w:szCs w:val="24"/>
        </w:rPr>
      </w:pPr>
      <w:r w:rsidRPr="00B51809">
        <w:rPr>
          <w:rFonts w:cstheme="minorHAnsi"/>
          <w:color w:val="000000" w:themeColor="text1"/>
          <w:sz w:val="24"/>
          <w:szCs w:val="24"/>
        </w:rPr>
        <w:t>W przypadku</w:t>
      </w:r>
      <w:r>
        <w:rPr>
          <w:rFonts w:cstheme="minorHAnsi"/>
          <w:color w:val="000000" w:themeColor="text1"/>
          <w:sz w:val="24"/>
          <w:szCs w:val="24"/>
        </w:rPr>
        <w:t>,</w:t>
      </w:r>
      <w:r w:rsidRPr="00B51809">
        <w:rPr>
          <w:rFonts w:cstheme="minorHAnsi"/>
          <w:color w:val="000000" w:themeColor="text1"/>
          <w:sz w:val="24"/>
          <w:szCs w:val="24"/>
        </w:rPr>
        <w:t xml:space="preserve"> gdy woda nie spełnia wymagań chemicznych, z wyłączeniem wymagań określonych dla bromianów i ołowiu, oraz nie jest możliwe przywrócenie jej jakości do stanu wymaganego przepisami krajowymi w terminie 30 dni, podmioty prowadzące zbiorowe zaopatrzenie w wodę mogą wystąpić o zgodę na odstępstwo od tych wymagań. Udzielenie zgody jest dopuszczalne </w:t>
      </w:r>
      <w:r w:rsidR="00FD3723" w:rsidRPr="00B51809">
        <w:rPr>
          <w:rFonts w:cstheme="minorHAnsi"/>
          <w:color w:val="000000" w:themeColor="text1"/>
          <w:sz w:val="24"/>
          <w:szCs w:val="24"/>
        </w:rPr>
        <w:t>wyłącznie,</w:t>
      </w:r>
      <w:r w:rsidRPr="00B51809">
        <w:rPr>
          <w:rFonts w:cstheme="minorHAnsi"/>
          <w:color w:val="000000" w:themeColor="text1"/>
          <w:sz w:val="24"/>
          <w:szCs w:val="24"/>
        </w:rPr>
        <w:t xml:space="preserve"> jeżeli nie będzie stanowić potencjalnego zagrożenia dla</w:t>
      </w:r>
      <w:r w:rsidR="003326B1">
        <w:rPr>
          <w:rFonts w:cstheme="minorHAnsi"/>
          <w:color w:val="000000" w:themeColor="text1"/>
          <w:sz w:val="24"/>
          <w:szCs w:val="24"/>
        </w:rPr>
        <w:t> </w:t>
      </w:r>
      <w:r w:rsidRPr="00B51809">
        <w:rPr>
          <w:rFonts w:cstheme="minorHAnsi"/>
          <w:color w:val="000000" w:themeColor="text1"/>
          <w:sz w:val="24"/>
          <w:szCs w:val="24"/>
        </w:rPr>
        <w:t>zdrowia ludzkiego, a zaopatrzenie w wodę o właściwej jakości nie będzie mogło być zrealizowane za pomocą innych środków. Przyznawanie odstępstw przez organy Państwowej Inspekcji Sanitarnej umożliwia podmiotom produkującym wodę stopniowe doprowadzanie wody do właściwej jakości. Podstawowym zadaniem w tym postępowaniu jest ochrona ludzi przed potencjalnymi negatywnymi skutkami zdrowotnymi, które mogłyby wystąpić wskutek spożywania wody o nieodpowiedniej jakości.</w:t>
      </w:r>
      <w:r w:rsidRPr="00B51809">
        <w:rPr>
          <w:rFonts w:cstheme="minorHAnsi"/>
          <w:color w:val="00B0F0"/>
          <w:sz w:val="24"/>
          <w:szCs w:val="24"/>
        </w:rPr>
        <w:t xml:space="preserve"> </w:t>
      </w:r>
    </w:p>
    <w:p w14:paraId="15CE250A" w14:textId="77777777" w:rsidR="00DD3EBB" w:rsidRDefault="00DD3EBB" w:rsidP="00597239">
      <w:pPr>
        <w:spacing w:after="0" w:line="276" w:lineRule="auto"/>
        <w:rPr>
          <w:rFonts w:cstheme="minorHAnsi"/>
          <w:color w:val="000000" w:themeColor="text1"/>
          <w:sz w:val="24"/>
          <w:szCs w:val="24"/>
        </w:rPr>
      </w:pPr>
    </w:p>
    <w:p w14:paraId="227A7DD9" w14:textId="395F3DAF" w:rsidR="00394C62" w:rsidRDefault="00394C62" w:rsidP="00597239">
      <w:pPr>
        <w:spacing w:after="0" w:line="276" w:lineRule="auto"/>
        <w:rPr>
          <w:rFonts w:cstheme="minorHAnsi"/>
          <w:color w:val="000000" w:themeColor="text1"/>
          <w:sz w:val="24"/>
          <w:szCs w:val="24"/>
        </w:rPr>
      </w:pPr>
      <w:r w:rsidRPr="003E7044">
        <w:rPr>
          <w:rFonts w:cstheme="minorHAnsi"/>
          <w:color w:val="000000" w:themeColor="text1"/>
          <w:sz w:val="24"/>
          <w:szCs w:val="24"/>
        </w:rPr>
        <w:t>W 2024 roku na terenie woj. zachodniopomorskiego obowiązywały dwa odstępstwa od</w:t>
      </w:r>
      <w:r w:rsidR="00B37BC5">
        <w:rPr>
          <w:rFonts w:cstheme="minorHAnsi"/>
          <w:color w:val="000000" w:themeColor="text1"/>
          <w:sz w:val="24"/>
          <w:szCs w:val="24"/>
        </w:rPr>
        <w:t> </w:t>
      </w:r>
      <w:r w:rsidRPr="003E7044">
        <w:rPr>
          <w:rFonts w:cstheme="minorHAnsi"/>
          <w:color w:val="000000" w:themeColor="text1"/>
          <w:sz w:val="24"/>
          <w:szCs w:val="24"/>
        </w:rPr>
        <w:t>wymaganej jakości wody do spożycia przez ludzi</w:t>
      </w:r>
      <w:r>
        <w:rPr>
          <w:rFonts w:cstheme="minorHAnsi"/>
          <w:color w:val="000000" w:themeColor="text1"/>
          <w:sz w:val="24"/>
          <w:szCs w:val="24"/>
        </w:rPr>
        <w:t xml:space="preserve">, które dot. wodociągów o produkcji wody </w:t>
      </w:r>
      <w:r w:rsidRPr="005466A7">
        <w:rPr>
          <w:rFonts w:cstheme="minorHAnsi"/>
          <w:color w:val="000000" w:themeColor="text1"/>
          <w:sz w:val="24"/>
          <w:szCs w:val="24"/>
        </w:rPr>
        <w:t>poniżej 100 m</w:t>
      </w:r>
      <w:r w:rsidRPr="005466A7">
        <w:rPr>
          <w:rFonts w:cstheme="minorHAnsi"/>
          <w:color w:val="000000" w:themeColor="text1"/>
          <w:sz w:val="24"/>
          <w:szCs w:val="24"/>
          <w:vertAlign w:val="superscript"/>
        </w:rPr>
        <w:t>3</w:t>
      </w:r>
      <w:r w:rsidRPr="005466A7">
        <w:rPr>
          <w:rFonts w:cstheme="minorHAnsi"/>
          <w:color w:val="000000" w:themeColor="text1"/>
          <w:sz w:val="24"/>
          <w:szCs w:val="24"/>
        </w:rPr>
        <w:t>/d</w:t>
      </w:r>
      <w:r w:rsidRPr="003E7044">
        <w:rPr>
          <w:rFonts w:cstheme="minorHAnsi"/>
          <w:color w:val="000000" w:themeColor="text1"/>
          <w:sz w:val="24"/>
          <w:szCs w:val="24"/>
        </w:rPr>
        <w:t>, w tym</w:t>
      </w:r>
      <w:r>
        <w:rPr>
          <w:rFonts w:cstheme="minorHAnsi"/>
          <w:color w:val="000000" w:themeColor="text1"/>
          <w:sz w:val="24"/>
          <w:szCs w:val="24"/>
        </w:rPr>
        <w:t>:</w:t>
      </w:r>
    </w:p>
    <w:p w14:paraId="503AAFD8" w14:textId="77777777" w:rsidR="00394C62" w:rsidRDefault="00394C62" w:rsidP="00597239">
      <w:pPr>
        <w:pStyle w:val="Akapitzlist"/>
        <w:numPr>
          <w:ilvl w:val="0"/>
          <w:numId w:val="88"/>
        </w:numPr>
        <w:suppressAutoHyphens/>
        <w:spacing w:after="0" w:line="276" w:lineRule="auto"/>
        <w:rPr>
          <w:rFonts w:cstheme="minorHAnsi"/>
          <w:color w:val="000000" w:themeColor="text1"/>
          <w:sz w:val="24"/>
          <w:szCs w:val="24"/>
        </w:rPr>
      </w:pPr>
      <w:r>
        <w:rPr>
          <w:rFonts w:cstheme="minorHAnsi"/>
          <w:color w:val="000000" w:themeColor="text1"/>
          <w:sz w:val="24"/>
          <w:szCs w:val="24"/>
        </w:rPr>
        <w:t xml:space="preserve">odstępstwo przyznano we wrześniu 2023 roku </w:t>
      </w:r>
      <w:r w:rsidRPr="000437EA">
        <w:rPr>
          <w:rFonts w:cstheme="minorHAnsi"/>
          <w:color w:val="000000" w:themeColor="text1"/>
          <w:sz w:val="24"/>
          <w:szCs w:val="24"/>
        </w:rPr>
        <w:t xml:space="preserve">w zakresie azotanów </w:t>
      </w:r>
      <w:r>
        <w:rPr>
          <w:rFonts w:cstheme="minorHAnsi"/>
          <w:color w:val="000000" w:themeColor="text1"/>
          <w:sz w:val="24"/>
          <w:szCs w:val="24"/>
        </w:rPr>
        <w:t xml:space="preserve">na </w:t>
      </w:r>
      <w:r w:rsidRPr="000437EA">
        <w:rPr>
          <w:rFonts w:cstheme="minorHAnsi"/>
          <w:color w:val="000000" w:themeColor="text1"/>
          <w:sz w:val="24"/>
          <w:szCs w:val="24"/>
        </w:rPr>
        <w:t>wodociąg Dąbrowa Białogardzka</w:t>
      </w:r>
      <w:r>
        <w:rPr>
          <w:rFonts w:cstheme="minorHAnsi"/>
          <w:color w:val="000000" w:themeColor="text1"/>
          <w:sz w:val="24"/>
          <w:szCs w:val="24"/>
        </w:rPr>
        <w:t>,</w:t>
      </w:r>
      <w:r w:rsidRPr="004F4BFC">
        <w:rPr>
          <w:rFonts w:cstheme="minorHAnsi"/>
          <w:color w:val="000000" w:themeColor="text1"/>
          <w:sz w:val="24"/>
          <w:szCs w:val="24"/>
        </w:rPr>
        <w:t xml:space="preserve"> </w:t>
      </w:r>
      <w:r w:rsidRPr="000437EA">
        <w:rPr>
          <w:rFonts w:cstheme="minorHAnsi"/>
          <w:color w:val="000000" w:themeColor="text1"/>
          <w:sz w:val="24"/>
          <w:szCs w:val="24"/>
        </w:rPr>
        <w:t>pow. świdwiński</w:t>
      </w:r>
      <w:r>
        <w:rPr>
          <w:rFonts w:cstheme="minorHAnsi"/>
          <w:color w:val="000000" w:themeColor="text1"/>
          <w:sz w:val="24"/>
          <w:szCs w:val="24"/>
        </w:rPr>
        <w:t xml:space="preserve"> zaopatrujący 889 mieszkańców </w:t>
      </w:r>
      <w:r w:rsidRPr="0052029B">
        <w:rPr>
          <w:rFonts w:eastAsia="TimesNewRomanPSMT" w:cstheme="minorHAnsi"/>
          <w:sz w:val="24"/>
          <w:szCs w:val="24"/>
        </w:rPr>
        <w:t>miejscowości: Dąbrowa Białogardzka, Dąbrowa Białogardzka Kolonia, Role, Modrzewiec, Nielep, Kłodzino, Dołganów</w:t>
      </w:r>
      <w:r>
        <w:rPr>
          <w:rFonts w:eastAsia="TimesNewRomanPSMT" w:cstheme="minorHAnsi"/>
          <w:sz w:val="24"/>
          <w:szCs w:val="24"/>
        </w:rPr>
        <w:t>;</w:t>
      </w:r>
    </w:p>
    <w:p w14:paraId="7678CC47" w14:textId="3F663E12" w:rsidR="00394C62" w:rsidRPr="00F56923" w:rsidRDefault="00394C62" w:rsidP="00597239">
      <w:pPr>
        <w:pStyle w:val="Akapitzlist"/>
        <w:numPr>
          <w:ilvl w:val="0"/>
          <w:numId w:val="88"/>
        </w:numPr>
        <w:suppressAutoHyphens/>
        <w:spacing w:after="0" w:line="276" w:lineRule="auto"/>
        <w:rPr>
          <w:rFonts w:cstheme="minorHAnsi"/>
          <w:color w:val="000000" w:themeColor="text1"/>
          <w:sz w:val="24"/>
          <w:szCs w:val="24"/>
        </w:rPr>
      </w:pPr>
      <w:r>
        <w:rPr>
          <w:rFonts w:cstheme="minorHAnsi"/>
          <w:color w:val="000000" w:themeColor="text1"/>
          <w:sz w:val="24"/>
          <w:szCs w:val="24"/>
        </w:rPr>
        <w:t xml:space="preserve">odstępstwo przyznano w kwietniu 2024 roku </w:t>
      </w:r>
      <w:r w:rsidRPr="000437EA">
        <w:rPr>
          <w:rFonts w:cstheme="minorHAnsi"/>
          <w:color w:val="000000" w:themeColor="text1"/>
          <w:sz w:val="24"/>
          <w:szCs w:val="24"/>
        </w:rPr>
        <w:t xml:space="preserve">w zakresie </w:t>
      </w:r>
      <w:r w:rsidRPr="000437EA">
        <w:rPr>
          <w:rFonts w:cstheme="minorHAnsi"/>
          <w:sz w:val="24"/>
          <w:szCs w:val="24"/>
        </w:rPr>
        <w:t xml:space="preserve">metabolitów pestycydu </w:t>
      </w:r>
      <w:proofErr w:type="spellStart"/>
      <w:r w:rsidRPr="000437EA">
        <w:rPr>
          <w:rFonts w:cstheme="minorHAnsi"/>
          <w:sz w:val="24"/>
          <w:szCs w:val="24"/>
        </w:rPr>
        <w:t>chloridazon</w:t>
      </w:r>
      <w:proofErr w:type="spellEnd"/>
      <w:r w:rsidRPr="000437EA">
        <w:rPr>
          <w:rFonts w:cstheme="minorHAnsi"/>
          <w:sz w:val="24"/>
          <w:szCs w:val="24"/>
        </w:rPr>
        <w:t xml:space="preserve"> (</w:t>
      </w:r>
      <w:proofErr w:type="spellStart"/>
      <w:r w:rsidRPr="000437EA">
        <w:rPr>
          <w:rFonts w:cstheme="minorHAnsi"/>
          <w:sz w:val="24"/>
          <w:szCs w:val="24"/>
        </w:rPr>
        <w:t>chloridazon-desfenyl</w:t>
      </w:r>
      <w:proofErr w:type="spellEnd"/>
      <w:r w:rsidRPr="000437EA">
        <w:rPr>
          <w:rFonts w:cstheme="minorHAnsi"/>
          <w:sz w:val="24"/>
          <w:szCs w:val="24"/>
        </w:rPr>
        <w:t xml:space="preserve"> i </w:t>
      </w:r>
      <w:proofErr w:type="spellStart"/>
      <w:r w:rsidRPr="000437EA">
        <w:rPr>
          <w:rFonts w:cstheme="minorHAnsi"/>
          <w:sz w:val="24"/>
          <w:szCs w:val="24"/>
        </w:rPr>
        <w:t>chloridazon</w:t>
      </w:r>
      <w:proofErr w:type="spellEnd"/>
      <w:r w:rsidRPr="000437EA">
        <w:rPr>
          <w:rFonts w:cstheme="minorHAnsi"/>
          <w:sz w:val="24"/>
          <w:szCs w:val="24"/>
        </w:rPr>
        <w:t xml:space="preserve"> metyl-</w:t>
      </w:r>
      <w:proofErr w:type="spellStart"/>
      <w:r w:rsidRPr="000437EA">
        <w:rPr>
          <w:rFonts w:cstheme="minorHAnsi"/>
          <w:sz w:val="24"/>
          <w:szCs w:val="24"/>
        </w:rPr>
        <w:t>desfenyl</w:t>
      </w:r>
      <w:proofErr w:type="spellEnd"/>
      <w:r w:rsidRPr="000437EA">
        <w:rPr>
          <w:rFonts w:cstheme="minorHAnsi"/>
          <w:sz w:val="24"/>
          <w:szCs w:val="24"/>
        </w:rPr>
        <w:t xml:space="preserve">) i sumy pestycydów </w:t>
      </w:r>
      <w:r>
        <w:rPr>
          <w:rFonts w:cstheme="minorHAnsi"/>
          <w:sz w:val="24"/>
          <w:szCs w:val="24"/>
        </w:rPr>
        <w:t>na</w:t>
      </w:r>
      <w:r w:rsidR="00B37BC5">
        <w:rPr>
          <w:rFonts w:cstheme="minorHAnsi"/>
          <w:sz w:val="24"/>
          <w:szCs w:val="24"/>
        </w:rPr>
        <w:t> </w:t>
      </w:r>
      <w:r w:rsidRPr="000437EA">
        <w:rPr>
          <w:rFonts w:cstheme="minorHAnsi"/>
          <w:sz w:val="24"/>
          <w:szCs w:val="24"/>
        </w:rPr>
        <w:t>wodociąg Żabów</w:t>
      </w:r>
      <w:r>
        <w:rPr>
          <w:rFonts w:cstheme="minorHAnsi"/>
          <w:sz w:val="24"/>
          <w:szCs w:val="24"/>
        </w:rPr>
        <w:t xml:space="preserve">, </w:t>
      </w:r>
      <w:r w:rsidRPr="000437EA">
        <w:rPr>
          <w:rFonts w:cstheme="minorHAnsi"/>
          <w:sz w:val="24"/>
          <w:szCs w:val="24"/>
        </w:rPr>
        <w:t>pow. pyrzycki</w:t>
      </w:r>
      <w:r>
        <w:rPr>
          <w:rFonts w:cstheme="minorHAnsi"/>
          <w:sz w:val="24"/>
          <w:szCs w:val="24"/>
        </w:rPr>
        <w:t xml:space="preserve"> </w:t>
      </w:r>
      <w:r w:rsidR="00FD3723">
        <w:rPr>
          <w:rFonts w:cstheme="minorHAnsi"/>
          <w:sz w:val="24"/>
          <w:szCs w:val="24"/>
        </w:rPr>
        <w:t xml:space="preserve">zaopatrujący </w:t>
      </w:r>
      <w:r w:rsidR="00FD3723" w:rsidRPr="000437EA">
        <w:rPr>
          <w:rFonts w:cstheme="minorHAnsi"/>
          <w:sz w:val="24"/>
          <w:szCs w:val="24"/>
        </w:rPr>
        <w:t>1</w:t>
      </w:r>
      <w:r>
        <w:rPr>
          <w:rFonts w:cstheme="minorHAnsi"/>
          <w:sz w:val="24"/>
          <w:szCs w:val="24"/>
        </w:rPr>
        <w:t xml:space="preserve"> 170</w:t>
      </w:r>
      <w:r w:rsidRPr="00A42CB9">
        <w:rPr>
          <w:rFonts w:cstheme="minorHAnsi"/>
          <w:color w:val="000000" w:themeColor="text1"/>
          <w:sz w:val="24"/>
          <w:szCs w:val="24"/>
        </w:rPr>
        <w:t xml:space="preserve"> </w:t>
      </w:r>
      <w:r>
        <w:rPr>
          <w:rFonts w:cstheme="minorHAnsi"/>
          <w:color w:val="000000" w:themeColor="text1"/>
          <w:sz w:val="24"/>
          <w:szCs w:val="24"/>
        </w:rPr>
        <w:t xml:space="preserve">mieszkańców </w:t>
      </w:r>
      <w:r w:rsidRPr="0052029B">
        <w:rPr>
          <w:rFonts w:eastAsia="TimesNewRomanPSMT" w:cstheme="minorHAnsi"/>
          <w:sz w:val="24"/>
          <w:szCs w:val="24"/>
        </w:rPr>
        <w:t>miejscowości</w:t>
      </w:r>
      <w:r>
        <w:rPr>
          <w:rFonts w:eastAsia="TimesNewRomanPSMT" w:cstheme="minorHAnsi"/>
          <w:sz w:val="24"/>
          <w:szCs w:val="24"/>
        </w:rPr>
        <w:t xml:space="preserve"> Żabów.</w:t>
      </w:r>
    </w:p>
    <w:p w14:paraId="76A13036" w14:textId="77777777" w:rsidR="00DD3EBB" w:rsidRDefault="00DD3EBB" w:rsidP="00597239">
      <w:pPr>
        <w:spacing w:after="0" w:line="276" w:lineRule="auto"/>
        <w:rPr>
          <w:rFonts w:cstheme="minorHAnsi"/>
          <w:color w:val="000000" w:themeColor="text1"/>
          <w:sz w:val="24"/>
          <w:szCs w:val="24"/>
        </w:rPr>
      </w:pPr>
    </w:p>
    <w:p w14:paraId="1341C5B1" w14:textId="206FA888" w:rsidR="00394C62" w:rsidRPr="007E5BC2" w:rsidRDefault="00394C62" w:rsidP="00597239">
      <w:pPr>
        <w:spacing w:after="0" w:line="276" w:lineRule="auto"/>
        <w:rPr>
          <w:rFonts w:cstheme="minorHAnsi"/>
          <w:color w:val="000000" w:themeColor="text1"/>
          <w:sz w:val="24"/>
          <w:szCs w:val="24"/>
        </w:rPr>
      </w:pPr>
      <w:r w:rsidRPr="007E5BC2">
        <w:rPr>
          <w:rFonts w:cstheme="minorHAnsi"/>
          <w:color w:val="000000" w:themeColor="text1"/>
          <w:sz w:val="24"/>
          <w:szCs w:val="24"/>
        </w:rPr>
        <w:t>Państwowi powiatowi inspektorzy sanitarni wydając zgodę na odstępstwo każdorazowo określali jednocześnie:</w:t>
      </w:r>
    </w:p>
    <w:p w14:paraId="5D49E18E" w14:textId="77777777" w:rsidR="00394C62" w:rsidRDefault="00394C62" w:rsidP="00597239">
      <w:pPr>
        <w:pStyle w:val="Akapitzlist"/>
        <w:numPr>
          <w:ilvl w:val="0"/>
          <w:numId w:val="62"/>
        </w:numPr>
        <w:suppressAutoHyphens/>
        <w:spacing w:after="0" w:line="276" w:lineRule="auto"/>
        <w:rPr>
          <w:rFonts w:cstheme="minorHAnsi"/>
          <w:color w:val="000000" w:themeColor="text1"/>
          <w:sz w:val="24"/>
          <w:szCs w:val="24"/>
        </w:rPr>
      </w:pPr>
      <w:r>
        <w:rPr>
          <w:rFonts w:cstheme="minorHAnsi"/>
          <w:color w:val="000000" w:themeColor="text1"/>
          <w:sz w:val="24"/>
          <w:szCs w:val="24"/>
        </w:rPr>
        <w:t>maksymalną wartość parametru, na jaką pozwala odstępstwo;</w:t>
      </w:r>
    </w:p>
    <w:p w14:paraId="765EDEA6" w14:textId="77777777" w:rsidR="00394C62" w:rsidRDefault="00394C62" w:rsidP="00597239">
      <w:pPr>
        <w:pStyle w:val="Akapitzlist"/>
        <w:numPr>
          <w:ilvl w:val="0"/>
          <w:numId w:val="62"/>
        </w:numPr>
        <w:suppressAutoHyphens/>
        <w:spacing w:after="0" w:line="276" w:lineRule="auto"/>
        <w:rPr>
          <w:rFonts w:cstheme="minorHAnsi"/>
          <w:color w:val="000000" w:themeColor="text1"/>
          <w:sz w:val="24"/>
          <w:szCs w:val="24"/>
        </w:rPr>
      </w:pPr>
      <w:r>
        <w:rPr>
          <w:rFonts w:cstheme="minorHAnsi"/>
          <w:color w:val="000000" w:themeColor="text1"/>
          <w:sz w:val="24"/>
          <w:szCs w:val="24"/>
        </w:rPr>
        <w:t>termin obowiązywania zgody;</w:t>
      </w:r>
    </w:p>
    <w:p w14:paraId="2FADE734" w14:textId="43FCD7AC" w:rsidR="00394C62" w:rsidRPr="000C214C" w:rsidRDefault="00394C62" w:rsidP="00597239">
      <w:pPr>
        <w:pStyle w:val="Akapitzlist"/>
        <w:numPr>
          <w:ilvl w:val="0"/>
          <w:numId w:val="62"/>
        </w:numPr>
        <w:suppressAutoHyphens/>
        <w:spacing w:after="0" w:line="276" w:lineRule="auto"/>
        <w:rPr>
          <w:rFonts w:cstheme="minorHAnsi"/>
          <w:color w:val="000000" w:themeColor="text1"/>
          <w:sz w:val="24"/>
          <w:szCs w:val="24"/>
        </w:rPr>
      </w:pPr>
      <w:r>
        <w:rPr>
          <w:rFonts w:cstheme="minorHAnsi"/>
          <w:color w:val="000000" w:themeColor="text1"/>
          <w:sz w:val="24"/>
          <w:szCs w:val="24"/>
        </w:rPr>
        <w:lastRenderedPageBreak/>
        <w:t>warunki, jakie mają być spełnione w trakcie obowiązywania zgody na odstępstwo, z</w:t>
      </w:r>
      <w:r w:rsidR="00B37BC5">
        <w:rPr>
          <w:rFonts w:cstheme="minorHAnsi"/>
          <w:color w:val="000000" w:themeColor="text1"/>
          <w:sz w:val="24"/>
          <w:szCs w:val="24"/>
        </w:rPr>
        <w:t> </w:t>
      </w:r>
      <w:r>
        <w:rPr>
          <w:rFonts w:cstheme="minorHAnsi"/>
          <w:color w:val="000000" w:themeColor="text1"/>
          <w:sz w:val="24"/>
          <w:szCs w:val="24"/>
        </w:rPr>
        <w:t>uwzględnieniem bezpieczeństwa zdrowotnego konsumentów.</w:t>
      </w:r>
    </w:p>
    <w:p w14:paraId="2D8EB0AF" w14:textId="2EEED385" w:rsidR="00394C62" w:rsidRDefault="00394C62" w:rsidP="00597239">
      <w:pPr>
        <w:autoSpaceDE w:val="0"/>
        <w:autoSpaceDN w:val="0"/>
        <w:adjustRightInd w:val="0"/>
        <w:spacing w:after="0" w:line="276" w:lineRule="auto"/>
        <w:rPr>
          <w:rFonts w:eastAsia="TimesNewRomanPSMT" w:cstheme="minorHAnsi"/>
          <w:sz w:val="24"/>
          <w:szCs w:val="24"/>
        </w:rPr>
      </w:pPr>
      <w:r w:rsidRPr="0052029B">
        <w:rPr>
          <w:rFonts w:cstheme="minorHAnsi"/>
          <w:sz w:val="24"/>
          <w:szCs w:val="24"/>
        </w:rPr>
        <w:t xml:space="preserve">W </w:t>
      </w:r>
      <w:r>
        <w:rPr>
          <w:rFonts w:cstheme="minorHAnsi"/>
          <w:sz w:val="24"/>
          <w:szCs w:val="24"/>
        </w:rPr>
        <w:t>wrześniu 2024</w:t>
      </w:r>
      <w:r w:rsidRPr="0052029B">
        <w:rPr>
          <w:rFonts w:cstheme="minorHAnsi"/>
          <w:sz w:val="24"/>
          <w:szCs w:val="24"/>
        </w:rPr>
        <w:t xml:space="preserve"> r</w:t>
      </w:r>
      <w:r>
        <w:rPr>
          <w:rFonts w:cstheme="minorHAnsi"/>
          <w:sz w:val="24"/>
          <w:szCs w:val="24"/>
        </w:rPr>
        <w:t>oku</w:t>
      </w:r>
      <w:r w:rsidRPr="0052029B">
        <w:rPr>
          <w:rFonts w:cstheme="minorHAnsi"/>
          <w:sz w:val="24"/>
          <w:szCs w:val="24"/>
        </w:rPr>
        <w:t xml:space="preserve"> wygaszeniu uległo odstępstwo w zakresie azotanów</w:t>
      </w:r>
      <w:r>
        <w:rPr>
          <w:rFonts w:cstheme="minorHAnsi"/>
          <w:sz w:val="24"/>
          <w:szCs w:val="24"/>
        </w:rPr>
        <w:t>,</w:t>
      </w:r>
      <w:r w:rsidRPr="0052029B">
        <w:rPr>
          <w:rFonts w:cstheme="minorHAnsi"/>
          <w:sz w:val="24"/>
          <w:szCs w:val="24"/>
        </w:rPr>
        <w:t xml:space="preserve"> z uwagi na</w:t>
      </w:r>
      <w:r w:rsidR="00B37BC5">
        <w:rPr>
          <w:rFonts w:cstheme="minorHAnsi"/>
          <w:sz w:val="24"/>
          <w:szCs w:val="24"/>
        </w:rPr>
        <w:t> </w:t>
      </w:r>
      <w:r w:rsidRPr="0052029B">
        <w:rPr>
          <w:rFonts w:cstheme="minorHAnsi"/>
          <w:sz w:val="24"/>
          <w:szCs w:val="24"/>
        </w:rPr>
        <w:t xml:space="preserve">wyłączenie SUW w Dąbrowie Białogardzkiej oraz realizację </w:t>
      </w:r>
      <w:r w:rsidRPr="0052029B">
        <w:rPr>
          <w:rFonts w:eastAsia="TimesNewRomanPSMT" w:cstheme="minorHAnsi"/>
          <w:sz w:val="24"/>
          <w:szCs w:val="24"/>
        </w:rPr>
        <w:t xml:space="preserve">zaopatrzenia miejscowości: Dąbrowa Białogardzka, Dąbrowa Białogardzka Kolonia, Role, Modrzewiec, Nielep, Kłodzino, Dołganów </w:t>
      </w:r>
      <w:r w:rsidRPr="0052029B">
        <w:rPr>
          <w:rFonts w:cstheme="minorHAnsi"/>
          <w:sz w:val="24"/>
          <w:szCs w:val="24"/>
        </w:rPr>
        <w:t xml:space="preserve">przez SUW w Rąbinie, z którego woda spełnia wymagania Rozporządzenia </w:t>
      </w:r>
      <w:r w:rsidRPr="0052029B">
        <w:rPr>
          <w:rFonts w:eastAsia="TimesNewRomanPSMT" w:cstheme="minorHAnsi"/>
          <w:sz w:val="24"/>
          <w:szCs w:val="24"/>
        </w:rPr>
        <w:t>Ministra Zdrowia z dnia 7 grudnia 2017 r</w:t>
      </w:r>
      <w:r w:rsidRPr="00E1236C">
        <w:rPr>
          <w:rFonts w:eastAsia="TimesNewRomanPSMT" w:cstheme="minorHAnsi"/>
          <w:sz w:val="24"/>
          <w:szCs w:val="24"/>
        </w:rPr>
        <w:t>. w sprawie jakości wody przeznaczonej do spożycia przez ludzi</w:t>
      </w:r>
      <w:r w:rsidRPr="0052029B">
        <w:rPr>
          <w:rFonts w:eastAsia="TimesNewRomanPSMT" w:cstheme="minorHAnsi"/>
          <w:sz w:val="24"/>
          <w:szCs w:val="24"/>
        </w:rPr>
        <w:t xml:space="preserve"> (Dz. U. z 2017 r., poz. 2294).</w:t>
      </w:r>
    </w:p>
    <w:p w14:paraId="3E1D637A" w14:textId="77777777" w:rsidR="00DD3EBB" w:rsidRPr="002A6551" w:rsidRDefault="00DD3EBB" w:rsidP="00597239">
      <w:pPr>
        <w:autoSpaceDE w:val="0"/>
        <w:autoSpaceDN w:val="0"/>
        <w:adjustRightInd w:val="0"/>
        <w:spacing w:after="0" w:line="276" w:lineRule="auto"/>
        <w:rPr>
          <w:rFonts w:eastAsia="TimesNewRomanPSMT" w:cstheme="minorHAnsi"/>
          <w:iCs/>
          <w:sz w:val="24"/>
          <w:szCs w:val="24"/>
        </w:rPr>
      </w:pPr>
    </w:p>
    <w:p w14:paraId="324F68B9" w14:textId="64919A66" w:rsidR="00394C62" w:rsidRPr="000C214C" w:rsidRDefault="00394C62" w:rsidP="00597239">
      <w:pPr>
        <w:pStyle w:val="Nagwek3"/>
        <w:numPr>
          <w:ilvl w:val="1"/>
          <w:numId w:val="64"/>
        </w:numPr>
        <w:spacing w:before="0" w:after="0"/>
        <w:ind w:left="568" w:hanging="284"/>
      </w:pPr>
      <w:bookmarkStart w:id="287" w:name="_Toc194059826"/>
      <w:r w:rsidRPr="00CC5CE7">
        <w:t>Substancje promieniotwórcze w wodzie przeznaczonej do spożycia</w:t>
      </w:r>
      <w:bookmarkEnd w:id="287"/>
      <w:r w:rsidRPr="00CC5CE7">
        <w:t xml:space="preserve"> </w:t>
      </w:r>
    </w:p>
    <w:p w14:paraId="2B715906" w14:textId="77777777" w:rsidR="00394C62" w:rsidRPr="00CC5CE7" w:rsidRDefault="00394C62" w:rsidP="00597239">
      <w:pPr>
        <w:spacing w:after="0" w:line="276" w:lineRule="auto"/>
        <w:rPr>
          <w:rFonts w:cstheme="minorHAnsi"/>
          <w:color w:val="000000" w:themeColor="text1"/>
          <w:sz w:val="24"/>
          <w:szCs w:val="24"/>
        </w:rPr>
      </w:pPr>
      <w:r w:rsidRPr="00CC5CE7">
        <w:rPr>
          <w:rFonts w:cstheme="minorHAnsi"/>
          <w:color w:val="000000" w:themeColor="text1"/>
          <w:sz w:val="24"/>
          <w:szCs w:val="24"/>
        </w:rPr>
        <w:t xml:space="preserve">W rozporządzeniu Ministra Zdrowia z dnia 7 grudnia 2017 r. </w:t>
      </w:r>
      <w:r w:rsidRPr="00E1236C">
        <w:rPr>
          <w:rFonts w:cstheme="minorHAnsi"/>
          <w:iCs/>
          <w:color w:val="000000" w:themeColor="text1"/>
          <w:sz w:val="24"/>
          <w:szCs w:val="24"/>
        </w:rPr>
        <w:t>w sprawie jakości wody przeznaczonej do spożycia przez ludzi</w:t>
      </w:r>
      <w:r w:rsidRPr="00CC5CE7">
        <w:rPr>
          <w:rFonts w:cstheme="minorHAnsi"/>
          <w:color w:val="000000" w:themeColor="text1"/>
          <w:sz w:val="24"/>
          <w:szCs w:val="24"/>
        </w:rPr>
        <w:t xml:space="preserve"> przewidziano realizację wstępnego monitoringu substancji promieniotwórczych oraz kontrolnego monitoringu substancji promieniotwórczych. </w:t>
      </w:r>
    </w:p>
    <w:p w14:paraId="4FDE981D" w14:textId="77777777" w:rsidR="00DD3EBB" w:rsidRDefault="00DD3EBB" w:rsidP="00597239">
      <w:pPr>
        <w:spacing w:after="0" w:line="276" w:lineRule="auto"/>
        <w:rPr>
          <w:rFonts w:cstheme="minorHAnsi"/>
          <w:color w:val="000000" w:themeColor="text1"/>
          <w:sz w:val="24"/>
          <w:szCs w:val="24"/>
        </w:rPr>
      </w:pPr>
    </w:p>
    <w:p w14:paraId="2A93BA40" w14:textId="611DD0C2" w:rsidR="00394C62" w:rsidRDefault="00394C62" w:rsidP="00597239">
      <w:pPr>
        <w:spacing w:after="0" w:line="276" w:lineRule="auto"/>
        <w:rPr>
          <w:rFonts w:cstheme="minorHAnsi"/>
          <w:color w:val="000000" w:themeColor="text1"/>
          <w:sz w:val="24"/>
          <w:szCs w:val="24"/>
        </w:rPr>
      </w:pPr>
      <w:r w:rsidRPr="00CC5CE7">
        <w:rPr>
          <w:rFonts w:cstheme="minorHAnsi"/>
          <w:color w:val="000000" w:themeColor="text1"/>
          <w:sz w:val="24"/>
          <w:szCs w:val="24"/>
        </w:rPr>
        <w:t xml:space="preserve">Wyniki </w:t>
      </w:r>
      <w:r>
        <w:rPr>
          <w:rFonts w:cstheme="minorHAnsi"/>
          <w:color w:val="000000" w:themeColor="text1"/>
          <w:sz w:val="24"/>
          <w:szCs w:val="24"/>
        </w:rPr>
        <w:t>badań</w:t>
      </w:r>
      <w:r w:rsidRPr="00CC5CE7">
        <w:rPr>
          <w:rFonts w:cstheme="minorHAnsi"/>
          <w:color w:val="000000" w:themeColor="text1"/>
          <w:sz w:val="24"/>
          <w:szCs w:val="24"/>
        </w:rPr>
        <w:t xml:space="preserve"> wykazały, iż na terenie województwa zachodniopomorskiego występuje znikome ryzyko dla zdrowia ludzkiego</w:t>
      </w:r>
      <w:r>
        <w:rPr>
          <w:rFonts w:cstheme="minorHAnsi"/>
          <w:color w:val="000000" w:themeColor="text1"/>
          <w:sz w:val="24"/>
          <w:szCs w:val="24"/>
        </w:rPr>
        <w:t>,</w:t>
      </w:r>
      <w:r w:rsidRPr="00CC5CE7">
        <w:rPr>
          <w:rFonts w:cstheme="minorHAnsi"/>
          <w:color w:val="000000" w:themeColor="text1"/>
          <w:sz w:val="24"/>
          <w:szCs w:val="24"/>
        </w:rPr>
        <w:t xml:space="preserve"> w związku z narażeniem na substancje promieniotwórcze pochodzące z wody przeznaczonej do spożycia przez ludzi.</w:t>
      </w:r>
    </w:p>
    <w:p w14:paraId="67111D27" w14:textId="77777777" w:rsidR="00DD3EBB" w:rsidRPr="000C214C" w:rsidRDefault="00DD3EBB" w:rsidP="00597239">
      <w:pPr>
        <w:spacing w:after="0" w:line="276" w:lineRule="auto"/>
        <w:rPr>
          <w:rFonts w:cstheme="minorHAnsi"/>
          <w:color w:val="000000" w:themeColor="text1"/>
          <w:sz w:val="24"/>
          <w:szCs w:val="24"/>
        </w:rPr>
      </w:pPr>
    </w:p>
    <w:p w14:paraId="080AC089" w14:textId="2F34F576" w:rsidR="00394C62" w:rsidRPr="00CC5CE7" w:rsidRDefault="00394C62" w:rsidP="00597239">
      <w:pPr>
        <w:pStyle w:val="Nagwek2"/>
        <w:numPr>
          <w:ilvl w:val="0"/>
          <w:numId w:val="64"/>
        </w:numPr>
        <w:spacing w:before="0" w:after="0"/>
        <w:ind w:left="284" w:hanging="284"/>
        <w:jc w:val="left"/>
      </w:pPr>
      <w:bookmarkStart w:id="288" w:name="_Toc194059827"/>
      <w:r w:rsidRPr="00CC5CE7">
        <w:t>Ocena jakości wody przeznaczonej do spożycia</w:t>
      </w:r>
      <w:bookmarkEnd w:id="288"/>
    </w:p>
    <w:p w14:paraId="1F8900A5" w14:textId="1F8B55AC" w:rsidR="00394C62" w:rsidRPr="00BC4BDA" w:rsidRDefault="00394C62" w:rsidP="00597239">
      <w:pPr>
        <w:spacing w:after="0" w:line="276" w:lineRule="auto"/>
        <w:rPr>
          <w:rFonts w:cstheme="minorHAnsi"/>
          <w:color w:val="000000" w:themeColor="text1"/>
          <w:sz w:val="24"/>
          <w:szCs w:val="24"/>
          <w:lang w:eastAsia="pl-PL"/>
        </w:rPr>
      </w:pPr>
      <w:r w:rsidRPr="00CC5CE7">
        <w:rPr>
          <w:rFonts w:cstheme="minorHAnsi"/>
          <w:color w:val="000000" w:themeColor="text1"/>
          <w:sz w:val="24"/>
          <w:szCs w:val="24"/>
          <w:lang w:eastAsia="pl-PL"/>
        </w:rPr>
        <w:t xml:space="preserve">W 2024 roku podobnie jak w </w:t>
      </w:r>
      <w:r w:rsidRPr="008C284F">
        <w:rPr>
          <w:rFonts w:cstheme="minorHAnsi"/>
          <w:color w:val="000000" w:themeColor="text1"/>
          <w:sz w:val="24"/>
          <w:szCs w:val="24"/>
          <w:lang w:eastAsia="pl-PL"/>
        </w:rPr>
        <w:t>latach ubiegłych nie stwierdzono</w:t>
      </w:r>
      <w:r w:rsidRPr="00CC5CE7">
        <w:rPr>
          <w:rFonts w:cstheme="minorHAnsi"/>
          <w:color w:val="000000" w:themeColor="text1"/>
          <w:sz w:val="24"/>
          <w:szCs w:val="24"/>
          <w:lang w:eastAsia="pl-PL"/>
        </w:rPr>
        <w:t xml:space="preserve"> chorób i zatruć związanych ze</w:t>
      </w:r>
      <w:r w:rsidR="004D53EF">
        <w:rPr>
          <w:rFonts w:cstheme="minorHAnsi"/>
          <w:color w:val="000000" w:themeColor="text1"/>
          <w:sz w:val="24"/>
          <w:szCs w:val="24"/>
          <w:lang w:eastAsia="pl-PL"/>
        </w:rPr>
        <w:t> </w:t>
      </w:r>
      <w:r w:rsidRPr="00CC5CE7">
        <w:rPr>
          <w:rFonts w:cstheme="minorHAnsi"/>
          <w:color w:val="000000" w:themeColor="text1"/>
          <w:sz w:val="24"/>
          <w:szCs w:val="24"/>
          <w:lang w:eastAsia="pl-PL"/>
        </w:rPr>
        <w:t xml:space="preserve">spożyciem wody. </w:t>
      </w:r>
      <w:r w:rsidRPr="00CC5CE7">
        <w:rPr>
          <w:rFonts w:cstheme="minorHAnsi"/>
          <w:color w:val="000000" w:themeColor="text1"/>
          <w:sz w:val="24"/>
          <w:szCs w:val="24"/>
        </w:rPr>
        <w:t>W woj. zachodniopomorskim wodociągi zbiorowego zaopatrzenia o</w:t>
      </w:r>
      <w:r w:rsidR="00B37BC5">
        <w:rPr>
          <w:rFonts w:cstheme="minorHAnsi"/>
          <w:color w:val="000000" w:themeColor="text1"/>
          <w:sz w:val="24"/>
          <w:szCs w:val="24"/>
        </w:rPr>
        <w:t> </w:t>
      </w:r>
      <w:r w:rsidRPr="00CC5CE7">
        <w:rPr>
          <w:rFonts w:cstheme="minorHAnsi"/>
          <w:color w:val="000000" w:themeColor="text1"/>
          <w:sz w:val="24"/>
          <w:szCs w:val="24"/>
        </w:rPr>
        <w:t>największej produkcji wody</w:t>
      </w:r>
      <w:r>
        <w:rPr>
          <w:rFonts w:cstheme="minorHAnsi"/>
          <w:color w:val="000000" w:themeColor="text1"/>
          <w:sz w:val="24"/>
          <w:szCs w:val="24"/>
        </w:rPr>
        <w:t>,</w:t>
      </w:r>
      <w:r w:rsidRPr="00CC5CE7">
        <w:rPr>
          <w:rFonts w:cstheme="minorHAnsi"/>
          <w:color w:val="000000" w:themeColor="text1"/>
          <w:sz w:val="24"/>
          <w:szCs w:val="24"/>
        </w:rPr>
        <w:t xml:space="preserve"> tj. powyżej 10 000 m</w:t>
      </w:r>
      <w:r w:rsidRPr="00CC5CE7">
        <w:rPr>
          <w:rFonts w:cstheme="minorHAnsi"/>
          <w:color w:val="000000" w:themeColor="text1"/>
          <w:sz w:val="24"/>
          <w:szCs w:val="24"/>
          <w:vertAlign w:val="superscript"/>
        </w:rPr>
        <w:t>3</w:t>
      </w:r>
      <w:r w:rsidRPr="00CC5CE7">
        <w:rPr>
          <w:rFonts w:cstheme="minorHAnsi"/>
          <w:color w:val="000000" w:themeColor="text1"/>
          <w:sz w:val="24"/>
          <w:szCs w:val="24"/>
        </w:rPr>
        <w:t xml:space="preserve">/d dostarczające wodę, której jakość najrzadziej podlega kwestionowaniu </w:t>
      </w:r>
      <w:r w:rsidR="00FD3723" w:rsidRPr="00CC5CE7">
        <w:rPr>
          <w:rFonts w:cstheme="minorHAnsi"/>
          <w:color w:val="000000" w:themeColor="text1"/>
          <w:sz w:val="24"/>
          <w:szCs w:val="24"/>
        </w:rPr>
        <w:t xml:space="preserve">zaopatrują </w:t>
      </w:r>
      <w:r w:rsidR="00FD3723">
        <w:rPr>
          <w:rFonts w:cstheme="minorHAnsi"/>
          <w:color w:val="000000" w:themeColor="text1"/>
          <w:sz w:val="24"/>
          <w:szCs w:val="24"/>
        </w:rPr>
        <w:t>ok.</w:t>
      </w:r>
      <w:r w:rsidRPr="00CC5CE7">
        <w:rPr>
          <w:rFonts w:cstheme="minorHAnsi"/>
          <w:color w:val="000000" w:themeColor="text1"/>
          <w:sz w:val="24"/>
          <w:szCs w:val="24"/>
        </w:rPr>
        <w:t xml:space="preserve"> </w:t>
      </w:r>
      <w:r w:rsidR="00FD3723" w:rsidRPr="00CC5CE7">
        <w:rPr>
          <w:rFonts w:cstheme="minorHAnsi"/>
          <w:color w:val="000000" w:themeColor="text1"/>
          <w:sz w:val="24"/>
          <w:szCs w:val="24"/>
        </w:rPr>
        <w:t>32 %</w:t>
      </w:r>
      <w:r w:rsidRPr="00CC5CE7">
        <w:rPr>
          <w:rFonts w:cstheme="minorHAnsi"/>
          <w:color w:val="000000" w:themeColor="text1"/>
          <w:sz w:val="24"/>
          <w:szCs w:val="24"/>
        </w:rPr>
        <w:t xml:space="preserve"> mieszkańców. Natomiast wodociągi o małej produkcji </w:t>
      </w:r>
      <w:r w:rsidRPr="00BC4BDA">
        <w:rPr>
          <w:rFonts w:cstheme="minorHAnsi"/>
          <w:color w:val="000000" w:themeColor="text1"/>
          <w:sz w:val="24"/>
          <w:szCs w:val="24"/>
        </w:rPr>
        <w:t>dobowej ≤ 100 m</w:t>
      </w:r>
      <w:r w:rsidRPr="00BC4BDA">
        <w:rPr>
          <w:rFonts w:cstheme="minorHAnsi"/>
          <w:color w:val="000000" w:themeColor="text1"/>
          <w:sz w:val="24"/>
          <w:szCs w:val="24"/>
          <w:vertAlign w:val="superscript"/>
        </w:rPr>
        <w:t>3</w:t>
      </w:r>
      <w:r w:rsidRPr="00BC4BDA">
        <w:rPr>
          <w:rFonts w:cstheme="minorHAnsi"/>
          <w:color w:val="000000" w:themeColor="text1"/>
          <w:sz w:val="24"/>
          <w:szCs w:val="24"/>
        </w:rPr>
        <w:t>/d, w których najczęściej występowały niestabilne parametry fizykochemiczne i mikrobiologiczne zaopatrują ok. 11 % mieszkańców.</w:t>
      </w:r>
      <w:r w:rsidRPr="00BC4BDA">
        <w:rPr>
          <w:rFonts w:cstheme="minorHAnsi"/>
          <w:noProof/>
          <w:color w:val="00B0F0"/>
        </w:rPr>
        <mc:AlternateContent>
          <mc:Choice Requires="wps">
            <w:drawing>
              <wp:anchor distT="0" distB="0" distL="114935" distR="114935" simplePos="0" relativeHeight="251679744" behindDoc="0" locked="0" layoutInCell="1" allowOverlap="1" wp14:anchorId="5181EA86" wp14:editId="6A681575">
                <wp:simplePos x="0" y="0"/>
                <wp:positionH relativeFrom="column">
                  <wp:posOffset>5320665</wp:posOffset>
                </wp:positionH>
                <wp:positionV relativeFrom="paragraph">
                  <wp:posOffset>1844040</wp:posOffset>
                </wp:positionV>
                <wp:extent cx="144145" cy="226060"/>
                <wp:effectExtent l="635" t="4445" r="7620" b="7620"/>
                <wp:wrapNone/>
                <wp:docPr id="745550820"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2260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EDD5A" w14:textId="77777777" w:rsidR="00394C62" w:rsidRDefault="00394C62" w:rsidP="00394C62">
                            <w:pPr>
                              <w:jc w:val="both"/>
                              <w:rPr>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1EA86" id="Text Box 4" o:spid="_x0000_s1029" type="#_x0000_t202" alt="&quot;&quot;" style="position:absolute;margin-left:418.95pt;margin-top:145.2pt;width:11.35pt;height:17.8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" stroked="f">
                <v:fill opacity="0"/>
                <v:textbox inset="0,0,0,0">
                  <w:txbxContent>
                    <w:p w14:paraId="536EDD5A" w14:textId="77777777" w:rsidR="00394C62" w:rsidRDefault="00394C62" w:rsidP="00394C62">
                      <w:pPr>
                        <w:jc w:val="both"/>
                        <w:rPr>
                          <w:b/>
                          <w:sz w:val="18"/>
                          <w:szCs w:val="18"/>
                        </w:rPr>
                      </w:pPr>
                    </w:p>
                  </w:txbxContent>
                </v:textbox>
              </v:shape>
            </w:pict>
          </mc:Fallback>
        </mc:AlternateContent>
      </w:r>
      <w:r w:rsidRPr="00BC4BDA">
        <w:rPr>
          <w:rFonts w:cstheme="minorHAnsi"/>
          <w:color w:val="000000" w:themeColor="text1"/>
          <w:sz w:val="24"/>
          <w:szCs w:val="24"/>
          <w:lang w:eastAsia="pl-PL"/>
        </w:rPr>
        <w:t xml:space="preserve"> </w:t>
      </w:r>
    </w:p>
    <w:p w14:paraId="3EB481CD" w14:textId="77777777" w:rsidR="00DD3EBB" w:rsidRDefault="00DD3EBB" w:rsidP="00597239">
      <w:pPr>
        <w:spacing w:after="0" w:line="276" w:lineRule="auto"/>
        <w:rPr>
          <w:rFonts w:cstheme="minorHAnsi"/>
          <w:color w:val="000000" w:themeColor="text1"/>
          <w:sz w:val="24"/>
          <w:szCs w:val="24"/>
        </w:rPr>
      </w:pPr>
    </w:p>
    <w:p w14:paraId="65EA769F" w14:textId="3BBEBDFD" w:rsidR="00394C62" w:rsidRPr="00BC4BDA" w:rsidRDefault="00394C62" w:rsidP="00597239">
      <w:pPr>
        <w:spacing w:after="0" w:line="276" w:lineRule="auto"/>
        <w:rPr>
          <w:rFonts w:cstheme="minorHAnsi"/>
          <w:color w:val="000000" w:themeColor="text1"/>
          <w:sz w:val="24"/>
          <w:szCs w:val="24"/>
          <w:lang w:eastAsia="pl-PL"/>
        </w:rPr>
      </w:pPr>
      <w:r w:rsidRPr="00BC4BDA">
        <w:rPr>
          <w:rFonts w:cstheme="minorHAnsi"/>
          <w:color w:val="000000" w:themeColor="text1"/>
          <w:sz w:val="24"/>
          <w:szCs w:val="24"/>
        </w:rPr>
        <w:t>Wodę o potwierdzonej tymczasowej niestabilnej jakości dostarczał</w:t>
      </w:r>
      <w:r>
        <w:rPr>
          <w:rFonts w:cstheme="minorHAnsi"/>
          <w:color w:val="000000" w:themeColor="text1"/>
          <w:sz w:val="24"/>
          <w:szCs w:val="24"/>
        </w:rPr>
        <w:t>y</w:t>
      </w:r>
      <w:r w:rsidRPr="00BC4BDA">
        <w:rPr>
          <w:rFonts w:cstheme="minorHAnsi"/>
          <w:color w:val="000000" w:themeColor="text1"/>
          <w:sz w:val="24"/>
          <w:szCs w:val="24"/>
        </w:rPr>
        <w:t xml:space="preserve"> łącznie 93 wodociąg</w:t>
      </w:r>
      <w:r>
        <w:rPr>
          <w:rFonts w:cstheme="minorHAnsi"/>
          <w:color w:val="000000" w:themeColor="text1"/>
          <w:sz w:val="24"/>
          <w:szCs w:val="24"/>
        </w:rPr>
        <w:t>i</w:t>
      </w:r>
      <w:r w:rsidRPr="00BC4BDA">
        <w:rPr>
          <w:rFonts w:cstheme="minorHAnsi"/>
          <w:color w:val="000000" w:themeColor="text1"/>
          <w:sz w:val="24"/>
          <w:szCs w:val="24"/>
        </w:rPr>
        <w:t>, co</w:t>
      </w:r>
      <w:r w:rsidR="00B37BC5">
        <w:rPr>
          <w:rFonts w:cstheme="minorHAnsi"/>
          <w:color w:val="000000" w:themeColor="text1"/>
          <w:sz w:val="24"/>
          <w:szCs w:val="24"/>
        </w:rPr>
        <w:t> </w:t>
      </w:r>
      <w:r w:rsidRPr="00BC4BDA">
        <w:rPr>
          <w:rFonts w:cstheme="minorHAnsi"/>
          <w:color w:val="000000" w:themeColor="text1"/>
          <w:sz w:val="24"/>
          <w:szCs w:val="24"/>
        </w:rPr>
        <w:t>stanowi ok. 9 % ogólnej liczby wodociągów</w:t>
      </w:r>
      <w:r>
        <w:rPr>
          <w:rFonts w:cstheme="minorHAnsi"/>
          <w:color w:val="000000" w:themeColor="text1"/>
          <w:sz w:val="24"/>
          <w:szCs w:val="24"/>
        </w:rPr>
        <w:t xml:space="preserve">, w tym </w:t>
      </w:r>
      <w:r w:rsidRPr="00223F5F">
        <w:rPr>
          <w:rFonts w:cstheme="minorHAnsi"/>
          <w:color w:val="000000" w:themeColor="text1"/>
          <w:sz w:val="24"/>
          <w:szCs w:val="24"/>
        </w:rPr>
        <w:t>innych podmiotów wykorzystujących wodę z indywidualnych ujęć</w:t>
      </w:r>
      <w:r w:rsidRPr="00BC4BDA">
        <w:rPr>
          <w:rFonts w:cstheme="minorHAnsi"/>
          <w:color w:val="000000" w:themeColor="text1"/>
          <w:sz w:val="24"/>
          <w:szCs w:val="24"/>
        </w:rPr>
        <w:t>.</w:t>
      </w:r>
      <w:r w:rsidRPr="00BC4BDA">
        <w:rPr>
          <w:rFonts w:cstheme="minorHAnsi"/>
          <w:color w:val="000000" w:themeColor="text1"/>
          <w:sz w:val="24"/>
          <w:szCs w:val="24"/>
          <w:lang w:eastAsia="pl-PL"/>
        </w:rPr>
        <w:t xml:space="preserve"> </w:t>
      </w:r>
    </w:p>
    <w:p w14:paraId="72C66AE8" w14:textId="77777777" w:rsidR="00DD3EBB" w:rsidRDefault="00DD3EBB" w:rsidP="00597239">
      <w:pPr>
        <w:spacing w:after="0" w:line="276" w:lineRule="auto"/>
        <w:rPr>
          <w:rFonts w:ascii="Calibri" w:hAnsi="Calibri" w:cs="Calibri"/>
          <w:sz w:val="24"/>
          <w:szCs w:val="24"/>
        </w:rPr>
      </w:pPr>
    </w:p>
    <w:p w14:paraId="6ED5A7A9" w14:textId="297E711F" w:rsidR="00394C62" w:rsidRDefault="00394C62" w:rsidP="00597239">
      <w:pPr>
        <w:spacing w:after="0" w:line="276" w:lineRule="auto"/>
        <w:rPr>
          <w:rFonts w:ascii="Calibri" w:hAnsi="Calibri" w:cs="Calibri"/>
          <w:sz w:val="24"/>
          <w:szCs w:val="24"/>
        </w:rPr>
      </w:pPr>
      <w:r w:rsidRPr="00CE5F45">
        <w:rPr>
          <w:rFonts w:ascii="Calibri" w:hAnsi="Calibri" w:cs="Calibri"/>
          <w:sz w:val="24"/>
          <w:szCs w:val="24"/>
        </w:rPr>
        <w:t>Najczęściej kwestionowane w wodzie parametry to: żelazo, mangan, jon amonowy oraz</w:t>
      </w:r>
      <w:r w:rsidR="00B37BC5">
        <w:rPr>
          <w:rFonts w:ascii="Calibri" w:hAnsi="Calibri" w:cs="Calibri"/>
          <w:sz w:val="24"/>
          <w:szCs w:val="24"/>
        </w:rPr>
        <w:t> </w:t>
      </w:r>
      <w:r w:rsidRPr="00CE5F45">
        <w:rPr>
          <w:rFonts w:ascii="Calibri" w:hAnsi="Calibri" w:cs="Calibri"/>
          <w:sz w:val="24"/>
          <w:szCs w:val="24"/>
        </w:rPr>
        <w:t xml:space="preserve">podwyższona mętność. </w:t>
      </w:r>
      <w:r w:rsidRPr="00CE5F45">
        <w:rPr>
          <w:rFonts w:ascii="Calibri" w:eastAsia="MyriadPro-Regular" w:hAnsi="Calibri" w:cs="Calibri"/>
          <w:sz w:val="24"/>
          <w:szCs w:val="24"/>
          <w:lang w:eastAsia="pl-PL"/>
        </w:rPr>
        <w:t xml:space="preserve">Są to parametry z grupy tzw. parametrów wskaźnikowych, które nie mają bezpośredniego wpływu na zdrowie konsumenta, są jednak ważnym wskaźnikiem </w:t>
      </w:r>
      <w:r w:rsidRPr="00CE5F45">
        <w:rPr>
          <w:rFonts w:ascii="Calibri" w:hAnsi="Calibri" w:cs="Calibri"/>
          <w:sz w:val="24"/>
          <w:szCs w:val="24"/>
        </w:rPr>
        <w:t xml:space="preserve">niewłaściwie prowadzonych procesów uzdatniania wody (odżelazianie i </w:t>
      </w:r>
      <w:proofErr w:type="spellStart"/>
      <w:r w:rsidRPr="00CE5F45">
        <w:rPr>
          <w:rFonts w:ascii="Calibri" w:hAnsi="Calibri" w:cs="Calibri"/>
          <w:sz w:val="24"/>
          <w:szCs w:val="24"/>
        </w:rPr>
        <w:t>odmanganianie</w:t>
      </w:r>
      <w:proofErr w:type="spellEnd"/>
      <w:r w:rsidRPr="00CE5F45">
        <w:rPr>
          <w:rFonts w:ascii="Calibri" w:hAnsi="Calibri" w:cs="Calibri"/>
          <w:sz w:val="24"/>
          <w:szCs w:val="24"/>
        </w:rPr>
        <w:t xml:space="preserve">) lub dystrybucji wody. </w:t>
      </w:r>
    </w:p>
    <w:p w14:paraId="2CFCDF5A" w14:textId="77777777" w:rsidR="00DD3EBB" w:rsidRDefault="00DD3EBB" w:rsidP="00597239">
      <w:pPr>
        <w:spacing w:after="0" w:line="276" w:lineRule="auto"/>
        <w:rPr>
          <w:rFonts w:eastAsia="MyriadPro-Regular" w:cstheme="minorHAnsi"/>
          <w:color w:val="000000" w:themeColor="text1"/>
          <w:sz w:val="24"/>
          <w:szCs w:val="24"/>
          <w:lang w:eastAsia="pl-PL"/>
        </w:rPr>
      </w:pPr>
    </w:p>
    <w:p w14:paraId="114A5376" w14:textId="2DE45E28" w:rsidR="000C214C" w:rsidRDefault="00394C62" w:rsidP="00597239">
      <w:pPr>
        <w:spacing w:after="0" w:line="276" w:lineRule="auto"/>
        <w:rPr>
          <w:rFonts w:eastAsia="MyriadPro-Regular" w:cstheme="minorHAnsi"/>
          <w:sz w:val="24"/>
          <w:szCs w:val="24"/>
          <w:lang w:eastAsia="pl-PL"/>
        </w:rPr>
      </w:pPr>
      <w:r w:rsidRPr="006F389C">
        <w:rPr>
          <w:rFonts w:eastAsia="MyriadPro-Regular" w:cstheme="minorHAnsi"/>
          <w:color w:val="000000" w:themeColor="text1"/>
          <w:sz w:val="24"/>
          <w:szCs w:val="24"/>
          <w:lang w:eastAsia="pl-PL"/>
        </w:rPr>
        <w:t xml:space="preserve">Najczęściej stwierdzanymi wskaźnikami zanieczyszczenia mikrobiologicznego, których obecność wymagała podjęcia natychmiastowych działań były </w:t>
      </w:r>
      <w:r w:rsidRPr="006F389C">
        <w:rPr>
          <w:rFonts w:eastAsia="MyriadPro-Regular" w:cstheme="minorHAnsi"/>
          <w:bCs/>
          <w:color w:val="000000" w:themeColor="text1"/>
          <w:sz w:val="24"/>
          <w:szCs w:val="24"/>
          <w:lang w:eastAsia="pl-PL"/>
        </w:rPr>
        <w:t>bakterie grupy coli.</w:t>
      </w:r>
      <w:r w:rsidRPr="006F389C">
        <w:rPr>
          <w:rFonts w:cstheme="minorHAnsi"/>
          <w:color w:val="4472C4" w:themeColor="accent1"/>
          <w:sz w:val="24"/>
          <w:szCs w:val="24"/>
        </w:rPr>
        <w:t xml:space="preserve"> </w:t>
      </w:r>
      <w:r w:rsidRPr="006F389C">
        <w:rPr>
          <w:rFonts w:cstheme="minorHAnsi"/>
          <w:color w:val="000000" w:themeColor="text1"/>
          <w:sz w:val="24"/>
          <w:szCs w:val="24"/>
        </w:rPr>
        <w:t>W</w:t>
      </w:r>
      <w:r w:rsidR="00B37BC5">
        <w:rPr>
          <w:rFonts w:cstheme="minorHAnsi"/>
          <w:color w:val="000000" w:themeColor="text1"/>
          <w:sz w:val="24"/>
          <w:szCs w:val="24"/>
        </w:rPr>
        <w:t> </w:t>
      </w:r>
      <w:r w:rsidRPr="006F389C">
        <w:rPr>
          <w:rFonts w:cstheme="minorHAnsi"/>
          <w:color w:val="000000" w:themeColor="text1"/>
          <w:sz w:val="24"/>
          <w:szCs w:val="24"/>
        </w:rPr>
        <w:t xml:space="preserve">mniejszym stopniu stwierdzano występowanie w wodzie bakterii </w:t>
      </w:r>
      <w:r w:rsidRPr="006F389C">
        <w:rPr>
          <w:rFonts w:cstheme="minorHAnsi"/>
          <w:i/>
          <w:color w:val="000000" w:themeColor="text1"/>
          <w:sz w:val="24"/>
          <w:szCs w:val="24"/>
        </w:rPr>
        <w:t>Escherichia coli</w:t>
      </w:r>
      <w:r w:rsidRPr="006F389C">
        <w:rPr>
          <w:rFonts w:cstheme="minorHAnsi"/>
          <w:color w:val="000000" w:themeColor="text1"/>
          <w:sz w:val="24"/>
          <w:szCs w:val="24"/>
        </w:rPr>
        <w:t xml:space="preserve"> i</w:t>
      </w:r>
      <w:r w:rsidR="00B37BC5">
        <w:rPr>
          <w:rFonts w:cstheme="minorHAnsi"/>
          <w:color w:val="000000" w:themeColor="text1"/>
          <w:sz w:val="24"/>
          <w:szCs w:val="24"/>
        </w:rPr>
        <w:t> </w:t>
      </w:r>
      <w:proofErr w:type="spellStart"/>
      <w:r w:rsidRPr="006F389C">
        <w:rPr>
          <w:rFonts w:cstheme="minorHAnsi"/>
          <w:color w:val="000000" w:themeColor="text1"/>
          <w:sz w:val="24"/>
          <w:szCs w:val="24"/>
        </w:rPr>
        <w:t>enterokoków</w:t>
      </w:r>
      <w:proofErr w:type="spellEnd"/>
      <w:r w:rsidRPr="006F389C">
        <w:rPr>
          <w:rFonts w:cstheme="minorHAnsi"/>
          <w:color w:val="000000" w:themeColor="text1"/>
          <w:sz w:val="24"/>
          <w:szCs w:val="24"/>
        </w:rPr>
        <w:t xml:space="preserve">. </w:t>
      </w:r>
      <w:r w:rsidRPr="006F389C">
        <w:rPr>
          <w:rFonts w:eastAsia="MyriadPro-Regular" w:cstheme="minorHAnsi"/>
          <w:sz w:val="24"/>
          <w:szCs w:val="24"/>
          <w:lang w:eastAsia="pl-PL"/>
        </w:rPr>
        <w:t xml:space="preserve">Pogorszenie jakości wody w zakresie mikrobiologicznym spowodowane było </w:t>
      </w:r>
      <w:r w:rsidRPr="006F389C">
        <w:rPr>
          <w:rFonts w:eastAsia="MyriadPro-Regular" w:cstheme="minorHAnsi"/>
          <w:sz w:val="24"/>
          <w:szCs w:val="24"/>
          <w:lang w:eastAsia="pl-PL"/>
        </w:rPr>
        <w:lastRenderedPageBreak/>
        <w:t>głównie awariami urządzeń, brakiem właściwej dezynfekcji po dokonanej konserwacji, złym stanem technicznym instalacji wewnętrznej, małym rozbiorem wody, brakiem regularnego płukania sieci, co mogło być skutkiem wtórnego zanieczyszczenia w związku z odkładaniem się w przewodach związków żelaza i manganu. W niektórych przypadkach nie udało się ustalić bezpośredniej przyczyny niewłaściwej jakości bakteriologicznej wody w systemie dystrybucji.</w:t>
      </w:r>
    </w:p>
    <w:p w14:paraId="3E4629BB" w14:textId="77777777" w:rsidR="00DD3EBB" w:rsidRPr="002A6551" w:rsidRDefault="00DD3EBB" w:rsidP="00597239">
      <w:pPr>
        <w:spacing w:after="0" w:line="276" w:lineRule="auto"/>
        <w:rPr>
          <w:rFonts w:cstheme="minorHAnsi"/>
          <w:color w:val="4472C4" w:themeColor="accent1"/>
          <w:sz w:val="24"/>
          <w:szCs w:val="24"/>
        </w:rPr>
      </w:pPr>
    </w:p>
    <w:p w14:paraId="0547F8F2" w14:textId="7185E6DE" w:rsidR="00394C62" w:rsidRPr="000C214C" w:rsidRDefault="00394C62" w:rsidP="00597239">
      <w:pPr>
        <w:pStyle w:val="Nagwek2"/>
        <w:numPr>
          <w:ilvl w:val="0"/>
          <w:numId w:val="64"/>
        </w:numPr>
        <w:spacing w:before="0" w:after="0"/>
        <w:ind w:left="284" w:hanging="284"/>
        <w:jc w:val="left"/>
        <w:rPr>
          <w:rFonts w:eastAsia="MyriadPro-Regular"/>
          <w:lang w:eastAsia="pl-PL"/>
        </w:rPr>
      </w:pPr>
      <w:bookmarkStart w:id="289" w:name="_Toc194059828"/>
      <w:r w:rsidRPr="00CC5CE7">
        <w:rPr>
          <w:rFonts w:eastAsia="MyriadPro-Regular"/>
          <w:lang w:eastAsia="pl-PL"/>
        </w:rPr>
        <w:t>Ciepła woda użytkowa</w:t>
      </w:r>
      <w:bookmarkEnd w:id="289"/>
    </w:p>
    <w:p w14:paraId="35261F93" w14:textId="77777777" w:rsidR="00394C62" w:rsidRPr="00CC5CE7" w:rsidRDefault="00394C62" w:rsidP="00597239">
      <w:pPr>
        <w:rPr>
          <w:rFonts w:eastAsia="Calibri" w:cstheme="minorHAnsi"/>
          <w:b/>
          <w:bCs/>
          <w:sz w:val="24"/>
          <w:szCs w:val="24"/>
        </w:rPr>
      </w:pPr>
      <w:bookmarkStart w:id="290" w:name="_Hlk131590484"/>
      <w:r w:rsidRPr="00CC5CE7">
        <w:rPr>
          <w:rFonts w:eastAsia="Calibri" w:cstheme="minorHAnsi"/>
          <w:sz w:val="24"/>
          <w:szCs w:val="24"/>
        </w:rPr>
        <w:t>Jednym z elementów mogących wpłynąć na jakość wody przeznaczonej do spożycia przez ludzi na końcowym etapie jej dostarczania</w:t>
      </w:r>
      <w:r>
        <w:rPr>
          <w:rFonts w:eastAsia="Calibri" w:cstheme="minorHAnsi"/>
          <w:sz w:val="24"/>
          <w:szCs w:val="24"/>
        </w:rPr>
        <w:t>,</w:t>
      </w:r>
      <w:r w:rsidRPr="00CC5CE7">
        <w:rPr>
          <w:rFonts w:eastAsia="Calibri" w:cstheme="minorHAnsi"/>
          <w:sz w:val="24"/>
          <w:szCs w:val="24"/>
        </w:rPr>
        <w:t xml:space="preserve"> jest instalacja wewnętrzna budynków.</w:t>
      </w:r>
    </w:p>
    <w:p w14:paraId="12962512" w14:textId="77777777" w:rsidR="00394C62" w:rsidRPr="00CC5CE7" w:rsidRDefault="00394C62" w:rsidP="00597239">
      <w:pPr>
        <w:rPr>
          <w:rFonts w:eastAsia="Calibri" w:cstheme="minorHAnsi"/>
          <w:i/>
          <w:iCs/>
          <w:sz w:val="24"/>
          <w:szCs w:val="24"/>
        </w:rPr>
      </w:pPr>
      <w:r w:rsidRPr="00CC5CE7">
        <w:rPr>
          <w:rFonts w:eastAsia="Calibri" w:cstheme="minorHAnsi"/>
          <w:sz w:val="24"/>
          <w:szCs w:val="24"/>
        </w:rPr>
        <w:t xml:space="preserve">Instalacja ciepłej wody użytkowej może sprzyjać występowaniu i namnażaniu się bakterii z rodzaju </w:t>
      </w:r>
      <w:proofErr w:type="spellStart"/>
      <w:r w:rsidRPr="00E1236C">
        <w:rPr>
          <w:rFonts w:eastAsia="Calibri" w:cstheme="minorHAnsi"/>
          <w:sz w:val="24"/>
          <w:szCs w:val="24"/>
        </w:rPr>
        <w:t>Legionella</w:t>
      </w:r>
      <w:proofErr w:type="spellEnd"/>
      <w:r w:rsidRPr="00CC5CE7">
        <w:rPr>
          <w:rFonts w:eastAsia="Calibri" w:cstheme="minorHAnsi"/>
          <w:i/>
          <w:iCs/>
          <w:sz w:val="24"/>
          <w:szCs w:val="24"/>
        </w:rPr>
        <w:t xml:space="preserve">, </w:t>
      </w:r>
      <w:r w:rsidRPr="00CC5CE7">
        <w:rPr>
          <w:rFonts w:eastAsia="Calibri" w:cstheme="minorHAnsi"/>
          <w:iCs/>
          <w:sz w:val="24"/>
          <w:szCs w:val="24"/>
        </w:rPr>
        <w:t xml:space="preserve">któremu </w:t>
      </w:r>
      <w:r w:rsidRPr="00CC5CE7">
        <w:rPr>
          <w:rFonts w:eastAsia="Calibri" w:cstheme="minorHAnsi"/>
          <w:sz w:val="24"/>
          <w:szCs w:val="24"/>
        </w:rPr>
        <w:t>sprzyjają: gromadzenie się osadów, kamienia, rdzy, glonów i mułu w instalacjach wodociągowych.</w:t>
      </w:r>
      <w:r w:rsidRPr="00CC5CE7">
        <w:rPr>
          <w:rFonts w:eastAsia="Calibri" w:cstheme="minorHAnsi"/>
          <w:i/>
          <w:iCs/>
          <w:sz w:val="24"/>
          <w:szCs w:val="24"/>
        </w:rPr>
        <w:t xml:space="preserve"> </w:t>
      </w:r>
      <w:r w:rsidRPr="00CC5CE7">
        <w:rPr>
          <w:rFonts w:eastAsia="Calibri" w:cstheme="minorHAnsi"/>
          <w:sz w:val="24"/>
          <w:szCs w:val="24"/>
        </w:rPr>
        <w:t xml:space="preserve">Najpowszechniejszą drogą zakażenia jest droga inhalacyjna, czyli wdychanie aerozolu wodnego zawierającego omawiane bakterie. Podstawę oceny jakości wody przeznaczonej do spożycia przez ludzi stanowią wymagania określone w rozporządzeniu Ministra Zdrowia z dnia 7 grudnia 2017 r. </w:t>
      </w:r>
      <w:r w:rsidRPr="00E1236C">
        <w:rPr>
          <w:rFonts w:eastAsia="Calibri" w:cstheme="minorHAnsi"/>
          <w:sz w:val="24"/>
          <w:szCs w:val="24"/>
        </w:rPr>
        <w:t xml:space="preserve">w sprawie jakości wody przeznaczonej do spożycia przez ludzi. </w:t>
      </w:r>
    </w:p>
    <w:p w14:paraId="2518CEC6" w14:textId="77777777" w:rsidR="00394C62" w:rsidRPr="00CC5CE7" w:rsidRDefault="00394C62" w:rsidP="00597239">
      <w:pPr>
        <w:rPr>
          <w:rFonts w:eastAsia="Calibri" w:cstheme="minorHAnsi"/>
          <w:sz w:val="24"/>
          <w:szCs w:val="24"/>
        </w:rPr>
      </w:pPr>
      <w:r w:rsidRPr="00CC5CE7">
        <w:rPr>
          <w:rFonts w:eastAsia="Calibri" w:cstheme="minorHAnsi"/>
          <w:sz w:val="24"/>
          <w:szCs w:val="24"/>
        </w:rPr>
        <w:t>Organy Państwowej Inspekcji Sanitarnej nadzorowały jakość ciepłej wody w zakresie występowania bakterii z rodzaju</w:t>
      </w:r>
      <w:r w:rsidRPr="00E1236C">
        <w:rPr>
          <w:rFonts w:eastAsia="Calibri" w:cstheme="minorHAnsi"/>
          <w:sz w:val="24"/>
          <w:szCs w:val="24"/>
        </w:rPr>
        <w:t xml:space="preserve"> </w:t>
      </w:r>
      <w:proofErr w:type="spellStart"/>
      <w:r w:rsidRPr="00E1236C">
        <w:rPr>
          <w:rFonts w:eastAsia="Calibri" w:cstheme="minorHAnsi"/>
          <w:sz w:val="24"/>
          <w:szCs w:val="24"/>
        </w:rPr>
        <w:t>Legionella</w:t>
      </w:r>
      <w:proofErr w:type="spellEnd"/>
      <w:r w:rsidRPr="00CC5CE7">
        <w:rPr>
          <w:rFonts w:eastAsia="Calibri" w:cstheme="minorHAnsi"/>
          <w:i/>
          <w:iCs/>
          <w:sz w:val="24"/>
          <w:szCs w:val="24"/>
        </w:rPr>
        <w:t xml:space="preserve"> sp.</w:t>
      </w:r>
      <w:r w:rsidRPr="00CC5CE7">
        <w:rPr>
          <w:rFonts w:eastAsia="Calibri" w:cstheme="minorHAnsi"/>
          <w:i/>
          <w:sz w:val="24"/>
          <w:szCs w:val="24"/>
        </w:rPr>
        <w:t xml:space="preserve"> </w:t>
      </w:r>
      <w:r>
        <w:rPr>
          <w:rFonts w:eastAsia="Calibri" w:cstheme="minorHAnsi"/>
          <w:sz w:val="24"/>
          <w:szCs w:val="24"/>
        </w:rPr>
        <w:t>w podmiotach</w:t>
      </w:r>
      <w:r w:rsidRPr="00CC5CE7">
        <w:rPr>
          <w:rFonts w:eastAsia="Calibri" w:cstheme="minorHAnsi"/>
          <w:sz w:val="24"/>
          <w:szCs w:val="24"/>
        </w:rPr>
        <w:t xml:space="preserve"> wykonując</w:t>
      </w:r>
      <w:r>
        <w:rPr>
          <w:rFonts w:eastAsia="Calibri" w:cstheme="minorHAnsi"/>
          <w:sz w:val="24"/>
          <w:szCs w:val="24"/>
        </w:rPr>
        <w:t>ych</w:t>
      </w:r>
      <w:r w:rsidRPr="00CC5CE7">
        <w:rPr>
          <w:rFonts w:eastAsia="Calibri" w:cstheme="minorHAnsi"/>
          <w:sz w:val="24"/>
          <w:szCs w:val="24"/>
        </w:rPr>
        <w:t xml:space="preserve"> działalność leczniczą w rodzaju stacjonarne i całodobowe świadczenia zdrowotne, w budynkach </w:t>
      </w:r>
      <w:r w:rsidRPr="00CC5CE7">
        <w:rPr>
          <w:rFonts w:ascii="Calibri" w:eastAsia="Calibri" w:hAnsi="Calibri" w:cs="Calibri"/>
          <w:sz w:val="24"/>
          <w:szCs w:val="24"/>
        </w:rPr>
        <w:t>zamieszkania</w:t>
      </w:r>
      <w:r w:rsidRPr="00CC5CE7">
        <w:rPr>
          <w:rFonts w:eastAsia="Calibri" w:cstheme="minorHAnsi"/>
          <w:sz w:val="24"/>
          <w:szCs w:val="24"/>
        </w:rPr>
        <w:t xml:space="preserve"> zbiorowego oraz w budynkach użyteczności publicznej, w których w trakcie ich użytkowania wytwarzany jest aerozol wodnopowietrzny. </w:t>
      </w:r>
    </w:p>
    <w:p w14:paraId="43C1545A" w14:textId="77777777" w:rsidR="00394C62" w:rsidRPr="00CC5CE7" w:rsidRDefault="00394C62" w:rsidP="00597239">
      <w:pPr>
        <w:spacing w:line="276" w:lineRule="auto"/>
        <w:rPr>
          <w:rFonts w:eastAsia="Calibri" w:cstheme="minorHAnsi"/>
          <w:bCs/>
          <w:sz w:val="24"/>
          <w:szCs w:val="24"/>
        </w:rPr>
      </w:pPr>
      <w:r w:rsidRPr="00CC5CE7">
        <w:rPr>
          <w:rFonts w:eastAsia="Calibri" w:cstheme="minorHAnsi"/>
          <w:bCs/>
          <w:sz w:val="24"/>
          <w:szCs w:val="24"/>
        </w:rPr>
        <w:t xml:space="preserve">Pobranych zostało łącznie 1 991 próbek ciepłej wody, w tym 1 079 przez organy Państwowej Inspekcji Sanitarnej w ramach kontroli urzędowej oraz 912 próbek przez zarządzających obiektami w ramach prowadzonej kontroli wewnętrznej jakości wody. Badania 361 próbek, wykazały ponadnormatywną </w:t>
      </w:r>
      <w:r>
        <w:rPr>
          <w:rFonts w:eastAsia="Calibri" w:cstheme="minorHAnsi"/>
          <w:bCs/>
          <w:sz w:val="24"/>
          <w:szCs w:val="24"/>
        </w:rPr>
        <w:t>liczbę</w:t>
      </w:r>
      <w:r w:rsidRPr="00CC5CE7">
        <w:rPr>
          <w:rFonts w:eastAsia="Calibri" w:cstheme="minorHAnsi"/>
          <w:bCs/>
          <w:sz w:val="24"/>
          <w:szCs w:val="24"/>
        </w:rPr>
        <w:t xml:space="preserve"> bakterii z rodzaju </w:t>
      </w:r>
      <w:proofErr w:type="spellStart"/>
      <w:r w:rsidRPr="00E1236C">
        <w:rPr>
          <w:rFonts w:eastAsia="Calibri" w:cstheme="minorHAnsi"/>
          <w:bCs/>
          <w:sz w:val="24"/>
          <w:szCs w:val="24"/>
        </w:rPr>
        <w:t>Legionella</w:t>
      </w:r>
      <w:proofErr w:type="spellEnd"/>
      <w:r w:rsidRPr="00E1236C">
        <w:rPr>
          <w:rFonts w:eastAsia="Calibri" w:cstheme="minorHAnsi"/>
          <w:bCs/>
          <w:sz w:val="24"/>
          <w:szCs w:val="24"/>
        </w:rPr>
        <w:t xml:space="preserve"> </w:t>
      </w:r>
      <w:r w:rsidRPr="00CC5CE7">
        <w:rPr>
          <w:rFonts w:eastAsia="Calibri" w:cstheme="minorHAnsi"/>
          <w:bCs/>
          <w:i/>
          <w:iCs/>
          <w:sz w:val="24"/>
          <w:szCs w:val="24"/>
        </w:rPr>
        <w:t>sp</w:t>
      </w:r>
      <w:bookmarkEnd w:id="290"/>
      <w:r w:rsidRPr="00CC5CE7">
        <w:rPr>
          <w:rFonts w:eastAsia="Calibri" w:cstheme="minorHAnsi"/>
          <w:bCs/>
          <w:i/>
          <w:iCs/>
          <w:sz w:val="24"/>
          <w:szCs w:val="24"/>
        </w:rPr>
        <w:t>.</w:t>
      </w:r>
    </w:p>
    <w:p w14:paraId="6ACDD30A" w14:textId="77777777" w:rsidR="00394C62" w:rsidRPr="00CC5CE7" w:rsidRDefault="00394C62" w:rsidP="00597239">
      <w:pPr>
        <w:spacing w:line="276" w:lineRule="auto"/>
        <w:rPr>
          <w:rFonts w:eastAsia="Calibri" w:cstheme="minorHAnsi"/>
          <w:sz w:val="24"/>
          <w:szCs w:val="24"/>
        </w:rPr>
      </w:pPr>
      <w:r w:rsidRPr="00CC5CE7">
        <w:rPr>
          <w:rFonts w:eastAsia="Calibri" w:cstheme="minorHAnsi"/>
          <w:sz w:val="24"/>
          <w:szCs w:val="24"/>
        </w:rPr>
        <w:t>W związku ze stwierdzonym skażeniem bakteriami</w:t>
      </w:r>
      <w:r w:rsidRPr="00E1236C">
        <w:rPr>
          <w:rFonts w:eastAsia="Calibri" w:cstheme="minorHAnsi"/>
          <w:sz w:val="24"/>
          <w:szCs w:val="24"/>
        </w:rPr>
        <w:t xml:space="preserve"> </w:t>
      </w:r>
      <w:proofErr w:type="spellStart"/>
      <w:r w:rsidRPr="00E1236C">
        <w:rPr>
          <w:rFonts w:eastAsia="Calibri" w:cstheme="minorHAnsi"/>
          <w:sz w:val="24"/>
          <w:szCs w:val="24"/>
        </w:rPr>
        <w:t>Legionella</w:t>
      </w:r>
      <w:proofErr w:type="spellEnd"/>
      <w:r w:rsidRPr="00CC5CE7">
        <w:rPr>
          <w:rFonts w:eastAsia="Calibri" w:cstheme="minorHAnsi"/>
          <w:i/>
          <w:iCs/>
          <w:sz w:val="24"/>
          <w:szCs w:val="24"/>
        </w:rPr>
        <w:t xml:space="preserve"> sp.</w:t>
      </w:r>
      <w:r w:rsidRPr="00CC5CE7">
        <w:rPr>
          <w:rFonts w:eastAsia="Calibri" w:cstheme="minorHAnsi"/>
          <w:sz w:val="24"/>
          <w:szCs w:val="24"/>
        </w:rPr>
        <w:t xml:space="preserve"> ciepłej wody użytkowej wydano </w:t>
      </w:r>
      <w:r w:rsidRPr="00CC5CE7">
        <w:rPr>
          <w:rFonts w:cstheme="minorHAnsi"/>
          <w:sz w:val="24"/>
          <w:szCs w:val="24"/>
          <w:lang w:eastAsia="pl-PL"/>
        </w:rPr>
        <w:t xml:space="preserve">59 decyzji </w:t>
      </w:r>
      <w:r>
        <w:rPr>
          <w:rFonts w:cstheme="minorHAnsi"/>
          <w:sz w:val="24"/>
          <w:szCs w:val="24"/>
          <w:lang w:eastAsia="pl-PL"/>
        </w:rPr>
        <w:t>zobowiązujących zarządców do poprawy jakości wody</w:t>
      </w:r>
      <w:r w:rsidRPr="00CC5CE7">
        <w:rPr>
          <w:rFonts w:cstheme="minorHAnsi"/>
          <w:sz w:val="24"/>
          <w:szCs w:val="24"/>
          <w:lang w:eastAsia="pl-PL"/>
        </w:rPr>
        <w:t xml:space="preserve">. </w:t>
      </w:r>
      <w:r w:rsidRPr="00CC5CE7">
        <w:rPr>
          <w:rFonts w:eastAsia="Calibri" w:cstheme="minorHAnsi"/>
          <w:sz w:val="24"/>
          <w:szCs w:val="24"/>
        </w:rPr>
        <w:t xml:space="preserve">Do właścicieli pozostałych obiektów, w których wyniki badań wskazywały na ponadnormatywną </w:t>
      </w:r>
      <w:r w:rsidRPr="009B6CA0">
        <w:rPr>
          <w:rFonts w:eastAsia="Calibri" w:cstheme="minorHAnsi"/>
          <w:sz w:val="24"/>
          <w:szCs w:val="24"/>
        </w:rPr>
        <w:t>liczbę</w:t>
      </w:r>
      <w:r w:rsidRPr="00CC5CE7">
        <w:rPr>
          <w:rFonts w:eastAsia="Calibri" w:cstheme="minorHAnsi"/>
          <w:sz w:val="24"/>
          <w:szCs w:val="24"/>
        </w:rPr>
        <w:t xml:space="preserve"> bakterii </w:t>
      </w:r>
      <w:proofErr w:type="spellStart"/>
      <w:r w:rsidRPr="00CC5CE7">
        <w:rPr>
          <w:rFonts w:eastAsia="Calibri" w:cstheme="minorHAnsi"/>
          <w:sz w:val="24"/>
          <w:szCs w:val="24"/>
        </w:rPr>
        <w:t>Legionella</w:t>
      </w:r>
      <w:proofErr w:type="spellEnd"/>
      <w:r w:rsidRPr="00CC5CE7">
        <w:rPr>
          <w:rFonts w:eastAsia="Calibri" w:cstheme="minorHAnsi"/>
          <w:sz w:val="24"/>
          <w:szCs w:val="24"/>
        </w:rPr>
        <w:t xml:space="preserve"> sp. wystosowywano pisma interwencyjne. W obydwu przypadkach </w:t>
      </w:r>
      <w:r w:rsidRPr="00CC5CE7">
        <w:rPr>
          <w:rFonts w:eastAsia="Calibri" w:cstheme="minorHAnsi"/>
          <w:bCs/>
          <w:sz w:val="24"/>
          <w:szCs w:val="24"/>
        </w:rPr>
        <w:t xml:space="preserve">państwowi powiatowi inspektorzy sanitarni </w:t>
      </w:r>
      <w:r w:rsidRPr="00CC5CE7">
        <w:rPr>
          <w:rFonts w:eastAsia="Calibri" w:cstheme="minorHAnsi"/>
          <w:sz w:val="24"/>
          <w:szCs w:val="24"/>
        </w:rPr>
        <w:t>zobowiązywali właścicieli do podjęcia działań likwidujących zanieczyszczenie oraz potwierdzenia właściwej jakości wody.</w:t>
      </w:r>
    </w:p>
    <w:p w14:paraId="7526185F" w14:textId="02D66CF0" w:rsidR="00394C62" w:rsidRPr="00D24B25" w:rsidRDefault="00394C62" w:rsidP="00597239">
      <w:pPr>
        <w:spacing w:line="276" w:lineRule="auto"/>
        <w:rPr>
          <w:rFonts w:eastAsia="Calibri" w:cstheme="minorHAnsi"/>
          <w:sz w:val="24"/>
          <w:szCs w:val="24"/>
        </w:rPr>
      </w:pPr>
      <w:r w:rsidRPr="00CC5CE7">
        <w:rPr>
          <w:rFonts w:eastAsia="Calibri" w:cstheme="minorHAnsi"/>
          <w:sz w:val="24"/>
          <w:szCs w:val="24"/>
        </w:rPr>
        <w:t>Działania naprawcze prowadzone przez zarządców obiektów w celu poprawy jakości wody najczęściej obejmowały przegląd techniczny oraz prowadzenie skutecznej dezynfekcji chemicznej i termicznej wody w instalacji technologicznego obiegu ciepłej wody oraz</w:t>
      </w:r>
      <w:r w:rsidR="003326B1">
        <w:rPr>
          <w:rFonts w:eastAsia="Calibri" w:cstheme="minorHAnsi"/>
          <w:sz w:val="24"/>
          <w:szCs w:val="24"/>
        </w:rPr>
        <w:t> </w:t>
      </w:r>
      <w:r w:rsidRPr="00CC5CE7">
        <w:rPr>
          <w:rFonts w:eastAsia="Calibri" w:cstheme="minorHAnsi"/>
          <w:sz w:val="24"/>
          <w:szCs w:val="24"/>
        </w:rPr>
        <w:t xml:space="preserve">przedstawienia wyników badań wody potwierdzających jej właściwą jakość. </w:t>
      </w:r>
    </w:p>
    <w:p w14:paraId="4437BCD8" w14:textId="77777777" w:rsidR="00D03EC1" w:rsidRDefault="00D03EC1" w:rsidP="00597239">
      <w:pPr>
        <w:rPr>
          <w:i/>
          <w:iCs/>
          <w:color w:val="000000" w:themeColor="text1"/>
          <w:sz w:val="24"/>
          <w:szCs w:val="24"/>
        </w:rPr>
      </w:pPr>
    </w:p>
    <w:p w14:paraId="5FCCBCD0" w14:textId="3607FEB4" w:rsidR="00D03EC1" w:rsidRDefault="00D03EC1" w:rsidP="00597239">
      <w:pPr>
        <w:rPr>
          <w:i/>
          <w:iCs/>
          <w:color w:val="000000" w:themeColor="text1"/>
          <w:sz w:val="24"/>
          <w:szCs w:val="24"/>
        </w:rPr>
      </w:pPr>
      <w:r>
        <w:rPr>
          <w:i/>
          <w:iCs/>
          <w:color w:val="000000" w:themeColor="text1"/>
          <w:sz w:val="24"/>
          <w:szCs w:val="24"/>
        </w:rPr>
        <w:br w:type="page"/>
      </w:r>
    </w:p>
    <w:p w14:paraId="101E9078" w14:textId="0F6EDFB7" w:rsidR="004C3269" w:rsidRDefault="004C3269" w:rsidP="00597239">
      <w:pPr>
        <w:pStyle w:val="Nagwek1"/>
        <w:numPr>
          <w:ilvl w:val="0"/>
          <w:numId w:val="81"/>
        </w:numPr>
        <w:spacing w:before="0" w:after="0"/>
        <w:ind w:left="0" w:firstLine="0"/>
        <w:jc w:val="left"/>
      </w:pPr>
      <w:bookmarkStart w:id="291" w:name="_Toc135041729"/>
      <w:bookmarkStart w:id="292" w:name="_Toc194059829"/>
      <w:r w:rsidRPr="004C3269">
        <w:lastRenderedPageBreak/>
        <w:t>Stan sanitarny pływalni i</w:t>
      </w:r>
      <w:r w:rsidR="00BC15A5">
        <w:t xml:space="preserve"> </w:t>
      </w:r>
      <w:r w:rsidRPr="004C3269">
        <w:t>obiektów wyposażonych w</w:t>
      </w:r>
      <w:r w:rsidR="00BC15A5">
        <w:t xml:space="preserve"> </w:t>
      </w:r>
      <w:r w:rsidRPr="004C3269">
        <w:t>niecki basenowe</w:t>
      </w:r>
      <w:bookmarkEnd w:id="291"/>
      <w:bookmarkEnd w:id="292"/>
    </w:p>
    <w:p w14:paraId="122E71BB" w14:textId="77777777" w:rsidR="00DD3EBB" w:rsidRPr="00DD3EBB" w:rsidRDefault="00DD3EBB" w:rsidP="00597239"/>
    <w:p w14:paraId="2B27EB18" w14:textId="32F2740D" w:rsidR="004C3269" w:rsidRPr="00BC15A5" w:rsidRDefault="004C3269" w:rsidP="00597239">
      <w:pPr>
        <w:pStyle w:val="Nagwek2"/>
        <w:numPr>
          <w:ilvl w:val="0"/>
          <w:numId w:val="67"/>
        </w:numPr>
        <w:spacing w:before="0" w:after="0"/>
        <w:ind w:left="284" w:hanging="284"/>
        <w:jc w:val="left"/>
      </w:pPr>
      <w:bookmarkStart w:id="293" w:name="_Toc135041730"/>
      <w:bookmarkStart w:id="294" w:name="_Toc194059830"/>
      <w:r w:rsidRPr="00BC15A5">
        <w:t>Infrastruktura obiektów w</w:t>
      </w:r>
      <w:r w:rsidR="00BC15A5" w:rsidRPr="00BC15A5">
        <w:t xml:space="preserve"> </w:t>
      </w:r>
      <w:r w:rsidRPr="00BC15A5">
        <w:t>województwie</w:t>
      </w:r>
      <w:bookmarkEnd w:id="293"/>
      <w:bookmarkEnd w:id="294"/>
    </w:p>
    <w:p w14:paraId="3572B34A" w14:textId="66BD2416" w:rsidR="004C3269" w:rsidRPr="00D47955" w:rsidRDefault="004C3269" w:rsidP="00597239">
      <w:pPr>
        <w:pStyle w:val="Stylnastroninternet"/>
        <w:ind w:firstLine="0"/>
        <w:rPr>
          <w:rFonts w:ascii="Calibri" w:hAnsi="Calibri" w:cs="Calibri"/>
          <w:color w:val="000000" w:themeColor="text1"/>
        </w:rPr>
      </w:pPr>
      <w:r w:rsidRPr="00D47955">
        <w:rPr>
          <w:rFonts w:ascii="Calibri" w:eastAsia="MyriadPro-Regular" w:hAnsi="Calibri" w:cs="Calibri"/>
          <w:color w:val="000000" w:themeColor="text1"/>
        </w:rPr>
        <w:t>W 2024 r</w:t>
      </w:r>
      <w:r>
        <w:rPr>
          <w:rFonts w:ascii="Calibri" w:eastAsia="MyriadPro-Regular" w:hAnsi="Calibri" w:cs="Calibri"/>
          <w:color w:val="000000" w:themeColor="text1"/>
        </w:rPr>
        <w:t>oku</w:t>
      </w:r>
      <w:r w:rsidRPr="00D47955">
        <w:rPr>
          <w:rFonts w:ascii="Calibri" w:eastAsia="MyriadPro-Regular" w:hAnsi="Calibri" w:cs="Calibri"/>
          <w:color w:val="000000" w:themeColor="text1"/>
        </w:rPr>
        <w:t xml:space="preserve"> </w:t>
      </w:r>
      <w:r>
        <w:rPr>
          <w:rFonts w:ascii="Calibri" w:eastAsia="MyriadPro-Regular" w:hAnsi="Calibri" w:cs="Calibri"/>
          <w:color w:val="000000" w:themeColor="text1"/>
        </w:rPr>
        <w:t xml:space="preserve">pod nadzorem </w:t>
      </w:r>
      <w:r w:rsidRPr="00D47955">
        <w:rPr>
          <w:rFonts w:ascii="Calibri" w:eastAsia="MyriadPro-Regular" w:hAnsi="Calibri" w:cs="Calibri"/>
          <w:color w:val="000000" w:themeColor="text1"/>
        </w:rPr>
        <w:t>Państwowej Inspekcji Sanitarnej</w:t>
      </w:r>
      <w:r>
        <w:rPr>
          <w:rFonts w:ascii="Calibri" w:eastAsia="MyriadPro-Regular" w:hAnsi="Calibri" w:cs="Calibri"/>
          <w:color w:val="000000" w:themeColor="text1"/>
        </w:rPr>
        <w:t xml:space="preserve"> w </w:t>
      </w:r>
      <w:r w:rsidRPr="00D47955">
        <w:rPr>
          <w:rFonts w:ascii="Calibri" w:eastAsia="MyriadPro-Regular" w:hAnsi="Calibri" w:cs="Calibri"/>
          <w:color w:val="000000" w:themeColor="text1"/>
        </w:rPr>
        <w:t>woj. zachodniopomorski</w:t>
      </w:r>
      <w:r>
        <w:rPr>
          <w:rFonts w:ascii="Calibri" w:eastAsia="MyriadPro-Regular" w:hAnsi="Calibri" w:cs="Calibri"/>
          <w:color w:val="000000" w:themeColor="text1"/>
        </w:rPr>
        <w:t>m</w:t>
      </w:r>
      <w:r w:rsidRPr="00D47955">
        <w:rPr>
          <w:rFonts w:ascii="Calibri" w:eastAsia="MyriadPro-Regular" w:hAnsi="Calibri" w:cs="Calibri"/>
          <w:color w:val="000000" w:themeColor="text1"/>
        </w:rPr>
        <w:t xml:space="preserve"> </w:t>
      </w:r>
      <w:r>
        <w:rPr>
          <w:rFonts w:ascii="Calibri" w:eastAsia="MyriadPro-Regular" w:hAnsi="Calibri" w:cs="Calibri"/>
          <w:color w:val="000000" w:themeColor="text1"/>
        </w:rPr>
        <w:t>było</w:t>
      </w:r>
      <w:r w:rsidRPr="00D47955">
        <w:rPr>
          <w:rFonts w:ascii="Calibri" w:eastAsia="MyriadPro-Regular" w:hAnsi="Calibri" w:cs="Calibri"/>
          <w:color w:val="000000" w:themeColor="text1"/>
        </w:rPr>
        <w:t xml:space="preserve"> 406</w:t>
      </w:r>
      <w:r>
        <w:rPr>
          <w:rFonts w:ascii="Calibri" w:eastAsia="MyriadPro-Regular" w:hAnsi="Calibri" w:cs="Calibri"/>
          <w:color w:val="000000" w:themeColor="text1"/>
        </w:rPr>
        <w:t xml:space="preserve"> pływalni (w tym parki wodne),</w:t>
      </w:r>
      <w:r w:rsidRPr="00D47955">
        <w:rPr>
          <w:rFonts w:ascii="Calibri" w:eastAsia="MyriadPro-Regular" w:hAnsi="Calibri" w:cs="Calibri"/>
          <w:color w:val="000000" w:themeColor="text1"/>
        </w:rPr>
        <w:t xml:space="preserve"> </w:t>
      </w:r>
      <w:r>
        <w:rPr>
          <w:rFonts w:ascii="Calibri" w:eastAsia="MyriadPro-Regular" w:hAnsi="Calibri" w:cs="Calibri"/>
          <w:color w:val="000000" w:themeColor="text1"/>
        </w:rPr>
        <w:t>tzn. obiektów wyposażonych w niecki basenowe (co</w:t>
      </w:r>
      <w:r w:rsidR="003326B1">
        <w:rPr>
          <w:rFonts w:ascii="Calibri" w:eastAsia="MyriadPro-Regular" w:hAnsi="Calibri" w:cs="Calibri"/>
          <w:color w:val="000000" w:themeColor="text1"/>
        </w:rPr>
        <w:t> </w:t>
      </w:r>
      <w:r>
        <w:rPr>
          <w:rFonts w:ascii="Calibri" w:eastAsia="MyriadPro-Regular" w:hAnsi="Calibri" w:cs="Calibri"/>
          <w:color w:val="000000" w:themeColor="text1"/>
        </w:rPr>
        <w:t xml:space="preserve">przedstawia wykres nr </w:t>
      </w:r>
      <w:r w:rsidR="007C71C7">
        <w:rPr>
          <w:rFonts w:ascii="Calibri" w:eastAsia="MyriadPro-Regular" w:hAnsi="Calibri" w:cs="Calibri"/>
          <w:color w:val="000000" w:themeColor="text1"/>
        </w:rPr>
        <w:t>9</w:t>
      </w:r>
      <w:r>
        <w:rPr>
          <w:rFonts w:ascii="Calibri" w:eastAsia="MyriadPro-Regular" w:hAnsi="Calibri" w:cs="Calibri"/>
          <w:color w:val="000000" w:themeColor="text1"/>
        </w:rPr>
        <w:t>).</w:t>
      </w:r>
    </w:p>
    <w:p w14:paraId="0C54E0DF" w14:textId="77777777" w:rsidR="004C3269" w:rsidRDefault="004C3269" w:rsidP="00597239">
      <w:pPr>
        <w:pStyle w:val="Stylnastroninternet"/>
        <w:ind w:firstLine="0"/>
        <w:rPr>
          <w:rFonts w:ascii="Calibri" w:hAnsi="Calibri" w:cs="Calibri"/>
          <w:color w:val="000000" w:themeColor="text1"/>
        </w:rPr>
      </w:pPr>
      <w:r>
        <w:rPr>
          <w:rFonts w:ascii="Calibri" w:hAnsi="Calibri" w:cs="Calibri"/>
          <w:color w:val="000000" w:themeColor="text1"/>
        </w:rPr>
        <w:t>Obiekty te</w:t>
      </w:r>
      <w:r w:rsidRPr="00D47955">
        <w:rPr>
          <w:rFonts w:ascii="Calibri" w:hAnsi="Calibri" w:cs="Calibri"/>
          <w:color w:val="000000" w:themeColor="text1"/>
        </w:rPr>
        <w:t xml:space="preserve"> zlokalizowane </w:t>
      </w:r>
      <w:r>
        <w:rPr>
          <w:rFonts w:ascii="Calibri" w:hAnsi="Calibri" w:cs="Calibri"/>
          <w:color w:val="000000" w:themeColor="text1"/>
        </w:rPr>
        <w:t>były</w:t>
      </w:r>
      <w:r w:rsidRPr="00D47955">
        <w:rPr>
          <w:rFonts w:ascii="Calibri" w:hAnsi="Calibri" w:cs="Calibri"/>
          <w:color w:val="000000" w:themeColor="text1"/>
        </w:rPr>
        <w:t xml:space="preserve"> najczęściej</w:t>
      </w:r>
      <w:r>
        <w:rPr>
          <w:rFonts w:ascii="Calibri" w:hAnsi="Calibri" w:cs="Calibri"/>
          <w:color w:val="000000" w:themeColor="text1"/>
        </w:rPr>
        <w:t xml:space="preserve"> </w:t>
      </w:r>
      <w:r w:rsidRPr="00D47955">
        <w:rPr>
          <w:rFonts w:ascii="Calibri" w:hAnsi="Calibri" w:cs="Calibri"/>
          <w:color w:val="000000" w:themeColor="text1"/>
        </w:rPr>
        <w:t>w obiektach szkolnych, sportowych, hotelach, ośrodkach wypoczynkowych, sanatoriach, zakładach opieki zdrowotnej oraz parkach wodnych</w:t>
      </w:r>
      <w:r>
        <w:rPr>
          <w:rFonts w:ascii="Calibri" w:hAnsi="Calibri" w:cs="Calibri"/>
          <w:color w:val="000000" w:themeColor="text1"/>
        </w:rPr>
        <w:t>.</w:t>
      </w:r>
    </w:p>
    <w:p w14:paraId="26F78D68" w14:textId="77777777" w:rsidR="00DD3EBB" w:rsidRPr="00D47955" w:rsidRDefault="00DD3EBB" w:rsidP="00597239">
      <w:pPr>
        <w:pStyle w:val="Stylnastroninternet"/>
        <w:ind w:firstLine="0"/>
        <w:rPr>
          <w:rFonts w:ascii="Calibri" w:hAnsi="Calibri" w:cs="Calibri"/>
          <w:color w:val="000000" w:themeColor="text1"/>
        </w:rPr>
      </w:pPr>
    </w:p>
    <w:p w14:paraId="2F438D53" w14:textId="11EE6F4C" w:rsidR="004C3269" w:rsidRPr="00BC15A5" w:rsidRDefault="00BC15A5" w:rsidP="00597239">
      <w:pPr>
        <w:pStyle w:val="Legenda"/>
        <w:spacing w:after="0" w:line="276" w:lineRule="auto"/>
        <w:rPr>
          <w:rFonts w:ascii="Calibri" w:hAnsi="Calibri" w:cs="Calibri"/>
          <w:i w:val="0"/>
          <w:iCs w:val="0"/>
          <w:color w:val="auto"/>
        </w:rPr>
      </w:pPr>
      <w:bookmarkStart w:id="295" w:name="_Toc193969466"/>
      <w:bookmarkStart w:id="296" w:name="_Toc194059926"/>
      <w:r w:rsidRPr="00BC15A5">
        <w:rPr>
          <w:i w:val="0"/>
          <w:iCs w:val="0"/>
          <w:color w:val="auto"/>
        </w:rPr>
        <w:t xml:space="preserve">Wykres </w:t>
      </w:r>
      <w:r w:rsidRPr="00BC15A5">
        <w:rPr>
          <w:i w:val="0"/>
          <w:iCs w:val="0"/>
          <w:color w:val="auto"/>
        </w:rPr>
        <w:fldChar w:fldCharType="begin"/>
      </w:r>
      <w:r w:rsidRPr="00BC15A5">
        <w:rPr>
          <w:i w:val="0"/>
          <w:iCs w:val="0"/>
          <w:color w:val="auto"/>
        </w:rPr>
        <w:instrText xml:space="preserve"> SEQ Wykres \* ARABIC </w:instrText>
      </w:r>
      <w:r w:rsidRPr="00BC15A5">
        <w:rPr>
          <w:i w:val="0"/>
          <w:iCs w:val="0"/>
          <w:color w:val="auto"/>
        </w:rPr>
        <w:fldChar w:fldCharType="separate"/>
      </w:r>
      <w:r w:rsidR="00FB6F6A">
        <w:rPr>
          <w:i w:val="0"/>
          <w:iCs w:val="0"/>
          <w:noProof/>
          <w:color w:val="auto"/>
        </w:rPr>
        <w:t>9</w:t>
      </w:r>
      <w:r w:rsidRPr="00BC15A5">
        <w:rPr>
          <w:i w:val="0"/>
          <w:iCs w:val="0"/>
          <w:color w:val="auto"/>
        </w:rPr>
        <w:fldChar w:fldCharType="end"/>
      </w:r>
      <w:r w:rsidR="00E75D31">
        <w:rPr>
          <w:i w:val="0"/>
          <w:iCs w:val="0"/>
          <w:color w:val="auto"/>
        </w:rPr>
        <w:t>.</w:t>
      </w:r>
      <w:r w:rsidRPr="00BC15A5">
        <w:rPr>
          <w:i w:val="0"/>
          <w:iCs w:val="0"/>
          <w:color w:val="auto"/>
        </w:rPr>
        <w:t xml:space="preserve"> Zestawienie rodzajów pływalni na terenie woj. zachodniopomorskiego</w:t>
      </w:r>
      <w:bookmarkEnd w:id="295"/>
      <w:bookmarkEnd w:id="296"/>
    </w:p>
    <w:p w14:paraId="60EE0C5E" w14:textId="77777777" w:rsidR="004C3269" w:rsidRPr="00D47955" w:rsidRDefault="004C3269" w:rsidP="00597239">
      <w:pPr>
        <w:autoSpaceDE w:val="0"/>
        <w:autoSpaceDN w:val="0"/>
        <w:adjustRightInd w:val="0"/>
        <w:spacing w:after="0" w:line="276" w:lineRule="auto"/>
        <w:rPr>
          <w:rFonts w:ascii="Calibri" w:eastAsia="MyriadPro-Regular" w:hAnsi="Calibri" w:cs="Calibri"/>
          <w:color w:val="00B0F0"/>
        </w:rPr>
      </w:pPr>
      <w:r>
        <w:rPr>
          <w:noProof/>
          <w14:ligatures w14:val="standardContextual"/>
        </w:rPr>
        <w:drawing>
          <wp:inline distT="0" distB="0" distL="0" distR="0" wp14:anchorId="55CA5D14" wp14:editId="22FA2592">
            <wp:extent cx="5804617" cy="3222404"/>
            <wp:effectExtent l="0" t="0" r="5715" b="16510"/>
            <wp:docPr id="979376505" name="Wykres 1" descr="Wykres kołowy, pokazujący liczbę obiektów posiadających niecki basenowe, na terenie województwa zachodniopomorskiego, z podziałem na pływalnie kryte, pływalnie odkryte, pływalnie mieszanie, w tym aqua parki.">
              <a:extLst xmlns:a="http://schemas.openxmlformats.org/drawingml/2006/main">
                <a:ext uri="{FF2B5EF4-FFF2-40B4-BE49-F238E27FC236}">
                  <a16:creationId xmlns:a16="http://schemas.microsoft.com/office/drawing/2014/main" id="{B9860505-FB1A-715A-A758-5EBE98E5D4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D0DE54" w14:textId="77777777" w:rsidR="00DD3EBB" w:rsidRDefault="00DD3EBB" w:rsidP="00597239">
      <w:pPr>
        <w:pStyle w:val="Nagwek2"/>
        <w:spacing w:before="0" w:after="0"/>
        <w:ind w:firstLine="0"/>
        <w:jc w:val="left"/>
      </w:pPr>
      <w:bookmarkStart w:id="297" w:name="_Toc135041731"/>
    </w:p>
    <w:p w14:paraId="44D970CF" w14:textId="1ACDD77F" w:rsidR="004C3269" w:rsidRPr="00EA21C9" w:rsidRDefault="004C3269" w:rsidP="00597239">
      <w:pPr>
        <w:pStyle w:val="Nagwek2"/>
        <w:numPr>
          <w:ilvl w:val="0"/>
          <w:numId w:val="67"/>
        </w:numPr>
        <w:spacing w:before="0" w:after="0"/>
        <w:ind w:left="284" w:hanging="284"/>
        <w:jc w:val="left"/>
      </w:pPr>
      <w:bookmarkStart w:id="298" w:name="_Toc194059831"/>
      <w:r w:rsidRPr="00EA21C9">
        <w:t>Jakość wody na pływalniach i</w:t>
      </w:r>
      <w:r w:rsidR="00EA21C9">
        <w:t xml:space="preserve"> </w:t>
      </w:r>
      <w:r w:rsidRPr="00EA21C9">
        <w:t>w</w:t>
      </w:r>
      <w:r w:rsidR="00EA21C9">
        <w:t xml:space="preserve"> </w:t>
      </w:r>
      <w:r w:rsidRPr="00EA21C9">
        <w:t>obiektach wyposażonych w</w:t>
      </w:r>
      <w:r w:rsidR="00EA21C9">
        <w:t xml:space="preserve"> </w:t>
      </w:r>
      <w:r w:rsidRPr="00EA21C9">
        <w:t>niecki basenowe</w:t>
      </w:r>
      <w:bookmarkEnd w:id="297"/>
      <w:bookmarkEnd w:id="298"/>
    </w:p>
    <w:p w14:paraId="64C99A33" w14:textId="77777777" w:rsidR="004C3269" w:rsidRPr="00060C63" w:rsidRDefault="004C3269" w:rsidP="00597239">
      <w:pPr>
        <w:pStyle w:val="Stylnastroninternet"/>
        <w:ind w:firstLine="0"/>
        <w:rPr>
          <w:rFonts w:ascii="Calibri" w:hAnsi="Calibri" w:cs="Calibri"/>
          <w:color w:val="000000" w:themeColor="text1"/>
        </w:rPr>
      </w:pPr>
      <w:r w:rsidRPr="00060C63">
        <w:rPr>
          <w:rFonts w:ascii="Calibri" w:hAnsi="Calibri" w:cs="Calibri"/>
          <w:color w:val="000000" w:themeColor="text1"/>
        </w:rPr>
        <w:t xml:space="preserve">Badania wody na pływalniach </w:t>
      </w:r>
      <w:r>
        <w:rPr>
          <w:rFonts w:ascii="Calibri" w:hAnsi="Calibri" w:cs="Calibri"/>
          <w:color w:val="000000" w:themeColor="text1"/>
        </w:rPr>
        <w:t>prowadzone były</w:t>
      </w:r>
      <w:r w:rsidRPr="00060C63">
        <w:rPr>
          <w:rFonts w:ascii="Calibri" w:hAnsi="Calibri" w:cs="Calibri"/>
          <w:color w:val="000000" w:themeColor="text1"/>
        </w:rPr>
        <w:t xml:space="preserve"> zgodnie z harmonogramami poboru próbek wody, uzgodnionymi z właściwymi państwowymi powiatowymi inspektorami sanitarnymi.</w:t>
      </w:r>
    </w:p>
    <w:p w14:paraId="252D9109" w14:textId="77777777" w:rsidR="004C3269" w:rsidRPr="00D47955" w:rsidRDefault="004C3269" w:rsidP="00597239">
      <w:pPr>
        <w:pStyle w:val="Stylnastroninternet"/>
        <w:ind w:firstLine="0"/>
        <w:rPr>
          <w:rFonts w:ascii="Calibri" w:hAnsi="Calibri" w:cs="Calibri"/>
          <w:color w:val="000000" w:themeColor="text1"/>
        </w:rPr>
      </w:pPr>
      <w:r w:rsidRPr="00060C63">
        <w:rPr>
          <w:rFonts w:ascii="Calibri" w:hAnsi="Calibri" w:cs="Calibri"/>
          <w:color w:val="000000" w:themeColor="text1"/>
        </w:rPr>
        <w:t>Określono w nich zarówno częstotliwość pobierania próbek wody, jak i zakres badań. Obejm</w:t>
      </w:r>
      <w:r>
        <w:rPr>
          <w:rFonts w:ascii="Calibri" w:hAnsi="Calibri" w:cs="Calibri"/>
          <w:color w:val="000000" w:themeColor="text1"/>
        </w:rPr>
        <w:t>owały</w:t>
      </w:r>
      <w:r w:rsidRPr="00060C63">
        <w:rPr>
          <w:rFonts w:ascii="Calibri" w:hAnsi="Calibri" w:cs="Calibri"/>
          <w:color w:val="000000" w:themeColor="text1"/>
        </w:rPr>
        <w:t xml:space="preserve"> one parametry mikrobiologiczne</w:t>
      </w:r>
      <w:r>
        <w:rPr>
          <w:rFonts w:ascii="Calibri" w:hAnsi="Calibri" w:cs="Calibri"/>
          <w:color w:val="000000" w:themeColor="text1"/>
        </w:rPr>
        <w:t>:</w:t>
      </w:r>
      <w:r w:rsidRPr="00060C63">
        <w:rPr>
          <w:rFonts w:ascii="Calibri" w:hAnsi="Calibri" w:cs="Calibri"/>
          <w:color w:val="000000" w:themeColor="text1"/>
        </w:rPr>
        <w:t xml:space="preserve"> </w:t>
      </w:r>
      <w:r w:rsidRPr="00E1236C">
        <w:rPr>
          <w:rFonts w:ascii="Calibri" w:hAnsi="Calibri" w:cs="Calibri"/>
          <w:iCs/>
          <w:color w:val="000000" w:themeColor="text1"/>
        </w:rPr>
        <w:t>Escherichia coli</w:t>
      </w:r>
      <w:r w:rsidRPr="00060C63">
        <w:rPr>
          <w:rFonts w:ascii="Calibri" w:hAnsi="Calibri" w:cs="Calibri"/>
          <w:i/>
          <w:color w:val="000000" w:themeColor="text1"/>
        </w:rPr>
        <w:t xml:space="preserve">, </w:t>
      </w:r>
      <w:r w:rsidRPr="00E1236C">
        <w:rPr>
          <w:rFonts w:ascii="Calibri" w:hAnsi="Calibri" w:cs="Calibri"/>
          <w:iCs/>
          <w:color w:val="000000" w:themeColor="text1"/>
        </w:rPr>
        <w:t>Pseudomonas aeruginosa,</w:t>
      </w:r>
      <w:r w:rsidRPr="00060C63">
        <w:rPr>
          <w:rFonts w:ascii="Calibri" w:hAnsi="Calibri" w:cs="Calibri"/>
          <w:color w:val="000000" w:themeColor="text1"/>
        </w:rPr>
        <w:t xml:space="preserve"> ogóln</w:t>
      </w:r>
      <w:r>
        <w:rPr>
          <w:rFonts w:ascii="Calibri" w:hAnsi="Calibri" w:cs="Calibri"/>
          <w:color w:val="000000" w:themeColor="text1"/>
        </w:rPr>
        <w:t>ą</w:t>
      </w:r>
      <w:r w:rsidRPr="00060C63">
        <w:rPr>
          <w:rFonts w:ascii="Calibri" w:hAnsi="Calibri" w:cs="Calibri"/>
          <w:color w:val="000000" w:themeColor="text1"/>
        </w:rPr>
        <w:t xml:space="preserve"> liczb</w:t>
      </w:r>
      <w:r>
        <w:rPr>
          <w:rFonts w:ascii="Calibri" w:hAnsi="Calibri" w:cs="Calibri"/>
          <w:color w:val="000000" w:themeColor="text1"/>
        </w:rPr>
        <w:t>ę</w:t>
      </w:r>
      <w:r w:rsidRPr="00060C63">
        <w:rPr>
          <w:rFonts w:ascii="Calibri" w:hAnsi="Calibri" w:cs="Calibri"/>
          <w:color w:val="000000" w:themeColor="text1"/>
        </w:rPr>
        <w:t xml:space="preserve"> mikroorganizmów w </w:t>
      </w:r>
      <w:r w:rsidRPr="00060C63">
        <w:rPr>
          <w:rFonts w:ascii="Calibri" w:hAnsi="Calibri" w:cs="Calibri"/>
          <w:bCs/>
          <w:color w:val="000000" w:themeColor="text1"/>
        </w:rPr>
        <w:t xml:space="preserve">36±2 </w:t>
      </w:r>
      <w:proofErr w:type="spellStart"/>
      <w:r w:rsidRPr="00060C63">
        <w:rPr>
          <w:rFonts w:ascii="Calibri" w:hAnsi="Calibri" w:cs="Calibri"/>
          <w:bCs/>
          <w:color w:val="000000" w:themeColor="text1"/>
          <w:vertAlign w:val="superscript"/>
        </w:rPr>
        <w:t>o</w:t>
      </w:r>
      <w:r w:rsidRPr="00060C63">
        <w:rPr>
          <w:rFonts w:ascii="Calibri" w:hAnsi="Calibri" w:cs="Calibri"/>
          <w:bCs/>
          <w:color w:val="000000" w:themeColor="text1"/>
        </w:rPr>
        <w:t>C</w:t>
      </w:r>
      <w:proofErr w:type="spellEnd"/>
      <w:r w:rsidRPr="00060C63">
        <w:rPr>
          <w:rFonts w:ascii="Calibri" w:hAnsi="Calibri" w:cs="Calibri"/>
          <w:bCs/>
          <w:color w:val="000000" w:themeColor="text1"/>
        </w:rPr>
        <w:t xml:space="preserve"> </w:t>
      </w:r>
      <w:r w:rsidRPr="00060C63">
        <w:rPr>
          <w:rFonts w:ascii="Calibri" w:hAnsi="Calibri" w:cs="Calibri"/>
          <w:color w:val="000000" w:themeColor="text1"/>
        </w:rPr>
        <w:t xml:space="preserve">po 48 h, </w:t>
      </w:r>
      <w:proofErr w:type="spellStart"/>
      <w:r w:rsidRPr="00060C63">
        <w:rPr>
          <w:rFonts w:ascii="Calibri" w:hAnsi="Calibri" w:cs="Calibri"/>
          <w:i/>
          <w:color w:val="000000" w:themeColor="text1"/>
        </w:rPr>
        <w:t>Legionella</w:t>
      </w:r>
      <w:proofErr w:type="spellEnd"/>
      <w:r w:rsidRPr="00060C63">
        <w:rPr>
          <w:rFonts w:ascii="Calibri" w:hAnsi="Calibri" w:cs="Calibri"/>
          <w:i/>
          <w:color w:val="000000" w:themeColor="text1"/>
        </w:rPr>
        <w:t xml:space="preserve"> sp</w:t>
      </w:r>
      <w:r w:rsidRPr="00060C63">
        <w:rPr>
          <w:rFonts w:ascii="Calibri" w:hAnsi="Calibri" w:cs="Calibri"/>
          <w:color w:val="000000" w:themeColor="text1"/>
        </w:rPr>
        <w:t xml:space="preserve">., gronkowce </w:t>
      </w:r>
      <w:proofErr w:type="spellStart"/>
      <w:r w:rsidRPr="00060C63">
        <w:rPr>
          <w:rFonts w:ascii="Calibri" w:hAnsi="Calibri" w:cs="Calibri"/>
          <w:color w:val="000000" w:themeColor="text1"/>
        </w:rPr>
        <w:t>koagulazo</w:t>
      </w:r>
      <w:proofErr w:type="spellEnd"/>
      <w:r w:rsidRPr="00060C63">
        <w:rPr>
          <w:rFonts w:ascii="Calibri" w:hAnsi="Calibri" w:cs="Calibri"/>
          <w:color w:val="000000" w:themeColor="text1"/>
        </w:rPr>
        <w:t>- dodatnie</w:t>
      </w:r>
      <w:r>
        <w:rPr>
          <w:rFonts w:ascii="Calibri" w:hAnsi="Calibri" w:cs="Calibri"/>
          <w:color w:val="000000" w:themeColor="text1"/>
        </w:rPr>
        <w:t xml:space="preserve"> oraz parametry </w:t>
      </w:r>
      <w:r w:rsidRPr="00060C63">
        <w:rPr>
          <w:rFonts w:ascii="Calibri" w:hAnsi="Calibri" w:cs="Calibri"/>
          <w:color w:val="000000" w:themeColor="text1"/>
        </w:rPr>
        <w:t>fizykochemiczne</w:t>
      </w:r>
      <w:r>
        <w:rPr>
          <w:rFonts w:ascii="Calibri" w:hAnsi="Calibri" w:cs="Calibri"/>
          <w:color w:val="000000" w:themeColor="text1"/>
        </w:rPr>
        <w:t>:</w:t>
      </w:r>
      <w:r w:rsidRPr="00060C63">
        <w:rPr>
          <w:rFonts w:ascii="Calibri" w:hAnsi="Calibri" w:cs="Calibri"/>
          <w:color w:val="000000" w:themeColor="text1"/>
        </w:rPr>
        <w:t xml:space="preserve"> mętność, </w:t>
      </w:r>
      <w:proofErr w:type="spellStart"/>
      <w:r w:rsidRPr="00060C63">
        <w:rPr>
          <w:rFonts w:ascii="Calibri" w:hAnsi="Calibri" w:cs="Calibri"/>
          <w:color w:val="000000" w:themeColor="text1"/>
        </w:rPr>
        <w:t>pH</w:t>
      </w:r>
      <w:proofErr w:type="spellEnd"/>
      <w:r w:rsidRPr="00060C63">
        <w:rPr>
          <w:rFonts w:ascii="Calibri" w:hAnsi="Calibri" w:cs="Calibri"/>
          <w:color w:val="000000" w:themeColor="text1"/>
        </w:rPr>
        <w:t xml:space="preserve">, potencjał </w:t>
      </w:r>
      <w:proofErr w:type="spellStart"/>
      <w:r w:rsidRPr="00060C63">
        <w:rPr>
          <w:rFonts w:ascii="Calibri" w:hAnsi="Calibri" w:cs="Calibri"/>
          <w:color w:val="000000" w:themeColor="text1"/>
        </w:rPr>
        <w:t>redox</w:t>
      </w:r>
      <w:proofErr w:type="spellEnd"/>
      <w:r w:rsidRPr="00060C63">
        <w:rPr>
          <w:rFonts w:ascii="Calibri" w:hAnsi="Calibri" w:cs="Calibri"/>
          <w:color w:val="000000" w:themeColor="text1"/>
        </w:rPr>
        <w:t xml:space="preserve">, chlor wolny, chlor związany, chloroform, </w:t>
      </w:r>
      <w:r w:rsidRPr="00060C63">
        <w:rPr>
          <w:rFonts w:ascii="Calibri" w:hAnsi="Calibri" w:cs="Calibri"/>
          <w:bCs/>
          <w:color w:val="000000" w:themeColor="text1"/>
        </w:rPr>
        <w:t>Σ THM (</w:t>
      </w:r>
      <w:proofErr w:type="spellStart"/>
      <w:r w:rsidRPr="00060C63">
        <w:rPr>
          <w:rFonts w:ascii="Calibri" w:hAnsi="Calibri" w:cs="Calibri"/>
          <w:bCs/>
          <w:color w:val="000000" w:themeColor="text1"/>
        </w:rPr>
        <w:t>trihalometany</w:t>
      </w:r>
      <w:proofErr w:type="spellEnd"/>
      <w:r w:rsidRPr="00060C63">
        <w:rPr>
          <w:rFonts w:ascii="Calibri" w:hAnsi="Calibri" w:cs="Calibri"/>
          <w:bCs/>
          <w:color w:val="000000" w:themeColor="text1"/>
        </w:rPr>
        <w:t xml:space="preserve"> – ogółem)</w:t>
      </w:r>
      <w:r w:rsidRPr="00060C63">
        <w:rPr>
          <w:rFonts w:ascii="Calibri" w:hAnsi="Calibri" w:cs="Calibri"/>
          <w:color w:val="000000" w:themeColor="text1"/>
        </w:rPr>
        <w:t>, azotany, utlenialność.</w:t>
      </w:r>
    </w:p>
    <w:p w14:paraId="6021DF6F" w14:textId="5AB37EAA" w:rsidR="004C3269" w:rsidRPr="00A30333" w:rsidRDefault="004C3269" w:rsidP="00597239">
      <w:pPr>
        <w:pStyle w:val="Stylnastroninternet"/>
        <w:ind w:firstLine="0"/>
        <w:rPr>
          <w:rFonts w:ascii="Calibri" w:hAnsi="Calibri" w:cs="Calibri"/>
          <w:color w:val="000000" w:themeColor="text1"/>
        </w:rPr>
      </w:pPr>
      <w:r w:rsidRPr="00A30333">
        <w:rPr>
          <w:rFonts w:ascii="Calibri" w:hAnsi="Calibri" w:cs="Calibri"/>
          <w:color w:val="000000" w:themeColor="text1"/>
        </w:rPr>
        <w:t>Pływalnie na terenie woj. zachodniopomorskiego w przeważającej części zaopatrywane są</w:t>
      </w:r>
      <w:r w:rsidR="003326B1">
        <w:rPr>
          <w:rFonts w:ascii="Calibri" w:hAnsi="Calibri" w:cs="Calibri"/>
          <w:color w:val="000000" w:themeColor="text1"/>
        </w:rPr>
        <w:t> </w:t>
      </w:r>
      <w:r w:rsidRPr="00A30333">
        <w:rPr>
          <w:rFonts w:ascii="Calibri" w:hAnsi="Calibri" w:cs="Calibri"/>
          <w:color w:val="000000" w:themeColor="text1"/>
        </w:rPr>
        <w:t>w wodę</w:t>
      </w:r>
      <w:r>
        <w:rPr>
          <w:rFonts w:ascii="Calibri" w:hAnsi="Calibri" w:cs="Calibri"/>
          <w:color w:val="000000" w:themeColor="text1"/>
        </w:rPr>
        <w:t xml:space="preserve"> </w:t>
      </w:r>
      <w:r w:rsidRPr="00A30333">
        <w:rPr>
          <w:rFonts w:ascii="Calibri" w:hAnsi="Calibri" w:cs="Calibri"/>
          <w:color w:val="000000" w:themeColor="text1"/>
        </w:rPr>
        <w:t>pochodzącą</w:t>
      </w:r>
      <w:r>
        <w:rPr>
          <w:rFonts w:ascii="Calibri" w:hAnsi="Calibri" w:cs="Calibri"/>
          <w:color w:val="000000" w:themeColor="text1"/>
        </w:rPr>
        <w:t xml:space="preserve"> </w:t>
      </w:r>
      <w:r w:rsidRPr="00A30333">
        <w:rPr>
          <w:rFonts w:ascii="Calibri" w:hAnsi="Calibri" w:cs="Calibri"/>
          <w:color w:val="000000" w:themeColor="text1"/>
        </w:rPr>
        <w:t>z sieci</w:t>
      </w:r>
      <w:r>
        <w:rPr>
          <w:rFonts w:ascii="Calibri" w:hAnsi="Calibri" w:cs="Calibri"/>
          <w:color w:val="000000" w:themeColor="text1"/>
        </w:rPr>
        <w:t xml:space="preserve"> </w:t>
      </w:r>
      <w:r w:rsidRPr="00A30333">
        <w:rPr>
          <w:rFonts w:ascii="Calibri" w:hAnsi="Calibri" w:cs="Calibri"/>
          <w:color w:val="000000" w:themeColor="text1"/>
        </w:rPr>
        <w:t>wodociągow</w:t>
      </w:r>
      <w:r>
        <w:rPr>
          <w:rFonts w:ascii="Calibri" w:hAnsi="Calibri" w:cs="Calibri"/>
          <w:color w:val="000000" w:themeColor="text1"/>
        </w:rPr>
        <w:t>ej. Większość pływalni wyposażana była</w:t>
      </w:r>
      <w:r w:rsidRPr="00A30333">
        <w:rPr>
          <w:rFonts w:ascii="Calibri" w:hAnsi="Calibri" w:cs="Calibri"/>
          <w:color w:val="000000" w:themeColor="text1"/>
        </w:rPr>
        <w:t> </w:t>
      </w:r>
      <w:r>
        <w:rPr>
          <w:rFonts w:ascii="Calibri" w:hAnsi="Calibri" w:cs="Calibri"/>
          <w:color w:val="000000" w:themeColor="text1"/>
        </w:rPr>
        <w:t>w</w:t>
      </w:r>
      <w:r w:rsidR="003326B1">
        <w:rPr>
          <w:rFonts w:ascii="Calibri" w:hAnsi="Calibri" w:cs="Calibri"/>
          <w:color w:val="000000" w:themeColor="text1"/>
        </w:rPr>
        <w:t> </w:t>
      </w:r>
      <w:r w:rsidRPr="00A30333">
        <w:rPr>
          <w:rFonts w:ascii="Calibri" w:hAnsi="Calibri" w:cs="Calibri"/>
          <w:color w:val="000000" w:themeColor="text1"/>
        </w:rPr>
        <w:t>automatyczne systemy oczyszczania i cyrkulacji wody, zapewniające automatyczne dozowanie środków dezynfekcyjnych oraz automatyczne stacje kontroli parametrów</w:t>
      </w:r>
      <w:r>
        <w:rPr>
          <w:rFonts w:ascii="Calibri" w:hAnsi="Calibri" w:cs="Calibri"/>
          <w:color w:val="000000" w:themeColor="text1"/>
        </w:rPr>
        <w:t>,</w:t>
      </w:r>
      <w:r w:rsidRPr="00A30333">
        <w:rPr>
          <w:rFonts w:ascii="Calibri" w:hAnsi="Calibri" w:cs="Calibri"/>
          <w:color w:val="000000" w:themeColor="text1"/>
        </w:rPr>
        <w:t xml:space="preserve"> tj. </w:t>
      </w:r>
      <w:proofErr w:type="spellStart"/>
      <w:r w:rsidRPr="00A30333">
        <w:rPr>
          <w:rFonts w:ascii="Calibri" w:hAnsi="Calibri" w:cs="Calibri"/>
          <w:color w:val="000000" w:themeColor="text1"/>
        </w:rPr>
        <w:t>pH</w:t>
      </w:r>
      <w:proofErr w:type="spellEnd"/>
      <w:r w:rsidRPr="00A30333">
        <w:rPr>
          <w:rFonts w:ascii="Calibri" w:hAnsi="Calibri" w:cs="Calibri"/>
          <w:color w:val="000000" w:themeColor="text1"/>
        </w:rPr>
        <w:t xml:space="preserve">, potencjał </w:t>
      </w:r>
      <w:proofErr w:type="spellStart"/>
      <w:r w:rsidRPr="00A30333">
        <w:rPr>
          <w:rFonts w:ascii="Calibri" w:hAnsi="Calibri" w:cs="Calibri"/>
          <w:color w:val="000000" w:themeColor="text1"/>
        </w:rPr>
        <w:t>redox</w:t>
      </w:r>
      <w:proofErr w:type="spellEnd"/>
      <w:r w:rsidRPr="00A30333">
        <w:rPr>
          <w:rFonts w:ascii="Calibri" w:hAnsi="Calibri" w:cs="Calibri"/>
          <w:color w:val="000000" w:themeColor="text1"/>
        </w:rPr>
        <w:t xml:space="preserve">, chlor wolny, chlor związany. </w:t>
      </w:r>
    </w:p>
    <w:p w14:paraId="0E858503" w14:textId="77777777" w:rsidR="004C3269" w:rsidRDefault="004C3269" w:rsidP="00597239">
      <w:pPr>
        <w:pStyle w:val="Stylnastroninternet"/>
        <w:ind w:firstLine="0"/>
        <w:rPr>
          <w:rFonts w:ascii="Calibri" w:hAnsi="Calibri" w:cs="Calibri"/>
          <w:color w:val="000000" w:themeColor="text1"/>
        </w:rPr>
      </w:pPr>
      <w:r>
        <w:rPr>
          <w:rFonts w:ascii="Calibri" w:hAnsi="Calibri" w:cs="Calibri"/>
          <w:color w:val="000000" w:themeColor="text1"/>
        </w:rPr>
        <w:lastRenderedPageBreak/>
        <w:t xml:space="preserve">Wszystkie pływalnie podlegały zarówno wewnętrznej kontroli jakości wody, prowadzanej przez zarządców obiektów jak i kontroli urzędowej, prowadzonej prze organy Państwowej Inspekcji Sanitarnej. </w:t>
      </w:r>
      <w:r w:rsidRPr="00A30333">
        <w:rPr>
          <w:rFonts w:ascii="Calibri" w:hAnsi="Calibri" w:cs="Calibri"/>
          <w:color w:val="000000" w:themeColor="text1"/>
        </w:rPr>
        <w:t>Łącznie pobranych zostało ponad 17</w:t>
      </w:r>
      <w:r>
        <w:rPr>
          <w:rFonts w:ascii="Calibri" w:hAnsi="Calibri" w:cs="Calibri"/>
          <w:color w:val="000000" w:themeColor="text1"/>
        </w:rPr>
        <w:t xml:space="preserve"> </w:t>
      </w:r>
      <w:r w:rsidRPr="00A30333">
        <w:rPr>
          <w:rFonts w:ascii="Calibri" w:hAnsi="Calibri" w:cs="Calibri"/>
          <w:color w:val="000000" w:themeColor="text1"/>
        </w:rPr>
        <w:t>tys</w:t>
      </w:r>
      <w:r>
        <w:rPr>
          <w:rFonts w:ascii="Calibri" w:hAnsi="Calibri" w:cs="Calibri"/>
          <w:color w:val="000000" w:themeColor="text1"/>
        </w:rPr>
        <w:t>.</w:t>
      </w:r>
      <w:r w:rsidRPr="00A30333">
        <w:rPr>
          <w:rFonts w:ascii="Calibri" w:hAnsi="Calibri" w:cs="Calibri"/>
          <w:color w:val="000000" w:themeColor="text1"/>
        </w:rPr>
        <w:t xml:space="preserve"> Próbek</w:t>
      </w:r>
      <w:r>
        <w:rPr>
          <w:rFonts w:ascii="Calibri" w:hAnsi="Calibri" w:cs="Calibri"/>
          <w:color w:val="000000" w:themeColor="text1"/>
        </w:rPr>
        <w:t xml:space="preserve"> wody</w:t>
      </w:r>
      <w:r w:rsidRPr="00A30333">
        <w:rPr>
          <w:rFonts w:ascii="Calibri" w:hAnsi="Calibri" w:cs="Calibri"/>
          <w:color w:val="000000" w:themeColor="text1"/>
        </w:rPr>
        <w:t>, w tym 1</w:t>
      </w:r>
      <w:r>
        <w:rPr>
          <w:rFonts w:ascii="Calibri" w:hAnsi="Calibri" w:cs="Calibri"/>
          <w:color w:val="000000" w:themeColor="text1"/>
        </w:rPr>
        <w:t xml:space="preserve"> </w:t>
      </w:r>
      <w:r w:rsidRPr="00A30333">
        <w:rPr>
          <w:rFonts w:ascii="Calibri" w:hAnsi="Calibri" w:cs="Calibri"/>
          <w:color w:val="000000" w:themeColor="text1"/>
        </w:rPr>
        <w:t>325 w ramach kontroli urzędowej</w:t>
      </w:r>
      <w:r w:rsidRPr="009F0DBC">
        <w:rPr>
          <w:rFonts w:ascii="Calibri" w:hAnsi="Calibri" w:cs="Calibri"/>
        </w:rPr>
        <w:t xml:space="preserve">. </w:t>
      </w:r>
      <w:r>
        <w:rPr>
          <w:rFonts w:ascii="Calibri" w:hAnsi="Calibri" w:cs="Calibri"/>
          <w:color w:val="000000" w:themeColor="text1"/>
        </w:rPr>
        <w:t>Wyniki b</w:t>
      </w:r>
      <w:r w:rsidRPr="00A30333">
        <w:rPr>
          <w:rFonts w:ascii="Calibri" w:hAnsi="Calibri" w:cs="Calibri"/>
          <w:color w:val="000000" w:themeColor="text1"/>
        </w:rPr>
        <w:t>a</w:t>
      </w:r>
      <w:r>
        <w:rPr>
          <w:rFonts w:ascii="Calibri" w:hAnsi="Calibri" w:cs="Calibri"/>
          <w:color w:val="000000" w:themeColor="text1"/>
        </w:rPr>
        <w:t>d</w:t>
      </w:r>
      <w:r w:rsidRPr="00A30333">
        <w:rPr>
          <w:rFonts w:ascii="Calibri" w:hAnsi="Calibri" w:cs="Calibri"/>
          <w:color w:val="000000" w:themeColor="text1"/>
        </w:rPr>
        <w:t>a</w:t>
      </w:r>
      <w:r>
        <w:rPr>
          <w:rFonts w:ascii="Calibri" w:hAnsi="Calibri" w:cs="Calibri"/>
          <w:color w:val="000000" w:themeColor="text1"/>
        </w:rPr>
        <w:t>ń</w:t>
      </w:r>
      <w:r w:rsidRPr="00A30333">
        <w:rPr>
          <w:rFonts w:ascii="Calibri" w:hAnsi="Calibri" w:cs="Calibri"/>
          <w:color w:val="000000" w:themeColor="text1"/>
        </w:rPr>
        <w:t> 1</w:t>
      </w:r>
      <w:r>
        <w:rPr>
          <w:rFonts w:ascii="Calibri" w:hAnsi="Calibri" w:cs="Calibri"/>
          <w:color w:val="000000" w:themeColor="text1"/>
        </w:rPr>
        <w:t xml:space="preserve"> </w:t>
      </w:r>
      <w:r w:rsidRPr="00A30333">
        <w:rPr>
          <w:rFonts w:ascii="Calibri" w:hAnsi="Calibri" w:cs="Calibri"/>
          <w:color w:val="000000" w:themeColor="text1"/>
        </w:rPr>
        <w:t>601 prób</w:t>
      </w:r>
      <w:r>
        <w:rPr>
          <w:rFonts w:ascii="Calibri" w:hAnsi="Calibri" w:cs="Calibri"/>
          <w:color w:val="000000" w:themeColor="text1"/>
        </w:rPr>
        <w:t xml:space="preserve">ek </w:t>
      </w:r>
      <w:r w:rsidRPr="00A30333">
        <w:rPr>
          <w:rFonts w:ascii="Calibri" w:hAnsi="Calibri" w:cs="Calibri"/>
          <w:color w:val="000000" w:themeColor="text1"/>
        </w:rPr>
        <w:t xml:space="preserve">wykazały </w:t>
      </w:r>
      <w:r>
        <w:rPr>
          <w:rFonts w:ascii="Calibri" w:hAnsi="Calibri" w:cs="Calibri"/>
          <w:color w:val="000000" w:themeColor="text1"/>
        </w:rPr>
        <w:t>nieprawidłowości, w tym:</w:t>
      </w:r>
    </w:p>
    <w:p w14:paraId="334C75D8" w14:textId="77777777" w:rsidR="004C3269" w:rsidRDefault="004C3269" w:rsidP="00597239">
      <w:pPr>
        <w:pStyle w:val="Stylnastroninternet"/>
        <w:numPr>
          <w:ilvl w:val="0"/>
          <w:numId w:val="66"/>
        </w:numPr>
        <w:rPr>
          <w:rFonts w:ascii="Calibri" w:hAnsi="Calibri" w:cs="Calibri"/>
          <w:color w:val="000000" w:themeColor="text1"/>
        </w:rPr>
      </w:pPr>
      <w:r>
        <w:rPr>
          <w:rFonts w:ascii="Calibri" w:hAnsi="Calibri" w:cs="Calibri"/>
          <w:color w:val="000000" w:themeColor="text1"/>
        </w:rPr>
        <w:t>945 w zakresie parametrów fizykochemicznych (p</w:t>
      </w:r>
      <w:r w:rsidRPr="00D47955">
        <w:rPr>
          <w:rFonts w:ascii="Calibri" w:hAnsi="Calibri" w:cs="Calibri"/>
          <w:color w:val="000000" w:themeColor="text1"/>
        </w:rPr>
        <w:t>rzekroczenia dot. najczęściej wskaźników chloru związanego oraz w mniejszej skali chloroformu, Σ THM i mętności</w:t>
      </w:r>
      <w:r>
        <w:rPr>
          <w:rFonts w:ascii="Calibri" w:hAnsi="Calibri" w:cs="Calibri"/>
          <w:color w:val="000000" w:themeColor="text1"/>
        </w:rPr>
        <w:t>);</w:t>
      </w:r>
    </w:p>
    <w:p w14:paraId="1751AA53" w14:textId="77777777" w:rsidR="004C3269" w:rsidRDefault="004C3269" w:rsidP="00597239">
      <w:pPr>
        <w:pStyle w:val="Stylnastroninternet"/>
        <w:numPr>
          <w:ilvl w:val="0"/>
          <w:numId w:val="66"/>
        </w:numPr>
        <w:rPr>
          <w:rFonts w:ascii="Calibri" w:hAnsi="Calibri" w:cs="Calibri"/>
          <w:color w:val="000000" w:themeColor="text1"/>
        </w:rPr>
      </w:pPr>
      <w:r w:rsidRPr="00480F80">
        <w:rPr>
          <w:rFonts w:ascii="Calibri" w:hAnsi="Calibri" w:cs="Calibri"/>
          <w:color w:val="000000" w:themeColor="text1"/>
        </w:rPr>
        <w:t xml:space="preserve">509 w zakresie parametrów </w:t>
      </w:r>
      <w:r w:rsidRPr="00480F80">
        <w:rPr>
          <w:rFonts w:ascii="Calibri" w:hAnsi="Calibri" w:cs="Calibri"/>
          <w:bCs/>
          <w:color w:val="000000" w:themeColor="text1"/>
        </w:rPr>
        <w:t xml:space="preserve">mikrobiologicznych (przekroczenia dot. parametrów ogólnej liczby mikroorganizmów, </w:t>
      </w:r>
      <w:r w:rsidRPr="00E1236C">
        <w:rPr>
          <w:rFonts w:ascii="Calibri" w:hAnsi="Calibri" w:cs="Calibri"/>
          <w:bCs/>
          <w:color w:val="000000" w:themeColor="text1"/>
        </w:rPr>
        <w:t>Pseudomonas aeruginosa</w:t>
      </w:r>
      <w:r w:rsidRPr="00480F80">
        <w:rPr>
          <w:rFonts w:ascii="Calibri" w:hAnsi="Calibri" w:cs="Calibri"/>
          <w:bCs/>
          <w:i/>
          <w:iCs/>
          <w:color w:val="000000" w:themeColor="text1"/>
        </w:rPr>
        <w:t>, Escherichia coli</w:t>
      </w:r>
      <w:r w:rsidRPr="00480F80">
        <w:rPr>
          <w:rFonts w:ascii="Calibri" w:hAnsi="Calibri" w:cs="Calibri"/>
          <w:bCs/>
          <w:color w:val="000000" w:themeColor="text1"/>
        </w:rPr>
        <w:t>,</w:t>
      </w:r>
      <w:r w:rsidRPr="00480F80">
        <w:rPr>
          <w:rFonts w:ascii="Calibri" w:hAnsi="Calibri" w:cs="Calibri"/>
        </w:rPr>
        <w:t xml:space="preserve"> </w:t>
      </w:r>
      <w:r w:rsidRPr="00480F80">
        <w:rPr>
          <w:rFonts w:ascii="Calibri" w:hAnsi="Calibri" w:cs="Calibri"/>
          <w:bCs/>
          <w:color w:val="000000" w:themeColor="text1"/>
        </w:rPr>
        <w:t xml:space="preserve">bakterii </w:t>
      </w:r>
      <w:proofErr w:type="spellStart"/>
      <w:r w:rsidRPr="00480F80">
        <w:rPr>
          <w:rFonts w:ascii="Calibri" w:hAnsi="Calibri" w:cs="Calibri"/>
          <w:bCs/>
          <w:i/>
          <w:color w:val="000000" w:themeColor="text1"/>
        </w:rPr>
        <w:t>Legionella</w:t>
      </w:r>
      <w:proofErr w:type="spellEnd"/>
      <w:r w:rsidRPr="00480F80">
        <w:rPr>
          <w:rFonts w:ascii="Calibri" w:hAnsi="Calibri" w:cs="Calibri"/>
          <w:bCs/>
          <w:i/>
          <w:color w:val="000000" w:themeColor="text1"/>
        </w:rPr>
        <w:t xml:space="preserve"> sp</w:t>
      </w:r>
      <w:r w:rsidRPr="00480F80">
        <w:rPr>
          <w:rFonts w:ascii="Calibri" w:hAnsi="Calibri" w:cs="Calibri"/>
          <w:bCs/>
          <w:iCs/>
          <w:color w:val="000000" w:themeColor="text1"/>
        </w:rPr>
        <w:t xml:space="preserve">., </w:t>
      </w:r>
      <w:r w:rsidRPr="00480F80">
        <w:rPr>
          <w:rFonts w:ascii="Calibri" w:hAnsi="Calibri" w:cs="Calibri"/>
          <w:bCs/>
          <w:color w:val="000000" w:themeColor="text1"/>
        </w:rPr>
        <w:t xml:space="preserve">oraz w jednym przypadku gronkowca </w:t>
      </w:r>
      <w:proofErr w:type="spellStart"/>
      <w:r w:rsidRPr="00480F80">
        <w:rPr>
          <w:rFonts w:ascii="Calibri" w:hAnsi="Calibri" w:cs="Calibri"/>
          <w:bCs/>
          <w:color w:val="000000" w:themeColor="text1"/>
        </w:rPr>
        <w:t>koagulazo</w:t>
      </w:r>
      <w:proofErr w:type="spellEnd"/>
      <w:r w:rsidRPr="00480F80">
        <w:rPr>
          <w:rFonts w:ascii="Calibri" w:hAnsi="Calibri" w:cs="Calibri"/>
          <w:bCs/>
          <w:color w:val="000000" w:themeColor="text1"/>
        </w:rPr>
        <w:t>-dodatniego)</w:t>
      </w:r>
      <w:r>
        <w:rPr>
          <w:rFonts w:ascii="Calibri" w:hAnsi="Calibri" w:cs="Calibri"/>
          <w:bCs/>
          <w:color w:val="000000" w:themeColor="text1"/>
        </w:rPr>
        <w:t>;</w:t>
      </w:r>
    </w:p>
    <w:p w14:paraId="32FFF73D" w14:textId="53EAFF39" w:rsidR="004C3269" w:rsidRPr="00480F80" w:rsidRDefault="00FD3723" w:rsidP="00597239">
      <w:pPr>
        <w:pStyle w:val="Stylnastroninternet"/>
        <w:numPr>
          <w:ilvl w:val="0"/>
          <w:numId w:val="66"/>
        </w:numPr>
        <w:rPr>
          <w:rFonts w:ascii="Calibri" w:hAnsi="Calibri" w:cs="Calibri"/>
          <w:color w:val="000000" w:themeColor="text1"/>
        </w:rPr>
      </w:pPr>
      <w:r w:rsidRPr="00480F80">
        <w:rPr>
          <w:rFonts w:ascii="Calibri" w:hAnsi="Calibri" w:cs="Calibri"/>
          <w:bCs/>
          <w:color w:val="000000" w:themeColor="text1"/>
        </w:rPr>
        <w:t>147 w</w:t>
      </w:r>
      <w:r w:rsidR="004C3269" w:rsidRPr="00480F80">
        <w:rPr>
          <w:rFonts w:ascii="Calibri" w:hAnsi="Calibri" w:cs="Calibri"/>
          <w:color w:val="000000" w:themeColor="text1"/>
        </w:rPr>
        <w:t xml:space="preserve"> zakresie parametrów fizykochemicznych i mikrobiologicznym </w:t>
      </w:r>
      <w:r w:rsidR="004C3269">
        <w:rPr>
          <w:rFonts w:ascii="Calibri" w:hAnsi="Calibri" w:cs="Calibri"/>
          <w:color w:val="000000" w:themeColor="text1"/>
        </w:rPr>
        <w:t xml:space="preserve">występujących jednocześnie. </w:t>
      </w:r>
    </w:p>
    <w:p w14:paraId="20BCA4C5" w14:textId="7A76A791" w:rsidR="004C3269" w:rsidRPr="00D47955" w:rsidRDefault="004C3269" w:rsidP="00597239">
      <w:pPr>
        <w:pStyle w:val="Stylnastroninternet"/>
        <w:rPr>
          <w:rFonts w:ascii="Calibri" w:hAnsi="Calibri" w:cs="Calibri"/>
          <w:color w:val="00B0F0"/>
        </w:rPr>
      </w:pPr>
      <w:r w:rsidRPr="006811BF">
        <w:rPr>
          <w:rFonts w:ascii="Calibri" w:hAnsi="Calibri" w:cs="Calibri"/>
          <w:color w:val="000000" w:themeColor="text1"/>
        </w:rPr>
        <w:t>W przypadku stwierdzenia niewłaściwej jakości wody w nieckach basenowych lub ciepłej wody z natrysków w szatni wydawane były stosowne decyzje administracyjne lub</w:t>
      </w:r>
      <w:r w:rsidR="003326B1">
        <w:rPr>
          <w:rFonts w:ascii="Calibri" w:hAnsi="Calibri" w:cs="Calibri"/>
          <w:color w:val="000000" w:themeColor="text1"/>
        </w:rPr>
        <w:t> </w:t>
      </w:r>
      <w:r w:rsidRPr="006811BF">
        <w:rPr>
          <w:rFonts w:ascii="Calibri" w:hAnsi="Calibri" w:cs="Calibri"/>
          <w:color w:val="000000" w:themeColor="text1"/>
        </w:rPr>
        <w:t xml:space="preserve">pisma z zaleceniami do właścicieli obiektów. W obydwu przypadkach </w:t>
      </w:r>
      <w:r w:rsidRPr="006811BF">
        <w:rPr>
          <w:rFonts w:ascii="Calibri" w:hAnsi="Calibri" w:cs="Calibri"/>
          <w:bCs/>
          <w:color w:val="000000" w:themeColor="text1"/>
        </w:rPr>
        <w:t xml:space="preserve">państwowi powiatowi inspektorzy sanitarni </w:t>
      </w:r>
      <w:r w:rsidRPr="006811BF">
        <w:rPr>
          <w:rFonts w:ascii="Calibri" w:hAnsi="Calibri" w:cs="Calibri"/>
          <w:color w:val="000000" w:themeColor="text1"/>
        </w:rPr>
        <w:t xml:space="preserve">zobowiązywali zarządców do podjęcia działań naprawczych oraz przedstawienia wyniku badania </w:t>
      </w:r>
      <w:r>
        <w:rPr>
          <w:rFonts w:ascii="Calibri" w:hAnsi="Calibri" w:cs="Calibri"/>
          <w:color w:val="000000" w:themeColor="text1"/>
        </w:rPr>
        <w:t xml:space="preserve">wody </w:t>
      </w:r>
      <w:r w:rsidRPr="006811BF">
        <w:rPr>
          <w:rFonts w:ascii="Calibri" w:hAnsi="Calibri" w:cs="Calibri"/>
          <w:color w:val="000000" w:themeColor="text1"/>
        </w:rPr>
        <w:t xml:space="preserve">potwierdzającego </w:t>
      </w:r>
      <w:r>
        <w:rPr>
          <w:rFonts w:ascii="Calibri" w:hAnsi="Calibri" w:cs="Calibri"/>
          <w:color w:val="000000" w:themeColor="text1"/>
        </w:rPr>
        <w:t>ich skuteczność</w:t>
      </w:r>
      <w:r w:rsidRPr="006811BF">
        <w:rPr>
          <w:rFonts w:ascii="Calibri" w:hAnsi="Calibri" w:cs="Calibri"/>
          <w:color w:val="000000" w:themeColor="text1"/>
        </w:rPr>
        <w:t>.</w:t>
      </w:r>
    </w:p>
    <w:p w14:paraId="0009E998" w14:textId="7929B705" w:rsidR="004C3269" w:rsidRPr="00823187" w:rsidRDefault="004C3269" w:rsidP="00597239">
      <w:pPr>
        <w:pStyle w:val="Stylnastroninternet"/>
        <w:ind w:firstLine="0"/>
        <w:rPr>
          <w:rFonts w:ascii="Calibri" w:hAnsi="Calibri" w:cs="Calibri"/>
          <w:color w:val="00B0F0"/>
        </w:rPr>
      </w:pPr>
      <w:r w:rsidRPr="00D47955">
        <w:rPr>
          <w:rFonts w:ascii="Calibri" w:hAnsi="Calibri" w:cs="Calibri"/>
          <w:color w:val="000000" w:themeColor="text1"/>
        </w:rPr>
        <w:t>W związku z</w:t>
      </w:r>
      <w:r>
        <w:rPr>
          <w:rFonts w:ascii="Calibri" w:hAnsi="Calibri" w:cs="Calibri"/>
          <w:color w:val="000000" w:themeColor="text1"/>
        </w:rPr>
        <w:t xml:space="preserve"> niewłaściwą jakością wody </w:t>
      </w:r>
      <w:r w:rsidRPr="00AE5A50">
        <w:rPr>
          <w:rFonts w:ascii="Calibri" w:hAnsi="Calibri" w:cs="Calibri"/>
          <w:color w:val="000000" w:themeColor="text1"/>
        </w:rPr>
        <w:t>wydano</w:t>
      </w:r>
      <w:r>
        <w:rPr>
          <w:rFonts w:ascii="Calibri" w:hAnsi="Calibri" w:cs="Calibri"/>
          <w:color w:val="000000" w:themeColor="text1"/>
        </w:rPr>
        <w:t xml:space="preserve"> łącznie</w:t>
      </w:r>
      <w:r w:rsidRPr="00AE5A50">
        <w:rPr>
          <w:rFonts w:ascii="Calibri" w:hAnsi="Calibri" w:cs="Calibri"/>
          <w:color w:val="000000" w:themeColor="text1"/>
        </w:rPr>
        <w:t xml:space="preserve"> </w:t>
      </w:r>
      <w:r w:rsidRPr="00D15DDA">
        <w:rPr>
          <w:rFonts w:ascii="Calibri" w:hAnsi="Calibri" w:cs="Calibri"/>
          <w:color w:val="000000" w:themeColor="text1"/>
        </w:rPr>
        <w:t>135 decyzji</w:t>
      </w:r>
      <w:r>
        <w:rPr>
          <w:rFonts w:ascii="Calibri" w:hAnsi="Calibri" w:cs="Calibri"/>
          <w:color w:val="000000" w:themeColor="text1"/>
        </w:rPr>
        <w:t xml:space="preserve"> o nieprzydatności wody do kąpieli, nakazujących podjęcie działań naprawczych, 9 upomnień oraz 4 postanowienia o</w:t>
      </w:r>
      <w:r w:rsidR="003326B1">
        <w:rPr>
          <w:rFonts w:ascii="Calibri" w:hAnsi="Calibri" w:cs="Calibri"/>
          <w:color w:val="000000" w:themeColor="text1"/>
        </w:rPr>
        <w:t> </w:t>
      </w:r>
      <w:r>
        <w:rPr>
          <w:rFonts w:ascii="Calibri" w:hAnsi="Calibri" w:cs="Calibri"/>
          <w:color w:val="000000" w:themeColor="text1"/>
        </w:rPr>
        <w:t>nałożeniu grzywny.</w:t>
      </w:r>
      <w:r w:rsidRPr="00D47955">
        <w:rPr>
          <w:rFonts w:ascii="Calibri" w:hAnsi="Calibri" w:cs="Calibri"/>
          <w:color w:val="000000" w:themeColor="text1"/>
        </w:rPr>
        <w:t xml:space="preserve"> </w:t>
      </w:r>
    </w:p>
    <w:p w14:paraId="6AE841DA" w14:textId="48A60F46" w:rsidR="004C3269" w:rsidRDefault="004C3269" w:rsidP="00597239">
      <w:pPr>
        <w:pStyle w:val="Stylnastroninternet"/>
        <w:ind w:firstLine="0"/>
        <w:rPr>
          <w:rFonts w:ascii="Calibri" w:eastAsia="Calibri" w:hAnsi="Calibri" w:cs="Calibri"/>
        </w:rPr>
      </w:pPr>
      <w:r w:rsidRPr="00D15DDA">
        <w:rPr>
          <w:rFonts w:ascii="Calibri" w:eastAsia="Calibri" w:hAnsi="Calibri" w:cs="Calibri"/>
        </w:rPr>
        <w:t>Zgodnie z rozporządzeni</w:t>
      </w:r>
      <w:r>
        <w:rPr>
          <w:rFonts w:ascii="Calibri" w:eastAsia="Calibri" w:hAnsi="Calibri" w:cs="Calibri"/>
        </w:rPr>
        <w:t>em</w:t>
      </w:r>
      <w:r w:rsidRPr="00D15DDA">
        <w:rPr>
          <w:rFonts w:ascii="Calibri" w:eastAsia="Calibri" w:hAnsi="Calibri" w:cs="Calibri"/>
        </w:rPr>
        <w:t xml:space="preserve"> Ministra Zdrowia z dnia 9 listopada 2015 r. w </w:t>
      </w:r>
      <w:r w:rsidRPr="00D15DDA">
        <w:rPr>
          <w:rFonts w:ascii="Calibri" w:eastAsia="Calibri" w:hAnsi="Calibri" w:cs="Calibri"/>
          <w:i/>
        </w:rPr>
        <w:t>sprawie wymagań, jakim powinna odpowiadać woda na pływalniach</w:t>
      </w:r>
      <w:r w:rsidRPr="00D15DDA">
        <w:rPr>
          <w:rFonts w:ascii="Calibri" w:eastAsia="MyriadPro-Regular" w:hAnsi="Calibri" w:cs="Calibri"/>
        </w:rPr>
        <w:t xml:space="preserve"> (t. j. Dz. U. z 2022 r., poz. 1230) organy Państwowej Inspekcji Sanitarnej w 2024 roku </w:t>
      </w:r>
      <w:r w:rsidRPr="00D15DDA">
        <w:rPr>
          <w:rFonts w:ascii="Calibri" w:eastAsia="Calibri" w:hAnsi="Calibri" w:cs="Calibri"/>
        </w:rPr>
        <w:t>wydały 197 zbiorczych ocen rocznych wody na</w:t>
      </w:r>
      <w:r w:rsidR="003326B1">
        <w:rPr>
          <w:rFonts w:ascii="Calibri" w:eastAsia="Calibri" w:hAnsi="Calibri" w:cs="Calibri"/>
        </w:rPr>
        <w:t> </w:t>
      </w:r>
      <w:r w:rsidR="00FD3723" w:rsidRPr="00D15DDA">
        <w:rPr>
          <w:rFonts w:ascii="Calibri" w:eastAsia="Calibri" w:hAnsi="Calibri" w:cs="Calibri"/>
        </w:rPr>
        <w:t>pływalniach, tym 2</w:t>
      </w:r>
      <w:r w:rsidRPr="00D15DDA">
        <w:rPr>
          <w:rFonts w:ascii="Calibri" w:eastAsia="Calibri" w:hAnsi="Calibri" w:cs="Calibri"/>
        </w:rPr>
        <w:t xml:space="preserve"> oceny, w których woda nie odpowiadała ww. wymaganiom.</w:t>
      </w:r>
    </w:p>
    <w:p w14:paraId="0B1B722B" w14:textId="77777777" w:rsidR="00DD3EBB" w:rsidRPr="002A6551" w:rsidRDefault="00DD3EBB" w:rsidP="00597239">
      <w:pPr>
        <w:pStyle w:val="Stylnastroninternet"/>
        <w:ind w:firstLine="0"/>
        <w:rPr>
          <w:rFonts w:ascii="Calibri" w:eastAsia="Calibri" w:hAnsi="Calibri" w:cs="Calibri"/>
        </w:rPr>
      </w:pPr>
    </w:p>
    <w:p w14:paraId="282089D4" w14:textId="169CD179" w:rsidR="004C3269" w:rsidRPr="00EA21C9" w:rsidRDefault="004C3269" w:rsidP="00597239">
      <w:pPr>
        <w:pStyle w:val="Nagwek2"/>
        <w:numPr>
          <w:ilvl w:val="0"/>
          <w:numId w:val="67"/>
        </w:numPr>
        <w:spacing w:before="0" w:after="0"/>
        <w:ind w:left="284" w:hanging="284"/>
        <w:jc w:val="left"/>
      </w:pPr>
      <w:bookmarkStart w:id="299" w:name="_Toc135041732"/>
      <w:bookmarkStart w:id="300" w:name="_Toc194059832"/>
      <w:r w:rsidRPr="00EA21C9">
        <w:t>Stan sanitarny i</w:t>
      </w:r>
      <w:r w:rsidR="00EA21C9">
        <w:t xml:space="preserve"> </w:t>
      </w:r>
      <w:r w:rsidRPr="00EA21C9">
        <w:t>techniczny pływalni i</w:t>
      </w:r>
      <w:r w:rsidR="00EA21C9">
        <w:t xml:space="preserve"> </w:t>
      </w:r>
      <w:r w:rsidRPr="00EA21C9">
        <w:t>obiektów wyposażonych w</w:t>
      </w:r>
      <w:r w:rsidR="00EA21C9">
        <w:t xml:space="preserve"> </w:t>
      </w:r>
      <w:r w:rsidRPr="00EA21C9">
        <w:t>niecki basenowe</w:t>
      </w:r>
      <w:bookmarkEnd w:id="299"/>
      <w:bookmarkEnd w:id="300"/>
    </w:p>
    <w:p w14:paraId="035459F8" w14:textId="77777777" w:rsidR="004C3269" w:rsidRPr="00D15DDA" w:rsidRDefault="004C3269" w:rsidP="00597239">
      <w:pPr>
        <w:pStyle w:val="Stylnastroninternet"/>
        <w:ind w:firstLine="0"/>
        <w:rPr>
          <w:rFonts w:ascii="Calibri" w:hAnsi="Calibri" w:cs="Calibri"/>
          <w:bCs/>
          <w:color w:val="000000" w:themeColor="text1"/>
          <w:szCs w:val="24"/>
        </w:rPr>
      </w:pPr>
      <w:r w:rsidRPr="00D15DDA">
        <w:rPr>
          <w:rFonts w:ascii="Calibri" w:hAnsi="Calibri" w:cs="Calibri"/>
          <w:bCs/>
          <w:color w:val="000000" w:themeColor="text1"/>
          <w:szCs w:val="24"/>
        </w:rPr>
        <w:t xml:space="preserve">W 2024 roku skontrolowano stan higieniczno-sanitarny i techniczny 157 obiektów, wyposażonych w niecki basenowe, zjeżdżalnie oraz jacuzzi wraz z pomieszczeniami przynależnymi (szatniami, natryskami, ustępami).  </w:t>
      </w:r>
    </w:p>
    <w:p w14:paraId="079A97B4" w14:textId="77777777" w:rsidR="00DD3EBB" w:rsidRDefault="00DD3EBB" w:rsidP="00597239">
      <w:pPr>
        <w:pStyle w:val="Stylnastroninternet"/>
        <w:ind w:firstLine="0"/>
        <w:rPr>
          <w:rFonts w:ascii="Calibri" w:hAnsi="Calibri" w:cs="Calibri"/>
          <w:bCs/>
          <w:color w:val="000000" w:themeColor="text1"/>
          <w:szCs w:val="24"/>
        </w:rPr>
      </w:pPr>
    </w:p>
    <w:p w14:paraId="560C2B4D" w14:textId="3D65DB4B" w:rsidR="004C3269" w:rsidRPr="00D15DDA" w:rsidRDefault="004C3269" w:rsidP="00597239">
      <w:pPr>
        <w:pStyle w:val="Stylnastroninternet"/>
        <w:ind w:firstLine="0"/>
        <w:rPr>
          <w:rFonts w:ascii="Calibri" w:hAnsi="Calibri" w:cs="Calibri"/>
          <w:color w:val="000000" w:themeColor="text1"/>
        </w:rPr>
      </w:pPr>
      <w:r w:rsidRPr="00D15DDA">
        <w:rPr>
          <w:rFonts w:ascii="Calibri" w:hAnsi="Calibri" w:cs="Calibri"/>
          <w:bCs/>
          <w:color w:val="000000" w:themeColor="text1"/>
          <w:szCs w:val="24"/>
        </w:rPr>
        <w:t>W przypadku 36 obiektów stwierdzono nieprawidłowości w zakresie</w:t>
      </w:r>
      <w:r w:rsidRPr="00D15DDA">
        <w:rPr>
          <w:rFonts w:ascii="Calibri" w:hAnsi="Calibri" w:cs="Calibri"/>
          <w:color w:val="000000" w:themeColor="text1"/>
        </w:rPr>
        <w:t xml:space="preserve"> złego stanu sanitarno-higienicznego lub technicznego (pomieszczeń i urządzeń). Najczęściej stwierdzane nieprawidłowości, to ubytki powierzchni ścian, podłóg sufitów, uszkodzenia drzwi itp.</w:t>
      </w:r>
    </w:p>
    <w:p w14:paraId="2BE60942" w14:textId="77777777" w:rsidR="004C3269" w:rsidRPr="00D47955" w:rsidRDefault="004C3269" w:rsidP="00597239">
      <w:pPr>
        <w:pStyle w:val="Stylnastroninternet"/>
        <w:ind w:firstLine="0"/>
        <w:rPr>
          <w:rFonts w:ascii="Calibri" w:hAnsi="Calibri" w:cs="Calibri"/>
          <w:color w:val="000000" w:themeColor="text1"/>
          <w:szCs w:val="24"/>
        </w:rPr>
      </w:pPr>
      <w:r w:rsidRPr="00D15DDA">
        <w:rPr>
          <w:rFonts w:ascii="Calibri" w:hAnsi="Calibri" w:cs="Calibri"/>
          <w:color w:val="000000" w:themeColor="text1"/>
        </w:rPr>
        <w:t>W związku ze stwierdzonymi uchybieniami podjęto odpowiednie działania</w:t>
      </w:r>
      <w:r>
        <w:rPr>
          <w:rFonts w:ascii="Calibri" w:hAnsi="Calibri" w:cs="Calibri"/>
          <w:color w:val="000000" w:themeColor="text1"/>
        </w:rPr>
        <w:t>. Podmioty odpowiedzialne za stan obiektów zostały zobowiązano do usunięcia stwierdzonych nieprawidłowości, w tym wydano 18 decyzji administracyjnych i nałożono 18 mandatów.</w:t>
      </w:r>
    </w:p>
    <w:p w14:paraId="32FE031E" w14:textId="77777777" w:rsidR="004C3269" w:rsidRPr="00D47955" w:rsidRDefault="004C3269" w:rsidP="00597239">
      <w:pPr>
        <w:spacing w:after="0"/>
        <w:rPr>
          <w:rFonts w:ascii="Calibri" w:hAnsi="Calibri" w:cs="Calibri"/>
          <w:color w:val="00B0F0"/>
        </w:rPr>
      </w:pPr>
    </w:p>
    <w:p w14:paraId="14660E09" w14:textId="77777777" w:rsidR="00FE0FDB" w:rsidRDefault="00FE0FDB" w:rsidP="00597239">
      <w:pPr>
        <w:spacing w:after="0"/>
        <w:rPr>
          <w:i/>
          <w:iCs/>
          <w:color w:val="000000" w:themeColor="text1"/>
          <w:sz w:val="24"/>
          <w:szCs w:val="24"/>
        </w:rPr>
      </w:pPr>
    </w:p>
    <w:p w14:paraId="56852866" w14:textId="77777777" w:rsidR="00FE0FDB" w:rsidRDefault="00FE0FDB" w:rsidP="00597239">
      <w:pPr>
        <w:spacing w:after="0"/>
        <w:rPr>
          <w:i/>
          <w:iCs/>
          <w:color w:val="000000" w:themeColor="text1"/>
          <w:sz w:val="24"/>
          <w:szCs w:val="24"/>
        </w:rPr>
      </w:pPr>
    </w:p>
    <w:p w14:paraId="6753F39A" w14:textId="2A3536D4" w:rsidR="00FE0FDB" w:rsidRDefault="00FE0FDB" w:rsidP="00597239">
      <w:pPr>
        <w:spacing w:after="0"/>
        <w:rPr>
          <w:i/>
          <w:iCs/>
          <w:color w:val="000000" w:themeColor="text1"/>
          <w:sz w:val="24"/>
          <w:szCs w:val="24"/>
        </w:rPr>
      </w:pPr>
      <w:r>
        <w:rPr>
          <w:i/>
          <w:iCs/>
          <w:color w:val="000000" w:themeColor="text1"/>
          <w:sz w:val="24"/>
          <w:szCs w:val="24"/>
        </w:rPr>
        <w:br w:type="page"/>
      </w:r>
    </w:p>
    <w:p w14:paraId="5D7CB1A0" w14:textId="5AACDBA8" w:rsidR="003311AE" w:rsidRDefault="003311AE" w:rsidP="00597239">
      <w:pPr>
        <w:pStyle w:val="Nagwek1"/>
        <w:numPr>
          <w:ilvl w:val="0"/>
          <w:numId w:val="68"/>
        </w:numPr>
        <w:spacing w:before="0" w:after="0"/>
        <w:ind w:left="0" w:firstLine="0"/>
        <w:jc w:val="left"/>
      </w:pPr>
      <w:bookmarkStart w:id="301" w:name="_Toc194059833"/>
      <w:r w:rsidRPr="00FA08E1">
        <w:lastRenderedPageBreak/>
        <w:t>Stan sanitarny kąpielisk i miejsc okazjonalnie wykorzystywanych do kąpieli</w:t>
      </w:r>
      <w:bookmarkEnd w:id="301"/>
    </w:p>
    <w:p w14:paraId="1E79C724" w14:textId="77777777" w:rsidR="00DD3EBB" w:rsidRPr="00DD3EBB" w:rsidRDefault="00DD3EBB" w:rsidP="00597239">
      <w:pPr>
        <w:spacing w:after="0"/>
      </w:pPr>
    </w:p>
    <w:p w14:paraId="77104C04" w14:textId="1BC8BAA5" w:rsidR="003311AE" w:rsidRPr="00FA08E1" w:rsidRDefault="003311AE" w:rsidP="00597239">
      <w:pPr>
        <w:pStyle w:val="Nagwek2"/>
        <w:numPr>
          <w:ilvl w:val="0"/>
          <w:numId w:val="69"/>
        </w:numPr>
        <w:spacing w:before="0" w:after="0"/>
        <w:ind w:left="284" w:hanging="284"/>
        <w:jc w:val="left"/>
      </w:pPr>
      <w:bookmarkStart w:id="302" w:name="_Toc194059834"/>
      <w:r w:rsidRPr="00FA08E1">
        <w:t>Infrastruktura obiektów w województwie i serwis kąpieliskowy</w:t>
      </w:r>
      <w:bookmarkEnd w:id="302"/>
    </w:p>
    <w:p w14:paraId="5FDDF94C" w14:textId="5C18D8C6" w:rsidR="003311AE" w:rsidRPr="007E5BC2" w:rsidRDefault="003311AE" w:rsidP="00597239">
      <w:pPr>
        <w:spacing w:after="0" w:line="276" w:lineRule="auto"/>
        <w:rPr>
          <w:rFonts w:ascii="Calibri" w:hAnsi="Calibri" w:cs="Calibri"/>
          <w:bCs/>
          <w:iCs/>
          <w:sz w:val="24"/>
          <w:szCs w:val="24"/>
        </w:rPr>
      </w:pPr>
      <w:r w:rsidRPr="00851F01">
        <w:rPr>
          <w:rFonts w:ascii="Calibri" w:hAnsi="Calibri" w:cs="Calibri"/>
          <w:bCs/>
          <w:sz w:val="24"/>
          <w:szCs w:val="24"/>
        </w:rPr>
        <w:t>Na terenie województwa zachodniopomorskiego w sezonie letnim 2024 zorganizowano 145 kąpielisk. Ponad 70% (104) to kąpieliska morskie położone w powiatach nadbałtyckich lub</w:t>
      </w:r>
      <w:r w:rsidR="00F30818">
        <w:rPr>
          <w:rFonts w:ascii="Calibri" w:hAnsi="Calibri" w:cs="Calibri"/>
          <w:bCs/>
          <w:sz w:val="24"/>
          <w:szCs w:val="24"/>
        </w:rPr>
        <w:t> </w:t>
      </w:r>
      <w:r w:rsidRPr="00851F01">
        <w:rPr>
          <w:rFonts w:ascii="Calibri" w:hAnsi="Calibri" w:cs="Calibri"/>
          <w:bCs/>
          <w:sz w:val="24"/>
          <w:szCs w:val="24"/>
        </w:rPr>
        <w:t>nad</w:t>
      </w:r>
      <w:r w:rsidR="00F30818">
        <w:rPr>
          <w:rFonts w:ascii="Calibri" w:hAnsi="Calibri" w:cs="Calibri"/>
          <w:bCs/>
          <w:sz w:val="24"/>
          <w:szCs w:val="24"/>
        </w:rPr>
        <w:t> </w:t>
      </w:r>
      <w:r w:rsidRPr="00851F01">
        <w:rPr>
          <w:rFonts w:ascii="Calibri" w:hAnsi="Calibri" w:cs="Calibri"/>
          <w:bCs/>
          <w:sz w:val="24"/>
          <w:szCs w:val="24"/>
        </w:rPr>
        <w:t>Zalewem Szczecińskim (pow. gryficki-25, kołobrzeski-18, sławieński-25, koszaliński-20, kamieński-10, m.</w:t>
      </w:r>
      <w:r w:rsidR="003970FD" w:rsidRPr="00851F01">
        <w:rPr>
          <w:rFonts w:ascii="Calibri" w:hAnsi="Calibri" w:cs="Calibri"/>
          <w:bCs/>
          <w:sz w:val="24"/>
          <w:szCs w:val="24"/>
        </w:rPr>
        <w:t> </w:t>
      </w:r>
      <w:r w:rsidRPr="00851F01">
        <w:rPr>
          <w:rFonts w:ascii="Calibri" w:hAnsi="Calibri" w:cs="Calibri"/>
          <w:bCs/>
          <w:sz w:val="24"/>
          <w:szCs w:val="24"/>
        </w:rPr>
        <w:t>Świnoujście-4, policki-1, goleniowski-1). Spośród 41 kąpielisk śródlądowych większość położona jest nad jeziorami Pojezierza Drawskiego i Myśliborskiego (pow. choszczeński-2, drawski-10, goleniowski- 1, gryficki-1, gryfiński-4, kamieński-1, koszaliński-1, myśliborski-6, szczecinecki-5, stargardzki-1, wałecki-3, m. Szczecin-3, m. Koszalin-1). Od</w:t>
      </w:r>
      <w:r w:rsidR="00F30818">
        <w:rPr>
          <w:rFonts w:ascii="Calibri" w:hAnsi="Calibri" w:cs="Calibri"/>
          <w:bCs/>
          <w:sz w:val="24"/>
          <w:szCs w:val="24"/>
        </w:rPr>
        <w:t> </w:t>
      </w:r>
      <w:r w:rsidRPr="00851F01">
        <w:rPr>
          <w:rFonts w:ascii="Calibri" w:hAnsi="Calibri" w:cs="Calibri"/>
          <w:bCs/>
          <w:sz w:val="24"/>
          <w:szCs w:val="24"/>
        </w:rPr>
        <w:t>dziewięciu lat obserwuje się stały wzrost liczby kąpielisk w</w:t>
      </w:r>
      <w:r w:rsidR="003970FD" w:rsidRPr="00851F01">
        <w:rPr>
          <w:rFonts w:ascii="Calibri" w:hAnsi="Calibri" w:cs="Calibri"/>
          <w:bCs/>
          <w:sz w:val="24"/>
          <w:szCs w:val="24"/>
        </w:rPr>
        <w:t> </w:t>
      </w:r>
      <w:r w:rsidRPr="00851F01">
        <w:rPr>
          <w:rFonts w:ascii="Calibri" w:hAnsi="Calibri" w:cs="Calibri"/>
          <w:bCs/>
          <w:sz w:val="24"/>
          <w:szCs w:val="24"/>
        </w:rPr>
        <w:t>woj. zachodniopomorskim (wykres nr 9). W 2024 roku zorganizowano 3 nowe kąpieliska - 2 w pow. sławieńskim (Kąpielisko Wschodnie – kąpielisko nr 1, Marszewo) oraz 1 w pow. wałeckim (Kąpielisko nad</w:t>
      </w:r>
      <w:r w:rsidR="00F30818">
        <w:rPr>
          <w:rFonts w:ascii="Calibri" w:hAnsi="Calibri" w:cs="Calibri"/>
          <w:bCs/>
          <w:sz w:val="24"/>
          <w:szCs w:val="24"/>
        </w:rPr>
        <w:t> </w:t>
      </w:r>
      <w:r w:rsidRPr="00851F01">
        <w:rPr>
          <w:rFonts w:ascii="Calibri" w:hAnsi="Calibri" w:cs="Calibri"/>
          <w:bCs/>
          <w:sz w:val="24"/>
          <w:szCs w:val="24"/>
        </w:rPr>
        <w:t xml:space="preserve">Jeziorem </w:t>
      </w:r>
      <w:proofErr w:type="spellStart"/>
      <w:r w:rsidRPr="00851F01">
        <w:rPr>
          <w:rFonts w:ascii="Calibri" w:hAnsi="Calibri" w:cs="Calibri"/>
          <w:bCs/>
          <w:sz w:val="24"/>
          <w:szCs w:val="24"/>
        </w:rPr>
        <w:t>Kosiakowo</w:t>
      </w:r>
      <w:proofErr w:type="spellEnd"/>
      <w:r w:rsidRPr="00851F01">
        <w:rPr>
          <w:rFonts w:ascii="Calibri" w:hAnsi="Calibri" w:cs="Calibri"/>
          <w:bCs/>
          <w:sz w:val="24"/>
          <w:szCs w:val="24"/>
        </w:rPr>
        <w:t>, Korytnickie).</w:t>
      </w:r>
      <w:bookmarkStart w:id="303" w:name="_Hlk127351783"/>
      <w:r w:rsidRPr="00851F01">
        <w:rPr>
          <w:rFonts w:ascii="Calibri" w:hAnsi="Calibri" w:cs="Calibri"/>
          <w:bCs/>
          <w:color w:val="00B050"/>
          <w:sz w:val="24"/>
          <w:szCs w:val="24"/>
        </w:rPr>
        <w:t xml:space="preserve"> </w:t>
      </w:r>
      <w:r w:rsidRPr="00851F01">
        <w:rPr>
          <w:rFonts w:ascii="Calibri" w:hAnsi="Calibri" w:cs="Calibri"/>
          <w:bCs/>
          <w:iCs/>
          <w:sz w:val="24"/>
          <w:szCs w:val="24"/>
        </w:rPr>
        <w:t xml:space="preserve">Ponownie, po przerwie zorganizowano też kąpielisko przy Jeziorze Nowowarpieńskim w Nowym Warpnie. </w:t>
      </w:r>
      <w:bookmarkEnd w:id="303"/>
    </w:p>
    <w:p w14:paraId="3C920B67" w14:textId="77777777" w:rsidR="003311AE" w:rsidRDefault="003311AE" w:rsidP="00597239">
      <w:pPr>
        <w:spacing w:after="0" w:line="276" w:lineRule="auto"/>
        <w:rPr>
          <w:rFonts w:ascii="Calibri" w:hAnsi="Calibri" w:cs="Calibri"/>
          <w:bCs/>
          <w:iCs/>
        </w:rPr>
      </w:pPr>
    </w:p>
    <w:p w14:paraId="49CC4A5B" w14:textId="7C3EC0B8" w:rsidR="003311AE" w:rsidRPr="003311AE" w:rsidRDefault="003311AE" w:rsidP="00597239">
      <w:pPr>
        <w:pStyle w:val="Legenda"/>
        <w:spacing w:after="0"/>
        <w:rPr>
          <w:rFonts w:ascii="Calibri" w:hAnsi="Calibri" w:cs="Calibri"/>
          <w:bCs/>
          <w:i w:val="0"/>
          <w:iCs w:val="0"/>
          <w:color w:val="auto"/>
        </w:rPr>
      </w:pPr>
      <w:bookmarkStart w:id="304" w:name="_Toc193969467"/>
      <w:bookmarkStart w:id="305" w:name="_Toc194059927"/>
      <w:r w:rsidRPr="003311AE">
        <w:rPr>
          <w:i w:val="0"/>
          <w:iCs w:val="0"/>
          <w:color w:val="auto"/>
        </w:rPr>
        <w:t xml:space="preserve">Wykres </w:t>
      </w:r>
      <w:r w:rsidRPr="003311AE">
        <w:rPr>
          <w:i w:val="0"/>
          <w:iCs w:val="0"/>
          <w:color w:val="auto"/>
        </w:rPr>
        <w:fldChar w:fldCharType="begin"/>
      </w:r>
      <w:r w:rsidRPr="003311AE">
        <w:rPr>
          <w:i w:val="0"/>
          <w:iCs w:val="0"/>
          <w:color w:val="auto"/>
        </w:rPr>
        <w:instrText xml:space="preserve"> SEQ Wykres \* ARABIC </w:instrText>
      </w:r>
      <w:r w:rsidRPr="003311AE">
        <w:rPr>
          <w:i w:val="0"/>
          <w:iCs w:val="0"/>
          <w:color w:val="auto"/>
        </w:rPr>
        <w:fldChar w:fldCharType="separate"/>
      </w:r>
      <w:r w:rsidR="00FB6F6A">
        <w:rPr>
          <w:i w:val="0"/>
          <w:iCs w:val="0"/>
          <w:noProof/>
          <w:color w:val="auto"/>
        </w:rPr>
        <w:t>10</w:t>
      </w:r>
      <w:r w:rsidRPr="003311AE">
        <w:rPr>
          <w:i w:val="0"/>
          <w:iCs w:val="0"/>
          <w:color w:val="auto"/>
        </w:rPr>
        <w:fldChar w:fldCharType="end"/>
      </w:r>
      <w:r w:rsidR="00E75D31">
        <w:rPr>
          <w:i w:val="0"/>
          <w:iCs w:val="0"/>
          <w:color w:val="auto"/>
        </w:rPr>
        <w:t>.</w:t>
      </w:r>
      <w:r w:rsidRPr="003311AE">
        <w:rPr>
          <w:i w:val="0"/>
          <w:iCs w:val="0"/>
          <w:color w:val="auto"/>
        </w:rPr>
        <w:t xml:space="preserve"> </w:t>
      </w:r>
      <w:bookmarkStart w:id="306" w:name="_Hlk193886890"/>
      <w:r w:rsidRPr="003311AE">
        <w:rPr>
          <w:i w:val="0"/>
          <w:iCs w:val="0"/>
          <w:color w:val="auto"/>
        </w:rPr>
        <w:t>Liczba i rodzaj kąpielisk w latach 2014-2024</w:t>
      </w:r>
      <w:bookmarkEnd w:id="304"/>
      <w:bookmarkEnd w:id="305"/>
      <w:bookmarkEnd w:id="306"/>
    </w:p>
    <w:p w14:paraId="3D4D5A07" w14:textId="16141F5F" w:rsidR="003311AE" w:rsidRPr="00FA08E1" w:rsidRDefault="00E75D31" w:rsidP="00597239">
      <w:pPr>
        <w:spacing w:after="0"/>
        <w:rPr>
          <w:rFonts w:ascii="Calibri" w:hAnsi="Calibri" w:cs="Calibri"/>
          <w:b/>
          <w:iCs/>
          <w:color w:val="FF0000"/>
        </w:rPr>
      </w:pPr>
      <w:r>
        <w:rPr>
          <w:noProof/>
        </w:rPr>
        <w:drawing>
          <wp:inline distT="0" distB="0" distL="0" distR="0" wp14:anchorId="1D04317E" wp14:editId="504F168D">
            <wp:extent cx="5760720" cy="3453319"/>
            <wp:effectExtent l="0" t="0" r="11430" b="13970"/>
            <wp:docPr id="1914343202" name="Wykres 1" descr="Wykres przedstawia liczbę kąpielisk z podziałem na morskie i śródlądowe na każdy rok w okresie od roku 2014 do roku 2024, widoczny jest stały wzrost liczby kąpielisk w kolejnych latach.">
              <a:extLst xmlns:a="http://schemas.openxmlformats.org/drawingml/2006/main">
                <a:ext uri="{FF2B5EF4-FFF2-40B4-BE49-F238E27FC236}">
                  <a16:creationId xmlns:a16="http://schemas.microsoft.com/office/drawing/2014/main" id="{809294EB-58A3-0130-AFA4-401748170C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38739CF" w14:textId="77777777" w:rsidR="00DD3EBB" w:rsidRDefault="00DD3EBB" w:rsidP="00597239">
      <w:pPr>
        <w:spacing w:after="0" w:line="276" w:lineRule="auto"/>
        <w:rPr>
          <w:rFonts w:ascii="Calibri" w:hAnsi="Calibri" w:cs="Calibri"/>
          <w:iCs/>
          <w:sz w:val="24"/>
          <w:szCs w:val="24"/>
        </w:rPr>
      </w:pPr>
    </w:p>
    <w:p w14:paraId="7E96A37C" w14:textId="40D98319" w:rsidR="003311AE" w:rsidRPr="00622A85" w:rsidRDefault="003311AE" w:rsidP="00597239">
      <w:pPr>
        <w:spacing w:after="0" w:line="276" w:lineRule="auto"/>
        <w:rPr>
          <w:rFonts w:ascii="Calibri" w:hAnsi="Calibri" w:cs="Calibri"/>
          <w:iCs/>
          <w:sz w:val="24"/>
          <w:szCs w:val="24"/>
        </w:rPr>
      </w:pPr>
      <w:r w:rsidRPr="00622A85">
        <w:rPr>
          <w:rFonts w:ascii="Calibri" w:hAnsi="Calibri" w:cs="Calibri"/>
          <w:iCs/>
          <w:sz w:val="24"/>
          <w:szCs w:val="24"/>
        </w:rPr>
        <w:t>Sezon kąpielowy w woj. zachodniopomorskim trwa od 1 czerwca do 30 września, ale</w:t>
      </w:r>
      <w:r w:rsidR="00851F01">
        <w:rPr>
          <w:rFonts w:ascii="Calibri" w:hAnsi="Calibri" w:cs="Calibri"/>
          <w:iCs/>
          <w:sz w:val="24"/>
          <w:szCs w:val="24"/>
        </w:rPr>
        <w:t> </w:t>
      </w:r>
      <w:r w:rsidRPr="00622A85">
        <w:rPr>
          <w:rFonts w:ascii="Calibri" w:hAnsi="Calibri" w:cs="Calibri"/>
          <w:iCs/>
          <w:sz w:val="24"/>
          <w:szCs w:val="24"/>
        </w:rPr>
        <w:t>na</w:t>
      </w:r>
      <w:r w:rsidR="00851F01">
        <w:rPr>
          <w:rFonts w:ascii="Calibri" w:hAnsi="Calibri" w:cs="Calibri"/>
          <w:iCs/>
          <w:sz w:val="24"/>
          <w:szCs w:val="24"/>
        </w:rPr>
        <w:t> </w:t>
      </w:r>
      <w:r w:rsidRPr="00622A85">
        <w:rPr>
          <w:rFonts w:ascii="Calibri" w:hAnsi="Calibri" w:cs="Calibri"/>
          <w:iCs/>
          <w:sz w:val="24"/>
          <w:szCs w:val="24"/>
        </w:rPr>
        <w:t xml:space="preserve">większości kąpielisk kończy się wraz z ostatnim dniem wakacji. </w:t>
      </w:r>
    </w:p>
    <w:p w14:paraId="5AB562BE" w14:textId="268CA60A" w:rsidR="003311AE" w:rsidRDefault="003311AE" w:rsidP="00597239">
      <w:pPr>
        <w:spacing w:after="0" w:line="276" w:lineRule="auto"/>
        <w:rPr>
          <w:rFonts w:ascii="Calibri" w:hAnsi="Calibri" w:cs="Calibri"/>
          <w:bCs/>
          <w:iCs/>
          <w:sz w:val="24"/>
          <w:szCs w:val="24"/>
        </w:rPr>
      </w:pPr>
      <w:r w:rsidRPr="00622A85">
        <w:rPr>
          <w:rFonts w:ascii="Calibri" w:hAnsi="Calibri" w:cs="Calibri"/>
          <w:iCs/>
          <w:sz w:val="24"/>
          <w:szCs w:val="24"/>
        </w:rPr>
        <w:t xml:space="preserve">W sezonie kąpielowym 2024, podobnie jak w latach poprzednich, na stronie Głównego Inspektoratu Sanitarnego pod adresem </w:t>
      </w:r>
      <w:r w:rsidRPr="00622A85">
        <w:rPr>
          <w:rFonts w:ascii="Calibri" w:hAnsi="Calibri" w:cs="Calibri"/>
          <w:iCs/>
          <w:sz w:val="24"/>
          <w:szCs w:val="24"/>
          <w:u w:val="single"/>
        </w:rPr>
        <w:t>http://sk.gis.gov.pl/</w:t>
      </w:r>
      <w:r w:rsidRPr="00622A85">
        <w:rPr>
          <w:rFonts w:ascii="Calibri" w:hAnsi="Calibri" w:cs="Calibri"/>
          <w:iCs/>
          <w:sz w:val="24"/>
          <w:szCs w:val="24"/>
        </w:rPr>
        <w:t xml:space="preserve"> funkcjonował internetowy </w:t>
      </w:r>
      <w:r w:rsidRPr="00622A85">
        <w:rPr>
          <w:rFonts w:ascii="Calibri" w:hAnsi="Calibri" w:cs="Calibri"/>
          <w:bCs/>
          <w:i/>
          <w:iCs/>
          <w:sz w:val="24"/>
          <w:szCs w:val="24"/>
        </w:rPr>
        <w:t>Serwis kąpieliskowy</w:t>
      </w:r>
      <w:r w:rsidRPr="00622A85">
        <w:rPr>
          <w:rFonts w:ascii="Calibri" w:hAnsi="Calibri" w:cs="Calibri"/>
          <w:bCs/>
          <w:iCs/>
          <w:sz w:val="24"/>
          <w:szCs w:val="24"/>
        </w:rPr>
        <w:t xml:space="preserve">. Serwis ten jest portalem informacyjnym o jakości wody w kąpieliskach, obrazującym na mapie Polski wykaz wszystkich kąpielisk. Serwis kąpieliskowy jest uzupełniany przez organizatora kąpieliska (temperatura wody, temperatura powietrza, siła </w:t>
      </w:r>
      <w:r w:rsidRPr="00622A85">
        <w:rPr>
          <w:rFonts w:ascii="Calibri" w:hAnsi="Calibri" w:cs="Calibri"/>
          <w:bCs/>
          <w:iCs/>
          <w:sz w:val="24"/>
          <w:szCs w:val="24"/>
        </w:rPr>
        <w:lastRenderedPageBreak/>
        <w:t>wiatru) oraz</w:t>
      </w:r>
      <w:r w:rsidR="00851F01">
        <w:rPr>
          <w:rFonts w:ascii="Calibri" w:hAnsi="Calibri" w:cs="Calibri"/>
          <w:bCs/>
          <w:iCs/>
          <w:sz w:val="24"/>
          <w:szCs w:val="24"/>
        </w:rPr>
        <w:t> </w:t>
      </w:r>
      <w:r w:rsidRPr="00622A85">
        <w:rPr>
          <w:rFonts w:ascii="Calibri" w:hAnsi="Calibri" w:cs="Calibri"/>
          <w:bCs/>
          <w:iCs/>
          <w:sz w:val="24"/>
          <w:szCs w:val="24"/>
        </w:rPr>
        <w:t>organy Państwowej Inspekcji Sanitarnej (wyniki badań wody, informacje o zakazie kąpieli). Dodatkowo Serwis Kąpieliskowy zawiera informacje o</w:t>
      </w:r>
      <w:r w:rsidR="003970FD" w:rsidRPr="00622A85">
        <w:rPr>
          <w:rFonts w:ascii="Calibri" w:hAnsi="Calibri" w:cs="Calibri"/>
          <w:bCs/>
          <w:iCs/>
          <w:sz w:val="24"/>
          <w:szCs w:val="24"/>
        </w:rPr>
        <w:t> </w:t>
      </w:r>
      <w:r w:rsidRPr="00622A85">
        <w:rPr>
          <w:rFonts w:ascii="Calibri" w:hAnsi="Calibri" w:cs="Calibri"/>
          <w:bCs/>
          <w:iCs/>
          <w:sz w:val="24"/>
          <w:szCs w:val="24"/>
        </w:rPr>
        <w:t>infrastrukturze znajdującej się na</w:t>
      </w:r>
      <w:r w:rsidR="00851F01">
        <w:rPr>
          <w:rFonts w:ascii="Calibri" w:hAnsi="Calibri" w:cs="Calibri"/>
          <w:bCs/>
          <w:iCs/>
          <w:sz w:val="24"/>
          <w:szCs w:val="24"/>
        </w:rPr>
        <w:t> </w:t>
      </w:r>
      <w:r w:rsidRPr="00622A85">
        <w:rPr>
          <w:rFonts w:ascii="Calibri" w:hAnsi="Calibri" w:cs="Calibri"/>
          <w:bCs/>
          <w:iCs/>
          <w:sz w:val="24"/>
          <w:szCs w:val="24"/>
        </w:rPr>
        <w:t>obszarze kąpieliska.</w:t>
      </w:r>
    </w:p>
    <w:p w14:paraId="68278198" w14:textId="77777777" w:rsidR="00DD3EBB" w:rsidRPr="00622A85" w:rsidRDefault="00DD3EBB" w:rsidP="00597239">
      <w:pPr>
        <w:spacing w:after="0" w:line="276" w:lineRule="auto"/>
        <w:rPr>
          <w:rFonts w:ascii="Calibri" w:hAnsi="Calibri" w:cs="Calibri"/>
          <w:bCs/>
          <w:iCs/>
          <w:sz w:val="24"/>
          <w:szCs w:val="24"/>
        </w:rPr>
      </w:pPr>
    </w:p>
    <w:p w14:paraId="5A6E73F9" w14:textId="48792678" w:rsidR="003311AE" w:rsidRPr="00F76E0F" w:rsidRDefault="003311AE" w:rsidP="00597239">
      <w:pPr>
        <w:pStyle w:val="Nagwek2"/>
        <w:numPr>
          <w:ilvl w:val="0"/>
          <w:numId w:val="69"/>
        </w:numPr>
        <w:spacing w:before="0" w:after="0"/>
        <w:ind w:left="284" w:hanging="284"/>
        <w:jc w:val="left"/>
      </w:pPr>
      <w:bookmarkStart w:id="307" w:name="_Toc194059835"/>
      <w:r w:rsidRPr="00FA08E1">
        <w:t>Stan sanitarny i jakość wody w kąpieliskach</w:t>
      </w:r>
      <w:bookmarkEnd w:id="307"/>
    </w:p>
    <w:p w14:paraId="5A640A2C" w14:textId="23974AD8" w:rsidR="003311AE" w:rsidRPr="0013552D" w:rsidRDefault="003311AE" w:rsidP="00597239">
      <w:pPr>
        <w:spacing w:after="0" w:line="276" w:lineRule="auto"/>
        <w:rPr>
          <w:rFonts w:ascii="Calibri" w:hAnsi="Calibri" w:cs="Calibri"/>
          <w:iCs/>
          <w:sz w:val="24"/>
          <w:szCs w:val="24"/>
        </w:rPr>
      </w:pPr>
      <w:r w:rsidRPr="0013552D">
        <w:rPr>
          <w:rFonts w:ascii="Calibri" w:hAnsi="Calibri" w:cs="Calibri"/>
          <w:iCs/>
          <w:sz w:val="24"/>
          <w:szCs w:val="24"/>
        </w:rPr>
        <w:t>Przed rozpoczęciem sezonu kąpielowego organizatorzy w porozumieniu z właściwymi państwowymi inspektorami sanitarnymi ustalili harmonogramy pobierania próbek wody z kąpielisk wraz z</w:t>
      </w:r>
      <w:r w:rsidR="003970FD" w:rsidRPr="0013552D">
        <w:rPr>
          <w:rFonts w:ascii="Calibri" w:hAnsi="Calibri" w:cs="Calibri"/>
          <w:iCs/>
          <w:sz w:val="24"/>
          <w:szCs w:val="24"/>
        </w:rPr>
        <w:t> </w:t>
      </w:r>
      <w:r w:rsidRPr="0013552D">
        <w:rPr>
          <w:rFonts w:ascii="Calibri" w:hAnsi="Calibri" w:cs="Calibri"/>
          <w:iCs/>
          <w:sz w:val="24"/>
          <w:szCs w:val="24"/>
        </w:rPr>
        <w:t>określeniem lokalizacji punktów poboru.</w:t>
      </w:r>
    </w:p>
    <w:p w14:paraId="4AE71758" w14:textId="75971E00" w:rsidR="003311AE" w:rsidRPr="0013552D" w:rsidRDefault="003311AE" w:rsidP="00597239">
      <w:pPr>
        <w:spacing w:after="0" w:line="276" w:lineRule="auto"/>
        <w:rPr>
          <w:rFonts w:ascii="Calibri" w:hAnsi="Calibri" w:cs="Calibri"/>
          <w:iCs/>
          <w:sz w:val="24"/>
          <w:szCs w:val="24"/>
        </w:rPr>
      </w:pPr>
      <w:r w:rsidRPr="0013552D">
        <w:rPr>
          <w:rFonts w:ascii="Calibri" w:hAnsi="Calibri" w:cs="Calibri"/>
          <w:iCs/>
          <w:sz w:val="24"/>
          <w:szCs w:val="24"/>
        </w:rPr>
        <w:t>W sezonie monitorowano jakość wody na wszystkich kąpieliskach. Pobrano łącznie 774 próbki wody, w tym: 598 w ramach kontroli wewnętrznej realizowanej przez organizatorów kąpielisk oraz 176 w</w:t>
      </w:r>
      <w:r w:rsidR="003970FD" w:rsidRPr="0013552D">
        <w:rPr>
          <w:rFonts w:ascii="Calibri" w:hAnsi="Calibri" w:cs="Calibri"/>
          <w:iCs/>
          <w:sz w:val="24"/>
          <w:szCs w:val="24"/>
        </w:rPr>
        <w:t> </w:t>
      </w:r>
      <w:r w:rsidRPr="0013552D">
        <w:rPr>
          <w:rFonts w:ascii="Calibri" w:hAnsi="Calibri" w:cs="Calibri"/>
          <w:iCs/>
          <w:sz w:val="24"/>
          <w:szCs w:val="24"/>
        </w:rPr>
        <w:t xml:space="preserve">ramach kontroli urzędowej sprawowanej przez organy Państwowej Inspekcji Sanitarnej. </w:t>
      </w:r>
    </w:p>
    <w:p w14:paraId="4C996B90" w14:textId="77777777" w:rsidR="00DD3EBB" w:rsidRDefault="00DD3EBB" w:rsidP="00597239">
      <w:pPr>
        <w:spacing w:after="0" w:line="276" w:lineRule="auto"/>
        <w:rPr>
          <w:rFonts w:ascii="Calibri" w:hAnsi="Calibri" w:cs="Calibri"/>
          <w:iCs/>
          <w:sz w:val="24"/>
          <w:szCs w:val="24"/>
        </w:rPr>
      </w:pPr>
    </w:p>
    <w:p w14:paraId="1E777140" w14:textId="700A0CC9" w:rsidR="003311AE" w:rsidRPr="0013552D" w:rsidRDefault="003311AE" w:rsidP="00597239">
      <w:pPr>
        <w:spacing w:after="0" w:line="276" w:lineRule="auto"/>
        <w:rPr>
          <w:rFonts w:ascii="Calibri" w:hAnsi="Calibri" w:cs="Calibri"/>
          <w:iCs/>
          <w:sz w:val="24"/>
          <w:szCs w:val="24"/>
        </w:rPr>
      </w:pPr>
      <w:r w:rsidRPr="0013552D">
        <w:rPr>
          <w:rFonts w:ascii="Calibri" w:hAnsi="Calibri" w:cs="Calibri"/>
          <w:iCs/>
          <w:sz w:val="24"/>
          <w:szCs w:val="24"/>
        </w:rPr>
        <w:t>W przypadku, gdy jakość wody w kąpielisku nie spełniała wymagań rozporządzenia Ministra Zdrowia z</w:t>
      </w:r>
      <w:r w:rsidR="003970FD" w:rsidRPr="0013552D">
        <w:rPr>
          <w:rFonts w:ascii="Calibri" w:hAnsi="Calibri" w:cs="Calibri"/>
          <w:iCs/>
          <w:sz w:val="24"/>
          <w:szCs w:val="24"/>
        </w:rPr>
        <w:t> </w:t>
      </w:r>
      <w:r w:rsidRPr="0013552D">
        <w:rPr>
          <w:rFonts w:ascii="Calibri" w:hAnsi="Calibri" w:cs="Calibri"/>
          <w:iCs/>
          <w:sz w:val="24"/>
          <w:szCs w:val="24"/>
        </w:rPr>
        <w:t>dnia</w:t>
      </w:r>
      <w:r w:rsidRPr="0013552D">
        <w:rPr>
          <w:rFonts w:ascii="Calibri" w:hAnsi="Calibri" w:cs="Calibri"/>
          <w:sz w:val="24"/>
          <w:szCs w:val="24"/>
        </w:rPr>
        <w:t xml:space="preserve"> 17 stycznia 2019 r.</w:t>
      </w:r>
      <w:r w:rsidRPr="0013552D">
        <w:rPr>
          <w:rFonts w:ascii="Calibri" w:hAnsi="Calibri" w:cs="Calibri"/>
          <w:i/>
          <w:iCs/>
          <w:sz w:val="24"/>
          <w:szCs w:val="24"/>
        </w:rPr>
        <w:t xml:space="preserve"> </w:t>
      </w:r>
      <w:r w:rsidRPr="00E1236C">
        <w:rPr>
          <w:rFonts w:ascii="Calibri" w:hAnsi="Calibri" w:cs="Calibri"/>
          <w:sz w:val="24"/>
          <w:szCs w:val="24"/>
        </w:rPr>
        <w:t>w sprawie nadzoru nad jakością wody w kąpielisku i miejscu okazjonalnie wykorzystywanym do kąpieli</w:t>
      </w:r>
      <w:r w:rsidRPr="0013552D">
        <w:rPr>
          <w:rFonts w:ascii="Calibri" w:hAnsi="Calibri" w:cs="Calibri"/>
          <w:i/>
          <w:iCs/>
          <w:sz w:val="24"/>
          <w:szCs w:val="24"/>
        </w:rPr>
        <w:t xml:space="preserve"> </w:t>
      </w:r>
      <w:r w:rsidRPr="0013552D">
        <w:rPr>
          <w:rFonts w:ascii="Calibri" w:hAnsi="Calibri" w:cs="Calibri"/>
          <w:sz w:val="24"/>
          <w:szCs w:val="24"/>
        </w:rPr>
        <w:t>(Dz.U. z 2019 poz. 255)</w:t>
      </w:r>
      <w:r w:rsidRPr="0013552D">
        <w:rPr>
          <w:rFonts w:ascii="Calibri" w:hAnsi="Calibri" w:cs="Calibri"/>
          <w:iCs/>
          <w:sz w:val="24"/>
          <w:szCs w:val="24"/>
        </w:rPr>
        <w:t xml:space="preserve"> właściwy państwowy powiatowy inspektor sanitarny wprowadzał zakaz kąpieli. Przyczyną kwestionowania jakości wody było wystąpienie zakwitu sinic (31 przypadków) oraz przekroczenie wartości wskaźników zanieczyszczenia mikrobiologicznego wody (16 przypadków). W trakcie sezonu kąpielowego 2024 na terenie woj. zachodniopomorskiego wydanych zostało łącznie 47 decyzji dot. zakazu kąpieli w 24 kąpieliskach, w tym:</w:t>
      </w:r>
    </w:p>
    <w:p w14:paraId="67405567" w14:textId="77777777" w:rsidR="003311AE" w:rsidRPr="00FD3723" w:rsidRDefault="003311AE" w:rsidP="00597239">
      <w:pPr>
        <w:pStyle w:val="Akapitzlist"/>
        <w:numPr>
          <w:ilvl w:val="0"/>
          <w:numId w:val="95"/>
        </w:numPr>
        <w:spacing w:after="0" w:line="276" w:lineRule="auto"/>
        <w:ind w:left="714" w:hanging="357"/>
        <w:rPr>
          <w:rFonts w:ascii="Calibri" w:hAnsi="Calibri" w:cs="Calibri"/>
          <w:iCs/>
          <w:sz w:val="24"/>
          <w:szCs w:val="24"/>
        </w:rPr>
      </w:pPr>
      <w:r w:rsidRPr="00FD3723">
        <w:rPr>
          <w:rFonts w:ascii="Calibri" w:hAnsi="Calibri" w:cs="Calibri"/>
          <w:iCs/>
          <w:sz w:val="24"/>
          <w:szCs w:val="24"/>
        </w:rPr>
        <w:t xml:space="preserve">pow. goleniowski: „Kąpielisko w Stepnicy nad Zalewem Szczecińskim” trzykrotnie - zakwit sinic, Kąpielisko śródlądowe w Lubczynie jednokrotnie - </w:t>
      </w:r>
      <w:r w:rsidRPr="00FD3723">
        <w:rPr>
          <w:rFonts w:ascii="Calibri" w:hAnsi="Calibri" w:cs="Calibri"/>
          <w:i/>
          <w:sz w:val="24"/>
          <w:szCs w:val="24"/>
        </w:rPr>
        <w:t>Escherichia coli</w:t>
      </w:r>
      <w:r w:rsidRPr="00FD3723">
        <w:rPr>
          <w:rFonts w:ascii="Calibri" w:hAnsi="Calibri" w:cs="Calibri"/>
          <w:iCs/>
          <w:sz w:val="24"/>
          <w:szCs w:val="24"/>
        </w:rPr>
        <w:t xml:space="preserve"> oraz jednokrotnie - </w:t>
      </w:r>
      <w:r w:rsidRPr="00E1236C">
        <w:rPr>
          <w:rFonts w:ascii="Calibri" w:hAnsi="Calibri" w:cs="Calibri"/>
          <w:iCs/>
          <w:sz w:val="24"/>
          <w:szCs w:val="24"/>
        </w:rPr>
        <w:t>Escherichia coli</w:t>
      </w:r>
      <w:r w:rsidRPr="00FD3723">
        <w:rPr>
          <w:rFonts w:ascii="Calibri" w:hAnsi="Calibri" w:cs="Calibri"/>
          <w:iCs/>
          <w:sz w:val="24"/>
          <w:szCs w:val="24"/>
        </w:rPr>
        <w:t xml:space="preserve"> i przypadek śnięcia ryb;</w:t>
      </w:r>
    </w:p>
    <w:p w14:paraId="2A193041" w14:textId="77777777" w:rsidR="003311AE" w:rsidRPr="00FD3723" w:rsidRDefault="003311AE" w:rsidP="00597239">
      <w:pPr>
        <w:pStyle w:val="Akapitzlist"/>
        <w:numPr>
          <w:ilvl w:val="0"/>
          <w:numId w:val="95"/>
        </w:numPr>
        <w:spacing w:after="0" w:line="276" w:lineRule="auto"/>
        <w:ind w:left="714" w:hanging="357"/>
        <w:rPr>
          <w:rFonts w:ascii="Calibri" w:hAnsi="Calibri" w:cs="Calibri"/>
          <w:iCs/>
          <w:sz w:val="24"/>
          <w:szCs w:val="24"/>
        </w:rPr>
      </w:pPr>
      <w:bookmarkStart w:id="308" w:name="_Hlk127352068"/>
      <w:r w:rsidRPr="00FD3723">
        <w:rPr>
          <w:rFonts w:ascii="Calibri" w:hAnsi="Calibri" w:cs="Calibri"/>
          <w:iCs/>
          <w:sz w:val="24"/>
          <w:szCs w:val="24"/>
        </w:rPr>
        <w:t xml:space="preserve">pow. wałecki: Kąpielisko „Plaża nad Zamkowym” jednokrotnie - zakwit sinic, Kąpielisko nad Jeziorem </w:t>
      </w:r>
      <w:proofErr w:type="spellStart"/>
      <w:r w:rsidRPr="00FD3723">
        <w:rPr>
          <w:rFonts w:ascii="Calibri" w:hAnsi="Calibri" w:cs="Calibri"/>
          <w:iCs/>
          <w:sz w:val="24"/>
          <w:szCs w:val="24"/>
        </w:rPr>
        <w:t>Kosiakowo</w:t>
      </w:r>
      <w:proofErr w:type="spellEnd"/>
      <w:r w:rsidRPr="00FD3723">
        <w:rPr>
          <w:rFonts w:ascii="Calibri" w:hAnsi="Calibri" w:cs="Calibri"/>
          <w:iCs/>
          <w:sz w:val="24"/>
          <w:szCs w:val="24"/>
        </w:rPr>
        <w:t xml:space="preserve"> (Korytnickie) jednokrotnie - zakwit sinic;</w:t>
      </w:r>
    </w:p>
    <w:p w14:paraId="235CED4E" w14:textId="77777777" w:rsidR="003311AE" w:rsidRPr="00FD3723" w:rsidRDefault="003311AE" w:rsidP="00597239">
      <w:pPr>
        <w:pStyle w:val="Akapitzlist"/>
        <w:numPr>
          <w:ilvl w:val="0"/>
          <w:numId w:val="95"/>
        </w:numPr>
        <w:spacing w:after="0" w:line="276" w:lineRule="auto"/>
        <w:ind w:left="714" w:hanging="357"/>
        <w:rPr>
          <w:rFonts w:ascii="Calibri" w:hAnsi="Calibri" w:cs="Calibri"/>
          <w:iCs/>
          <w:sz w:val="24"/>
          <w:szCs w:val="24"/>
        </w:rPr>
      </w:pPr>
      <w:r w:rsidRPr="00FD3723">
        <w:rPr>
          <w:rFonts w:ascii="Calibri" w:hAnsi="Calibri" w:cs="Calibri"/>
          <w:iCs/>
          <w:sz w:val="24"/>
          <w:szCs w:val="24"/>
        </w:rPr>
        <w:t xml:space="preserve">pow. szczecinecki: Kąpielisko nr 1 - nad jez. </w:t>
      </w:r>
      <w:proofErr w:type="spellStart"/>
      <w:r w:rsidRPr="00FD3723">
        <w:rPr>
          <w:rFonts w:ascii="Calibri" w:hAnsi="Calibri" w:cs="Calibri"/>
          <w:iCs/>
          <w:sz w:val="24"/>
          <w:szCs w:val="24"/>
        </w:rPr>
        <w:t>Trzesiecko</w:t>
      </w:r>
      <w:proofErr w:type="spellEnd"/>
      <w:r w:rsidRPr="00FD3723">
        <w:rPr>
          <w:rFonts w:ascii="Calibri" w:hAnsi="Calibri" w:cs="Calibri"/>
          <w:iCs/>
          <w:sz w:val="24"/>
          <w:szCs w:val="24"/>
        </w:rPr>
        <w:t xml:space="preserve"> przy ul. Mickiewicza „Plaża Miejska” siedmiokrotnie </w:t>
      </w:r>
      <w:bookmarkStart w:id="309" w:name="_Hlk193373386"/>
      <w:r w:rsidRPr="00FD3723">
        <w:rPr>
          <w:rFonts w:ascii="Calibri" w:hAnsi="Calibri" w:cs="Calibri"/>
          <w:iCs/>
          <w:sz w:val="24"/>
          <w:szCs w:val="24"/>
        </w:rPr>
        <w:t>- zakwit sinic</w:t>
      </w:r>
      <w:bookmarkEnd w:id="309"/>
      <w:r w:rsidRPr="00FD3723">
        <w:rPr>
          <w:rFonts w:ascii="Calibri" w:hAnsi="Calibri" w:cs="Calibri"/>
          <w:iCs/>
          <w:sz w:val="24"/>
          <w:szCs w:val="24"/>
        </w:rPr>
        <w:t xml:space="preserve">, </w:t>
      </w:r>
      <w:r w:rsidRPr="00FD3723">
        <w:rPr>
          <w:rFonts w:ascii="Calibri" w:hAnsi="Calibri" w:cs="Calibri"/>
          <w:sz w:val="24"/>
          <w:szCs w:val="24"/>
        </w:rPr>
        <w:t xml:space="preserve">Kąpielisko nr 3 nad jeziorem </w:t>
      </w:r>
      <w:proofErr w:type="spellStart"/>
      <w:r w:rsidRPr="00FD3723">
        <w:rPr>
          <w:rFonts w:ascii="Calibri" w:hAnsi="Calibri" w:cs="Calibri"/>
          <w:sz w:val="24"/>
          <w:szCs w:val="24"/>
        </w:rPr>
        <w:t>Trzesiecko</w:t>
      </w:r>
      <w:proofErr w:type="spellEnd"/>
      <w:r w:rsidRPr="00FD3723">
        <w:rPr>
          <w:rFonts w:ascii="Calibri" w:hAnsi="Calibri" w:cs="Calibri"/>
          <w:sz w:val="24"/>
          <w:szCs w:val="24"/>
        </w:rPr>
        <w:t xml:space="preserve"> „Mysia Wyspa” trzykrotnie </w:t>
      </w:r>
      <w:r w:rsidRPr="00FD3723">
        <w:rPr>
          <w:rFonts w:ascii="Calibri" w:hAnsi="Calibri" w:cs="Calibri"/>
          <w:iCs/>
          <w:sz w:val="24"/>
          <w:szCs w:val="24"/>
        </w:rPr>
        <w:t>- zakwit sinic;</w:t>
      </w:r>
    </w:p>
    <w:p w14:paraId="3F088BF3" w14:textId="02DA1A72" w:rsidR="003311AE" w:rsidRPr="00FD3723" w:rsidRDefault="003311AE" w:rsidP="00597239">
      <w:pPr>
        <w:pStyle w:val="Akapitzlist"/>
        <w:numPr>
          <w:ilvl w:val="0"/>
          <w:numId w:val="95"/>
        </w:numPr>
        <w:spacing w:after="0" w:line="276" w:lineRule="auto"/>
        <w:ind w:left="714" w:hanging="357"/>
        <w:rPr>
          <w:rFonts w:ascii="Calibri" w:hAnsi="Calibri" w:cs="Calibri"/>
          <w:iCs/>
          <w:sz w:val="24"/>
          <w:szCs w:val="24"/>
        </w:rPr>
      </w:pPr>
      <w:r w:rsidRPr="00FD3723">
        <w:rPr>
          <w:rFonts w:ascii="Calibri" w:hAnsi="Calibri" w:cs="Calibri"/>
          <w:iCs/>
          <w:sz w:val="24"/>
          <w:szCs w:val="24"/>
        </w:rPr>
        <w:t xml:space="preserve">pow. drawski: Kąpielisko nad Jeziorem Drawsko przy ul. </w:t>
      </w:r>
      <w:r w:rsidR="00FD3723" w:rsidRPr="00FD3723">
        <w:rPr>
          <w:rFonts w:ascii="Calibri" w:hAnsi="Calibri" w:cs="Calibri"/>
          <w:iCs/>
          <w:sz w:val="24"/>
          <w:szCs w:val="24"/>
        </w:rPr>
        <w:t>Drahimskiej dwukrotnie</w:t>
      </w:r>
      <w:r w:rsidRPr="00FD3723">
        <w:rPr>
          <w:rFonts w:ascii="Calibri" w:hAnsi="Calibri" w:cs="Calibri"/>
          <w:iCs/>
          <w:sz w:val="24"/>
          <w:szCs w:val="24"/>
        </w:rPr>
        <w:t xml:space="preserve"> - zakwit sinic;</w:t>
      </w:r>
    </w:p>
    <w:p w14:paraId="45EDAF1C" w14:textId="77777777" w:rsidR="003311AE" w:rsidRPr="00FD3723" w:rsidRDefault="003311AE" w:rsidP="00597239">
      <w:pPr>
        <w:pStyle w:val="Akapitzlist"/>
        <w:numPr>
          <w:ilvl w:val="0"/>
          <w:numId w:val="95"/>
        </w:numPr>
        <w:spacing w:after="0" w:line="276" w:lineRule="auto"/>
        <w:ind w:left="714" w:hanging="357"/>
        <w:rPr>
          <w:rFonts w:ascii="Calibri" w:hAnsi="Calibri" w:cs="Calibri"/>
          <w:iCs/>
          <w:sz w:val="24"/>
          <w:szCs w:val="24"/>
        </w:rPr>
      </w:pPr>
      <w:r w:rsidRPr="00FD3723">
        <w:rPr>
          <w:rFonts w:ascii="Calibri" w:hAnsi="Calibri" w:cs="Calibri"/>
          <w:iCs/>
          <w:sz w:val="24"/>
          <w:szCs w:val="24"/>
        </w:rPr>
        <w:t xml:space="preserve">pow. gryficki: Kąpielisko Miejskie Stawek jednokrotnie - </w:t>
      </w:r>
      <w:r w:rsidRPr="00E1236C">
        <w:rPr>
          <w:rFonts w:ascii="Calibri" w:hAnsi="Calibri" w:cs="Calibri"/>
          <w:iCs/>
          <w:sz w:val="24"/>
          <w:szCs w:val="24"/>
        </w:rPr>
        <w:t>Escherichia coli</w:t>
      </w:r>
      <w:r w:rsidRPr="00FD3723">
        <w:rPr>
          <w:rFonts w:ascii="Calibri" w:hAnsi="Calibri" w:cs="Calibri"/>
          <w:iCs/>
          <w:sz w:val="24"/>
          <w:szCs w:val="24"/>
        </w:rPr>
        <w:t xml:space="preserve"> oraz jednokrotnie - zakwit sinic;</w:t>
      </w:r>
    </w:p>
    <w:p w14:paraId="4A63AA1A" w14:textId="77777777" w:rsidR="003311AE" w:rsidRPr="00FD3723" w:rsidRDefault="003311AE" w:rsidP="00597239">
      <w:pPr>
        <w:pStyle w:val="Akapitzlist"/>
        <w:numPr>
          <w:ilvl w:val="0"/>
          <w:numId w:val="95"/>
        </w:numPr>
        <w:spacing w:after="0" w:line="276" w:lineRule="auto"/>
        <w:ind w:left="714" w:hanging="357"/>
        <w:rPr>
          <w:rFonts w:ascii="Calibri" w:hAnsi="Calibri" w:cs="Calibri"/>
          <w:iCs/>
          <w:sz w:val="24"/>
          <w:szCs w:val="24"/>
        </w:rPr>
      </w:pPr>
      <w:r w:rsidRPr="00FD3723">
        <w:rPr>
          <w:rFonts w:ascii="Calibri" w:hAnsi="Calibri" w:cs="Calibri"/>
          <w:iCs/>
          <w:sz w:val="24"/>
          <w:szCs w:val="24"/>
        </w:rPr>
        <w:t xml:space="preserve">pow. sławieński: Kąpielisko Jarosławiec Wschód Plaża Centralna jednokrotnie - </w:t>
      </w:r>
      <w:r w:rsidRPr="00E1236C">
        <w:rPr>
          <w:rFonts w:ascii="Calibri" w:hAnsi="Calibri" w:cs="Calibri"/>
          <w:iCs/>
          <w:sz w:val="24"/>
          <w:szCs w:val="24"/>
        </w:rPr>
        <w:t>Escherichia coli</w:t>
      </w:r>
      <w:r w:rsidRPr="00FD3723">
        <w:rPr>
          <w:rFonts w:ascii="Calibri" w:hAnsi="Calibri" w:cs="Calibri"/>
          <w:i/>
          <w:iCs/>
          <w:sz w:val="24"/>
          <w:szCs w:val="24"/>
        </w:rPr>
        <w:t xml:space="preserve">, </w:t>
      </w:r>
      <w:r w:rsidRPr="00FD3723">
        <w:rPr>
          <w:rFonts w:ascii="Calibri" w:hAnsi="Calibri" w:cs="Calibri"/>
          <w:iCs/>
          <w:sz w:val="24"/>
          <w:szCs w:val="24"/>
        </w:rPr>
        <w:t xml:space="preserve">Kąpielisko Dąbki Zachód- kąpielisko II” jednokrotnie - </w:t>
      </w:r>
      <w:r w:rsidRPr="00E1236C">
        <w:rPr>
          <w:rFonts w:ascii="Calibri" w:hAnsi="Calibri" w:cs="Calibri"/>
          <w:iCs/>
          <w:sz w:val="24"/>
          <w:szCs w:val="24"/>
        </w:rPr>
        <w:t>Escherichia coli</w:t>
      </w:r>
      <w:r w:rsidRPr="00FD3723">
        <w:rPr>
          <w:rFonts w:ascii="Calibri" w:hAnsi="Calibri" w:cs="Calibri"/>
          <w:i/>
          <w:iCs/>
          <w:sz w:val="24"/>
          <w:szCs w:val="24"/>
        </w:rPr>
        <w:t>;</w:t>
      </w:r>
    </w:p>
    <w:p w14:paraId="6C81749E" w14:textId="77777777" w:rsidR="003311AE" w:rsidRPr="00FD3723" w:rsidRDefault="003311AE" w:rsidP="00597239">
      <w:pPr>
        <w:pStyle w:val="Akapitzlist"/>
        <w:numPr>
          <w:ilvl w:val="0"/>
          <w:numId w:val="95"/>
        </w:numPr>
        <w:spacing w:after="0" w:line="276" w:lineRule="auto"/>
        <w:ind w:left="714" w:hanging="357"/>
        <w:rPr>
          <w:rFonts w:ascii="Calibri" w:hAnsi="Calibri" w:cs="Calibri"/>
          <w:sz w:val="24"/>
          <w:szCs w:val="24"/>
        </w:rPr>
      </w:pPr>
      <w:r w:rsidRPr="00FD3723">
        <w:rPr>
          <w:rFonts w:ascii="Calibri" w:hAnsi="Calibri" w:cs="Calibri"/>
          <w:sz w:val="24"/>
          <w:szCs w:val="24"/>
        </w:rPr>
        <w:t xml:space="preserve">pow. kamieński: Kąpielisko </w:t>
      </w:r>
      <w:proofErr w:type="spellStart"/>
      <w:r w:rsidRPr="00FD3723">
        <w:rPr>
          <w:rFonts w:ascii="Calibri" w:hAnsi="Calibri" w:cs="Calibri"/>
          <w:sz w:val="24"/>
          <w:szCs w:val="24"/>
        </w:rPr>
        <w:t>Szczucze</w:t>
      </w:r>
      <w:proofErr w:type="spellEnd"/>
      <w:r w:rsidRPr="00FD3723">
        <w:rPr>
          <w:rFonts w:ascii="Calibri" w:hAnsi="Calibri" w:cs="Calibri"/>
          <w:sz w:val="24"/>
          <w:szCs w:val="24"/>
        </w:rPr>
        <w:t xml:space="preserve"> na jeziorze </w:t>
      </w:r>
      <w:proofErr w:type="spellStart"/>
      <w:r w:rsidRPr="00FD3723">
        <w:rPr>
          <w:rFonts w:ascii="Calibri" w:hAnsi="Calibri" w:cs="Calibri"/>
          <w:sz w:val="24"/>
          <w:szCs w:val="24"/>
        </w:rPr>
        <w:t>Szczucze</w:t>
      </w:r>
      <w:proofErr w:type="spellEnd"/>
      <w:r w:rsidRPr="00FD3723">
        <w:rPr>
          <w:rFonts w:ascii="Calibri" w:hAnsi="Calibri" w:cs="Calibri"/>
          <w:sz w:val="24"/>
          <w:szCs w:val="24"/>
        </w:rPr>
        <w:t xml:space="preserve"> w Golczewie dwukrotnie - zakwit sinic, Kąpielisko morskie Dziwnówek </w:t>
      </w:r>
      <w:r w:rsidRPr="00FD3723">
        <w:rPr>
          <w:rFonts w:ascii="Calibri" w:hAnsi="Calibri" w:cs="Calibri"/>
          <w:iCs/>
          <w:sz w:val="24"/>
          <w:szCs w:val="24"/>
        </w:rPr>
        <w:t xml:space="preserve">jednokrotnie - </w:t>
      </w:r>
      <w:r w:rsidRPr="00E1236C">
        <w:rPr>
          <w:rFonts w:ascii="Calibri" w:hAnsi="Calibri" w:cs="Calibri"/>
          <w:iCs/>
          <w:sz w:val="24"/>
          <w:szCs w:val="24"/>
        </w:rPr>
        <w:t>Escherichia coli</w:t>
      </w:r>
      <w:r w:rsidRPr="00FD3723">
        <w:rPr>
          <w:rFonts w:ascii="Calibri" w:hAnsi="Calibri" w:cs="Calibri"/>
          <w:i/>
          <w:sz w:val="24"/>
          <w:szCs w:val="24"/>
        </w:rPr>
        <w:t>;</w:t>
      </w:r>
    </w:p>
    <w:p w14:paraId="3D63D50C" w14:textId="3C50E64A" w:rsidR="003311AE" w:rsidRPr="00FD3723" w:rsidRDefault="003311AE" w:rsidP="00597239">
      <w:pPr>
        <w:pStyle w:val="Akapitzlist"/>
        <w:numPr>
          <w:ilvl w:val="0"/>
          <w:numId w:val="95"/>
        </w:numPr>
        <w:spacing w:after="0" w:line="276" w:lineRule="auto"/>
        <w:ind w:left="714" w:hanging="357"/>
        <w:rPr>
          <w:rFonts w:ascii="Calibri" w:hAnsi="Calibri" w:cs="Calibri"/>
          <w:sz w:val="24"/>
          <w:szCs w:val="24"/>
        </w:rPr>
      </w:pPr>
      <w:r w:rsidRPr="00FD3723">
        <w:rPr>
          <w:rFonts w:ascii="Calibri" w:hAnsi="Calibri" w:cs="Calibri"/>
          <w:sz w:val="24"/>
          <w:szCs w:val="24"/>
        </w:rPr>
        <w:t xml:space="preserve">pow. kołobrzeski: Kąpielisko morskie Ustronie Morskie „Centrala” </w:t>
      </w:r>
      <w:r w:rsidRPr="00FD3723">
        <w:rPr>
          <w:rFonts w:ascii="Calibri" w:hAnsi="Calibri" w:cs="Calibri"/>
          <w:iCs/>
          <w:sz w:val="24"/>
          <w:szCs w:val="24"/>
        </w:rPr>
        <w:t xml:space="preserve">jednokrotnie - </w:t>
      </w:r>
      <w:r w:rsidRPr="00FD3723">
        <w:rPr>
          <w:rFonts w:ascii="Calibri" w:hAnsi="Calibri" w:cs="Calibri"/>
          <w:i/>
          <w:sz w:val="24"/>
          <w:szCs w:val="24"/>
        </w:rPr>
        <w:t>Escherichia coli</w:t>
      </w:r>
      <w:r w:rsidRPr="00FD3723">
        <w:rPr>
          <w:rFonts w:ascii="Calibri" w:hAnsi="Calibri" w:cs="Calibri"/>
          <w:sz w:val="24"/>
          <w:szCs w:val="24"/>
        </w:rPr>
        <w:t xml:space="preserve"> i </w:t>
      </w:r>
      <w:proofErr w:type="spellStart"/>
      <w:r w:rsidRPr="00FD3723">
        <w:rPr>
          <w:rFonts w:ascii="Calibri" w:hAnsi="Calibri" w:cs="Calibri"/>
          <w:sz w:val="24"/>
          <w:szCs w:val="24"/>
        </w:rPr>
        <w:t>Enterokoki</w:t>
      </w:r>
      <w:proofErr w:type="spellEnd"/>
      <w:r w:rsidRPr="00FD3723">
        <w:rPr>
          <w:rFonts w:ascii="Calibri" w:hAnsi="Calibri" w:cs="Calibri"/>
          <w:sz w:val="24"/>
          <w:szCs w:val="24"/>
        </w:rPr>
        <w:t xml:space="preserve"> kałowe oraz </w:t>
      </w:r>
      <w:r w:rsidRPr="00FD3723">
        <w:rPr>
          <w:rFonts w:ascii="Calibri" w:hAnsi="Calibri" w:cs="Calibri"/>
          <w:iCs/>
          <w:sz w:val="24"/>
          <w:szCs w:val="24"/>
        </w:rPr>
        <w:t xml:space="preserve">jednokrotnie - </w:t>
      </w:r>
      <w:r w:rsidRPr="00FD3723">
        <w:rPr>
          <w:rFonts w:ascii="Calibri" w:hAnsi="Calibri" w:cs="Calibri"/>
          <w:i/>
          <w:sz w:val="24"/>
          <w:szCs w:val="24"/>
        </w:rPr>
        <w:t>Escherichia coli</w:t>
      </w:r>
      <w:r w:rsidRPr="00FD3723">
        <w:rPr>
          <w:rFonts w:ascii="Calibri" w:hAnsi="Calibri" w:cs="Calibri"/>
          <w:sz w:val="24"/>
          <w:szCs w:val="24"/>
        </w:rPr>
        <w:t xml:space="preserve">, Kąpielisko morskie Ustronie Morskie „Fregata” dwukrotnie - </w:t>
      </w:r>
      <w:r w:rsidRPr="00FD3723">
        <w:rPr>
          <w:rFonts w:ascii="Calibri" w:hAnsi="Calibri" w:cs="Calibri"/>
          <w:i/>
          <w:iCs/>
          <w:sz w:val="24"/>
          <w:szCs w:val="24"/>
        </w:rPr>
        <w:t xml:space="preserve">Escherichia coli, </w:t>
      </w:r>
      <w:r w:rsidRPr="00FD3723">
        <w:rPr>
          <w:rFonts w:ascii="Calibri" w:hAnsi="Calibri" w:cs="Calibri"/>
          <w:sz w:val="24"/>
          <w:szCs w:val="24"/>
        </w:rPr>
        <w:t xml:space="preserve">Kąpielisko morskie </w:t>
      </w:r>
      <w:r w:rsidRPr="00FD3723">
        <w:rPr>
          <w:rFonts w:ascii="Calibri" w:hAnsi="Calibri" w:cs="Calibri"/>
          <w:sz w:val="24"/>
          <w:szCs w:val="24"/>
        </w:rPr>
        <w:lastRenderedPageBreak/>
        <w:t xml:space="preserve">Ustronie Morskie „Nadbrzeżna” </w:t>
      </w:r>
      <w:r w:rsidRPr="00FD3723">
        <w:rPr>
          <w:rFonts w:ascii="Calibri" w:hAnsi="Calibri" w:cs="Calibri"/>
          <w:iCs/>
          <w:sz w:val="24"/>
          <w:szCs w:val="24"/>
        </w:rPr>
        <w:t xml:space="preserve">jednokrotnie - </w:t>
      </w:r>
      <w:r w:rsidRPr="00E1236C">
        <w:rPr>
          <w:rFonts w:ascii="Calibri" w:hAnsi="Calibri" w:cs="Calibri"/>
          <w:iCs/>
          <w:sz w:val="24"/>
          <w:szCs w:val="24"/>
        </w:rPr>
        <w:t>Escherichia coli</w:t>
      </w:r>
      <w:r w:rsidRPr="00FD3723">
        <w:rPr>
          <w:rFonts w:ascii="Calibri" w:hAnsi="Calibri" w:cs="Calibri"/>
          <w:i/>
          <w:sz w:val="24"/>
          <w:szCs w:val="24"/>
        </w:rPr>
        <w:t>,</w:t>
      </w:r>
      <w:r w:rsidRPr="00FD3723">
        <w:rPr>
          <w:rFonts w:ascii="Calibri" w:hAnsi="Calibri" w:cs="Calibri"/>
          <w:sz w:val="24"/>
          <w:szCs w:val="24"/>
        </w:rPr>
        <w:t xml:space="preserve"> Kąpielisko morskie w</w:t>
      </w:r>
      <w:r w:rsidR="00FD3723">
        <w:rPr>
          <w:rFonts w:ascii="Calibri" w:hAnsi="Calibri" w:cs="Calibri"/>
          <w:sz w:val="24"/>
          <w:szCs w:val="24"/>
        </w:rPr>
        <w:t> </w:t>
      </w:r>
      <w:r w:rsidRPr="00FD3723">
        <w:rPr>
          <w:rFonts w:ascii="Calibri" w:hAnsi="Calibri" w:cs="Calibri"/>
          <w:sz w:val="24"/>
          <w:szCs w:val="24"/>
        </w:rPr>
        <w:t xml:space="preserve">Sianożętach „Radar” jednokrotnie - </w:t>
      </w:r>
      <w:r w:rsidRPr="00FD3723">
        <w:rPr>
          <w:rFonts w:ascii="Calibri" w:hAnsi="Calibri" w:cs="Calibri"/>
          <w:i/>
          <w:iCs/>
          <w:sz w:val="24"/>
          <w:szCs w:val="24"/>
        </w:rPr>
        <w:t>Escherichia coli</w:t>
      </w:r>
      <w:r w:rsidRPr="00FD3723">
        <w:rPr>
          <w:rFonts w:ascii="Calibri" w:hAnsi="Calibri" w:cs="Calibri"/>
          <w:sz w:val="24"/>
          <w:szCs w:val="24"/>
        </w:rPr>
        <w:t xml:space="preserve">, Kąpielisko morskie Ustronie Morskie "Muszla" jednokrotnie - </w:t>
      </w:r>
      <w:r w:rsidRPr="00FD3723">
        <w:rPr>
          <w:rFonts w:ascii="Calibri" w:hAnsi="Calibri" w:cs="Calibri"/>
          <w:i/>
          <w:iCs/>
          <w:sz w:val="24"/>
          <w:szCs w:val="24"/>
        </w:rPr>
        <w:t>Escherichia coli</w:t>
      </w:r>
      <w:r w:rsidRPr="00FD3723">
        <w:rPr>
          <w:rFonts w:ascii="Calibri" w:hAnsi="Calibri" w:cs="Calibri"/>
          <w:sz w:val="24"/>
          <w:szCs w:val="24"/>
        </w:rPr>
        <w:t>;</w:t>
      </w:r>
    </w:p>
    <w:p w14:paraId="39F10CBE" w14:textId="77777777" w:rsidR="003311AE" w:rsidRPr="00FD3723" w:rsidRDefault="003311AE" w:rsidP="00597239">
      <w:pPr>
        <w:pStyle w:val="Akapitzlist"/>
        <w:numPr>
          <w:ilvl w:val="0"/>
          <w:numId w:val="95"/>
        </w:numPr>
        <w:spacing w:after="0" w:line="276" w:lineRule="auto"/>
        <w:ind w:left="714" w:hanging="357"/>
        <w:rPr>
          <w:rFonts w:ascii="Calibri" w:hAnsi="Calibri" w:cs="Calibri"/>
          <w:sz w:val="24"/>
          <w:szCs w:val="24"/>
        </w:rPr>
      </w:pPr>
      <w:r w:rsidRPr="00FD3723">
        <w:rPr>
          <w:rFonts w:ascii="Calibri" w:hAnsi="Calibri" w:cs="Calibri"/>
          <w:sz w:val="24"/>
          <w:szCs w:val="24"/>
        </w:rPr>
        <w:t xml:space="preserve">pow. myśliborski: Kąpielisko plaża miejska jednokrotnie - </w:t>
      </w:r>
      <w:r w:rsidRPr="00FD3723">
        <w:rPr>
          <w:rFonts w:ascii="Calibri" w:hAnsi="Calibri" w:cs="Calibri"/>
          <w:i/>
          <w:iCs/>
          <w:sz w:val="24"/>
          <w:szCs w:val="24"/>
        </w:rPr>
        <w:t>Escherichia coli</w:t>
      </w:r>
      <w:r w:rsidRPr="00FD3723">
        <w:rPr>
          <w:rFonts w:ascii="Calibri" w:hAnsi="Calibri" w:cs="Calibri"/>
          <w:sz w:val="24"/>
          <w:szCs w:val="24"/>
        </w:rPr>
        <w:t>;</w:t>
      </w:r>
    </w:p>
    <w:p w14:paraId="6F82B7A0" w14:textId="77777777" w:rsidR="003311AE" w:rsidRPr="00FD3723" w:rsidRDefault="003311AE" w:rsidP="00597239">
      <w:pPr>
        <w:pStyle w:val="Akapitzlist"/>
        <w:numPr>
          <w:ilvl w:val="0"/>
          <w:numId w:val="95"/>
        </w:numPr>
        <w:spacing w:after="0" w:line="276" w:lineRule="auto"/>
        <w:ind w:left="714" w:hanging="357"/>
        <w:rPr>
          <w:rFonts w:ascii="Calibri" w:hAnsi="Calibri" w:cs="Calibri"/>
          <w:sz w:val="24"/>
          <w:szCs w:val="24"/>
        </w:rPr>
      </w:pPr>
      <w:r w:rsidRPr="00FD3723">
        <w:rPr>
          <w:rFonts w:ascii="Calibri" w:hAnsi="Calibri" w:cs="Calibri"/>
          <w:iCs/>
          <w:sz w:val="24"/>
          <w:szCs w:val="24"/>
        </w:rPr>
        <w:t xml:space="preserve">m. Koszalin: Kąpielisko „Wodna Dolina” jednokrotnie - </w:t>
      </w:r>
      <w:proofErr w:type="spellStart"/>
      <w:r w:rsidRPr="00FD3723">
        <w:rPr>
          <w:rFonts w:ascii="Calibri" w:hAnsi="Calibri" w:cs="Calibri"/>
          <w:i/>
          <w:iCs/>
          <w:sz w:val="24"/>
          <w:szCs w:val="24"/>
        </w:rPr>
        <w:t>Enterokoki</w:t>
      </w:r>
      <w:proofErr w:type="spellEnd"/>
      <w:r w:rsidRPr="00FD3723">
        <w:rPr>
          <w:rFonts w:ascii="Calibri" w:hAnsi="Calibri" w:cs="Calibri"/>
          <w:i/>
          <w:iCs/>
          <w:sz w:val="24"/>
          <w:szCs w:val="24"/>
        </w:rPr>
        <w:t xml:space="preserve"> kałowe;</w:t>
      </w:r>
    </w:p>
    <w:p w14:paraId="04CB76D4" w14:textId="4F5FAE38" w:rsidR="003311AE" w:rsidRPr="00FD3723" w:rsidRDefault="003311AE" w:rsidP="00597239">
      <w:pPr>
        <w:pStyle w:val="Akapitzlist"/>
        <w:numPr>
          <w:ilvl w:val="0"/>
          <w:numId w:val="95"/>
        </w:numPr>
        <w:spacing w:after="0" w:line="276" w:lineRule="auto"/>
        <w:ind w:left="714" w:hanging="357"/>
        <w:rPr>
          <w:rFonts w:ascii="Calibri" w:hAnsi="Calibri" w:cs="Calibri"/>
          <w:sz w:val="24"/>
          <w:szCs w:val="24"/>
        </w:rPr>
      </w:pPr>
      <w:r w:rsidRPr="00FD3723">
        <w:rPr>
          <w:rFonts w:ascii="Calibri" w:hAnsi="Calibri" w:cs="Calibri"/>
          <w:iCs/>
          <w:sz w:val="24"/>
          <w:szCs w:val="24"/>
        </w:rPr>
        <w:t xml:space="preserve">m. Szczecin: Kąpielisko śródlądowe „Dąbie” sześciokrotnie - zakwit sinic, jednokrotnie </w:t>
      </w:r>
      <w:r w:rsidRPr="00FD3723">
        <w:rPr>
          <w:rFonts w:ascii="Calibri" w:hAnsi="Calibri" w:cs="Calibri"/>
          <w:i/>
          <w:sz w:val="24"/>
          <w:szCs w:val="24"/>
        </w:rPr>
        <w:t>Escherichia coli;</w:t>
      </w:r>
      <w:r w:rsidRPr="00FD3723">
        <w:rPr>
          <w:rFonts w:ascii="Calibri" w:hAnsi="Calibri" w:cs="Calibri"/>
          <w:iCs/>
          <w:sz w:val="24"/>
          <w:szCs w:val="24"/>
        </w:rPr>
        <w:t xml:space="preserve"> Kąpielisko śródlądowe </w:t>
      </w:r>
      <w:proofErr w:type="spellStart"/>
      <w:r w:rsidRPr="00FD3723">
        <w:rPr>
          <w:rFonts w:ascii="Calibri" w:hAnsi="Calibri" w:cs="Calibri"/>
          <w:iCs/>
          <w:sz w:val="24"/>
          <w:szCs w:val="24"/>
        </w:rPr>
        <w:t>Dziewoklicz</w:t>
      </w:r>
      <w:proofErr w:type="spellEnd"/>
      <w:r w:rsidRPr="00FD3723">
        <w:rPr>
          <w:rFonts w:ascii="Calibri" w:hAnsi="Calibri" w:cs="Calibri"/>
          <w:iCs/>
          <w:sz w:val="24"/>
          <w:szCs w:val="24"/>
        </w:rPr>
        <w:t xml:space="preserve"> – dwukrotnie - zakwit sinic;</w:t>
      </w:r>
    </w:p>
    <w:p w14:paraId="1A61D583" w14:textId="20287C4F" w:rsidR="003311AE" w:rsidRPr="00DD3EBB" w:rsidRDefault="003311AE" w:rsidP="00597239">
      <w:pPr>
        <w:pStyle w:val="Akapitzlist"/>
        <w:numPr>
          <w:ilvl w:val="0"/>
          <w:numId w:val="95"/>
        </w:numPr>
        <w:spacing w:after="0" w:line="276" w:lineRule="auto"/>
        <w:ind w:left="714" w:hanging="357"/>
        <w:rPr>
          <w:rFonts w:ascii="Calibri" w:hAnsi="Calibri" w:cs="Calibri"/>
          <w:sz w:val="24"/>
          <w:szCs w:val="24"/>
        </w:rPr>
      </w:pPr>
      <w:r w:rsidRPr="00FD3723">
        <w:rPr>
          <w:rFonts w:ascii="Calibri" w:hAnsi="Calibri" w:cs="Calibri"/>
          <w:iCs/>
          <w:sz w:val="24"/>
          <w:szCs w:val="24"/>
        </w:rPr>
        <w:t xml:space="preserve">m. Świnoujście: Kąpielisko morskie Świnoujście Uznam, Kąpielisko morskie Świnoujście Bałtycka, Kąpielisko morskie Świnoujście </w:t>
      </w:r>
      <w:proofErr w:type="spellStart"/>
      <w:r w:rsidRPr="00FD3723">
        <w:rPr>
          <w:rFonts w:ascii="Calibri" w:hAnsi="Calibri" w:cs="Calibri"/>
          <w:iCs/>
          <w:sz w:val="24"/>
          <w:szCs w:val="24"/>
        </w:rPr>
        <w:t>Interferie</w:t>
      </w:r>
      <w:proofErr w:type="spellEnd"/>
      <w:r w:rsidRPr="00FD3723">
        <w:rPr>
          <w:rFonts w:ascii="Calibri" w:hAnsi="Calibri" w:cs="Calibri"/>
          <w:iCs/>
          <w:sz w:val="24"/>
          <w:szCs w:val="24"/>
        </w:rPr>
        <w:t xml:space="preserve"> jednokrotnie - zakwit sinic</w:t>
      </w:r>
      <w:bookmarkEnd w:id="308"/>
      <w:r w:rsidR="00855251" w:rsidRPr="00FD3723">
        <w:rPr>
          <w:rFonts w:ascii="Calibri" w:hAnsi="Calibri" w:cs="Calibri"/>
          <w:iCs/>
          <w:sz w:val="24"/>
          <w:szCs w:val="24"/>
        </w:rPr>
        <w:t>.</w:t>
      </w:r>
    </w:p>
    <w:p w14:paraId="5E4CDC4E" w14:textId="77777777" w:rsidR="00DD3EBB" w:rsidRPr="00FD3723" w:rsidRDefault="00DD3EBB" w:rsidP="00597239">
      <w:pPr>
        <w:pStyle w:val="Akapitzlist"/>
        <w:spacing w:after="0" w:line="276" w:lineRule="auto"/>
        <w:ind w:left="714"/>
        <w:rPr>
          <w:rFonts w:ascii="Calibri" w:hAnsi="Calibri" w:cs="Calibri"/>
          <w:sz w:val="24"/>
          <w:szCs w:val="24"/>
        </w:rPr>
      </w:pPr>
    </w:p>
    <w:p w14:paraId="230107DC" w14:textId="34E9ABCA" w:rsidR="003311AE" w:rsidRPr="00384231" w:rsidRDefault="003311AE" w:rsidP="00597239">
      <w:pPr>
        <w:pStyle w:val="Nagwek2"/>
        <w:numPr>
          <w:ilvl w:val="0"/>
          <w:numId w:val="69"/>
        </w:numPr>
        <w:spacing w:before="0" w:after="0"/>
        <w:ind w:left="284" w:hanging="284"/>
        <w:jc w:val="left"/>
      </w:pPr>
      <w:bookmarkStart w:id="310" w:name="_Toc194059836"/>
      <w:r w:rsidRPr="00384231">
        <w:t>Stan sanitarny i jakość wody w miejscach okazjonalnie wykorzystywanych do kąpieli</w:t>
      </w:r>
      <w:bookmarkEnd w:id="310"/>
      <w:r w:rsidRPr="00384231">
        <w:t xml:space="preserve"> </w:t>
      </w:r>
    </w:p>
    <w:p w14:paraId="4D83F53A" w14:textId="0D4B8D95" w:rsidR="00855251" w:rsidRDefault="003311AE" w:rsidP="00597239">
      <w:pPr>
        <w:spacing w:after="0" w:line="276" w:lineRule="auto"/>
        <w:rPr>
          <w:rFonts w:ascii="Calibri" w:hAnsi="Calibri" w:cs="Calibri"/>
          <w:bCs/>
          <w:iCs/>
          <w:sz w:val="24"/>
          <w:szCs w:val="24"/>
        </w:rPr>
      </w:pPr>
      <w:r w:rsidRPr="0013552D">
        <w:rPr>
          <w:rFonts w:ascii="Calibri" w:hAnsi="Calibri" w:cs="Calibri"/>
          <w:sz w:val="24"/>
          <w:szCs w:val="24"/>
        </w:rPr>
        <w:t xml:space="preserve">W przypadku, gdy utworzenie kąpieliska nie jest uzasadnione, możliwe jest utworzenie miejsc okazjonalnie wykorzystywanych do kąpieli </w:t>
      </w:r>
      <w:r w:rsidRPr="0013552D">
        <w:rPr>
          <w:rFonts w:ascii="Calibri" w:hAnsi="Calibri" w:cs="Calibri"/>
          <w:bCs/>
          <w:iCs/>
          <w:sz w:val="24"/>
          <w:szCs w:val="24"/>
        </w:rPr>
        <w:t>(</w:t>
      </w:r>
      <w:proofErr w:type="spellStart"/>
      <w:r w:rsidRPr="0013552D">
        <w:rPr>
          <w:rFonts w:ascii="Calibri" w:hAnsi="Calibri" w:cs="Calibri"/>
          <w:bCs/>
          <w:iCs/>
          <w:sz w:val="24"/>
          <w:szCs w:val="24"/>
        </w:rPr>
        <w:t>mowdk</w:t>
      </w:r>
      <w:proofErr w:type="spellEnd"/>
      <w:r w:rsidRPr="0013552D">
        <w:rPr>
          <w:rFonts w:ascii="Calibri" w:hAnsi="Calibri" w:cs="Calibri"/>
          <w:bCs/>
          <w:iCs/>
          <w:sz w:val="24"/>
          <w:szCs w:val="24"/>
        </w:rPr>
        <w:t>)</w:t>
      </w:r>
      <w:r w:rsidRPr="0013552D">
        <w:rPr>
          <w:rFonts w:ascii="Calibri" w:hAnsi="Calibri" w:cs="Calibri"/>
          <w:sz w:val="24"/>
          <w:szCs w:val="24"/>
        </w:rPr>
        <w:t>, które mogą funkcjonować przez okres nie dłuższy niż 30 kolejnych dni w danym roku kalendarzowym. W sezonie kąpielowym 2024 w woj. zachodniopomorskim funkcjonowało 19</w:t>
      </w:r>
      <w:r w:rsidRPr="0013552D">
        <w:rPr>
          <w:rFonts w:ascii="Calibri" w:hAnsi="Calibri" w:cs="Calibri"/>
          <w:bCs/>
          <w:iCs/>
          <w:sz w:val="24"/>
          <w:szCs w:val="24"/>
        </w:rPr>
        <w:t xml:space="preserve"> </w:t>
      </w:r>
      <w:proofErr w:type="spellStart"/>
      <w:r w:rsidRPr="0013552D">
        <w:rPr>
          <w:rFonts w:ascii="Calibri" w:hAnsi="Calibri" w:cs="Calibri"/>
          <w:bCs/>
          <w:iCs/>
          <w:sz w:val="24"/>
          <w:szCs w:val="24"/>
        </w:rPr>
        <w:t>mowdk</w:t>
      </w:r>
      <w:proofErr w:type="spellEnd"/>
      <w:r w:rsidRPr="0013552D">
        <w:rPr>
          <w:rFonts w:ascii="Calibri" w:hAnsi="Calibri" w:cs="Calibri"/>
          <w:bCs/>
          <w:iCs/>
          <w:sz w:val="24"/>
          <w:szCs w:val="24"/>
        </w:rPr>
        <w:t>: 4 morskie (m. Świnoujście - 2 oraz w</w:t>
      </w:r>
      <w:r w:rsidR="00851F01">
        <w:rPr>
          <w:rFonts w:ascii="Calibri" w:hAnsi="Calibri" w:cs="Calibri"/>
          <w:bCs/>
          <w:iCs/>
          <w:sz w:val="24"/>
          <w:szCs w:val="24"/>
        </w:rPr>
        <w:t> </w:t>
      </w:r>
      <w:r w:rsidRPr="0013552D">
        <w:rPr>
          <w:rFonts w:ascii="Calibri" w:hAnsi="Calibri" w:cs="Calibri"/>
          <w:bCs/>
          <w:iCs/>
          <w:sz w:val="24"/>
          <w:szCs w:val="24"/>
        </w:rPr>
        <w:t>pow. goleniowski nad Zalewem Szczecińskim - 2) oraz 15 śródlądowych (pow.: szczecinecki – 8, wałecki – 6, myśliborski - 1).</w:t>
      </w:r>
      <w:r w:rsidRPr="0013552D">
        <w:rPr>
          <w:rFonts w:ascii="Calibri" w:hAnsi="Calibri" w:cs="Calibri"/>
          <w:bCs/>
          <w:iCs/>
          <w:color w:val="00B050"/>
          <w:sz w:val="24"/>
          <w:szCs w:val="24"/>
        </w:rPr>
        <w:t xml:space="preserve"> </w:t>
      </w:r>
      <w:r w:rsidRPr="0013552D">
        <w:rPr>
          <w:rFonts w:ascii="Calibri" w:hAnsi="Calibri" w:cs="Calibri"/>
          <w:bCs/>
          <w:iCs/>
          <w:sz w:val="24"/>
          <w:szCs w:val="24"/>
        </w:rPr>
        <w:t xml:space="preserve">W porównaniu do ubiegłorocznego sezonu kąpielowego zorganizowano mniej o 3 </w:t>
      </w:r>
      <w:proofErr w:type="spellStart"/>
      <w:r w:rsidRPr="0013552D">
        <w:rPr>
          <w:rFonts w:ascii="Calibri" w:hAnsi="Calibri" w:cs="Calibri"/>
          <w:bCs/>
          <w:iCs/>
          <w:sz w:val="24"/>
          <w:szCs w:val="24"/>
        </w:rPr>
        <w:t>mowdk</w:t>
      </w:r>
      <w:proofErr w:type="spellEnd"/>
      <w:r w:rsidRPr="0013552D">
        <w:rPr>
          <w:rFonts w:ascii="Calibri" w:hAnsi="Calibri" w:cs="Calibri"/>
          <w:bCs/>
          <w:iCs/>
          <w:sz w:val="24"/>
          <w:szCs w:val="24"/>
        </w:rPr>
        <w:t xml:space="preserve"> w porównaniu do ubiegłego sezonu.</w:t>
      </w:r>
    </w:p>
    <w:p w14:paraId="06D67026" w14:textId="77777777" w:rsidR="00DD3EBB" w:rsidRPr="00BC6A01" w:rsidRDefault="00DD3EBB" w:rsidP="00597239">
      <w:pPr>
        <w:spacing w:after="0" w:line="276" w:lineRule="auto"/>
        <w:rPr>
          <w:rFonts w:ascii="Calibri" w:hAnsi="Calibri" w:cs="Calibri"/>
          <w:sz w:val="24"/>
          <w:szCs w:val="24"/>
        </w:rPr>
      </w:pPr>
    </w:p>
    <w:p w14:paraId="3841A81C" w14:textId="0E34A26E" w:rsidR="00855251" w:rsidRDefault="00855251" w:rsidP="00597239">
      <w:pPr>
        <w:pStyle w:val="Legenda"/>
        <w:spacing w:after="0" w:line="276" w:lineRule="auto"/>
        <w:rPr>
          <w:i w:val="0"/>
          <w:iCs w:val="0"/>
          <w:color w:val="auto"/>
        </w:rPr>
      </w:pPr>
      <w:bookmarkStart w:id="311" w:name="_Toc193969468"/>
      <w:bookmarkStart w:id="312" w:name="_Toc194059928"/>
      <w:r w:rsidRPr="00855251">
        <w:rPr>
          <w:i w:val="0"/>
          <w:iCs w:val="0"/>
          <w:color w:val="auto"/>
        </w:rPr>
        <w:t xml:space="preserve">Wykres </w:t>
      </w:r>
      <w:r w:rsidRPr="00855251">
        <w:rPr>
          <w:i w:val="0"/>
          <w:iCs w:val="0"/>
          <w:color w:val="auto"/>
        </w:rPr>
        <w:fldChar w:fldCharType="begin"/>
      </w:r>
      <w:r w:rsidRPr="00855251">
        <w:rPr>
          <w:i w:val="0"/>
          <w:iCs w:val="0"/>
          <w:color w:val="auto"/>
        </w:rPr>
        <w:instrText xml:space="preserve"> SEQ Wykres \* ARABIC </w:instrText>
      </w:r>
      <w:r w:rsidRPr="00855251">
        <w:rPr>
          <w:i w:val="0"/>
          <w:iCs w:val="0"/>
          <w:color w:val="auto"/>
        </w:rPr>
        <w:fldChar w:fldCharType="separate"/>
      </w:r>
      <w:r w:rsidR="00FB6F6A">
        <w:rPr>
          <w:i w:val="0"/>
          <w:iCs w:val="0"/>
          <w:noProof/>
          <w:color w:val="auto"/>
        </w:rPr>
        <w:t>11</w:t>
      </w:r>
      <w:r w:rsidRPr="00855251">
        <w:rPr>
          <w:i w:val="0"/>
          <w:iCs w:val="0"/>
          <w:color w:val="auto"/>
        </w:rPr>
        <w:fldChar w:fldCharType="end"/>
      </w:r>
      <w:r w:rsidR="00E75D31">
        <w:rPr>
          <w:i w:val="0"/>
          <w:iCs w:val="0"/>
          <w:color w:val="auto"/>
        </w:rPr>
        <w:t>.</w:t>
      </w:r>
      <w:r w:rsidRPr="00855251">
        <w:rPr>
          <w:i w:val="0"/>
          <w:iCs w:val="0"/>
          <w:color w:val="auto"/>
        </w:rPr>
        <w:t xml:space="preserve">  </w:t>
      </w:r>
      <w:bookmarkStart w:id="313" w:name="_Hlk193886899"/>
      <w:r w:rsidRPr="00855251">
        <w:rPr>
          <w:i w:val="0"/>
          <w:iCs w:val="0"/>
          <w:color w:val="auto"/>
        </w:rPr>
        <w:t>Liczba i rodzaj miejsc okazjonalnie wykorzystywanych do kąpieli w latach 2014-2024</w:t>
      </w:r>
      <w:bookmarkEnd w:id="311"/>
      <w:bookmarkEnd w:id="312"/>
      <w:bookmarkEnd w:id="313"/>
    </w:p>
    <w:p w14:paraId="793CF257" w14:textId="3229E6D9" w:rsidR="00E75D31" w:rsidRPr="00E75D31" w:rsidRDefault="00E75D31" w:rsidP="00597239">
      <w:r>
        <w:rPr>
          <w:noProof/>
        </w:rPr>
        <w:drawing>
          <wp:inline distT="0" distB="0" distL="0" distR="0" wp14:anchorId="0C89D466" wp14:editId="5F7E430D">
            <wp:extent cx="5760720" cy="2645923"/>
            <wp:effectExtent l="0" t="0" r="11430" b="2540"/>
            <wp:docPr id="1951152540" name="Wykres 1" descr="Wykres przedstawia liczbę MOWDK z podziałem na morskie i śródlądowe na każdy rok w okresie od roku 2014 do roku 2024, widoczny jest spadek liczby MOWDK w latach 2014-2018 a następnie stabilizacja na poziomie ok. 20 MOWDK w latach 2018-2024 przy czym najmniejsza liczba MOWDK w ilości 5 została zorganizowana w sezonie kąpielowym 2020. ">
              <a:extLst xmlns:a="http://schemas.openxmlformats.org/drawingml/2006/main">
                <a:ext uri="{FF2B5EF4-FFF2-40B4-BE49-F238E27FC236}">
                  <a16:creationId xmlns:a16="http://schemas.microsoft.com/office/drawing/2014/main" id="{EA51100B-3FB6-4D93-A392-32710D7E68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E23FC0F" w14:textId="54507DAD" w:rsidR="003311AE" w:rsidRPr="00AC384A" w:rsidRDefault="003311AE" w:rsidP="00597239">
      <w:pPr>
        <w:spacing w:after="0"/>
        <w:ind w:firstLine="708"/>
      </w:pPr>
    </w:p>
    <w:p w14:paraId="64D24708" w14:textId="090CC7B0" w:rsidR="003311AE" w:rsidRPr="00BC6A01" w:rsidRDefault="003311AE" w:rsidP="00597239">
      <w:pPr>
        <w:spacing w:after="0" w:line="276" w:lineRule="auto"/>
        <w:rPr>
          <w:rFonts w:ascii="Calibri" w:hAnsi="Calibri" w:cs="Calibri"/>
          <w:bCs/>
          <w:sz w:val="24"/>
          <w:szCs w:val="24"/>
        </w:rPr>
      </w:pPr>
      <w:r w:rsidRPr="00BC6A01">
        <w:rPr>
          <w:rFonts w:ascii="Calibri" w:hAnsi="Calibri" w:cs="Calibri"/>
          <w:bCs/>
          <w:iCs/>
          <w:sz w:val="24"/>
          <w:szCs w:val="24"/>
        </w:rPr>
        <w:t xml:space="preserve">Właściwi państwowi powiatowi inspektorzy sanitarni nadzorowali jakość wody we wszystkich 19 </w:t>
      </w:r>
      <w:proofErr w:type="spellStart"/>
      <w:r w:rsidRPr="00BC6A01">
        <w:rPr>
          <w:rFonts w:ascii="Calibri" w:hAnsi="Calibri" w:cs="Calibri"/>
          <w:bCs/>
          <w:iCs/>
          <w:sz w:val="24"/>
          <w:szCs w:val="24"/>
        </w:rPr>
        <w:t>mowdk</w:t>
      </w:r>
      <w:proofErr w:type="spellEnd"/>
      <w:r w:rsidRPr="00BC6A01">
        <w:rPr>
          <w:rFonts w:ascii="Calibri" w:hAnsi="Calibri" w:cs="Calibri"/>
          <w:bCs/>
          <w:iCs/>
          <w:sz w:val="24"/>
          <w:szCs w:val="24"/>
        </w:rPr>
        <w:t>.</w:t>
      </w:r>
      <w:r w:rsidRPr="00BC6A01">
        <w:rPr>
          <w:rFonts w:ascii="Calibri" w:hAnsi="Calibri" w:cs="Calibri"/>
          <w:bCs/>
          <w:i/>
          <w:iCs/>
          <w:sz w:val="24"/>
          <w:szCs w:val="24"/>
        </w:rPr>
        <w:t xml:space="preserve"> </w:t>
      </w:r>
      <w:r w:rsidRPr="00BC6A01">
        <w:rPr>
          <w:rFonts w:ascii="Calibri" w:hAnsi="Calibri" w:cs="Calibri"/>
          <w:bCs/>
          <w:iCs/>
          <w:sz w:val="24"/>
          <w:szCs w:val="24"/>
        </w:rPr>
        <w:t>w Badania próbek wody oraz ocena wizualna nie wykazały nieprawidłowości i</w:t>
      </w:r>
      <w:r w:rsidR="00851F01">
        <w:rPr>
          <w:rFonts w:ascii="Calibri" w:hAnsi="Calibri" w:cs="Calibri"/>
          <w:bCs/>
          <w:iCs/>
          <w:sz w:val="24"/>
          <w:szCs w:val="24"/>
        </w:rPr>
        <w:t> </w:t>
      </w:r>
      <w:r w:rsidRPr="00BC6A01">
        <w:rPr>
          <w:rFonts w:ascii="Calibri" w:hAnsi="Calibri" w:cs="Calibri"/>
          <w:bCs/>
          <w:iCs/>
          <w:sz w:val="24"/>
          <w:szCs w:val="24"/>
        </w:rPr>
        <w:t>w</w:t>
      </w:r>
      <w:r w:rsidR="00851F01">
        <w:rPr>
          <w:rFonts w:ascii="Calibri" w:hAnsi="Calibri" w:cs="Calibri"/>
          <w:bCs/>
          <w:iCs/>
          <w:sz w:val="24"/>
          <w:szCs w:val="24"/>
        </w:rPr>
        <w:t> </w:t>
      </w:r>
      <w:r w:rsidRPr="00BC6A01">
        <w:rPr>
          <w:rFonts w:ascii="Calibri" w:hAnsi="Calibri" w:cs="Calibri"/>
          <w:bCs/>
          <w:iCs/>
          <w:sz w:val="24"/>
          <w:szCs w:val="24"/>
        </w:rPr>
        <w:t xml:space="preserve">związku z tym nie wprowadzano zakazów kąpieli na żadnym z </w:t>
      </w:r>
      <w:proofErr w:type="spellStart"/>
      <w:r w:rsidRPr="00BC6A01">
        <w:rPr>
          <w:rFonts w:ascii="Calibri" w:hAnsi="Calibri" w:cs="Calibri"/>
          <w:bCs/>
          <w:iCs/>
          <w:sz w:val="24"/>
          <w:szCs w:val="24"/>
        </w:rPr>
        <w:t>mowdk</w:t>
      </w:r>
      <w:proofErr w:type="spellEnd"/>
      <w:r w:rsidRPr="00BC6A01">
        <w:rPr>
          <w:rFonts w:ascii="Calibri" w:hAnsi="Calibri" w:cs="Calibri"/>
          <w:bCs/>
          <w:iCs/>
          <w:sz w:val="24"/>
          <w:szCs w:val="24"/>
        </w:rPr>
        <w:t xml:space="preserve"> funkcjonujących w</w:t>
      </w:r>
      <w:r w:rsidR="00851F01">
        <w:rPr>
          <w:rFonts w:ascii="Calibri" w:hAnsi="Calibri" w:cs="Calibri"/>
          <w:bCs/>
          <w:iCs/>
          <w:sz w:val="24"/>
          <w:szCs w:val="24"/>
        </w:rPr>
        <w:t> </w:t>
      </w:r>
      <w:r w:rsidRPr="00BC6A01">
        <w:rPr>
          <w:rFonts w:ascii="Calibri" w:hAnsi="Calibri" w:cs="Calibri"/>
          <w:bCs/>
          <w:iCs/>
          <w:sz w:val="24"/>
          <w:szCs w:val="24"/>
        </w:rPr>
        <w:t>sezonie kąpielowym 2024 na terenie woj. zachodniopomorskiego.</w:t>
      </w:r>
    </w:p>
    <w:p w14:paraId="2E2576C1" w14:textId="09F4C516" w:rsidR="00E75D31" w:rsidRPr="00DD3EBB" w:rsidRDefault="003311AE" w:rsidP="00597239">
      <w:pPr>
        <w:spacing w:after="0" w:line="276" w:lineRule="auto"/>
        <w:rPr>
          <w:rFonts w:ascii="Calibri" w:hAnsi="Calibri" w:cs="Calibri"/>
          <w:sz w:val="24"/>
          <w:szCs w:val="24"/>
        </w:rPr>
      </w:pPr>
      <w:r w:rsidRPr="00BC6A01">
        <w:rPr>
          <w:rFonts w:ascii="Calibri" w:hAnsi="Calibri" w:cs="Calibri"/>
          <w:bCs/>
          <w:iCs/>
          <w:sz w:val="24"/>
          <w:szCs w:val="24"/>
        </w:rPr>
        <w:t xml:space="preserve">Na stronie internetowej Wojewódzkiej Stacji Sanitarno-Epidemiologicznej w Szczecinie pod adresem </w:t>
      </w:r>
      <w:hyperlink r:id="rId31" w:history="1">
        <w:r w:rsidRPr="00BC6A01">
          <w:rPr>
            <w:rStyle w:val="Hipercze"/>
            <w:rFonts w:cs="Calibri"/>
            <w:bCs/>
            <w:iCs/>
            <w:color w:val="auto"/>
            <w:sz w:val="24"/>
            <w:szCs w:val="24"/>
          </w:rPr>
          <w:t>https://www.gov.pl/web/wsse-szczecin</w:t>
        </w:r>
      </w:hyperlink>
      <w:r w:rsidRPr="00BC6A01">
        <w:rPr>
          <w:rFonts w:ascii="Calibri" w:hAnsi="Calibri" w:cs="Calibri"/>
          <w:bCs/>
          <w:iCs/>
          <w:sz w:val="24"/>
          <w:szCs w:val="24"/>
        </w:rPr>
        <w:t xml:space="preserve"> na bieżąco aktualizowano wykaz miejsc </w:t>
      </w:r>
      <w:r w:rsidRPr="00BC6A01">
        <w:rPr>
          <w:rFonts w:ascii="Calibri" w:hAnsi="Calibri" w:cs="Calibri"/>
          <w:bCs/>
          <w:iCs/>
          <w:sz w:val="24"/>
          <w:szCs w:val="24"/>
        </w:rPr>
        <w:lastRenderedPageBreak/>
        <w:t xml:space="preserve">okazjonalnie wykorzystywanych do kąpieli wraz z informacją o bieżącej ocenie jakości wody dokonywanej przez </w:t>
      </w:r>
      <w:r w:rsidRPr="00BC6A01">
        <w:rPr>
          <w:rFonts w:ascii="Calibri" w:hAnsi="Calibri" w:cs="Calibri"/>
          <w:sz w:val="24"/>
          <w:szCs w:val="24"/>
        </w:rPr>
        <w:t xml:space="preserve">właściwych państwowych powiatowych inspektorów sanitarnych. </w:t>
      </w:r>
    </w:p>
    <w:p w14:paraId="29EBE29C" w14:textId="0141365A" w:rsidR="00537E5B" w:rsidRDefault="00537E5B" w:rsidP="00597239">
      <w:pPr>
        <w:pStyle w:val="Nagwek1"/>
        <w:numPr>
          <w:ilvl w:val="0"/>
          <w:numId w:val="71"/>
        </w:numPr>
        <w:spacing w:before="0" w:after="0"/>
        <w:ind w:left="0" w:firstLine="0"/>
        <w:jc w:val="left"/>
      </w:pPr>
      <w:bookmarkStart w:id="314" w:name="_Toc194059837"/>
      <w:r w:rsidRPr="00253A3C">
        <w:t>Stan sanitarny miejsc ogólnie dostępnych oraz obiektów użyteczności publicznej</w:t>
      </w:r>
      <w:bookmarkEnd w:id="314"/>
    </w:p>
    <w:p w14:paraId="0B9D730F" w14:textId="77777777" w:rsidR="00777D94" w:rsidRPr="00777D94" w:rsidRDefault="00777D94" w:rsidP="00597239"/>
    <w:p w14:paraId="596141DA" w14:textId="0B197062" w:rsidR="00537E5B" w:rsidRPr="00025DA1" w:rsidRDefault="00537E5B" w:rsidP="00597239">
      <w:pPr>
        <w:pStyle w:val="Nagwek2"/>
        <w:numPr>
          <w:ilvl w:val="0"/>
          <w:numId w:val="72"/>
        </w:numPr>
        <w:spacing w:before="0" w:after="0"/>
        <w:ind w:left="284" w:hanging="284"/>
        <w:jc w:val="left"/>
      </w:pPr>
      <w:bookmarkStart w:id="315" w:name="_Toc194059838"/>
      <w:r w:rsidRPr="00025DA1">
        <w:t>Nadzór nad obiektami użyteczności publicznej</w:t>
      </w:r>
      <w:bookmarkEnd w:id="315"/>
    </w:p>
    <w:p w14:paraId="03283778" w14:textId="77777777" w:rsidR="00537E5B" w:rsidRPr="00253A3C" w:rsidRDefault="00537E5B" w:rsidP="00597239">
      <w:pPr>
        <w:spacing w:after="0" w:line="276" w:lineRule="auto"/>
        <w:rPr>
          <w:rFonts w:ascii="Calibri" w:hAnsi="Calibri" w:cs="Calibri"/>
          <w:color w:val="FF0000"/>
          <w:sz w:val="24"/>
          <w:szCs w:val="24"/>
        </w:rPr>
      </w:pPr>
      <w:r w:rsidRPr="00253A3C">
        <w:rPr>
          <w:rFonts w:ascii="Calibri" w:hAnsi="Calibri" w:cs="Calibri"/>
          <w:sz w:val="24"/>
          <w:szCs w:val="24"/>
        </w:rPr>
        <w:t>W ewidencji Państwowej Inspekcji Sanitarnej w woj. zachodniopomorskim znaj</w:t>
      </w:r>
      <w:r w:rsidRPr="00D95504">
        <w:rPr>
          <w:rFonts w:ascii="Calibri" w:hAnsi="Calibri" w:cs="Calibri"/>
          <w:sz w:val="24"/>
          <w:szCs w:val="24"/>
        </w:rPr>
        <w:t>duje</w:t>
      </w:r>
      <w:r w:rsidRPr="00253A3C">
        <w:rPr>
          <w:rFonts w:ascii="Calibri" w:hAnsi="Calibri" w:cs="Calibri"/>
          <w:sz w:val="24"/>
          <w:szCs w:val="24"/>
        </w:rPr>
        <w:t xml:space="preserve"> się 11857 obiektów ogólnodostępnych, w tym użyteczności publicznej.</w:t>
      </w:r>
      <w:r w:rsidRPr="00253A3C">
        <w:rPr>
          <w:rFonts w:ascii="Calibri" w:hAnsi="Calibri" w:cs="Calibri"/>
          <w:color w:val="FF0000"/>
          <w:sz w:val="24"/>
          <w:szCs w:val="24"/>
        </w:rPr>
        <w:t xml:space="preserve"> </w:t>
      </w:r>
    </w:p>
    <w:p w14:paraId="38E49FF4" w14:textId="736670AC" w:rsidR="00537E5B" w:rsidRDefault="00537E5B" w:rsidP="00597239">
      <w:pPr>
        <w:spacing w:after="0" w:line="276" w:lineRule="auto"/>
        <w:rPr>
          <w:rFonts w:ascii="Calibri" w:hAnsi="Calibri" w:cs="Calibri"/>
          <w:color w:val="FF0000"/>
          <w:sz w:val="24"/>
          <w:szCs w:val="24"/>
        </w:rPr>
      </w:pPr>
      <w:r w:rsidRPr="00253A3C">
        <w:rPr>
          <w:rFonts w:ascii="Calibri" w:hAnsi="Calibri" w:cs="Calibri"/>
          <w:sz w:val="24"/>
          <w:szCs w:val="24"/>
        </w:rPr>
        <w:t xml:space="preserve">W 2024 skontrolowano 4610 obiektów (39%). Niewłaściwy stan </w:t>
      </w:r>
      <w:r>
        <w:rPr>
          <w:rFonts w:ascii="Calibri" w:hAnsi="Calibri" w:cs="Calibri"/>
          <w:sz w:val="24"/>
          <w:szCs w:val="24"/>
        </w:rPr>
        <w:t>higieniczno-sanitarny</w:t>
      </w:r>
      <w:r w:rsidRPr="00253A3C">
        <w:rPr>
          <w:rFonts w:ascii="Calibri" w:hAnsi="Calibri" w:cs="Calibri"/>
          <w:sz w:val="24"/>
          <w:szCs w:val="24"/>
        </w:rPr>
        <w:t xml:space="preserve"> lub</w:t>
      </w:r>
      <w:r w:rsidR="00B10AA2">
        <w:rPr>
          <w:rFonts w:ascii="Calibri" w:hAnsi="Calibri" w:cs="Calibri"/>
          <w:sz w:val="24"/>
          <w:szCs w:val="24"/>
        </w:rPr>
        <w:t> </w:t>
      </w:r>
      <w:r w:rsidRPr="00253A3C">
        <w:rPr>
          <w:rFonts w:ascii="Calibri" w:hAnsi="Calibri" w:cs="Calibri"/>
          <w:sz w:val="24"/>
          <w:szCs w:val="24"/>
        </w:rPr>
        <w:t>techniczny stwierdzono w 644 (</w:t>
      </w:r>
      <w:r>
        <w:rPr>
          <w:rFonts w:ascii="Calibri" w:hAnsi="Calibri" w:cs="Calibri"/>
          <w:sz w:val="24"/>
          <w:szCs w:val="24"/>
        </w:rPr>
        <w:t xml:space="preserve">wyk. </w:t>
      </w:r>
      <w:r w:rsidR="00700A70">
        <w:rPr>
          <w:rFonts w:ascii="Calibri" w:hAnsi="Calibri" w:cs="Calibri"/>
          <w:sz w:val="24"/>
          <w:szCs w:val="24"/>
        </w:rPr>
        <w:t>1</w:t>
      </w:r>
      <w:r w:rsidR="00C15BCD">
        <w:rPr>
          <w:rFonts w:ascii="Calibri" w:hAnsi="Calibri" w:cs="Calibri"/>
          <w:sz w:val="24"/>
          <w:szCs w:val="24"/>
        </w:rPr>
        <w:t>2</w:t>
      </w:r>
      <w:r w:rsidRPr="00253A3C">
        <w:rPr>
          <w:rFonts w:ascii="Calibri" w:hAnsi="Calibri" w:cs="Calibri"/>
          <w:sz w:val="24"/>
          <w:szCs w:val="24"/>
        </w:rPr>
        <w:t>).</w:t>
      </w:r>
      <w:r w:rsidRPr="00253A3C">
        <w:rPr>
          <w:rFonts w:ascii="Calibri" w:hAnsi="Calibri" w:cs="Calibri"/>
          <w:color w:val="FF0000"/>
          <w:sz w:val="24"/>
          <w:szCs w:val="24"/>
        </w:rPr>
        <w:t xml:space="preserve"> </w:t>
      </w:r>
    </w:p>
    <w:p w14:paraId="52413D0F" w14:textId="77777777" w:rsidR="00777D94" w:rsidRDefault="00777D94" w:rsidP="00597239">
      <w:pPr>
        <w:spacing w:after="0" w:line="276" w:lineRule="auto"/>
        <w:rPr>
          <w:rFonts w:ascii="Calibri" w:hAnsi="Calibri" w:cs="Calibri"/>
          <w:color w:val="FF0000"/>
          <w:sz w:val="24"/>
          <w:szCs w:val="24"/>
        </w:rPr>
      </w:pPr>
    </w:p>
    <w:p w14:paraId="27E0622E" w14:textId="5CF125A4" w:rsidR="00700A70" w:rsidRPr="00700A70" w:rsidRDefault="00700A70" w:rsidP="00597239">
      <w:pPr>
        <w:pStyle w:val="Legenda"/>
        <w:spacing w:after="0" w:line="276" w:lineRule="auto"/>
        <w:rPr>
          <w:rFonts w:ascii="Calibri" w:hAnsi="Calibri" w:cs="Calibri"/>
          <w:b/>
          <w:bCs/>
          <w:i w:val="0"/>
          <w:iCs w:val="0"/>
          <w:color w:val="auto"/>
          <w:sz w:val="24"/>
          <w:szCs w:val="24"/>
        </w:rPr>
      </w:pPr>
      <w:bookmarkStart w:id="316" w:name="_Toc193969469"/>
      <w:bookmarkStart w:id="317" w:name="_Toc194059929"/>
      <w:r w:rsidRPr="00700A70">
        <w:rPr>
          <w:i w:val="0"/>
          <w:iCs w:val="0"/>
          <w:color w:val="auto"/>
        </w:rPr>
        <w:t xml:space="preserve">Wykres </w:t>
      </w:r>
      <w:r w:rsidRPr="00700A70">
        <w:rPr>
          <w:i w:val="0"/>
          <w:iCs w:val="0"/>
          <w:color w:val="auto"/>
        </w:rPr>
        <w:fldChar w:fldCharType="begin"/>
      </w:r>
      <w:r w:rsidRPr="00700A70">
        <w:rPr>
          <w:i w:val="0"/>
          <w:iCs w:val="0"/>
          <w:color w:val="auto"/>
        </w:rPr>
        <w:instrText xml:space="preserve"> SEQ Wykres \* ARABIC </w:instrText>
      </w:r>
      <w:r w:rsidRPr="00700A70">
        <w:rPr>
          <w:i w:val="0"/>
          <w:iCs w:val="0"/>
          <w:color w:val="auto"/>
        </w:rPr>
        <w:fldChar w:fldCharType="separate"/>
      </w:r>
      <w:r w:rsidR="00FB6F6A">
        <w:rPr>
          <w:i w:val="0"/>
          <w:iCs w:val="0"/>
          <w:noProof/>
          <w:color w:val="auto"/>
        </w:rPr>
        <w:t>12</w:t>
      </w:r>
      <w:r w:rsidRPr="00700A70">
        <w:rPr>
          <w:i w:val="0"/>
          <w:iCs w:val="0"/>
          <w:color w:val="auto"/>
        </w:rPr>
        <w:fldChar w:fldCharType="end"/>
      </w:r>
      <w:r w:rsidR="00E75D31">
        <w:rPr>
          <w:i w:val="0"/>
          <w:iCs w:val="0"/>
          <w:color w:val="auto"/>
        </w:rPr>
        <w:t>.</w:t>
      </w:r>
      <w:r w:rsidRPr="00700A70">
        <w:rPr>
          <w:i w:val="0"/>
          <w:iCs w:val="0"/>
          <w:color w:val="auto"/>
        </w:rPr>
        <w:t xml:space="preserve"> </w:t>
      </w:r>
      <w:bookmarkStart w:id="318" w:name="_Hlk193887066"/>
      <w:r w:rsidRPr="00700A70">
        <w:rPr>
          <w:i w:val="0"/>
          <w:iCs w:val="0"/>
          <w:color w:val="auto"/>
        </w:rPr>
        <w:t>Stan sanitarno</w:t>
      </w:r>
      <w:r w:rsidR="00FD3723">
        <w:rPr>
          <w:i w:val="0"/>
          <w:iCs w:val="0"/>
          <w:color w:val="auto"/>
        </w:rPr>
        <w:t>-</w:t>
      </w:r>
      <w:r w:rsidRPr="00700A70">
        <w:rPr>
          <w:i w:val="0"/>
          <w:iCs w:val="0"/>
          <w:color w:val="auto"/>
        </w:rPr>
        <w:t>techniczny skontrolowanych obiektów użyteczności publicznej</w:t>
      </w:r>
      <w:bookmarkEnd w:id="316"/>
      <w:bookmarkEnd w:id="317"/>
      <w:bookmarkEnd w:id="318"/>
    </w:p>
    <w:p w14:paraId="35D937AC" w14:textId="6A59541D" w:rsidR="00537E5B" w:rsidRPr="00253A3C" w:rsidRDefault="00E75D31" w:rsidP="00597239">
      <w:pPr>
        <w:spacing w:after="0" w:line="276" w:lineRule="auto"/>
        <w:ind w:firstLine="426"/>
        <w:rPr>
          <w:noProof/>
          <w:color w:val="FF0000"/>
        </w:rPr>
      </w:pPr>
      <w:r>
        <w:rPr>
          <w:noProof/>
        </w:rPr>
        <w:drawing>
          <wp:inline distT="0" distB="0" distL="0" distR="0" wp14:anchorId="7FFCC55B" wp14:editId="1F502425">
            <wp:extent cx="5591175" cy="2626468"/>
            <wp:effectExtent l="0" t="0" r="9525" b="2540"/>
            <wp:docPr id="1291971796" name="Wykres 1" descr="Wykres kołowy przedstawiający liczbę kontroli z nieprawidłowościami oraz liczbę kontroli z zachowanym stanem higieniczno-sanitarnym lub technicznym.&#10;&#10;">
              <a:extLst xmlns:a="http://schemas.openxmlformats.org/drawingml/2006/main">
                <a:ext uri="{FF2B5EF4-FFF2-40B4-BE49-F238E27FC236}">
                  <a16:creationId xmlns:a16="http://schemas.microsoft.com/office/drawing/2014/main" id="{44BA5413-FD39-F04C-DF3F-92501DC13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7CC30A3" w14:textId="77777777" w:rsidR="00777D94" w:rsidRDefault="00777D94" w:rsidP="00597239">
      <w:pPr>
        <w:spacing w:after="0" w:line="276" w:lineRule="auto"/>
        <w:rPr>
          <w:rFonts w:ascii="Calibri" w:hAnsi="Calibri" w:cs="Calibri"/>
          <w:sz w:val="24"/>
          <w:szCs w:val="24"/>
        </w:rPr>
      </w:pPr>
    </w:p>
    <w:p w14:paraId="4E4FCF03" w14:textId="77D6D592" w:rsidR="00537E5B" w:rsidRPr="00B309DB" w:rsidRDefault="00537E5B" w:rsidP="00597239">
      <w:pPr>
        <w:spacing w:after="0" w:line="276" w:lineRule="auto"/>
        <w:rPr>
          <w:rFonts w:ascii="Calibri" w:hAnsi="Calibri" w:cs="Calibri"/>
          <w:sz w:val="24"/>
          <w:szCs w:val="24"/>
        </w:rPr>
      </w:pPr>
      <w:r>
        <w:rPr>
          <w:rFonts w:ascii="Calibri" w:hAnsi="Calibri" w:cs="Calibri"/>
          <w:sz w:val="24"/>
          <w:szCs w:val="24"/>
        </w:rPr>
        <w:t xml:space="preserve">Najczęściej nieprawidłowości </w:t>
      </w:r>
      <w:r w:rsidRPr="00B309DB">
        <w:rPr>
          <w:rFonts w:ascii="Calibri" w:hAnsi="Calibri" w:cs="Calibri"/>
          <w:sz w:val="24"/>
          <w:szCs w:val="24"/>
        </w:rPr>
        <w:t xml:space="preserve">stwierdzano </w:t>
      </w:r>
      <w:r>
        <w:rPr>
          <w:rFonts w:ascii="Calibri" w:hAnsi="Calibri" w:cs="Calibri"/>
          <w:sz w:val="24"/>
          <w:szCs w:val="24"/>
        </w:rPr>
        <w:t xml:space="preserve">w obiektach, w których świadczone są usługi hotelarskie oraz w zakładach fryzjerskich i kosmetycznych. </w:t>
      </w:r>
      <w:r w:rsidRPr="00D95504">
        <w:rPr>
          <w:rFonts w:ascii="Calibri" w:hAnsi="Calibri" w:cs="Calibri"/>
          <w:sz w:val="24"/>
          <w:szCs w:val="24"/>
        </w:rPr>
        <w:t xml:space="preserve">Dotyczyły one głównie niewłaściwego stanu higieniczno-sanitarnego i technicznego pomieszczeń oraz wyposażenia w obiektach, w tym niewłaściwego sposobu przechowywania narzędzi, braku ich sterylizacji </w:t>
      </w:r>
      <w:r w:rsidRPr="00B10AA2">
        <w:rPr>
          <w:sz w:val="24"/>
          <w:szCs w:val="24"/>
        </w:rPr>
        <w:t>i</w:t>
      </w:r>
      <w:r w:rsidR="00B10AA2" w:rsidRPr="00B10AA2">
        <w:rPr>
          <w:sz w:val="24"/>
          <w:szCs w:val="24"/>
        </w:rPr>
        <w:t> </w:t>
      </w:r>
      <w:r w:rsidRPr="00B10AA2">
        <w:rPr>
          <w:sz w:val="24"/>
          <w:szCs w:val="24"/>
        </w:rPr>
        <w:t>dezynfekcji</w:t>
      </w:r>
      <w:r w:rsidRPr="00D95504">
        <w:rPr>
          <w:rFonts w:ascii="Calibri" w:hAnsi="Calibri" w:cs="Calibri"/>
          <w:sz w:val="24"/>
          <w:szCs w:val="24"/>
        </w:rPr>
        <w:t>.</w:t>
      </w:r>
    </w:p>
    <w:p w14:paraId="29BB2140" w14:textId="77777777" w:rsidR="00777D94" w:rsidRDefault="00777D94" w:rsidP="00597239">
      <w:pPr>
        <w:spacing w:after="0" w:line="276" w:lineRule="auto"/>
        <w:rPr>
          <w:rFonts w:ascii="Calibri" w:hAnsi="Calibri" w:cs="Calibri"/>
          <w:sz w:val="24"/>
          <w:szCs w:val="24"/>
        </w:rPr>
      </w:pPr>
    </w:p>
    <w:p w14:paraId="42A1356F" w14:textId="3F729496" w:rsidR="00537E5B" w:rsidRPr="00F33027" w:rsidRDefault="00537E5B" w:rsidP="00597239">
      <w:pPr>
        <w:spacing w:after="0" w:line="276" w:lineRule="auto"/>
        <w:rPr>
          <w:rFonts w:ascii="Calibri" w:hAnsi="Calibri" w:cs="Calibri"/>
          <w:sz w:val="24"/>
          <w:szCs w:val="24"/>
        </w:rPr>
      </w:pPr>
      <w:r w:rsidRPr="00B309DB">
        <w:rPr>
          <w:rFonts w:ascii="Calibri" w:hAnsi="Calibri" w:cs="Calibri"/>
          <w:sz w:val="24"/>
          <w:szCs w:val="24"/>
        </w:rPr>
        <w:t xml:space="preserve">W związku z niespełnieniem wymagań </w:t>
      </w:r>
      <w:proofErr w:type="spellStart"/>
      <w:r w:rsidRPr="00B309DB">
        <w:rPr>
          <w:rFonts w:ascii="Calibri" w:hAnsi="Calibri" w:cs="Calibri"/>
          <w:sz w:val="24"/>
          <w:szCs w:val="24"/>
        </w:rPr>
        <w:t>higieniczno</w:t>
      </w:r>
      <w:proofErr w:type="spellEnd"/>
      <w:r>
        <w:rPr>
          <w:rFonts w:ascii="Calibri" w:hAnsi="Calibri" w:cs="Calibri"/>
          <w:sz w:val="24"/>
          <w:szCs w:val="24"/>
        </w:rPr>
        <w:t xml:space="preserve"> - </w:t>
      </w:r>
      <w:r w:rsidRPr="00B309DB">
        <w:rPr>
          <w:rFonts w:ascii="Calibri" w:hAnsi="Calibri" w:cs="Calibri"/>
          <w:sz w:val="24"/>
          <w:szCs w:val="24"/>
        </w:rPr>
        <w:t>sanitarnych i technicznych wydano zalecenia pokontrolne</w:t>
      </w:r>
      <w:r>
        <w:rPr>
          <w:rFonts w:ascii="Calibri" w:hAnsi="Calibri" w:cs="Calibri"/>
          <w:sz w:val="24"/>
          <w:szCs w:val="24"/>
        </w:rPr>
        <w:t xml:space="preserve"> </w:t>
      </w:r>
      <w:r w:rsidRPr="007701FD">
        <w:rPr>
          <w:rFonts w:ascii="Calibri" w:hAnsi="Calibri" w:cs="Calibri"/>
          <w:sz w:val="24"/>
          <w:szCs w:val="24"/>
        </w:rPr>
        <w:t>oraz</w:t>
      </w:r>
      <w:r w:rsidRPr="00B309DB">
        <w:rPr>
          <w:rFonts w:ascii="Calibri" w:hAnsi="Calibri" w:cs="Calibri"/>
          <w:sz w:val="24"/>
          <w:szCs w:val="24"/>
        </w:rPr>
        <w:t xml:space="preserve"> 305 decyzji </w:t>
      </w:r>
      <w:r w:rsidRPr="007701FD">
        <w:rPr>
          <w:rFonts w:ascii="Calibri" w:hAnsi="Calibri" w:cs="Calibri"/>
          <w:sz w:val="24"/>
          <w:szCs w:val="24"/>
        </w:rPr>
        <w:t>administracyjnych,</w:t>
      </w:r>
      <w:r w:rsidRPr="00B309DB">
        <w:rPr>
          <w:rFonts w:ascii="Calibri" w:hAnsi="Calibri" w:cs="Calibri"/>
          <w:sz w:val="24"/>
          <w:szCs w:val="24"/>
        </w:rPr>
        <w:t xml:space="preserve"> w których nałożono obowiązki doprowadzenia obiektów do stanu zgodnego z wymaganiami sanitarnym</w:t>
      </w:r>
      <w:r w:rsidRPr="00D016A4">
        <w:rPr>
          <w:rFonts w:ascii="Calibri" w:hAnsi="Calibri" w:cs="Calibri"/>
          <w:sz w:val="24"/>
          <w:szCs w:val="24"/>
        </w:rPr>
        <w:t>i. Ponadto nałożono 329 grzywie</w:t>
      </w:r>
      <w:r>
        <w:rPr>
          <w:rFonts w:ascii="Calibri" w:hAnsi="Calibri" w:cs="Calibri"/>
          <w:sz w:val="24"/>
          <w:szCs w:val="24"/>
        </w:rPr>
        <w:t>n</w:t>
      </w:r>
      <w:r w:rsidRPr="00D016A4">
        <w:rPr>
          <w:rFonts w:ascii="Calibri" w:hAnsi="Calibri" w:cs="Calibri"/>
          <w:sz w:val="24"/>
          <w:szCs w:val="24"/>
        </w:rPr>
        <w:t xml:space="preserve"> w drodze mandatu karnego oraz wystosowano 26 upomnień i 5 tytułów wykonawczych.</w:t>
      </w:r>
    </w:p>
    <w:p w14:paraId="4DD7A19A" w14:textId="77777777" w:rsidR="00777D94" w:rsidRDefault="00777D94" w:rsidP="00597239">
      <w:pPr>
        <w:spacing w:after="0" w:line="276" w:lineRule="auto"/>
        <w:rPr>
          <w:rFonts w:ascii="Calibri" w:hAnsi="Calibri" w:cs="Calibri"/>
          <w:sz w:val="24"/>
          <w:szCs w:val="24"/>
        </w:rPr>
      </w:pPr>
    </w:p>
    <w:p w14:paraId="3D8BBA8B" w14:textId="0AF7572A" w:rsidR="00537E5B" w:rsidRPr="00D016A4" w:rsidRDefault="00537E5B" w:rsidP="00597239">
      <w:pPr>
        <w:spacing w:after="0" w:line="276" w:lineRule="auto"/>
        <w:rPr>
          <w:rFonts w:ascii="Calibri" w:hAnsi="Calibri" w:cs="Calibri"/>
          <w:sz w:val="24"/>
          <w:szCs w:val="24"/>
        </w:rPr>
      </w:pPr>
      <w:r w:rsidRPr="00D016A4">
        <w:rPr>
          <w:rFonts w:ascii="Calibri" w:hAnsi="Calibri" w:cs="Calibri"/>
          <w:sz w:val="24"/>
          <w:szCs w:val="24"/>
        </w:rPr>
        <w:t xml:space="preserve">W roku 2024 wpłynęło </w:t>
      </w:r>
      <w:r w:rsidRPr="007D440F">
        <w:rPr>
          <w:rFonts w:ascii="Calibri" w:hAnsi="Calibri" w:cs="Calibri"/>
          <w:sz w:val="24"/>
          <w:szCs w:val="24"/>
        </w:rPr>
        <w:t>838</w:t>
      </w:r>
      <w:r>
        <w:rPr>
          <w:rFonts w:ascii="Calibri" w:hAnsi="Calibri" w:cs="Calibri"/>
          <w:sz w:val="24"/>
          <w:szCs w:val="24"/>
        </w:rPr>
        <w:t xml:space="preserve"> zgłoszeń interwencyjnych. D</w:t>
      </w:r>
      <w:r w:rsidRPr="00D016A4">
        <w:rPr>
          <w:rFonts w:ascii="Calibri" w:hAnsi="Calibri" w:cs="Calibri"/>
          <w:sz w:val="24"/>
          <w:szCs w:val="24"/>
        </w:rPr>
        <w:t xml:space="preserve">otyczyły </w:t>
      </w:r>
      <w:r>
        <w:rPr>
          <w:rFonts w:ascii="Calibri" w:hAnsi="Calibri" w:cs="Calibri"/>
          <w:sz w:val="24"/>
          <w:szCs w:val="24"/>
        </w:rPr>
        <w:t xml:space="preserve">one </w:t>
      </w:r>
      <w:r w:rsidRPr="00D016A4">
        <w:rPr>
          <w:rFonts w:ascii="Calibri" w:hAnsi="Calibri" w:cs="Calibri"/>
          <w:sz w:val="24"/>
          <w:szCs w:val="24"/>
        </w:rPr>
        <w:t>m.in.:</w:t>
      </w:r>
    </w:p>
    <w:p w14:paraId="34802A75" w14:textId="77777777" w:rsidR="00537E5B" w:rsidRDefault="00537E5B" w:rsidP="00597239">
      <w:pPr>
        <w:numPr>
          <w:ilvl w:val="0"/>
          <w:numId w:val="70"/>
        </w:numPr>
        <w:spacing w:after="0" w:line="276" w:lineRule="auto"/>
        <w:rPr>
          <w:rFonts w:ascii="Calibri" w:hAnsi="Calibri" w:cs="Calibri"/>
          <w:sz w:val="24"/>
          <w:szCs w:val="24"/>
        </w:rPr>
      </w:pPr>
      <w:r w:rsidRPr="008703B5">
        <w:rPr>
          <w:rFonts w:ascii="Calibri" w:hAnsi="Calibri" w:cs="Calibri"/>
          <w:sz w:val="24"/>
          <w:szCs w:val="24"/>
        </w:rPr>
        <w:t>nieprawidłowej gospodarki odpadami komunalnymi</w:t>
      </w:r>
      <w:r>
        <w:rPr>
          <w:rFonts w:ascii="Calibri" w:hAnsi="Calibri" w:cs="Calibri"/>
          <w:sz w:val="24"/>
          <w:szCs w:val="24"/>
        </w:rPr>
        <w:t>,</w:t>
      </w:r>
    </w:p>
    <w:p w14:paraId="33E99AAE" w14:textId="77777777" w:rsidR="00537E5B" w:rsidRDefault="00537E5B" w:rsidP="00597239">
      <w:pPr>
        <w:numPr>
          <w:ilvl w:val="0"/>
          <w:numId w:val="70"/>
        </w:numPr>
        <w:spacing w:after="0" w:line="276" w:lineRule="auto"/>
        <w:rPr>
          <w:rFonts w:ascii="Calibri" w:hAnsi="Calibri" w:cs="Calibri"/>
          <w:sz w:val="24"/>
          <w:szCs w:val="24"/>
        </w:rPr>
      </w:pPr>
      <w:r w:rsidRPr="008703B5">
        <w:rPr>
          <w:rFonts w:ascii="Calibri" w:hAnsi="Calibri" w:cs="Calibri"/>
          <w:sz w:val="24"/>
          <w:szCs w:val="24"/>
        </w:rPr>
        <w:lastRenderedPageBreak/>
        <w:t xml:space="preserve">niewłaściwego usytuowania </w:t>
      </w:r>
      <w:r>
        <w:rPr>
          <w:rFonts w:ascii="Calibri" w:hAnsi="Calibri" w:cs="Calibri"/>
          <w:sz w:val="24"/>
          <w:szCs w:val="24"/>
        </w:rPr>
        <w:t>pojemników</w:t>
      </w:r>
      <w:r w:rsidRPr="008703B5">
        <w:rPr>
          <w:rFonts w:ascii="Calibri" w:hAnsi="Calibri" w:cs="Calibri"/>
          <w:sz w:val="24"/>
          <w:szCs w:val="24"/>
        </w:rPr>
        <w:t xml:space="preserve"> na odpady </w:t>
      </w:r>
      <w:r>
        <w:rPr>
          <w:rFonts w:ascii="Calibri" w:hAnsi="Calibri" w:cs="Calibri"/>
          <w:sz w:val="24"/>
          <w:szCs w:val="24"/>
        </w:rPr>
        <w:t xml:space="preserve">lub </w:t>
      </w:r>
      <w:r w:rsidRPr="008703B5">
        <w:rPr>
          <w:rFonts w:ascii="Calibri" w:hAnsi="Calibri" w:cs="Calibri"/>
          <w:sz w:val="24"/>
          <w:szCs w:val="24"/>
        </w:rPr>
        <w:t>niewłaściwego</w:t>
      </w:r>
      <w:r>
        <w:rPr>
          <w:rFonts w:ascii="Calibri" w:hAnsi="Calibri" w:cs="Calibri"/>
          <w:sz w:val="24"/>
          <w:szCs w:val="24"/>
        </w:rPr>
        <w:t xml:space="preserve"> ich</w:t>
      </w:r>
      <w:r w:rsidRPr="008703B5">
        <w:rPr>
          <w:rFonts w:ascii="Calibri" w:hAnsi="Calibri" w:cs="Calibri"/>
          <w:sz w:val="24"/>
          <w:szCs w:val="24"/>
        </w:rPr>
        <w:t xml:space="preserve"> stanu </w:t>
      </w:r>
      <w:proofErr w:type="spellStart"/>
      <w:r w:rsidRPr="008703B5">
        <w:rPr>
          <w:rFonts w:ascii="Calibri" w:hAnsi="Calibri" w:cs="Calibri"/>
          <w:sz w:val="24"/>
          <w:szCs w:val="24"/>
        </w:rPr>
        <w:t>higieniczn</w:t>
      </w:r>
      <w:r>
        <w:rPr>
          <w:rFonts w:ascii="Calibri" w:hAnsi="Calibri" w:cs="Calibri"/>
          <w:sz w:val="24"/>
          <w:szCs w:val="24"/>
        </w:rPr>
        <w:t>o</w:t>
      </w:r>
      <w:proofErr w:type="spellEnd"/>
      <w:r>
        <w:rPr>
          <w:rFonts w:ascii="Calibri" w:hAnsi="Calibri" w:cs="Calibri"/>
          <w:sz w:val="24"/>
          <w:szCs w:val="24"/>
        </w:rPr>
        <w:t xml:space="preserve"> - sanitarnego,</w:t>
      </w:r>
    </w:p>
    <w:p w14:paraId="23DFC653" w14:textId="77777777" w:rsidR="00537E5B" w:rsidRPr="008703B5" w:rsidRDefault="00537E5B" w:rsidP="00597239">
      <w:pPr>
        <w:numPr>
          <w:ilvl w:val="0"/>
          <w:numId w:val="70"/>
        </w:numPr>
        <w:spacing w:after="0" w:line="276" w:lineRule="auto"/>
        <w:rPr>
          <w:rFonts w:ascii="Calibri" w:hAnsi="Calibri" w:cs="Calibri"/>
          <w:sz w:val="24"/>
          <w:szCs w:val="24"/>
        </w:rPr>
      </w:pPr>
      <w:r>
        <w:rPr>
          <w:rFonts w:ascii="Calibri" w:hAnsi="Calibri" w:cs="Calibri"/>
          <w:sz w:val="24"/>
          <w:szCs w:val="24"/>
        </w:rPr>
        <w:t>nieprawidłowego</w:t>
      </w:r>
      <w:r w:rsidRPr="008703B5">
        <w:rPr>
          <w:rFonts w:ascii="Calibri" w:hAnsi="Calibri" w:cs="Calibri"/>
          <w:sz w:val="24"/>
          <w:szCs w:val="24"/>
        </w:rPr>
        <w:t xml:space="preserve"> odprowadzania ścieków</w:t>
      </w:r>
      <w:r>
        <w:rPr>
          <w:rFonts w:ascii="Calibri" w:hAnsi="Calibri" w:cs="Calibri"/>
          <w:sz w:val="24"/>
          <w:szCs w:val="24"/>
        </w:rPr>
        <w:t>,</w:t>
      </w:r>
    </w:p>
    <w:p w14:paraId="5AC83212" w14:textId="77777777" w:rsidR="00537E5B" w:rsidRDefault="00537E5B" w:rsidP="00597239">
      <w:pPr>
        <w:numPr>
          <w:ilvl w:val="0"/>
          <w:numId w:val="70"/>
        </w:numPr>
        <w:spacing w:after="0" w:line="276" w:lineRule="auto"/>
        <w:rPr>
          <w:rFonts w:ascii="Calibri" w:hAnsi="Calibri" w:cs="Calibri"/>
          <w:sz w:val="24"/>
          <w:szCs w:val="24"/>
        </w:rPr>
      </w:pPr>
      <w:r w:rsidRPr="00D016A4">
        <w:rPr>
          <w:rFonts w:ascii="Calibri" w:hAnsi="Calibri" w:cs="Calibri"/>
          <w:sz w:val="24"/>
          <w:szCs w:val="24"/>
        </w:rPr>
        <w:t>nielegalnych składowisk śmieci</w:t>
      </w:r>
      <w:r>
        <w:rPr>
          <w:rFonts w:ascii="Calibri" w:hAnsi="Calibri" w:cs="Calibri"/>
          <w:sz w:val="24"/>
          <w:szCs w:val="24"/>
        </w:rPr>
        <w:t>,</w:t>
      </w:r>
    </w:p>
    <w:p w14:paraId="4D35C729" w14:textId="77777777" w:rsidR="00537E5B" w:rsidRPr="00A04718" w:rsidRDefault="00537E5B" w:rsidP="00597239">
      <w:pPr>
        <w:numPr>
          <w:ilvl w:val="0"/>
          <w:numId w:val="70"/>
        </w:numPr>
        <w:spacing w:after="0" w:line="276" w:lineRule="auto"/>
        <w:rPr>
          <w:rFonts w:ascii="Calibri" w:hAnsi="Calibri" w:cs="Calibri"/>
          <w:sz w:val="24"/>
          <w:szCs w:val="24"/>
        </w:rPr>
      </w:pPr>
      <w:r w:rsidRPr="008703B5">
        <w:rPr>
          <w:rFonts w:ascii="Calibri" w:hAnsi="Calibri" w:cs="Calibri"/>
          <w:sz w:val="24"/>
          <w:szCs w:val="24"/>
        </w:rPr>
        <w:t>zawilgoceń i zagrzybień pomieszczeń,</w:t>
      </w:r>
      <w:r w:rsidRPr="00253A3C">
        <w:rPr>
          <w:rFonts w:ascii="Calibri" w:hAnsi="Calibri" w:cs="Calibri"/>
          <w:color w:val="FF0000"/>
          <w:sz w:val="24"/>
          <w:szCs w:val="24"/>
        </w:rPr>
        <w:t xml:space="preserve"> </w:t>
      </w:r>
    </w:p>
    <w:p w14:paraId="23265BF1" w14:textId="77777777" w:rsidR="00537E5B" w:rsidRPr="00D016A4" w:rsidRDefault="00537E5B" w:rsidP="00597239">
      <w:pPr>
        <w:numPr>
          <w:ilvl w:val="0"/>
          <w:numId w:val="70"/>
        </w:numPr>
        <w:spacing w:after="0" w:line="276" w:lineRule="auto"/>
        <w:rPr>
          <w:rFonts w:ascii="Calibri" w:hAnsi="Calibri" w:cs="Calibri"/>
          <w:sz w:val="24"/>
          <w:szCs w:val="24"/>
        </w:rPr>
      </w:pPr>
      <w:r w:rsidRPr="00D016A4">
        <w:rPr>
          <w:rFonts w:ascii="Calibri" w:hAnsi="Calibri" w:cs="Calibri"/>
          <w:sz w:val="24"/>
          <w:szCs w:val="24"/>
        </w:rPr>
        <w:t>niewłaściwego stanu sanitarnego mieszkań i związanych z tym uciążliwych zapachów, najczęściej związanych z tzw. „zbieractwem</w:t>
      </w:r>
      <w:r>
        <w:rPr>
          <w:rFonts w:ascii="Calibri" w:hAnsi="Calibri" w:cs="Calibri"/>
          <w:sz w:val="24"/>
          <w:szCs w:val="24"/>
        </w:rPr>
        <w:t>”,</w:t>
      </w:r>
    </w:p>
    <w:p w14:paraId="11A2038C" w14:textId="77777777" w:rsidR="00537E5B" w:rsidRPr="00D95504" w:rsidRDefault="00537E5B" w:rsidP="00597239">
      <w:pPr>
        <w:numPr>
          <w:ilvl w:val="0"/>
          <w:numId w:val="70"/>
        </w:numPr>
        <w:spacing w:after="0" w:line="276" w:lineRule="auto"/>
        <w:rPr>
          <w:rFonts w:ascii="Calibri" w:hAnsi="Calibri" w:cs="Calibri"/>
          <w:sz w:val="24"/>
          <w:szCs w:val="24"/>
        </w:rPr>
      </w:pPr>
      <w:r w:rsidRPr="00D95504">
        <w:rPr>
          <w:rFonts w:ascii="Calibri" w:hAnsi="Calibri" w:cs="Calibri"/>
          <w:sz w:val="24"/>
          <w:szCs w:val="24"/>
        </w:rPr>
        <w:t>uciążliwości związanych z występowaniem gryzoni i insektów,</w:t>
      </w:r>
    </w:p>
    <w:p w14:paraId="0F6EC0EB" w14:textId="77777777" w:rsidR="00537E5B" w:rsidRPr="00D95504" w:rsidRDefault="00537E5B" w:rsidP="00597239">
      <w:pPr>
        <w:numPr>
          <w:ilvl w:val="0"/>
          <w:numId w:val="70"/>
        </w:numPr>
        <w:spacing w:after="0" w:line="276" w:lineRule="auto"/>
        <w:rPr>
          <w:rFonts w:ascii="Calibri" w:hAnsi="Calibri" w:cs="Calibri"/>
          <w:sz w:val="24"/>
          <w:szCs w:val="24"/>
        </w:rPr>
      </w:pPr>
      <w:r w:rsidRPr="00D95504">
        <w:rPr>
          <w:rFonts w:ascii="Calibri" w:hAnsi="Calibri" w:cs="Calibri"/>
          <w:sz w:val="24"/>
          <w:szCs w:val="24"/>
        </w:rPr>
        <w:t xml:space="preserve">nieodpowiedniej jakości wody do spożycia, </w:t>
      </w:r>
    </w:p>
    <w:p w14:paraId="26EBAD8C" w14:textId="77777777" w:rsidR="00537E5B" w:rsidRPr="00D95504" w:rsidRDefault="00537E5B" w:rsidP="00597239">
      <w:pPr>
        <w:numPr>
          <w:ilvl w:val="0"/>
          <w:numId w:val="70"/>
        </w:numPr>
        <w:spacing w:after="0" w:line="276" w:lineRule="auto"/>
        <w:rPr>
          <w:rFonts w:ascii="Calibri" w:hAnsi="Calibri" w:cs="Calibri"/>
          <w:sz w:val="24"/>
          <w:szCs w:val="24"/>
        </w:rPr>
      </w:pPr>
      <w:r w:rsidRPr="00D95504">
        <w:rPr>
          <w:rFonts w:ascii="Calibri" w:hAnsi="Calibri" w:cs="Calibri"/>
          <w:sz w:val="24"/>
          <w:szCs w:val="24"/>
        </w:rPr>
        <w:t>nieodpowiedniej jakości wody w nieckach basenowych i jacuzzi,</w:t>
      </w:r>
    </w:p>
    <w:p w14:paraId="3A6D93D9" w14:textId="77777777" w:rsidR="00537E5B" w:rsidRPr="0090388A" w:rsidRDefault="00537E5B" w:rsidP="00597239">
      <w:pPr>
        <w:numPr>
          <w:ilvl w:val="0"/>
          <w:numId w:val="70"/>
        </w:numPr>
        <w:spacing w:after="0" w:line="276" w:lineRule="auto"/>
        <w:rPr>
          <w:rFonts w:ascii="Calibri" w:hAnsi="Calibri" w:cs="Calibri"/>
          <w:sz w:val="24"/>
          <w:szCs w:val="24"/>
        </w:rPr>
      </w:pPr>
      <w:r w:rsidRPr="0010433F">
        <w:rPr>
          <w:rFonts w:ascii="Calibri" w:hAnsi="Calibri" w:cs="Calibri"/>
          <w:sz w:val="24"/>
          <w:szCs w:val="24"/>
        </w:rPr>
        <w:t>niewłaściwego stanu sanitarno-higienicznego i technicznego pomieszczeń</w:t>
      </w:r>
      <w:r>
        <w:rPr>
          <w:rFonts w:ascii="Calibri" w:hAnsi="Calibri" w:cs="Calibri"/>
          <w:sz w:val="24"/>
          <w:szCs w:val="24"/>
        </w:rPr>
        <w:t>,</w:t>
      </w:r>
    </w:p>
    <w:p w14:paraId="18CDCA52" w14:textId="77777777" w:rsidR="00537E5B" w:rsidRPr="0010433F" w:rsidRDefault="00537E5B" w:rsidP="00597239">
      <w:pPr>
        <w:numPr>
          <w:ilvl w:val="0"/>
          <w:numId w:val="70"/>
        </w:numPr>
        <w:spacing w:after="0" w:line="276" w:lineRule="auto"/>
        <w:rPr>
          <w:rFonts w:ascii="Calibri" w:hAnsi="Calibri" w:cs="Calibri"/>
          <w:sz w:val="24"/>
          <w:szCs w:val="24"/>
        </w:rPr>
      </w:pPr>
      <w:r w:rsidRPr="0010433F">
        <w:rPr>
          <w:rFonts w:ascii="Calibri" w:hAnsi="Calibri" w:cs="Calibri"/>
          <w:sz w:val="24"/>
          <w:szCs w:val="24"/>
        </w:rPr>
        <w:t>niewłaściwego sposobu przechowywania narzędzi,</w:t>
      </w:r>
      <w:r>
        <w:rPr>
          <w:rFonts w:ascii="Calibri" w:hAnsi="Calibri" w:cs="Calibri"/>
          <w:sz w:val="24"/>
          <w:szCs w:val="24"/>
        </w:rPr>
        <w:t xml:space="preserve"> w tym brak ich sterylizacji i dezynfekcji,</w:t>
      </w:r>
    </w:p>
    <w:p w14:paraId="29D76124" w14:textId="77777777" w:rsidR="00537E5B" w:rsidRPr="008F7AA7" w:rsidRDefault="00537E5B" w:rsidP="00597239">
      <w:pPr>
        <w:numPr>
          <w:ilvl w:val="0"/>
          <w:numId w:val="70"/>
        </w:numPr>
        <w:spacing w:after="0" w:line="276" w:lineRule="auto"/>
        <w:rPr>
          <w:rFonts w:ascii="Calibri" w:hAnsi="Calibri" w:cs="Calibri"/>
          <w:sz w:val="24"/>
          <w:szCs w:val="24"/>
        </w:rPr>
      </w:pPr>
      <w:r w:rsidRPr="008F7AA7">
        <w:rPr>
          <w:rFonts w:ascii="Calibri" w:hAnsi="Calibri" w:cs="Calibri"/>
          <w:sz w:val="24"/>
          <w:szCs w:val="24"/>
        </w:rPr>
        <w:t>stanu higieniczno-sanitarnego i technicznego wyposażenia terenów rekreacyjnych,</w:t>
      </w:r>
    </w:p>
    <w:p w14:paraId="46B66224" w14:textId="416F2714" w:rsidR="00537E5B" w:rsidRPr="004D6C10" w:rsidRDefault="00537E5B" w:rsidP="00597239">
      <w:pPr>
        <w:numPr>
          <w:ilvl w:val="0"/>
          <w:numId w:val="70"/>
        </w:numPr>
        <w:spacing w:after="0" w:line="276" w:lineRule="auto"/>
        <w:rPr>
          <w:rFonts w:ascii="Calibri" w:hAnsi="Calibri" w:cs="Calibri"/>
          <w:sz w:val="24"/>
          <w:szCs w:val="24"/>
        </w:rPr>
      </w:pPr>
      <w:r w:rsidRPr="004D6C10">
        <w:rPr>
          <w:rFonts w:ascii="Calibri" w:hAnsi="Calibri" w:cs="Calibri"/>
          <w:sz w:val="24"/>
          <w:szCs w:val="24"/>
        </w:rPr>
        <w:t>uciążliwych hałasów powodowanych m.in. pracą urządzeń wentylacyjnych lub</w:t>
      </w:r>
      <w:r w:rsidR="00851F01">
        <w:rPr>
          <w:rFonts w:ascii="Calibri" w:hAnsi="Calibri" w:cs="Calibri"/>
          <w:sz w:val="24"/>
          <w:szCs w:val="24"/>
        </w:rPr>
        <w:t> </w:t>
      </w:r>
      <w:r w:rsidRPr="004D6C10">
        <w:rPr>
          <w:rFonts w:ascii="Calibri" w:hAnsi="Calibri" w:cs="Calibri"/>
          <w:sz w:val="24"/>
          <w:szCs w:val="24"/>
        </w:rPr>
        <w:t>klimatyzacyjnych.</w:t>
      </w:r>
    </w:p>
    <w:p w14:paraId="5DDFE488" w14:textId="77777777" w:rsidR="00537E5B" w:rsidRPr="00253A3C" w:rsidRDefault="00537E5B" w:rsidP="00597239">
      <w:pPr>
        <w:spacing w:after="0" w:line="276" w:lineRule="auto"/>
        <w:rPr>
          <w:rFonts w:ascii="Calibri" w:hAnsi="Calibri" w:cs="Calibri"/>
          <w:b/>
          <w:color w:val="FF0000"/>
          <w:sz w:val="24"/>
          <w:szCs w:val="24"/>
        </w:rPr>
      </w:pPr>
    </w:p>
    <w:p w14:paraId="714F0CFF" w14:textId="4A9FA0C1" w:rsidR="00537E5B" w:rsidRPr="00025DA1" w:rsidRDefault="00537E5B" w:rsidP="00597239">
      <w:pPr>
        <w:pStyle w:val="Nagwek2"/>
        <w:numPr>
          <w:ilvl w:val="0"/>
          <w:numId w:val="72"/>
        </w:numPr>
        <w:spacing w:before="0" w:after="0"/>
        <w:ind w:left="284" w:hanging="284"/>
        <w:jc w:val="left"/>
      </w:pPr>
      <w:bookmarkStart w:id="319" w:name="_Toc194059839"/>
      <w:r w:rsidRPr="00025DA1">
        <w:t>Zabezpieczenie sanitarne imprez masowych</w:t>
      </w:r>
      <w:bookmarkEnd w:id="319"/>
    </w:p>
    <w:p w14:paraId="59E99F9E" w14:textId="3EF62A0C" w:rsidR="00537E5B" w:rsidRDefault="00537E5B" w:rsidP="00597239">
      <w:pPr>
        <w:spacing w:after="0" w:line="276" w:lineRule="auto"/>
        <w:rPr>
          <w:rFonts w:ascii="Calibri" w:hAnsi="Calibri" w:cs="Calibri"/>
          <w:sz w:val="24"/>
          <w:szCs w:val="24"/>
        </w:rPr>
      </w:pPr>
      <w:r w:rsidRPr="001A3D51">
        <w:rPr>
          <w:rFonts w:ascii="Calibri" w:hAnsi="Calibri" w:cs="Calibri"/>
          <w:sz w:val="24"/>
          <w:szCs w:val="24"/>
        </w:rPr>
        <w:t xml:space="preserve">W roku 2024 do organów Państwowej Inspekcji Sanitarnej </w:t>
      </w:r>
      <w:r w:rsidRPr="00E20204">
        <w:rPr>
          <w:rFonts w:ascii="Calibri" w:hAnsi="Calibri" w:cs="Calibri"/>
          <w:sz w:val="24"/>
          <w:szCs w:val="24"/>
        </w:rPr>
        <w:t>wpłynęło 169 wniosków</w:t>
      </w:r>
      <w:r w:rsidRPr="00253A3C">
        <w:rPr>
          <w:rFonts w:ascii="Calibri" w:hAnsi="Calibri" w:cs="Calibri"/>
          <w:color w:val="FF0000"/>
          <w:sz w:val="24"/>
          <w:szCs w:val="24"/>
        </w:rPr>
        <w:t xml:space="preserve"> </w:t>
      </w:r>
      <w:r w:rsidRPr="001A3D51">
        <w:rPr>
          <w:rFonts w:ascii="Calibri" w:hAnsi="Calibri" w:cs="Calibri"/>
          <w:sz w:val="24"/>
          <w:szCs w:val="24"/>
        </w:rPr>
        <w:t xml:space="preserve">o wydanie opinii </w:t>
      </w:r>
      <w:r w:rsidRPr="00D95504">
        <w:rPr>
          <w:rFonts w:ascii="Calibri" w:hAnsi="Calibri" w:cs="Calibri"/>
          <w:sz w:val="24"/>
          <w:szCs w:val="24"/>
        </w:rPr>
        <w:t>sanitarnej na przeprowadzenie imprezy masowej o charakterze</w:t>
      </w:r>
      <w:r w:rsidRPr="001A3D51">
        <w:rPr>
          <w:rFonts w:ascii="Calibri" w:hAnsi="Calibri" w:cs="Calibri"/>
          <w:sz w:val="24"/>
          <w:szCs w:val="24"/>
        </w:rPr>
        <w:t xml:space="preserve"> artystycznym, rozrywkowym lub sportowym. </w:t>
      </w:r>
      <w:r>
        <w:rPr>
          <w:rFonts w:ascii="Calibri" w:hAnsi="Calibri" w:cs="Calibri"/>
          <w:sz w:val="24"/>
          <w:szCs w:val="24"/>
        </w:rPr>
        <w:t>168</w:t>
      </w:r>
      <w:r w:rsidRPr="001A3D51">
        <w:rPr>
          <w:rFonts w:ascii="Calibri" w:hAnsi="Calibri" w:cs="Calibri"/>
          <w:sz w:val="24"/>
          <w:szCs w:val="24"/>
        </w:rPr>
        <w:t xml:space="preserve"> wniosk</w:t>
      </w:r>
      <w:r>
        <w:rPr>
          <w:rFonts w:ascii="Calibri" w:hAnsi="Calibri" w:cs="Calibri"/>
          <w:sz w:val="24"/>
          <w:szCs w:val="24"/>
        </w:rPr>
        <w:t>ów</w:t>
      </w:r>
      <w:r w:rsidRPr="001A3D51">
        <w:rPr>
          <w:rFonts w:ascii="Calibri" w:hAnsi="Calibri" w:cs="Calibri"/>
          <w:sz w:val="24"/>
          <w:szCs w:val="24"/>
        </w:rPr>
        <w:t xml:space="preserve"> został</w:t>
      </w:r>
      <w:r>
        <w:rPr>
          <w:rFonts w:ascii="Calibri" w:hAnsi="Calibri" w:cs="Calibri"/>
          <w:sz w:val="24"/>
          <w:szCs w:val="24"/>
        </w:rPr>
        <w:t>o</w:t>
      </w:r>
      <w:r w:rsidRPr="001A3D51">
        <w:rPr>
          <w:rFonts w:ascii="Calibri" w:hAnsi="Calibri" w:cs="Calibri"/>
          <w:sz w:val="24"/>
          <w:szCs w:val="24"/>
        </w:rPr>
        <w:t xml:space="preserve"> rozpatrzon</w:t>
      </w:r>
      <w:r>
        <w:rPr>
          <w:rFonts w:ascii="Calibri" w:hAnsi="Calibri" w:cs="Calibri"/>
          <w:sz w:val="24"/>
          <w:szCs w:val="24"/>
        </w:rPr>
        <w:t>ych</w:t>
      </w:r>
      <w:r w:rsidRPr="001A3D51">
        <w:rPr>
          <w:rFonts w:ascii="Calibri" w:hAnsi="Calibri" w:cs="Calibri"/>
          <w:sz w:val="24"/>
          <w:szCs w:val="24"/>
        </w:rPr>
        <w:t xml:space="preserve"> pozytywnie. </w:t>
      </w:r>
      <w:r>
        <w:rPr>
          <w:rFonts w:ascii="Calibri" w:hAnsi="Calibri" w:cs="Calibri"/>
          <w:sz w:val="24"/>
          <w:szCs w:val="24"/>
        </w:rPr>
        <w:t>W o</w:t>
      </w:r>
      <w:r w:rsidRPr="001A3D51">
        <w:rPr>
          <w:rFonts w:ascii="Calibri" w:hAnsi="Calibri" w:cs="Calibri"/>
          <w:sz w:val="24"/>
          <w:szCs w:val="24"/>
        </w:rPr>
        <w:t>pini</w:t>
      </w:r>
      <w:r>
        <w:rPr>
          <w:rFonts w:ascii="Calibri" w:hAnsi="Calibri" w:cs="Calibri"/>
          <w:sz w:val="24"/>
          <w:szCs w:val="24"/>
        </w:rPr>
        <w:t>ach</w:t>
      </w:r>
      <w:r w:rsidRPr="001A3D51">
        <w:rPr>
          <w:rFonts w:ascii="Calibri" w:hAnsi="Calibri" w:cs="Calibri"/>
          <w:sz w:val="24"/>
          <w:szCs w:val="24"/>
        </w:rPr>
        <w:t xml:space="preserve"> sanitarn</w:t>
      </w:r>
      <w:r>
        <w:rPr>
          <w:rFonts w:ascii="Calibri" w:hAnsi="Calibri" w:cs="Calibri"/>
          <w:sz w:val="24"/>
          <w:szCs w:val="24"/>
        </w:rPr>
        <w:t>ych</w:t>
      </w:r>
      <w:r w:rsidRPr="001A3D51">
        <w:rPr>
          <w:rFonts w:ascii="Calibri" w:hAnsi="Calibri" w:cs="Calibri"/>
          <w:sz w:val="24"/>
          <w:szCs w:val="24"/>
        </w:rPr>
        <w:t xml:space="preserve"> zezwalając</w:t>
      </w:r>
      <w:r>
        <w:rPr>
          <w:rFonts w:ascii="Calibri" w:hAnsi="Calibri" w:cs="Calibri"/>
          <w:sz w:val="24"/>
          <w:szCs w:val="24"/>
        </w:rPr>
        <w:t>ych</w:t>
      </w:r>
      <w:r w:rsidRPr="001A3D51">
        <w:rPr>
          <w:rFonts w:ascii="Calibri" w:hAnsi="Calibri" w:cs="Calibri"/>
          <w:sz w:val="24"/>
          <w:szCs w:val="24"/>
        </w:rPr>
        <w:t xml:space="preserve"> na przeprowadzenie </w:t>
      </w:r>
      <w:r w:rsidRPr="00D95504">
        <w:rPr>
          <w:rFonts w:ascii="Calibri" w:hAnsi="Calibri" w:cs="Calibri"/>
          <w:sz w:val="24"/>
          <w:szCs w:val="24"/>
        </w:rPr>
        <w:t>imprez masowych wskazywano m.in. wymagania, jakie należy spełnić podczas ich organizacji. W trakcie</w:t>
      </w:r>
      <w:r w:rsidRPr="001A3D51">
        <w:rPr>
          <w:rFonts w:ascii="Calibri" w:hAnsi="Calibri" w:cs="Calibri"/>
          <w:sz w:val="24"/>
          <w:szCs w:val="24"/>
        </w:rPr>
        <w:t xml:space="preserve"> nadzoru organy PIS kontrolowały </w:t>
      </w:r>
      <w:r>
        <w:rPr>
          <w:rFonts w:ascii="Calibri" w:hAnsi="Calibri" w:cs="Calibri"/>
          <w:sz w:val="24"/>
          <w:szCs w:val="24"/>
        </w:rPr>
        <w:t xml:space="preserve">zarówno </w:t>
      </w:r>
      <w:r w:rsidRPr="001A3D51">
        <w:rPr>
          <w:rFonts w:ascii="Calibri" w:hAnsi="Calibri" w:cs="Calibri"/>
          <w:sz w:val="24"/>
          <w:szCs w:val="24"/>
        </w:rPr>
        <w:t>zgodność przebiegu imprezy z warunkami określonymi w zezwoleniu</w:t>
      </w:r>
      <w:r>
        <w:rPr>
          <w:rFonts w:ascii="Calibri" w:hAnsi="Calibri" w:cs="Calibri"/>
          <w:sz w:val="24"/>
          <w:szCs w:val="24"/>
        </w:rPr>
        <w:t xml:space="preserve">, jak i </w:t>
      </w:r>
      <w:r w:rsidRPr="001A3D51">
        <w:rPr>
          <w:rFonts w:ascii="Calibri" w:hAnsi="Calibri" w:cs="Calibri"/>
          <w:sz w:val="24"/>
          <w:szCs w:val="24"/>
        </w:rPr>
        <w:t xml:space="preserve">stan higieniczno-sanitarny i techniczny pomieszczeń, urządzeń a także teren, na którym organizowana </w:t>
      </w:r>
      <w:r>
        <w:rPr>
          <w:rFonts w:ascii="Calibri" w:hAnsi="Calibri" w:cs="Calibri"/>
          <w:sz w:val="24"/>
          <w:szCs w:val="24"/>
        </w:rPr>
        <w:t>była</w:t>
      </w:r>
      <w:r w:rsidRPr="001A3D51">
        <w:rPr>
          <w:rFonts w:ascii="Calibri" w:hAnsi="Calibri" w:cs="Calibri"/>
          <w:sz w:val="24"/>
          <w:szCs w:val="24"/>
        </w:rPr>
        <w:t xml:space="preserve"> </w:t>
      </w:r>
      <w:r w:rsidRPr="00AA1E61">
        <w:rPr>
          <w:rFonts w:ascii="Calibri" w:hAnsi="Calibri" w:cs="Calibri"/>
          <w:sz w:val="24"/>
          <w:szCs w:val="24"/>
        </w:rPr>
        <w:t xml:space="preserve">impreza. </w:t>
      </w:r>
    </w:p>
    <w:p w14:paraId="10564DBF" w14:textId="77777777" w:rsidR="00777D94" w:rsidRDefault="00777D94" w:rsidP="00597239">
      <w:pPr>
        <w:spacing w:after="0" w:line="276" w:lineRule="auto"/>
        <w:rPr>
          <w:rFonts w:ascii="Calibri" w:hAnsi="Calibri" w:cs="Calibri"/>
          <w:sz w:val="24"/>
          <w:szCs w:val="24"/>
        </w:rPr>
      </w:pPr>
    </w:p>
    <w:p w14:paraId="729D59BF" w14:textId="77777777" w:rsidR="00537E5B" w:rsidRPr="00025DA1" w:rsidRDefault="00537E5B" w:rsidP="00597239">
      <w:pPr>
        <w:spacing w:after="0" w:line="276" w:lineRule="auto"/>
        <w:rPr>
          <w:rFonts w:ascii="Calibri" w:hAnsi="Calibri" w:cs="Calibri"/>
          <w:b/>
          <w:bCs/>
          <w:sz w:val="24"/>
          <w:szCs w:val="24"/>
        </w:rPr>
      </w:pPr>
      <w:proofErr w:type="spellStart"/>
      <w:r w:rsidRPr="00025DA1">
        <w:rPr>
          <w:rFonts w:ascii="Calibri" w:hAnsi="Calibri" w:cs="Calibri"/>
          <w:b/>
          <w:bCs/>
          <w:sz w:val="24"/>
          <w:szCs w:val="24"/>
        </w:rPr>
        <w:t>Pol’and’Rock</w:t>
      </w:r>
      <w:proofErr w:type="spellEnd"/>
      <w:r w:rsidRPr="00025DA1">
        <w:rPr>
          <w:rFonts w:ascii="Calibri" w:hAnsi="Calibri" w:cs="Calibri"/>
          <w:b/>
          <w:bCs/>
          <w:sz w:val="24"/>
          <w:szCs w:val="24"/>
        </w:rPr>
        <w:t xml:space="preserve"> </w:t>
      </w:r>
      <w:proofErr w:type="spellStart"/>
      <w:r w:rsidRPr="00025DA1">
        <w:rPr>
          <w:rFonts w:ascii="Calibri" w:hAnsi="Calibri" w:cs="Calibri"/>
          <w:b/>
          <w:bCs/>
          <w:sz w:val="24"/>
          <w:szCs w:val="24"/>
        </w:rPr>
        <w:t>Festival</w:t>
      </w:r>
      <w:proofErr w:type="spellEnd"/>
    </w:p>
    <w:p w14:paraId="1988E887" w14:textId="1DE9DE41" w:rsidR="00537E5B" w:rsidRPr="00842FB6" w:rsidRDefault="00537E5B" w:rsidP="00597239">
      <w:pPr>
        <w:spacing w:after="0" w:line="276" w:lineRule="auto"/>
        <w:rPr>
          <w:rFonts w:ascii="Calibri" w:hAnsi="Calibri" w:cs="Calibri"/>
          <w:strike/>
          <w:sz w:val="24"/>
          <w:szCs w:val="24"/>
        </w:rPr>
      </w:pPr>
      <w:r w:rsidRPr="00AA1E61">
        <w:rPr>
          <w:rFonts w:ascii="Calibri" w:hAnsi="Calibri" w:cs="Calibri"/>
          <w:sz w:val="24"/>
          <w:szCs w:val="24"/>
        </w:rPr>
        <w:t>Już po raz czwarty na terenie województwa zachodniopomorskiego</w:t>
      </w:r>
      <w:r>
        <w:rPr>
          <w:rFonts w:ascii="Calibri" w:hAnsi="Calibri" w:cs="Calibri"/>
          <w:sz w:val="24"/>
          <w:szCs w:val="24"/>
        </w:rPr>
        <w:t>,</w:t>
      </w:r>
      <w:r w:rsidRPr="00AA1E61">
        <w:rPr>
          <w:rFonts w:ascii="Calibri" w:hAnsi="Calibri" w:cs="Calibri"/>
          <w:sz w:val="24"/>
          <w:szCs w:val="24"/>
        </w:rPr>
        <w:t xml:space="preserve"> na obszarze lotniska Broczyno koło Czaplinka</w:t>
      </w:r>
      <w:r>
        <w:rPr>
          <w:rFonts w:ascii="Calibri" w:hAnsi="Calibri" w:cs="Calibri"/>
          <w:sz w:val="24"/>
          <w:szCs w:val="24"/>
        </w:rPr>
        <w:t>,</w:t>
      </w:r>
      <w:r w:rsidRPr="00AA1E61">
        <w:rPr>
          <w:rFonts w:ascii="Calibri" w:hAnsi="Calibri" w:cs="Calibri"/>
          <w:sz w:val="24"/>
          <w:szCs w:val="24"/>
        </w:rPr>
        <w:t xml:space="preserve"> Fundacja Wielkiej Orkiestry Świątecznej Pomocy zorganizowała </w:t>
      </w:r>
      <w:proofErr w:type="spellStart"/>
      <w:r w:rsidRPr="00AA1E61">
        <w:rPr>
          <w:rFonts w:ascii="Calibri" w:hAnsi="Calibri" w:cs="Calibri"/>
          <w:sz w:val="24"/>
          <w:szCs w:val="24"/>
        </w:rPr>
        <w:t>Pol’and’Rock</w:t>
      </w:r>
      <w:proofErr w:type="spellEnd"/>
      <w:r w:rsidRPr="00AA1E61">
        <w:rPr>
          <w:rFonts w:ascii="Calibri" w:hAnsi="Calibri" w:cs="Calibri"/>
          <w:sz w:val="24"/>
          <w:szCs w:val="24"/>
        </w:rPr>
        <w:t xml:space="preserve"> </w:t>
      </w:r>
      <w:proofErr w:type="spellStart"/>
      <w:r w:rsidRPr="00AA1E61">
        <w:rPr>
          <w:rFonts w:ascii="Calibri" w:hAnsi="Calibri" w:cs="Calibri"/>
          <w:sz w:val="24"/>
          <w:szCs w:val="24"/>
        </w:rPr>
        <w:t>Festival</w:t>
      </w:r>
      <w:proofErr w:type="spellEnd"/>
      <w:r w:rsidRPr="00AA1E61">
        <w:rPr>
          <w:rFonts w:ascii="Calibri" w:hAnsi="Calibri" w:cs="Calibri"/>
          <w:sz w:val="24"/>
          <w:szCs w:val="24"/>
        </w:rPr>
        <w:t xml:space="preserve">. Podczas trwania festiwalu </w:t>
      </w:r>
      <w:r>
        <w:rPr>
          <w:rFonts w:ascii="Calibri" w:hAnsi="Calibri" w:cs="Calibri"/>
          <w:sz w:val="24"/>
          <w:szCs w:val="24"/>
        </w:rPr>
        <w:t xml:space="preserve">pracownicy Państwowej Inspekcji </w:t>
      </w:r>
      <w:r w:rsidR="00FD3723">
        <w:rPr>
          <w:rFonts w:ascii="Calibri" w:hAnsi="Calibri" w:cs="Calibri"/>
          <w:sz w:val="24"/>
          <w:szCs w:val="24"/>
        </w:rPr>
        <w:t>Sanitarnej pełnili</w:t>
      </w:r>
      <w:r>
        <w:rPr>
          <w:rFonts w:ascii="Calibri" w:hAnsi="Calibri" w:cs="Calibri"/>
          <w:sz w:val="24"/>
          <w:szCs w:val="24"/>
        </w:rPr>
        <w:t xml:space="preserve"> </w:t>
      </w:r>
      <w:r w:rsidRPr="00AA1E61">
        <w:rPr>
          <w:rFonts w:ascii="Calibri" w:hAnsi="Calibri" w:cs="Calibri"/>
          <w:sz w:val="24"/>
          <w:szCs w:val="24"/>
        </w:rPr>
        <w:t>dyżur</w:t>
      </w:r>
      <w:r>
        <w:rPr>
          <w:rFonts w:ascii="Calibri" w:hAnsi="Calibri" w:cs="Calibri"/>
          <w:sz w:val="24"/>
          <w:szCs w:val="24"/>
        </w:rPr>
        <w:t>y</w:t>
      </w:r>
      <w:r w:rsidRPr="00AA1E61">
        <w:rPr>
          <w:rFonts w:ascii="Calibri" w:hAnsi="Calibri" w:cs="Calibri"/>
          <w:sz w:val="24"/>
          <w:szCs w:val="24"/>
        </w:rPr>
        <w:t xml:space="preserve"> w systemie zmianowym</w:t>
      </w:r>
      <w:r>
        <w:rPr>
          <w:rFonts w:ascii="Calibri" w:hAnsi="Calibri" w:cs="Calibri"/>
          <w:sz w:val="24"/>
          <w:szCs w:val="24"/>
        </w:rPr>
        <w:t>.</w:t>
      </w:r>
      <w:r w:rsidRPr="005A4BAA">
        <w:rPr>
          <w:rFonts w:ascii="Calibri" w:hAnsi="Calibri" w:cs="Calibri"/>
          <w:sz w:val="24"/>
          <w:szCs w:val="24"/>
        </w:rPr>
        <w:t xml:space="preserve"> </w:t>
      </w:r>
      <w:r>
        <w:rPr>
          <w:rFonts w:ascii="Calibri" w:hAnsi="Calibri" w:cs="Calibri"/>
          <w:sz w:val="24"/>
          <w:szCs w:val="24"/>
        </w:rPr>
        <w:t>Prowadzone czynności nadzorowe</w:t>
      </w:r>
      <w:r w:rsidRPr="005A4BAA">
        <w:rPr>
          <w:rFonts w:ascii="Calibri" w:hAnsi="Calibri" w:cs="Calibri"/>
          <w:sz w:val="24"/>
          <w:szCs w:val="24"/>
        </w:rPr>
        <w:t xml:space="preserve"> obejmowały m.in.: funkcjonowanie i serwisowanie stref </w:t>
      </w:r>
      <w:proofErr w:type="spellStart"/>
      <w:r w:rsidRPr="005A4BAA">
        <w:rPr>
          <w:rFonts w:ascii="Calibri" w:hAnsi="Calibri" w:cs="Calibri"/>
          <w:sz w:val="24"/>
          <w:szCs w:val="24"/>
        </w:rPr>
        <w:t>higieniczno</w:t>
      </w:r>
      <w:proofErr w:type="spellEnd"/>
      <w:r w:rsidRPr="005A4BAA">
        <w:rPr>
          <w:rFonts w:ascii="Calibri" w:hAnsi="Calibri" w:cs="Calibri"/>
          <w:sz w:val="24"/>
          <w:szCs w:val="24"/>
        </w:rPr>
        <w:t xml:space="preserve"> – sanitarnych przeznaczonych dla uczestników festiwalu i jego organizatorów, postępowanie z odpadami komunalnymi, funkcjonowanie punktów medycznych, bieżący stan </w:t>
      </w:r>
      <w:proofErr w:type="spellStart"/>
      <w:r w:rsidRPr="005A4BAA">
        <w:rPr>
          <w:rFonts w:ascii="Calibri" w:hAnsi="Calibri" w:cs="Calibri"/>
          <w:sz w:val="24"/>
          <w:szCs w:val="24"/>
        </w:rPr>
        <w:t>higieniczno</w:t>
      </w:r>
      <w:proofErr w:type="spellEnd"/>
      <w:r w:rsidRPr="005A4BAA">
        <w:rPr>
          <w:rFonts w:ascii="Calibri" w:hAnsi="Calibri" w:cs="Calibri"/>
          <w:sz w:val="24"/>
          <w:szCs w:val="24"/>
        </w:rPr>
        <w:t xml:space="preserve"> – sanitarny w obiektach produkcji i wprowadzania do obrotu żywności, warunki przechowywania żywności oraz monitoring jakości wody do spożycia w punktach </w:t>
      </w:r>
      <w:r w:rsidRPr="00D95504">
        <w:rPr>
          <w:rFonts w:ascii="Calibri" w:hAnsi="Calibri" w:cs="Calibri"/>
          <w:sz w:val="24"/>
          <w:szCs w:val="24"/>
        </w:rPr>
        <w:t>poboru. Nadzorowano obiekty zarówno na</w:t>
      </w:r>
      <w:r w:rsidR="00020A86">
        <w:rPr>
          <w:rFonts w:ascii="Calibri" w:hAnsi="Calibri" w:cs="Calibri"/>
          <w:sz w:val="24"/>
          <w:szCs w:val="24"/>
        </w:rPr>
        <w:t> </w:t>
      </w:r>
      <w:r w:rsidRPr="00D95504">
        <w:rPr>
          <w:rFonts w:ascii="Calibri" w:hAnsi="Calibri" w:cs="Calibri"/>
          <w:sz w:val="24"/>
          <w:szCs w:val="24"/>
        </w:rPr>
        <w:t xml:space="preserve">terenie całego Festiwalu jak i na zewnątrz. Prowadzono także działania kontrolne w dalszych miejscowościach, dotyczyły one przede wszystkim obiektów, z których korzystali uczestnicy zdarzenia. Dodatkowo w związku ze wzmożonym ruchem pasażerskim </w:t>
      </w:r>
      <w:r w:rsidRPr="00D95504">
        <w:rPr>
          <w:rFonts w:ascii="Calibri" w:hAnsi="Calibri" w:cs="Calibri"/>
          <w:sz w:val="24"/>
          <w:szCs w:val="24"/>
        </w:rPr>
        <w:lastRenderedPageBreak/>
        <w:t>prowadzono nadzór sanitarny nad obiektami PKP oraz PKS, głównie dworcami i przystankami.</w:t>
      </w:r>
    </w:p>
    <w:p w14:paraId="145639C8" w14:textId="0A543353" w:rsidR="00537E5B" w:rsidRPr="002F3F59" w:rsidRDefault="00537E5B" w:rsidP="00597239">
      <w:pPr>
        <w:spacing w:after="0" w:line="276" w:lineRule="auto"/>
        <w:rPr>
          <w:rFonts w:ascii="Calibri" w:hAnsi="Calibri" w:cs="Calibri"/>
          <w:color w:val="FF0000"/>
          <w:sz w:val="24"/>
          <w:szCs w:val="24"/>
        </w:rPr>
      </w:pPr>
      <w:r w:rsidRPr="00D95504">
        <w:rPr>
          <w:rFonts w:ascii="Calibri" w:hAnsi="Calibri" w:cs="Calibri"/>
          <w:sz w:val="24"/>
          <w:szCs w:val="24"/>
        </w:rPr>
        <w:t>W ramach działań przygotowawczych przed rozpoczęciem Festiwalu prowadzono działania edukacyjne dotyczące organizacji miejsc noclegowych oraz punktów gastronomicznych, kierowane przede wszystkim do mieszkańców miejscowości sąsiadujących</w:t>
      </w:r>
      <w:r w:rsidRPr="005A4BAA">
        <w:rPr>
          <w:rFonts w:ascii="Calibri" w:hAnsi="Calibri" w:cs="Calibri"/>
          <w:sz w:val="24"/>
          <w:szCs w:val="24"/>
        </w:rPr>
        <w:t xml:space="preserve"> z lotniskiem Broczyno</w:t>
      </w:r>
      <w:r>
        <w:rPr>
          <w:rFonts w:ascii="Calibri" w:hAnsi="Calibri" w:cs="Calibri"/>
          <w:sz w:val="24"/>
          <w:szCs w:val="24"/>
        </w:rPr>
        <w:t xml:space="preserve"> oraz władz samorządowych. Działania te </w:t>
      </w:r>
      <w:r w:rsidRPr="005A4BAA">
        <w:rPr>
          <w:rFonts w:ascii="Calibri" w:hAnsi="Calibri" w:cs="Calibri"/>
          <w:sz w:val="24"/>
          <w:szCs w:val="24"/>
        </w:rPr>
        <w:t xml:space="preserve">przyniosły wymierne efekty </w:t>
      </w:r>
      <w:r>
        <w:rPr>
          <w:rFonts w:ascii="Calibri" w:hAnsi="Calibri" w:cs="Calibri"/>
          <w:sz w:val="24"/>
          <w:szCs w:val="24"/>
        </w:rPr>
        <w:t xml:space="preserve">– </w:t>
      </w:r>
      <w:r w:rsidRPr="005A4BAA">
        <w:rPr>
          <w:rFonts w:ascii="Calibri" w:hAnsi="Calibri" w:cs="Calibri"/>
          <w:sz w:val="24"/>
          <w:szCs w:val="24"/>
        </w:rPr>
        <w:t>z</w:t>
      </w:r>
      <w:r>
        <w:rPr>
          <w:rFonts w:ascii="Calibri" w:hAnsi="Calibri" w:cs="Calibri"/>
          <w:sz w:val="24"/>
          <w:szCs w:val="24"/>
        </w:rPr>
        <w:t>o</w:t>
      </w:r>
      <w:r w:rsidRPr="005A4BAA">
        <w:rPr>
          <w:rFonts w:ascii="Calibri" w:hAnsi="Calibri" w:cs="Calibri"/>
          <w:sz w:val="24"/>
          <w:szCs w:val="24"/>
        </w:rPr>
        <w:t>rganiz</w:t>
      </w:r>
      <w:r>
        <w:rPr>
          <w:rFonts w:ascii="Calibri" w:hAnsi="Calibri" w:cs="Calibri"/>
          <w:sz w:val="24"/>
          <w:szCs w:val="24"/>
        </w:rPr>
        <w:t>owano</w:t>
      </w:r>
      <w:r w:rsidRPr="005A4BAA">
        <w:rPr>
          <w:rFonts w:ascii="Calibri" w:hAnsi="Calibri" w:cs="Calibri"/>
          <w:sz w:val="24"/>
          <w:szCs w:val="24"/>
        </w:rPr>
        <w:t xml:space="preserve"> 22 p</w:t>
      </w:r>
      <w:r>
        <w:rPr>
          <w:rFonts w:ascii="Calibri" w:hAnsi="Calibri" w:cs="Calibri"/>
          <w:sz w:val="24"/>
          <w:szCs w:val="24"/>
        </w:rPr>
        <w:t>ola</w:t>
      </w:r>
      <w:r w:rsidRPr="005A4BAA">
        <w:rPr>
          <w:rFonts w:ascii="Calibri" w:hAnsi="Calibri" w:cs="Calibri"/>
          <w:sz w:val="24"/>
          <w:szCs w:val="24"/>
        </w:rPr>
        <w:t xml:space="preserve"> namiotow</w:t>
      </w:r>
      <w:r>
        <w:rPr>
          <w:rFonts w:ascii="Calibri" w:hAnsi="Calibri" w:cs="Calibri"/>
          <w:sz w:val="24"/>
          <w:szCs w:val="24"/>
        </w:rPr>
        <w:t>e poza terenem Festiwalu</w:t>
      </w:r>
      <w:r w:rsidRPr="005A4BAA">
        <w:rPr>
          <w:rFonts w:ascii="Calibri" w:hAnsi="Calibri" w:cs="Calibri"/>
          <w:sz w:val="24"/>
          <w:szCs w:val="24"/>
        </w:rPr>
        <w:t>,</w:t>
      </w:r>
      <w:r>
        <w:rPr>
          <w:rFonts w:ascii="Calibri" w:hAnsi="Calibri" w:cs="Calibri"/>
          <w:sz w:val="24"/>
          <w:szCs w:val="24"/>
        </w:rPr>
        <w:t xml:space="preserve"> które</w:t>
      </w:r>
      <w:r w:rsidRPr="005A4BAA">
        <w:rPr>
          <w:rFonts w:ascii="Calibri" w:hAnsi="Calibri" w:cs="Calibri"/>
          <w:sz w:val="24"/>
          <w:szCs w:val="24"/>
        </w:rPr>
        <w:t xml:space="preserve"> </w:t>
      </w:r>
      <w:r>
        <w:rPr>
          <w:rFonts w:ascii="Calibri" w:hAnsi="Calibri" w:cs="Calibri"/>
          <w:sz w:val="24"/>
          <w:szCs w:val="24"/>
        </w:rPr>
        <w:t>spełniały</w:t>
      </w:r>
      <w:r w:rsidRPr="005A4BAA">
        <w:rPr>
          <w:rFonts w:ascii="Calibri" w:hAnsi="Calibri" w:cs="Calibri"/>
          <w:sz w:val="24"/>
          <w:szCs w:val="24"/>
        </w:rPr>
        <w:t xml:space="preserve"> wszystki</w:t>
      </w:r>
      <w:r>
        <w:rPr>
          <w:rFonts w:ascii="Calibri" w:hAnsi="Calibri" w:cs="Calibri"/>
          <w:sz w:val="24"/>
          <w:szCs w:val="24"/>
        </w:rPr>
        <w:t>e</w:t>
      </w:r>
      <w:r w:rsidRPr="005A4BAA">
        <w:rPr>
          <w:rFonts w:ascii="Calibri" w:hAnsi="Calibri" w:cs="Calibri"/>
          <w:sz w:val="24"/>
          <w:szCs w:val="24"/>
        </w:rPr>
        <w:t xml:space="preserve"> niezbędn</w:t>
      </w:r>
      <w:r>
        <w:rPr>
          <w:rFonts w:ascii="Calibri" w:hAnsi="Calibri" w:cs="Calibri"/>
          <w:sz w:val="24"/>
          <w:szCs w:val="24"/>
        </w:rPr>
        <w:t>e</w:t>
      </w:r>
      <w:r w:rsidRPr="005A4BAA">
        <w:rPr>
          <w:rFonts w:ascii="Calibri" w:hAnsi="Calibri" w:cs="Calibri"/>
          <w:sz w:val="24"/>
          <w:szCs w:val="24"/>
        </w:rPr>
        <w:t xml:space="preserve"> wymaga</w:t>
      </w:r>
      <w:r>
        <w:rPr>
          <w:rFonts w:ascii="Calibri" w:hAnsi="Calibri" w:cs="Calibri"/>
          <w:sz w:val="24"/>
          <w:szCs w:val="24"/>
        </w:rPr>
        <w:t xml:space="preserve">nia dla tego typu obiektów, w tym </w:t>
      </w:r>
      <w:r w:rsidRPr="00476475">
        <w:rPr>
          <w:rFonts w:ascii="Calibri" w:hAnsi="Calibri" w:cs="Calibri"/>
          <w:sz w:val="24"/>
          <w:szCs w:val="24"/>
        </w:rPr>
        <w:t>zapewniały wodę zdatną do spożycia.</w:t>
      </w:r>
      <w:r w:rsidRPr="00413508">
        <w:rPr>
          <w:rFonts w:ascii="Calibri" w:hAnsi="Calibri" w:cs="Calibri"/>
          <w:color w:val="FF0000"/>
          <w:sz w:val="24"/>
          <w:szCs w:val="24"/>
        </w:rPr>
        <w:t xml:space="preserve"> </w:t>
      </w:r>
    </w:p>
    <w:p w14:paraId="1A511F71" w14:textId="77777777" w:rsidR="00777D94" w:rsidRDefault="00777D94" w:rsidP="00597239">
      <w:pPr>
        <w:spacing w:after="0" w:line="276" w:lineRule="auto"/>
        <w:rPr>
          <w:rFonts w:ascii="Calibri" w:hAnsi="Calibri" w:cs="Calibri"/>
          <w:b/>
          <w:bCs/>
          <w:sz w:val="24"/>
          <w:szCs w:val="24"/>
        </w:rPr>
      </w:pPr>
    </w:p>
    <w:p w14:paraId="4AF35DAF" w14:textId="59F154DA" w:rsidR="00537E5B" w:rsidRPr="002F3F59" w:rsidRDefault="00537E5B" w:rsidP="00597239">
      <w:pPr>
        <w:spacing w:after="0" w:line="276" w:lineRule="auto"/>
        <w:rPr>
          <w:rFonts w:ascii="Calibri" w:hAnsi="Calibri" w:cs="Calibri"/>
          <w:b/>
          <w:bCs/>
          <w:sz w:val="24"/>
          <w:szCs w:val="24"/>
        </w:rPr>
      </w:pPr>
      <w:r w:rsidRPr="002F3F59">
        <w:rPr>
          <w:rFonts w:ascii="Calibri" w:hAnsi="Calibri" w:cs="Calibri"/>
          <w:b/>
          <w:bCs/>
          <w:sz w:val="24"/>
          <w:szCs w:val="24"/>
        </w:rPr>
        <w:t xml:space="preserve">The </w:t>
      </w:r>
      <w:proofErr w:type="spellStart"/>
      <w:r w:rsidRPr="002F3F59">
        <w:rPr>
          <w:rFonts w:ascii="Calibri" w:hAnsi="Calibri" w:cs="Calibri"/>
          <w:b/>
          <w:bCs/>
          <w:sz w:val="24"/>
          <w:szCs w:val="24"/>
        </w:rPr>
        <w:t>Tall</w:t>
      </w:r>
      <w:proofErr w:type="spellEnd"/>
      <w:r w:rsidRPr="002F3F59">
        <w:rPr>
          <w:rFonts w:ascii="Calibri" w:hAnsi="Calibri" w:cs="Calibri"/>
          <w:b/>
          <w:bCs/>
          <w:sz w:val="24"/>
          <w:szCs w:val="24"/>
        </w:rPr>
        <w:t xml:space="preserve"> </w:t>
      </w:r>
      <w:proofErr w:type="spellStart"/>
      <w:r w:rsidRPr="002F3F59">
        <w:rPr>
          <w:rFonts w:ascii="Calibri" w:hAnsi="Calibri" w:cs="Calibri"/>
          <w:b/>
          <w:bCs/>
          <w:sz w:val="24"/>
          <w:szCs w:val="24"/>
        </w:rPr>
        <w:t>Ships</w:t>
      </w:r>
      <w:proofErr w:type="spellEnd"/>
      <w:r w:rsidRPr="002F3F59">
        <w:rPr>
          <w:rFonts w:ascii="Calibri" w:hAnsi="Calibri" w:cs="Calibri"/>
          <w:b/>
          <w:bCs/>
          <w:sz w:val="24"/>
          <w:szCs w:val="24"/>
        </w:rPr>
        <w:t xml:space="preserve"> </w:t>
      </w:r>
      <w:proofErr w:type="spellStart"/>
      <w:r w:rsidRPr="002F3F59">
        <w:rPr>
          <w:rFonts w:ascii="Calibri" w:hAnsi="Calibri" w:cs="Calibri"/>
          <w:b/>
          <w:bCs/>
          <w:sz w:val="24"/>
          <w:szCs w:val="24"/>
        </w:rPr>
        <w:t>Races</w:t>
      </w:r>
      <w:proofErr w:type="spellEnd"/>
    </w:p>
    <w:p w14:paraId="2F58E39A" w14:textId="5B41A588" w:rsidR="00537E5B" w:rsidRDefault="00537E5B" w:rsidP="00597239">
      <w:pPr>
        <w:spacing w:after="0" w:line="276" w:lineRule="auto"/>
        <w:rPr>
          <w:rFonts w:ascii="Calibri" w:hAnsi="Calibri" w:cs="Calibri"/>
          <w:sz w:val="24"/>
          <w:szCs w:val="24"/>
        </w:rPr>
      </w:pPr>
      <w:r>
        <w:rPr>
          <w:rFonts w:ascii="Calibri" w:hAnsi="Calibri" w:cs="Calibri"/>
          <w:sz w:val="24"/>
          <w:szCs w:val="24"/>
        </w:rPr>
        <w:t xml:space="preserve">W dniach 2-5 sierpnia 2024 r. odbył się finał regat The </w:t>
      </w:r>
      <w:proofErr w:type="spellStart"/>
      <w:r>
        <w:rPr>
          <w:rFonts w:ascii="Calibri" w:hAnsi="Calibri" w:cs="Calibri"/>
          <w:sz w:val="24"/>
          <w:szCs w:val="24"/>
        </w:rPr>
        <w:t>Tall</w:t>
      </w:r>
      <w:proofErr w:type="spellEnd"/>
      <w:r>
        <w:rPr>
          <w:rFonts w:ascii="Calibri" w:hAnsi="Calibri" w:cs="Calibri"/>
          <w:sz w:val="24"/>
          <w:szCs w:val="24"/>
        </w:rPr>
        <w:t xml:space="preserve"> </w:t>
      </w:r>
      <w:proofErr w:type="spellStart"/>
      <w:r>
        <w:rPr>
          <w:rFonts w:ascii="Calibri" w:hAnsi="Calibri" w:cs="Calibri"/>
          <w:sz w:val="24"/>
          <w:szCs w:val="24"/>
        </w:rPr>
        <w:t>Ships</w:t>
      </w:r>
      <w:proofErr w:type="spellEnd"/>
      <w:r>
        <w:rPr>
          <w:rFonts w:ascii="Calibri" w:hAnsi="Calibri" w:cs="Calibri"/>
          <w:sz w:val="24"/>
          <w:szCs w:val="24"/>
        </w:rPr>
        <w:t xml:space="preserve"> </w:t>
      </w:r>
      <w:proofErr w:type="spellStart"/>
      <w:r>
        <w:rPr>
          <w:rFonts w:ascii="Calibri" w:hAnsi="Calibri" w:cs="Calibri"/>
          <w:sz w:val="24"/>
          <w:szCs w:val="24"/>
        </w:rPr>
        <w:t>Races</w:t>
      </w:r>
      <w:proofErr w:type="spellEnd"/>
      <w:r>
        <w:rPr>
          <w:rFonts w:ascii="Calibri" w:hAnsi="Calibri" w:cs="Calibri"/>
          <w:sz w:val="24"/>
          <w:szCs w:val="24"/>
        </w:rPr>
        <w:t>. Podczas trwania imprezy pracownicy Państwowej Inspekcji Sanitarnej pełnili dyżury sprawując nadzór nad stanem sanitarno-higienicznym punktów gastronomicznych, gospodarką odpadami oraz strefą sanitarną.</w:t>
      </w:r>
    </w:p>
    <w:p w14:paraId="7177765A" w14:textId="7F71EB49" w:rsidR="00537E5B" w:rsidRDefault="00537E5B" w:rsidP="00597239">
      <w:pPr>
        <w:spacing w:after="0" w:line="276" w:lineRule="auto"/>
        <w:rPr>
          <w:rFonts w:ascii="Calibri" w:hAnsi="Calibri" w:cs="Calibri"/>
          <w:color w:val="FF0000"/>
          <w:sz w:val="24"/>
          <w:szCs w:val="24"/>
        </w:rPr>
      </w:pPr>
      <w:r w:rsidRPr="005A4BAA">
        <w:rPr>
          <w:rFonts w:ascii="Calibri" w:hAnsi="Calibri" w:cs="Calibri"/>
          <w:sz w:val="24"/>
          <w:szCs w:val="24"/>
        </w:rPr>
        <w:t>Najczęściej stwierdzane nieprawidłowości podczas trwania imprez masowych dotyczyły</w:t>
      </w:r>
      <w:r>
        <w:rPr>
          <w:rFonts w:ascii="Calibri" w:hAnsi="Calibri" w:cs="Calibri"/>
          <w:sz w:val="24"/>
          <w:szCs w:val="24"/>
        </w:rPr>
        <w:t xml:space="preserve"> przepełnionych kontenerów na odpady oraz zanieczyszczonego terenu wokół nich, awarii umywalek oraz niedrożnych toalet. Nieprawidłowości były </w:t>
      </w:r>
      <w:r w:rsidRPr="005A4BAA">
        <w:rPr>
          <w:rFonts w:ascii="Calibri" w:hAnsi="Calibri" w:cs="Calibri"/>
          <w:sz w:val="24"/>
          <w:szCs w:val="24"/>
        </w:rPr>
        <w:t>usuwane na bieżąco po zgłoszeniu ich osobom odpowiedzialnym.</w:t>
      </w:r>
      <w:r w:rsidRPr="00253A3C">
        <w:rPr>
          <w:rFonts w:ascii="Calibri" w:hAnsi="Calibri" w:cs="Calibri"/>
          <w:color w:val="FF0000"/>
          <w:sz w:val="24"/>
          <w:szCs w:val="24"/>
        </w:rPr>
        <w:t xml:space="preserve"> </w:t>
      </w:r>
    </w:p>
    <w:p w14:paraId="0A14F741" w14:textId="77777777" w:rsidR="00777D94" w:rsidRPr="002F3F59" w:rsidRDefault="00777D94" w:rsidP="00597239">
      <w:pPr>
        <w:spacing w:after="0" w:line="276" w:lineRule="auto"/>
        <w:rPr>
          <w:rFonts w:ascii="Calibri" w:hAnsi="Calibri" w:cs="Calibri"/>
          <w:color w:val="FF0000"/>
          <w:sz w:val="24"/>
          <w:szCs w:val="24"/>
        </w:rPr>
      </w:pPr>
    </w:p>
    <w:p w14:paraId="0F043DAE" w14:textId="69DA6EDA" w:rsidR="00537E5B" w:rsidRPr="00025DA1" w:rsidRDefault="00537E5B" w:rsidP="00597239">
      <w:pPr>
        <w:pStyle w:val="Nagwek2"/>
        <w:numPr>
          <w:ilvl w:val="0"/>
          <w:numId w:val="72"/>
        </w:numPr>
        <w:spacing w:before="0" w:after="0"/>
        <w:ind w:left="284" w:hanging="284"/>
        <w:jc w:val="left"/>
      </w:pPr>
      <w:bookmarkStart w:id="320" w:name="_Toc194059840"/>
      <w:r w:rsidRPr="00025DA1">
        <w:t>Nadzór nad postępowaniem ze zwłokami i szczątkami ludzkimi</w:t>
      </w:r>
      <w:bookmarkEnd w:id="320"/>
    </w:p>
    <w:p w14:paraId="30BEFC20" w14:textId="3A957385" w:rsidR="00537E5B" w:rsidRPr="00FD7B03" w:rsidRDefault="00537E5B" w:rsidP="00597239">
      <w:pPr>
        <w:spacing w:after="0" w:line="276" w:lineRule="auto"/>
        <w:rPr>
          <w:rFonts w:ascii="Calibri" w:hAnsi="Calibri" w:cs="Calibri"/>
          <w:sz w:val="24"/>
          <w:szCs w:val="24"/>
        </w:rPr>
      </w:pPr>
      <w:r w:rsidRPr="00466086">
        <w:rPr>
          <w:rFonts w:ascii="Calibri" w:hAnsi="Calibri" w:cs="Calibri"/>
          <w:sz w:val="24"/>
          <w:szCs w:val="24"/>
        </w:rPr>
        <w:t>W 2024 roku</w:t>
      </w:r>
      <w:r>
        <w:rPr>
          <w:rFonts w:ascii="Calibri" w:hAnsi="Calibri" w:cs="Calibri"/>
          <w:sz w:val="24"/>
          <w:szCs w:val="24"/>
        </w:rPr>
        <w:t xml:space="preserve"> </w:t>
      </w:r>
      <w:r w:rsidRPr="00466086">
        <w:rPr>
          <w:rFonts w:ascii="Calibri" w:hAnsi="Calibri" w:cs="Calibri"/>
          <w:sz w:val="24"/>
          <w:szCs w:val="24"/>
        </w:rPr>
        <w:t>wydanych zostało</w:t>
      </w:r>
      <w:r w:rsidRPr="00253A3C">
        <w:rPr>
          <w:rFonts w:ascii="Calibri" w:hAnsi="Calibri" w:cs="Calibri"/>
          <w:color w:val="FF0000"/>
          <w:sz w:val="24"/>
          <w:szCs w:val="24"/>
        </w:rPr>
        <w:t xml:space="preserve"> </w:t>
      </w:r>
      <w:r w:rsidRPr="00FD7B03">
        <w:rPr>
          <w:rFonts w:ascii="Calibri" w:hAnsi="Calibri" w:cs="Calibri"/>
          <w:sz w:val="24"/>
          <w:szCs w:val="24"/>
        </w:rPr>
        <w:t xml:space="preserve">424 postanowień w sprawie sprowadzenia na terytorium Rzeczypospolitej Polskiej zwłok osób zmarłych </w:t>
      </w:r>
      <w:r>
        <w:rPr>
          <w:rFonts w:ascii="Calibri" w:hAnsi="Calibri" w:cs="Calibri"/>
          <w:sz w:val="24"/>
          <w:szCs w:val="24"/>
        </w:rPr>
        <w:t>po</w:t>
      </w:r>
      <w:r w:rsidRPr="00FD7B03">
        <w:rPr>
          <w:rFonts w:ascii="Calibri" w:hAnsi="Calibri" w:cs="Calibri"/>
          <w:sz w:val="24"/>
          <w:szCs w:val="24"/>
        </w:rPr>
        <w:t>za</w:t>
      </w:r>
      <w:r>
        <w:rPr>
          <w:rFonts w:ascii="Calibri" w:hAnsi="Calibri" w:cs="Calibri"/>
          <w:sz w:val="24"/>
          <w:szCs w:val="24"/>
        </w:rPr>
        <w:t xml:space="preserve"> </w:t>
      </w:r>
      <w:r w:rsidRPr="00D95504">
        <w:rPr>
          <w:rFonts w:ascii="Calibri" w:hAnsi="Calibri" w:cs="Calibri"/>
          <w:sz w:val="24"/>
          <w:szCs w:val="24"/>
        </w:rPr>
        <w:t>granicami Kraju. Ponadto wydano 38 decyzji zezwalających na wywóz zwłok z terytorium Polski. Przewóz</w:t>
      </w:r>
      <w:r w:rsidRPr="00FD7B03">
        <w:rPr>
          <w:rFonts w:ascii="Calibri" w:hAnsi="Calibri" w:cs="Calibri"/>
          <w:sz w:val="24"/>
          <w:szCs w:val="24"/>
        </w:rPr>
        <w:t xml:space="preserve"> zwłok/szczątków ludzkich poza granice RP może nastąpić jedynie po uzyskaniu pozwolenia właściwego państwowego powiatowego inspektora sanitarnego. W przypadku sprowadzenia zwłok i</w:t>
      </w:r>
      <w:r>
        <w:rPr>
          <w:rFonts w:ascii="Calibri" w:hAnsi="Calibri" w:cs="Calibri"/>
          <w:sz w:val="24"/>
          <w:szCs w:val="24"/>
        </w:rPr>
        <w:t> </w:t>
      </w:r>
      <w:r w:rsidRPr="00FD7B03">
        <w:rPr>
          <w:rFonts w:ascii="Calibri" w:hAnsi="Calibri" w:cs="Calibri"/>
          <w:sz w:val="24"/>
          <w:szCs w:val="24"/>
        </w:rPr>
        <w:t>szczątków z</w:t>
      </w:r>
      <w:r w:rsidR="00851F01">
        <w:rPr>
          <w:rFonts w:ascii="Calibri" w:hAnsi="Calibri" w:cs="Calibri"/>
          <w:sz w:val="24"/>
          <w:szCs w:val="24"/>
        </w:rPr>
        <w:t> </w:t>
      </w:r>
      <w:r w:rsidRPr="00FD7B03">
        <w:rPr>
          <w:rFonts w:ascii="Calibri" w:hAnsi="Calibri" w:cs="Calibri"/>
          <w:sz w:val="24"/>
          <w:szCs w:val="24"/>
        </w:rPr>
        <w:t>zagranicy w celu ich pochowania należy uzyskać m.in. pozwolenie starosty właściwego ze</w:t>
      </w:r>
      <w:r w:rsidR="00851F01">
        <w:rPr>
          <w:rFonts w:ascii="Calibri" w:hAnsi="Calibri" w:cs="Calibri"/>
          <w:sz w:val="24"/>
          <w:szCs w:val="24"/>
        </w:rPr>
        <w:t> </w:t>
      </w:r>
      <w:r w:rsidRPr="00FD7B03">
        <w:rPr>
          <w:rFonts w:ascii="Calibri" w:hAnsi="Calibri" w:cs="Calibri"/>
          <w:sz w:val="24"/>
          <w:szCs w:val="24"/>
        </w:rPr>
        <w:t>względy na miejsce, w którym zwłoki i szczątki mają być pochowane. Pozwolenie jest wydawane po porozumieniu z właściwym państwowym powiatowym inspektorem sanitarnym. Przewóz zwłok i szczątków odbywa</w:t>
      </w:r>
      <w:r>
        <w:rPr>
          <w:rFonts w:ascii="Calibri" w:hAnsi="Calibri" w:cs="Calibri"/>
          <w:sz w:val="24"/>
          <w:szCs w:val="24"/>
        </w:rPr>
        <w:t>ł</w:t>
      </w:r>
      <w:r w:rsidRPr="00FD7B03">
        <w:rPr>
          <w:rFonts w:ascii="Calibri" w:hAnsi="Calibri" w:cs="Calibri"/>
          <w:sz w:val="24"/>
          <w:szCs w:val="24"/>
        </w:rPr>
        <w:t xml:space="preserve"> się w warunkach zapewniających bezpieczeństwo sanitarne i techniczne.</w:t>
      </w:r>
    </w:p>
    <w:p w14:paraId="29DB2F25" w14:textId="77777777" w:rsidR="00537E5B" w:rsidRPr="00F2444A" w:rsidRDefault="00537E5B" w:rsidP="00597239">
      <w:pPr>
        <w:spacing w:after="0" w:line="276" w:lineRule="auto"/>
        <w:rPr>
          <w:rFonts w:ascii="Calibri" w:hAnsi="Calibri" w:cs="Calibri"/>
          <w:sz w:val="24"/>
          <w:szCs w:val="24"/>
        </w:rPr>
      </w:pPr>
      <w:r w:rsidRPr="00F2444A">
        <w:rPr>
          <w:rFonts w:ascii="Calibri" w:hAnsi="Calibri" w:cs="Calibri"/>
          <w:sz w:val="24"/>
          <w:szCs w:val="24"/>
        </w:rPr>
        <w:t>W 2024 roku wydano ogółem</w:t>
      </w:r>
      <w:r w:rsidRPr="00253A3C">
        <w:rPr>
          <w:rFonts w:ascii="Calibri" w:hAnsi="Calibri" w:cs="Calibri"/>
          <w:color w:val="FF0000"/>
          <w:sz w:val="24"/>
          <w:szCs w:val="24"/>
        </w:rPr>
        <w:t xml:space="preserve"> </w:t>
      </w:r>
      <w:r w:rsidRPr="00F2444A">
        <w:rPr>
          <w:rFonts w:ascii="Calibri" w:hAnsi="Calibri" w:cs="Calibri"/>
          <w:sz w:val="24"/>
          <w:szCs w:val="24"/>
        </w:rPr>
        <w:t xml:space="preserve">1624 decyzji zezwalających na przeprowadzenie ekshumacji zwłok </w:t>
      </w:r>
      <w:r>
        <w:rPr>
          <w:rFonts w:ascii="Calibri" w:hAnsi="Calibri" w:cs="Calibri"/>
          <w:sz w:val="24"/>
          <w:szCs w:val="24"/>
        </w:rPr>
        <w:t>lub</w:t>
      </w:r>
      <w:r w:rsidRPr="00F2444A">
        <w:rPr>
          <w:rFonts w:ascii="Calibri" w:hAnsi="Calibri" w:cs="Calibri"/>
          <w:sz w:val="24"/>
          <w:szCs w:val="24"/>
        </w:rPr>
        <w:t xml:space="preserve"> szczątków ludzkich oraz</w:t>
      </w:r>
      <w:r w:rsidRPr="00253A3C">
        <w:rPr>
          <w:rFonts w:ascii="Calibri" w:hAnsi="Calibri" w:cs="Calibri"/>
          <w:color w:val="FF0000"/>
          <w:sz w:val="24"/>
          <w:szCs w:val="24"/>
        </w:rPr>
        <w:t xml:space="preserve"> </w:t>
      </w:r>
      <w:r w:rsidRPr="00F2444A">
        <w:rPr>
          <w:rFonts w:ascii="Calibri" w:hAnsi="Calibri" w:cs="Calibri"/>
          <w:sz w:val="24"/>
          <w:szCs w:val="24"/>
        </w:rPr>
        <w:t>13 decyzje odmawiające ekshumacji ze względu na brak porozumienia osób uprawnionych do przeprowadzenia ekshumacji.</w:t>
      </w:r>
    </w:p>
    <w:p w14:paraId="58AC57E9" w14:textId="16794D8E" w:rsidR="00537E5B" w:rsidRPr="00253A3C" w:rsidRDefault="00537E5B" w:rsidP="00597239">
      <w:pPr>
        <w:spacing w:after="0" w:line="276" w:lineRule="auto"/>
        <w:rPr>
          <w:rFonts w:ascii="Calibri" w:hAnsi="Calibri" w:cs="Calibri"/>
          <w:color w:val="FF0000"/>
          <w:sz w:val="24"/>
          <w:szCs w:val="24"/>
        </w:rPr>
      </w:pPr>
      <w:r w:rsidRPr="00F2444A">
        <w:rPr>
          <w:rFonts w:ascii="Calibri" w:hAnsi="Calibri" w:cs="Calibri"/>
          <w:sz w:val="24"/>
          <w:szCs w:val="24"/>
        </w:rPr>
        <w:t>Przeprowadzono</w:t>
      </w:r>
      <w:r w:rsidRPr="00253A3C">
        <w:rPr>
          <w:rFonts w:ascii="Calibri" w:hAnsi="Calibri" w:cs="Calibri"/>
          <w:color w:val="FF0000"/>
          <w:sz w:val="24"/>
          <w:szCs w:val="24"/>
        </w:rPr>
        <w:t xml:space="preserve"> </w:t>
      </w:r>
      <w:r w:rsidRPr="00F2444A">
        <w:rPr>
          <w:rFonts w:ascii="Calibri" w:hAnsi="Calibri" w:cs="Calibri"/>
          <w:sz w:val="24"/>
          <w:szCs w:val="24"/>
        </w:rPr>
        <w:t>1306 ekshumacji, z czego</w:t>
      </w:r>
      <w:r>
        <w:rPr>
          <w:rFonts w:ascii="Calibri" w:hAnsi="Calibri" w:cs="Calibri"/>
          <w:sz w:val="24"/>
          <w:szCs w:val="24"/>
        </w:rPr>
        <w:t xml:space="preserve"> </w:t>
      </w:r>
      <w:r w:rsidRPr="00F2444A">
        <w:rPr>
          <w:rFonts w:ascii="Calibri" w:hAnsi="Calibri" w:cs="Calibri"/>
          <w:sz w:val="24"/>
          <w:szCs w:val="24"/>
        </w:rPr>
        <w:t xml:space="preserve">643 pod nadzorem pracowników Państwowej Inspekcji Sanitarnej (49%). </w:t>
      </w:r>
      <w:r>
        <w:rPr>
          <w:rFonts w:ascii="Calibri" w:hAnsi="Calibri" w:cs="Calibri"/>
          <w:sz w:val="24"/>
          <w:szCs w:val="24"/>
        </w:rPr>
        <w:t xml:space="preserve">Pozostałe ekshumacje, zgodnie z przeprowadzoną analizą ryzyka, nie wymagały takiego nadzoru. </w:t>
      </w:r>
      <w:r w:rsidRPr="00F2444A">
        <w:rPr>
          <w:rFonts w:ascii="Calibri" w:hAnsi="Calibri" w:cs="Calibri"/>
          <w:sz w:val="24"/>
          <w:szCs w:val="24"/>
        </w:rPr>
        <w:t xml:space="preserve">Ekshumacja odbywa się na wniosek strony i jest dopuszczalna w okresie od 16 października do 15 </w:t>
      </w:r>
      <w:r w:rsidRPr="00D95504">
        <w:rPr>
          <w:rFonts w:ascii="Calibri" w:hAnsi="Calibri" w:cs="Calibri"/>
          <w:sz w:val="24"/>
          <w:szCs w:val="24"/>
        </w:rPr>
        <w:t>kwietnia,</w:t>
      </w:r>
      <w:r w:rsidRPr="00F2444A">
        <w:rPr>
          <w:rFonts w:ascii="Calibri" w:hAnsi="Calibri" w:cs="Calibri"/>
          <w:sz w:val="24"/>
          <w:szCs w:val="24"/>
        </w:rPr>
        <w:t xml:space="preserve"> we wczesnych godzinach porannych, z </w:t>
      </w:r>
      <w:r w:rsidR="00FD3723" w:rsidRPr="00F2444A">
        <w:rPr>
          <w:rFonts w:ascii="Calibri" w:hAnsi="Calibri" w:cs="Calibri"/>
          <w:sz w:val="24"/>
          <w:szCs w:val="24"/>
        </w:rPr>
        <w:t>tym,</w:t>
      </w:r>
      <w:r w:rsidRPr="00F2444A">
        <w:rPr>
          <w:rFonts w:ascii="Calibri" w:hAnsi="Calibri" w:cs="Calibri"/>
          <w:sz w:val="24"/>
          <w:szCs w:val="24"/>
        </w:rPr>
        <w:t xml:space="preserve"> że właściwy powiatowy inspektor sanitarny może dopuścić wykonanie ekshumacji w innym czasie, przy zachowaniu ustalonych przez niego środków ostrożności. </w:t>
      </w:r>
    </w:p>
    <w:p w14:paraId="66B56BB2" w14:textId="77777777" w:rsidR="00537E5B" w:rsidRPr="00F2444A" w:rsidRDefault="00537E5B" w:rsidP="00597239">
      <w:pPr>
        <w:spacing w:after="0" w:line="276" w:lineRule="auto"/>
        <w:rPr>
          <w:rFonts w:ascii="Calibri" w:hAnsi="Calibri" w:cs="Calibri"/>
          <w:sz w:val="24"/>
          <w:szCs w:val="24"/>
        </w:rPr>
      </w:pPr>
      <w:r w:rsidRPr="00F2444A">
        <w:rPr>
          <w:rFonts w:ascii="Calibri" w:hAnsi="Calibri" w:cs="Calibri"/>
          <w:sz w:val="24"/>
          <w:szCs w:val="24"/>
        </w:rPr>
        <w:t>W 2024 roku nie stwierdzono zagrożeń w zakresie przeprowadzonych ekshumacji. Kontrole wykazały, iż wykonywane były one zgodnie z wydawanymi decyzjami</w:t>
      </w:r>
      <w:r>
        <w:rPr>
          <w:rFonts w:ascii="Calibri" w:hAnsi="Calibri" w:cs="Calibri"/>
          <w:sz w:val="24"/>
          <w:szCs w:val="24"/>
        </w:rPr>
        <w:t>.</w:t>
      </w:r>
      <w:r w:rsidRPr="00F2444A">
        <w:rPr>
          <w:rFonts w:ascii="Calibri" w:hAnsi="Calibri" w:cs="Calibri"/>
          <w:sz w:val="24"/>
          <w:szCs w:val="24"/>
        </w:rPr>
        <w:t xml:space="preserve"> </w:t>
      </w:r>
    </w:p>
    <w:p w14:paraId="14506A9C" w14:textId="7A202B5E" w:rsidR="00414DF5" w:rsidRDefault="00537E5B" w:rsidP="00597239">
      <w:pPr>
        <w:spacing w:line="276" w:lineRule="auto"/>
        <w:rPr>
          <w:rFonts w:ascii="Calibri" w:hAnsi="Calibri" w:cs="Calibri"/>
          <w:sz w:val="24"/>
          <w:szCs w:val="24"/>
        </w:rPr>
      </w:pPr>
      <w:r w:rsidRPr="00F2444A">
        <w:rPr>
          <w:rFonts w:ascii="Calibri" w:hAnsi="Calibri" w:cs="Calibri"/>
          <w:sz w:val="24"/>
          <w:szCs w:val="24"/>
        </w:rPr>
        <w:lastRenderedPageBreak/>
        <w:t>Ponadto w 2024 roku przeprowadzono</w:t>
      </w:r>
      <w:r w:rsidRPr="00253A3C">
        <w:rPr>
          <w:rFonts w:ascii="Calibri" w:hAnsi="Calibri" w:cs="Calibri"/>
          <w:color w:val="FF0000"/>
          <w:sz w:val="24"/>
          <w:szCs w:val="24"/>
        </w:rPr>
        <w:t xml:space="preserve"> </w:t>
      </w:r>
      <w:r w:rsidRPr="00813F52">
        <w:rPr>
          <w:rFonts w:ascii="Calibri" w:hAnsi="Calibri" w:cs="Calibri"/>
          <w:sz w:val="24"/>
          <w:szCs w:val="24"/>
        </w:rPr>
        <w:t>31 kontroli środków transportu do przewozu zwłok lub</w:t>
      </w:r>
      <w:r w:rsidR="00851F01">
        <w:rPr>
          <w:rFonts w:ascii="Calibri" w:hAnsi="Calibri" w:cs="Calibri"/>
          <w:sz w:val="24"/>
          <w:szCs w:val="24"/>
        </w:rPr>
        <w:t> </w:t>
      </w:r>
      <w:r w:rsidRPr="00813F52">
        <w:rPr>
          <w:rFonts w:ascii="Calibri" w:hAnsi="Calibri" w:cs="Calibri"/>
          <w:sz w:val="24"/>
          <w:szCs w:val="24"/>
        </w:rPr>
        <w:t>szczątków ludzkich. W trakcie przedmiotowych kontroli szczególną uwagę zwracano na</w:t>
      </w:r>
      <w:r w:rsidR="00851F01">
        <w:rPr>
          <w:rFonts w:ascii="Calibri" w:hAnsi="Calibri" w:cs="Calibri"/>
          <w:sz w:val="24"/>
          <w:szCs w:val="24"/>
        </w:rPr>
        <w:t> </w:t>
      </w:r>
      <w:r w:rsidRPr="00813F52">
        <w:rPr>
          <w:rFonts w:ascii="Calibri" w:hAnsi="Calibri" w:cs="Calibri"/>
          <w:sz w:val="24"/>
          <w:szCs w:val="24"/>
        </w:rPr>
        <w:t>stan higieniczno-sanitarny i techniczny samochodów, rodzaj stosowanych środków czystości oraz</w:t>
      </w:r>
      <w:r w:rsidR="00851F01">
        <w:rPr>
          <w:rFonts w:ascii="Calibri" w:hAnsi="Calibri" w:cs="Calibri"/>
          <w:sz w:val="24"/>
          <w:szCs w:val="24"/>
        </w:rPr>
        <w:t> </w:t>
      </w:r>
      <w:r w:rsidRPr="00813F52">
        <w:rPr>
          <w:rFonts w:ascii="Calibri" w:hAnsi="Calibri" w:cs="Calibri"/>
          <w:sz w:val="24"/>
          <w:szCs w:val="24"/>
        </w:rPr>
        <w:t xml:space="preserve">sposób dezynfekcji. </w:t>
      </w:r>
      <w:r>
        <w:rPr>
          <w:rFonts w:ascii="Calibri" w:hAnsi="Calibri" w:cs="Calibri"/>
          <w:sz w:val="24"/>
          <w:szCs w:val="24"/>
        </w:rPr>
        <w:t>S</w:t>
      </w:r>
      <w:r w:rsidRPr="00813F52">
        <w:rPr>
          <w:rFonts w:ascii="Calibri" w:hAnsi="Calibri" w:cs="Calibri"/>
          <w:sz w:val="24"/>
          <w:szCs w:val="24"/>
        </w:rPr>
        <w:t xml:space="preserve">kontrolowane </w:t>
      </w:r>
      <w:r>
        <w:rPr>
          <w:rFonts w:ascii="Calibri" w:hAnsi="Calibri" w:cs="Calibri"/>
          <w:sz w:val="24"/>
          <w:szCs w:val="24"/>
        </w:rPr>
        <w:t>środki transportu</w:t>
      </w:r>
      <w:r w:rsidRPr="00813F52">
        <w:rPr>
          <w:rFonts w:ascii="Calibri" w:hAnsi="Calibri" w:cs="Calibri"/>
          <w:sz w:val="24"/>
          <w:szCs w:val="24"/>
        </w:rPr>
        <w:t xml:space="preserve"> spełniały wymagania higieniczno-sanitarne i techniczne.</w:t>
      </w:r>
    </w:p>
    <w:p w14:paraId="3F2CB427" w14:textId="35BD6F56" w:rsidR="00414DF5" w:rsidRDefault="00414DF5" w:rsidP="00597239">
      <w:pPr>
        <w:rPr>
          <w:rFonts w:ascii="Calibri" w:hAnsi="Calibri" w:cs="Calibri"/>
          <w:sz w:val="24"/>
          <w:szCs w:val="24"/>
        </w:rPr>
      </w:pPr>
      <w:r>
        <w:rPr>
          <w:noProof/>
          <w:color w:val="000000" w:themeColor="text1"/>
          <w:sz w:val="24"/>
          <w:szCs w:val="24"/>
        </w:rPr>
        <w:lastRenderedPageBreak/>
        <mc:AlternateContent>
          <mc:Choice Requires="wps">
            <w:drawing>
              <wp:anchor distT="0" distB="0" distL="114300" distR="114300" simplePos="0" relativeHeight="251724800" behindDoc="0" locked="0" layoutInCell="1" allowOverlap="1" wp14:anchorId="3F650FB5" wp14:editId="60C7382E">
                <wp:simplePos x="0" y="0"/>
                <wp:positionH relativeFrom="margin">
                  <wp:align>left</wp:align>
                </wp:positionH>
                <wp:positionV relativeFrom="paragraph">
                  <wp:posOffset>7438552</wp:posOffset>
                </wp:positionV>
                <wp:extent cx="914400" cy="1044000"/>
                <wp:effectExtent l="0" t="0" r="0" b="3810"/>
                <wp:wrapNone/>
                <wp:docPr id="60264504" name="Pole tekstowe 11"/>
                <wp:cNvGraphicFramePr/>
                <a:graphic xmlns:a="http://schemas.openxmlformats.org/drawingml/2006/main">
                  <a:graphicData uri="http://schemas.microsoft.com/office/word/2010/wordprocessingShape">
                    <wps:wsp>
                      <wps:cNvSpPr txBox="1"/>
                      <wps:spPr>
                        <a:xfrm>
                          <a:off x="0" y="0"/>
                          <a:ext cx="914400" cy="1044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A28B50E" w14:textId="77777777" w:rsidR="00414DF5" w:rsidRDefault="00414DF5" w:rsidP="00414DF5">
                            <w:pPr>
                              <w:jc w:val="cente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Warunki sanitarno-higieniczne w placówkach oświatowych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650FB5" id="Pole tekstowe 11" o:spid="_x0000_s1030" type="#_x0000_t202" style="position:absolute;margin-left:0;margin-top:585.7pt;width:1in;height:82.2pt;z-index:251724800;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" fillcolor="#a5a5a5 [3206]" stroked="f">
                <v:fill opacity="32896f"/>
                <v:textbox>
                  <w:txbxContent>
                    <w:p w14:paraId="0A28B50E" w14:textId="77777777" w:rsidR="00414DF5" w:rsidRDefault="00414DF5" w:rsidP="00414DF5">
                      <w:pPr>
                        <w:jc w:val="cente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Warunki sanitarno-higieniczne w placówkach oświatowych</w:t>
                      </w:r>
                    </w:p>
                  </w:txbxContent>
                </v:textbox>
                <w10:wrap anchorx="margin"/>
              </v:shape>
            </w:pict>
          </mc:Fallback>
        </mc:AlternateContent>
      </w:r>
      <w:r>
        <w:rPr>
          <w:rFonts w:ascii="Calibri" w:hAnsi="Calibri" w:cs="Calibri"/>
          <w:sz w:val="24"/>
          <w:szCs w:val="24"/>
        </w:rPr>
        <w:br w:type="page"/>
      </w:r>
      <w:r>
        <w:rPr>
          <w:noProof/>
          <w:color w:val="000000" w:themeColor="text1"/>
          <w:sz w:val="24"/>
          <w:szCs w:val="24"/>
        </w:rPr>
        <w:drawing>
          <wp:anchor distT="0" distB="0" distL="114300" distR="114300" simplePos="0" relativeHeight="251722752" behindDoc="0" locked="0" layoutInCell="1" allowOverlap="1" wp14:anchorId="3714AFFE" wp14:editId="5FE274DE">
            <wp:simplePos x="0" y="0"/>
            <wp:positionH relativeFrom="column">
              <wp:posOffset>-246380</wp:posOffset>
            </wp:positionH>
            <wp:positionV relativeFrom="paragraph">
              <wp:posOffset>219075</wp:posOffset>
            </wp:positionV>
            <wp:extent cx="6264000" cy="8352000"/>
            <wp:effectExtent l="0" t="0" r="3810" b="0"/>
            <wp:wrapSquare wrapText="bothSides"/>
            <wp:docPr id="456664348" name="Obraz 13" descr="Korytarz szkoły z szafk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664348" name="Obraz 456664348" descr="Korytarz szkoły z szafkami"/>
                    <pic:cNvPicPr/>
                  </pic:nvPicPr>
                  <pic:blipFill>
                    <a:blip r:embed="rId33">
                      <a:extLst>
                        <a:ext uri="{28A0092B-C50C-407E-A947-70E740481C1C}">
                          <a14:useLocalDpi xmlns:a14="http://schemas.microsoft.com/office/drawing/2010/main" val="0"/>
                        </a:ext>
                      </a:extLst>
                    </a:blip>
                    <a:stretch>
                      <a:fillRect/>
                    </a:stretch>
                  </pic:blipFill>
                  <pic:spPr>
                    <a:xfrm>
                      <a:off x="0" y="0"/>
                      <a:ext cx="6264000" cy="8352000"/>
                    </a:xfrm>
                    <a:prstGeom prst="rect">
                      <a:avLst/>
                    </a:prstGeom>
                    <a:ln>
                      <a:noFill/>
                    </a:ln>
                    <a:effectLst>
                      <a:softEdge rad="112500"/>
                    </a:effectLst>
                  </pic:spPr>
                </pic:pic>
              </a:graphicData>
            </a:graphic>
          </wp:anchor>
        </w:drawing>
      </w:r>
    </w:p>
    <w:p w14:paraId="6B50141A" w14:textId="77777777" w:rsidR="0080384E" w:rsidRPr="00777D94" w:rsidRDefault="0080384E" w:rsidP="00597239">
      <w:pPr>
        <w:spacing w:line="276" w:lineRule="auto"/>
        <w:rPr>
          <w:rFonts w:ascii="Calibri" w:hAnsi="Calibri" w:cs="Calibri"/>
          <w:sz w:val="24"/>
          <w:szCs w:val="24"/>
        </w:rPr>
      </w:pPr>
    </w:p>
    <w:p w14:paraId="1FF9CD98" w14:textId="5B203508" w:rsidR="00CD55AD" w:rsidRDefault="00CD55AD" w:rsidP="00597239">
      <w:pPr>
        <w:pStyle w:val="Nagwek1"/>
        <w:numPr>
          <w:ilvl w:val="0"/>
          <w:numId w:val="75"/>
        </w:numPr>
        <w:spacing w:before="0" w:after="0"/>
        <w:ind w:left="0" w:firstLine="0"/>
        <w:jc w:val="left"/>
        <w:rPr>
          <w:rFonts w:eastAsia="Times New Roman"/>
        </w:rPr>
      </w:pPr>
      <w:bookmarkStart w:id="321" w:name="_Toc194059841"/>
      <w:r w:rsidRPr="00000A8A">
        <w:rPr>
          <w:rFonts w:eastAsia="Times New Roman"/>
        </w:rPr>
        <w:t>Warunki higieniczno</w:t>
      </w:r>
      <w:r>
        <w:rPr>
          <w:rFonts w:eastAsia="Times New Roman"/>
        </w:rPr>
        <w:t>-</w:t>
      </w:r>
      <w:r w:rsidRPr="00000A8A">
        <w:rPr>
          <w:rFonts w:eastAsia="Times New Roman"/>
        </w:rPr>
        <w:t>sanitarne w</w:t>
      </w:r>
      <w:r w:rsidR="002E1F9D">
        <w:rPr>
          <w:rFonts w:eastAsia="Times New Roman"/>
        </w:rPr>
        <w:t xml:space="preserve"> </w:t>
      </w:r>
      <w:r w:rsidRPr="00000A8A">
        <w:rPr>
          <w:rFonts w:eastAsia="Times New Roman"/>
        </w:rPr>
        <w:t>placówkach oświatowo-wychowawczych</w:t>
      </w:r>
      <w:bookmarkEnd w:id="321"/>
    </w:p>
    <w:p w14:paraId="558DDAD7" w14:textId="77777777" w:rsidR="00777D94" w:rsidRPr="00777D94" w:rsidRDefault="00777D94" w:rsidP="00597239"/>
    <w:p w14:paraId="377C0FFF" w14:textId="36A8E0EF" w:rsidR="00CD55AD" w:rsidRPr="00D65330" w:rsidRDefault="00CD55AD" w:rsidP="00597239">
      <w:pPr>
        <w:pStyle w:val="Nagwek2"/>
        <w:numPr>
          <w:ilvl w:val="0"/>
          <w:numId w:val="59"/>
        </w:numPr>
        <w:spacing w:before="0" w:after="0"/>
        <w:ind w:left="284" w:hanging="284"/>
        <w:jc w:val="left"/>
        <w:rPr>
          <w:rFonts w:eastAsia="Times New Roman"/>
        </w:rPr>
      </w:pPr>
      <w:bookmarkStart w:id="322" w:name="_Toc194059842"/>
      <w:r w:rsidRPr="00000A8A">
        <w:rPr>
          <w:rFonts w:eastAsia="Times New Roman"/>
        </w:rPr>
        <w:t>Stan higieniczno</w:t>
      </w:r>
      <w:r>
        <w:rPr>
          <w:rFonts w:eastAsia="Times New Roman"/>
        </w:rPr>
        <w:t>-</w:t>
      </w:r>
      <w:r w:rsidRPr="00000A8A">
        <w:rPr>
          <w:rFonts w:eastAsia="Times New Roman"/>
        </w:rPr>
        <w:t>sanitarny placówek oświatowo</w:t>
      </w:r>
      <w:r w:rsidR="00C574D9">
        <w:rPr>
          <w:rFonts w:eastAsia="Times New Roman"/>
        </w:rPr>
        <w:t>-</w:t>
      </w:r>
      <w:r w:rsidRPr="00000A8A">
        <w:rPr>
          <w:rFonts w:eastAsia="Times New Roman"/>
        </w:rPr>
        <w:t>wychowawczych</w:t>
      </w:r>
      <w:bookmarkEnd w:id="322"/>
    </w:p>
    <w:p w14:paraId="1662B0E8" w14:textId="2DA6E937" w:rsidR="00CD55AD" w:rsidRPr="003A2382" w:rsidRDefault="00CD55AD" w:rsidP="00597239">
      <w:pPr>
        <w:spacing w:after="0" w:line="276" w:lineRule="auto"/>
        <w:rPr>
          <w:rFonts w:ascii="Calibri" w:eastAsia="Calibri" w:hAnsi="Calibri" w:cs="Times New Roman"/>
          <w:sz w:val="24"/>
        </w:rPr>
      </w:pPr>
      <w:r w:rsidRPr="003A2382">
        <w:rPr>
          <w:rFonts w:ascii="Calibri" w:eastAsia="Calibri" w:hAnsi="Calibri" w:cs="Times New Roman"/>
          <w:sz w:val="24"/>
        </w:rPr>
        <w:t xml:space="preserve">W </w:t>
      </w:r>
      <w:r>
        <w:rPr>
          <w:rFonts w:ascii="Calibri" w:eastAsia="Calibri" w:hAnsi="Calibri" w:cs="Times New Roman"/>
          <w:sz w:val="24"/>
        </w:rPr>
        <w:t xml:space="preserve">2024 r. pod nadzorem </w:t>
      </w:r>
      <w:r w:rsidRPr="003A2382">
        <w:rPr>
          <w:rFonts w:ascii="Calibri" w:eastAsia="Calibri" w:hAnsi="Calibri" w:cs="Times New Roman"/>
          <w:sz w:val="24"/>
        </w:rPr>
        <w:t>Państwowej Inspekcji Sanitarnej w</w:t>
      </w:r>
      <w:r w:rsidR="008A1F5A">
        <w:rPr>
          <w:rFonts w:ascii="Calibri" w:eastAsia="Calibri" w:hAnsi="Calibri" w:cs="Times New Roman"/>
          <w:sz w:val="24"/>
        </w:rPr>
        <w:t xml:space="preserve"> </w:t>
      </w:r>
      <w:r w:rsidRPr="003A2382">
        <w:rPr>
          <w:rFonts w:ascii="Calibri" w:eastAsia="Calibri" w:hAnsi="Calibri" w:cs="Times New Roman"/>
          <w:sz w:val="24"/>
        </w:rPr>
        <w:t>woj. zachodniopomorskim znajdował</w:t>
      </w:r>
      <w:r>
        <w:rPr>
          <w:rFonts w:ascii="Calibri" w:eastAsia="Calibri" w:hAnsi="Calibri" w:cs="Times New Roman"/>
          <w:sz w:val="24"/>
        </w:rPr>
        <w:t>y</w:t>
      </w:r>
      <w:r w:rsidRPr="003A2382">
        <w:rPr>
          <w:rFonts w:ascii="Calibri" w:eastAsia="Calibri" w:hAnsi="Calibri" w:cs="Times New Roman"/>
          <w:sz w:val="24"/>
        </w:rPr>
        <w:t xml:space="preserve"> </w:t>
      </w:r>
      <w:r w:rsidRPr="0087712F">
        <w:rPr>
          <w:rFonts w:ascii="Calibri" w:eastAsia="Calibri" w:hAnsi="Calibri" w:cs="Times New Roman"/>
          <w:sz w:val="24"/>
        </w:rPr>
        <w:t xml:space="preserve">się </w:t>
      </w:r>
      <w:r w:rsidRPr="001A19DD">
        <w:rPr>
          <w:rFonts w:ascii="Calibri" w:eastAsia="Calibri" w:hAnsi="Calibri" w:cs="Times New Roman"/>
          <w:sz w:val="24"/>
        </w:rPr>
        <w:t>6324</w:t>
      </w:r>
      <w:r>
        <w:rPr>
          <w:rFonts w:ascii="Calibri" w:eastAsia="Calibri" w:hAnsi="Calibri" w:cs="Times New Roman"/>
          <w:sz w:val="24"/>
        </w:rPr>
        <w:t xml:space="preserve"> </w:t>
      </w:r>
      <w:r w:rsidRPr="00390530">
        <w:rPr>
          <w:rFonts w:ascii="Calibri" w:eastAsia="Calibri" w:hAnsi="Calibri" w:cs="Times New Roman"/>
          <w:sz w:val="24"/>
        </w:rPr>
        <w:t>placówk</w:t>
      </w:r>
      <w:r>
        <w:rPr>
          <w:rFonts w:ascii="Calibri" w:eastAsia="Calibri" w:hAnsi="Calibri" w:cs="Times New Roman"/>
          <w:sz w:val="24"/>
        </w:rPr>
        <w:t>i</w:t>
      </w:r>
      <w:r w:rsidRPr="00390530">
        <w:rPr>
          <w:rFonts w:ascii="Calibri" w:eastAsia="Calibri" w:hAnsi="Calibri" w:cs="Times New Roman"/>
          <w:sz w:val="24"/>
        </w:rPr>
        <w:t xml:space="preserve"> </w:t>
      </w:r>
      <w:r>
        <w:rPr>
          <w:rFonts w:ascii="Calibri" w:eastAsia="Calibri" w:hAnsi="Calibri" w:cs="Times New Roman"/>
          <w:sz w:val="24"/>
        </w:rPr>
        <w:t>oświatowo</w:t>
      </w:r>
      <w:r w:rsidR="00C574D9">
        <w:rPr>
          <w:rFonts w:ascii="Calibri" w:eastAsia="Calibri" w:hAnsi="Calibri" w:cs="Times New Roman"/>
          <w:sz w:val="24"/>
        </w:rPr>
        <w:t>-</w:t>
      </w:r>
      <w:r>
        <w:rPr>
          <w:rFonts w:ascii="Calibri" w:eastAsia="Calibri" w:hAnsi="Calibri" w:cs="Times New Roman"/>
          <w:sz w:val="24"/>
        </w:rPr>
        <w:t>wychowawcze,</w:t>
      </w:r>
      <w:r w:rsidRPr="00390530">
        <w:rPr>
          <w:rFonts w:ascii="Calibri" w:eastAsia="Calibri" w:hAnsi="Calibri" w:cs="Times New Roman"/>
          <w:sz w:val="24"/>
        </w:rPr>
        <w:t xml:space="preserve"> </w:t>
      </w:r>
      <w:r w:rsidRPr="003A2382">
        <w:rPr>
          <w:rFonts w:ascii="Calibri" w:eastAsia="Calibri" w:hAnsi="Calibri" w:cs="Times New Roman"/>
          <w:sz w:val="24"/>
        </w:rPr>
        <w:t>w tym:</w:t>
      </w:r>
    </w:p>
    <w:p w14:paraId="6329685B" w14:textId="43A012CC" w:rsidR="00CD55AD" w:rsidRPr="00C574D9" w:rsidRDefault="00CD55AD" w:rsidP="00597239">
      <w:pPr>
        <w:pStyle w:val="Akapitzlist"/>
        <w:numPr>
          <w:ilvl w:val="0"/>
          <w:numId w:val="89"/>
        </w:numPr>
        <w:spacing w:after="0" w:line="276" w:lineRule="auto"/>
        <w:rPr>
          <w:rFonts w:ascii="Calibri" w:eastAsia="Calibri" w:hAnsi="Calibri" w:cs="Times New Roman"/>
          <w:sz w:val="24"/>
        </w:rPr>
      </w:pPr>
      <w:r w:rsidRPr="00C574D9">
        <w:rPr>
          <w:rFonts w:ascii="Calibri" w:eastAsia="Calibri" w:hAnsi="Calibri" w:cs="Times New Roman"/>
          <w:sz w:val="24"/>
        </w:rPr>
        <w:t>2457 placówek stałych,</w:t>
      </w:r>
    </w:p>
    <w:p w14:paraId="46954E1D" w14:textId="0C1DEE7C" w:rsidR="00CD55AD" w:rsidRPr="00C574D9" w:rsidRDefault="00CD55AD" w:rsidP="00597239">
      <w:pPr>
        <w:pStyle w:val="Akapitzlist"/>
        <w:numPr>
          <w:ilvl w:val="0"/>
          <w:numId w:val="89"/>
        </w:numPr>
        <w:spacing w:after="0" w:line="276" w:lineRule="auto"/>
        <w:rPr>
          <w:rFonts w:ascii="Calibri" w:eastAsia="Calibri" w:hAnsi="Calibri" w:cs="Times New Roman"/>
          <w:sz w:val="24"/>
        </w:rPr>
      </w:pPr>
      <w:r w:rsidRPr="00C574D9">
        <w:rPr>
          <w:rFonts w:ascii="Calibri" w:eastAsia="Calibri" w:hAnsi="Calibri" w:cs="Times New Roman"/>
          <w:sz w:val="24"/>
        </w:rPr>
        <w:t>333 placówki wypoczynku zimowego,</w:t>
      </w:r>
    </w:p>
    <w:p w14:paraId="3BCA6409" w14:textId="77777777" w:rsidR="00777D94" w:rsidRDefault="00CD55AD" w:rsidP="00597239">
      <w:pPr>
        <w:pStyle w:val="Akapitzlist"/>
        <w:numPr>
          <w:ilvl w:val="0"/>
          <w:numId w:val="89"/>
        </w:numPr>
        <w:spacing w:after="0" w:line="276" w:lineRule="auto"/>
        <w:rPr>
          <w:rFonts w:ascii="Calibri" w:eastAsia="Calibri" w:hAnsi="Calibri" w:cs="Times New Roman"/>
          <w:sz w:val="24"/>
        </w:rPr>
      </w:pPr>
      <w:r w:rsidRPr="00C574D9">
        <w:rPr>
          <w:rFonts w:ascii="Calibri" w:eastAsia="Calibri" w:hAnsi="Calibri" w:cs="Times New Roman"/>
          <w:sz w:val="24"/>
        </w:rPr>
        <w:t>3534 placówki wypoczynku letniego.</w:t>
      </w:r>
    </w:p>
    <w:p w14:paraId="40F195AE" w14:textId="77777777" w:rsidR="00777D94" w:rsidRDefault="00777D94" w:rsidP="00597239">
      <w:pPr>
        <w:spacing w:after="0" w:line="276" w:lineRule="auto"/>
        <w:rPr>
          <w:rFonts w:ascii="Calibri" w:eastAsia="Times New Roman" w:hAnsi="Calibri" w:cs="Calibri"/>
          <w:sz w:val="24"/>
          <w:szCs w:val="24"/>
          <w:lang w:eastAsia="pl-PL"/>
        </w:rPr>
      </w:pPr>
    </w:p>
    <w:p w14:paraId="56545403" w14:textId="0B4714B2" w:rsidR="00CD55AD" w:rsidRPr="00777D94" w:rsidRDefault="00CD55AD" w:rsidP="00597239">
      <w:pPr>
        <w:spacing w:after="0" w:line="276" w:lineRule="auto"/>
        <w:rPr>
          <w:rFonts w:ascii="Calibri" w:eastAsia="Calibri" w:hAnsi="Calibri" w:cs="Times New Roman"/>
          <w:sz w:val="24"/>
        </w:rPr>
      </w:pPr>
      <w:r w:rsidRPr="00777D94">
        <w:rPr>
          <w:rFonts w:ascii="Calibri" w:eastAsia="Times New Roman" w:hAnsi="Calibri" w:cs="Calibri"/>
          <w:sz w:val="24"/>
          <w:szCs w:val="24"/>
          <w:lang w:eastAsia="pl-PL"/>
        </w:rPr>
        <w:t xml:space="preserve">Przedstawiciele Państwowej Inspekcji Sanitarnej przeprowadzili </w:t>
      </w:r>
      <w:bookmarkStart w:id="323" w:name="_Hlk161833255"/>
      <w:r w:rsidRPr="00777D94">
        <w:rPr>
          <w:rFonts w:ascii="Calibri" w:eastAsia="Times New Roman" w:hAnsi="Calibri" w:cs="Calibri"/>
          <w:sz w:val="24"/>
          <w:szCs w:val="24"/>
          <w:lang w:eastAsia="pl-PL"/>
        </w:rPr>
        <w:t>2</w:t>
      </w:r>
      <w:bookmarkEnd w:id="323"/>
      <w:r w:rsidRPr="00777D94">
        <w:rPr>
          <w:rFonts w:ascii="Calibri" w:eastAsia="Times New Roman" w:hAnsi="Calibri" w:cs="Calibri"/>
          <w:sz w:val="24"/>
          <w:szCs w:val="24"/>
          <w:lang w:eastAsia="pl-PL"/>
        </w:rPr>
        <w:t>846</w:t>
      </w:r>
      <w:r w:rsidRPr="00777D94">
        <w:rPr>
          <w:rFonts w:ascii="Calibri" w:eastAsia="Times New Roman" w:hAnsi="Calibri" w:cs="Calibri"/>
          <w:b/>
          <w:bCs/>
          <w:sz w:val="24"/>
          <w:szCs w:val="24"/>
          <w:lang w:eastAsia="pl-PL"/>
        </w:rPr>
        <w:t xml:space="preserve"> </w:t>
      </w:r>
      <w:r w:rsidRPr="00777D94">
        <w:rPr>
          <w:rFonts w:ascii="Calibri" w:eastAsia="Times New Roman" w:hAnsi="Calibri" w:cs="Calibri"/>
          <w:sz w:val="24"/>
          <w:szCs w:val="24"/>
          <w:lang w:eastAsia="pl-PL"/>
        </w:rPr>
        <w:t>kontroli głównie pod kątem zapewnienia właściwych warunków higienicznosanitarnych w placówkach (pomieszczeń, użytkowanego sprzętu i urządzeń).</w:t>
      </w:r>
    </w:p>
    <w:p w14:paraId="7C27CD07" w14:textId="77777777" w:rsidR="00CD55AD" w:rsidRPr="00021378" w:rsidRDefault="00CD55AD" w:rsidP="00597239">
      <w:pPr>
        <w:spacing w:after="0" w:line="276" w:lineRule="auto"/>
        <w:rPr>
          <w:rFonts w:ascii="Calibri" w:eastAsia="Times New Roman" w:hAnsi="Calibri" w:cs="Calibri"/>
          <w:sz w:val="24"/>
          <w:szCs w:val="24"/>
          <w:lang w:eastAsia="pl-PL"/>
        </w:rPr>
      </w:pPr>
      <w:r w:rsidRPr="000D6519">
        <w:rPr>
          <w:rFonts w:ascii="Calibri" w:eastAsia="Calibri" w:hAnsi="Calibri" w:cs="Times New Roman"/>
          <w:sz w:val="24"/>
        </w:rPr>
        <w:t>Większość obiektów była w dobrym stanie sanitarnohigienicznym i technicznym.</w:t>
      </w:r>
    </w:p>
    <w:p w14:paraId="38BB9D54" w14:textId="77777777" w:rsidR="00777D94" w:rsidRDefault="00777D94" w:rsidP="00597239">
      <w:pPr>
        <w:spacing w:after="0" w:line="276" w:lineRule="auto"/>
        <w:rPr>
          <w:rFonts w:ascii="Calibri" w:eastAsia="Calibri" w:hAnsi="Calibri" w:cs="Times New Roman"/>
          <w:color w:val="FF3399"/>
          <w:sz w:val="24"/>
        </w:rPr>
      </w:pPr>
    </w:p>
    <w:p w14:paraId="579BCB93" w14:textId="3E114CC9" w:rsidR="00CD55AD" w:rsidRPr="0087712F" w:rsidRDefault="00CD55AD" w:rsidP="00597239">
      <w:pPr>
        <w:spacing w:after="0" w:line="276" w:lineRule="auto"/>
        <w:rPr>
          <w:rFonts w:ascii="Calibri" w:eastAsia="Calibri" w:hAnsi="Calibri" w:cs="Times New Roman"/>
          <w:sz w:val="24"/>
        </w:rPr>
      </w:pPr>
      <w:r w:rsidRPr="001524F9">
        <w:rPr>
          <w:rFonts w:ascii="Calibri" w:eastAsia="Calibri" w:hAnsi="Calibri" w:cs="Times New Roman"/>
          <w:sz w:val="24"/>
        </w:rPr>
        <w:t>Na poprawę stanu sanitarno</w:t>
      </w:r>
      <w:r w:rsidR="00C574D9">
        <w:rPr>
          <w:rFonts w:ascii="Calibri" w:eastAsia="Calibri" w:hAnsi="Calibri" w:cs="Times New Roman"/>
          <w:sz w:val="24"/>
        </w:rPr>
        <w:t>-</w:t>
      </w:r>
      <w:r w:rsidRPr="001524F9">
        <w:rPr>
          <w:rFonts w:ascii="Calibri" w:eastAsia="Calibri" w:hAnsi="Calibri" w:cs="Times New Roman"/>
          <w:sz w:val="24"/>
        </w:rPr>
        <w:t xml:space="preserve">higienicznego oraz technicznego wydano łącznie </w:t>
      </w:r>
      <w:r>
        <w:rPr>
          <w:rFonts w:ascii="Calibri" w:eastAsia="Calibri" w:hAnsi="Calibri" w:cs="Times New Roman"/>
          <w:sz w:val="24"/>
        </w:rPr>
        <w:t>612</w:t>
      </w:r>
      <w:r w:rsidRPr="0087712F">
        <w:rPr>
          <w:rFonts w:ascii="Calibri" w:eastAsia="Calibri" w:hAnsi="Calibri" w:cs="Times New Roman"/>
          <w:sz w:val="24"/>
        </w:rPr>
        <w:t xml:space="preserve"> decyzji</w:t>
      </w:r>
      <w:r w:rsidRPr="006949AF">
        <w:t xml:space="preserve"> </w:t>
      </w:r>
      <w:r w:rsidR="00022F4F">
        <w:rPr>
          <w:rFonts w:ascii="Calibri" w:eastAsia="Calibri" w:hAnsi="Calibri" w:cs="Times New Roman"/>
          <w:sz w:val="24"/>
        </w:rPr>
        <w:t>nakazujących</w:t>
      </w:r>
      <w:r w:rsidRPr="006949AF">
        <w:rPr>
          <w:rFonts w:ascii="Calibri" w:eastAsia="Calibri" w:hAnsi="Calibri" w:cs="Times New Roman"/>
          <w:sz w:val="24"/>
        </w:rPr>
        <w:t xml:space="preserve"> usunięci</w:t>
      </w:r>
      <w:r w:rsidR="00022F4F">
        <w:rPr>
          <w:rFonts w:ascii="Calibri" w:eastAsia="Calibri" w:hAnsi="Calibri" w:cs="Times New Roman"/>
          <w:sz w:val="24"/>
        </w:rPr>
        <w:t>e</w:t>
      </w:r>
      <w:r w:rsidRPr="006949AF">
        <w:rPr>
          <w:rFonts w:ascii="Calibri" w:eastAsia="Calibri" w:hAnsi="Calibri" w:cs="Times New Roman"/>
          <w:sz w:val="24"/>
        </w:rPr>
        <w:t xml:space="preserve"> stwierdzonych nieprawidłowości. Najczęściej dotyczyły one</w:t>
      </w:r>
      <w:r w:rsidRPr="0087712F">
        <w:rPr>
          <w:rFonts w:ascii="Calibri" w:eastAsia="Calibri" w:hAnsi="Calibri" w:cs="Times New Roman"/>
          <w:sz w:val="24"/>
        </w:rPr>
        <w:t>:</w:t>
      </w:r>
    </w:p>
    <w:p w14:paraId="0EDDB573" w14:textId="77777777"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 xml:space="preserve">stanu sanitarno-technicznego dróg dojścia i ogrodzenia, </w:t>
      </w:r>
    </w:p>
    <w:p w14:paraId="6A86B798" w14:textId="6EACC573" w:rsidR="00CD55AD" w:rsidRPr="0087712F" w:rsidRDefault="00022F4F" w:rsidP="00597239">
      <w:pPr>
        <w:pStyle w:val="Akapitzlist"/>
        <w:numPr>
          <w:ilvl w:val="0"/>
          <w:numId w:val="90"/>
        </w:numPr>
        <w:tabs>
          <w:tab w:val="left" w:pos="357"/>
        </w:tabs>
        <w:spacing w:after="0" w:line="276" w:lineRule="auto"/>
        <w:rPr>
          <w:rFonts w:ascii="Calibri" w:eastAsia="Calibri" w:hAnsi="Calibri" w:cs="Times New Roman"/>
          <w:sz w:val="24"/>
        </w:rPr>
      </w:pPr>
      <w:r>
        <w:rPr>
          <w:rFonts w:ascii="Calibri" w:eastAsia="Calibri" w:hAnsi="Calibri" w:cs="Times New Roman"/>
          <w:sz w:val="24"/>
        </w:rPr>
        <w:t xml:space="preserve">stanu sanitarno – technicznego </w:t>
      </w:r>
      <w:r w:rsidR="00CD55AD" w:rsidRPr="0087712F">
        <w:rPr>
          <w:rFonts w:ascii="Calibri" w:eastAsia="Calibri" w:hAnsi="Calibri" w:cs="Times New Roman"/>
          <w:sz w:val="24"/>
        </w:rPr>
        <w:t>placów zabaw</w:t>
      </w:r>
      <w:r>
        <w:rPr>
          <w:rFonts w:ascii="Calibri" w:eastAsia="Calibri" w:hAnsi="Calibri" w:cs="Times New Roman"/>
          <w:sz w:val="24"/>
        </w:rPr>
        <w:t xml:space="preserve">, </w:t>
      </w:r>
      <w:r w:rsidR="00CD55AD" w:rsidRPr="0087712F">
        <w:rPr>
          <w:rFonts w:ascii="Calibri" w:eastAsia="Calibri" w:hAnsi="Calibri" w:cs="Times New Roman"/>
          <w:sz w:val="24"/>
        </w:rPr>
        <w:t xml:space="preserve">rekreacyjnych </w:t>
      </w:r>
      <w:r>
        <w:rPr>
          <w:rFonts w:ascii="Calibri" w:eastAsia="Calibri" w:hAnsi="Calibri" w:cs="Times New Roman"/>
          <w:sz w:val="24"/>
        </w:rPr>
        <w:t>i</w:t>
      </w:r>
      <w:r w:rsidR="00CD55AD" w:rsidRPr="0087712F">
        <w:rPr>
          <w:rFonts w:ascii="Calibri" w:eastAsia="Calibri" w:hAnsi="Calibri" w:cs="Times New Roman"/>
          <w:sz w:val="24"/>
        </w:rPr>
        <w:t xml:space="preserve"> boisk sportowych,</w:t>
      </w:r>
    </w:p>
    <w:p w14:paraId="4D3E329C" w14:textId="77777777"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ciągów komunikacyjnych w budynkach (nawierzchnie, schody, zabezpieczenia kaloryferów) lub szatn</w:t>
      </w:r>
      <w:r>
        <w:rPr>
          <w:rFonts w:ascii="Calibri" w:eastAsia="Calibri" w:hAnsi="Calibri" w:cs="Times New Roman"/>
          <w:sz w:val="24"/>
        </w:rPr>
        <w:t>i</w:t>
      </w:r>
      <w:bookmarkStart w:id="324" w:name="_Hlk161917292"/>
      <w:r w:rsidRPr="0087712F">
        <w:rPr>
          <w:rFonts w:ascii="Calibri" w:eastAsia="Calibri" w:hAnsi="Calibri" w:cs="Times New Roman"/>
          <w:sz w:val="24"/>
        </w:rPr>
        <w:t>,</w:t>
      </w:r>
    </w:p>
    <w:bookmarkEnd w:id="324"/>
    <w:p w14:paraId="66287631" w14:textId="64F4B8DB"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 xml:space="preserve">stanu sanitarno-higienicznego i technicznego </w:t>
      </w:r>
      <w:proofErr w:type="spellStart"/>
      <w:r w:rsidRPr="0087712F">
        <w:rPr>
          <w:rFonts w:ascii="Calibri" w:eastAsia="Calibri" w:hAnsi="Calibri" w:cs="Times New Roman"/>
          <w:sz w:val="24"/>
        </w:rPr>
        <w:t>sal</w:t>
      </w:r>
      <w:proofErr w:type="spellEnd"/>
      <w:r w:rsidRPr="0087712F">
        <w:rPr>
          <w:rFonts w:ascii="Calibri" w:eastAsia="Calibri" w:hAnsi="Calibri" w:cs="Times New Roman"/>
          <w:sz w:val="24"/>
        </w:rPr>
        <w:t xml:space="preserve"> lekcyjnych i innych </w:t>
      </w:r>
      <w:proofErr w:type="spellStart"/>
      <w:r w:rsidRPr="0087712F">
        <w:rPr>
          <w:rFonts w:ascii="Calibri" w:eastAsia="Calibri" w:hAnsi="Calibri" w:cs="Times New Roman"/>
          <w:sz w:val="24"/>
        </w:rPr>
        <w:t>sal</w:t>
      </w:r>
      <w:proofErr w:type="spellEnd"/>
      <w:r w:rsidRPr="0087712F">
        <w:rPr>
          <w:rFonts w:ascii="Calibri" w:eastAsia="Calibri" w:hAnsi="Calibri" w:cs="Times New Roman"/>
          <w:sz w:val="24"/>
        </w:rPr>
        <w:t xml:space="preserve"> zajęć dla dzieci i</w:t>
      </w:r>
      <w:r w:rsidR="002E1F9D">
        <w:rPr>
          <w:rFonts w:ascii="Calibri" w:eastAsia="Calibri" w:hAnsi="Calibri" w:cs="Times New Roman"/>
          <w:sz w:val="24"/>
        </w:rPr>
        <w:t> </w:t>
      </w:r>
      <w:r w:rsidRPr="0087712F">
        <w:rPr>
          <w:rFonts w:ascii="Calibri" w:eastAsia="Calibri" w:hAnsi="Calibri" w:cs="Times New Roman"/>
          <w:sz w:val="24"/>
        </w:rPr>
        <w:t>młodzieży,</w:t>
      </w:r>
    </w:p>
    <w:p w14:paraId="394B28BE" w14:textId="28F36DA6" w:rsidR="00CD55AD"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 xml:space="preserve">dostosowania </w:t>
      </w:r>
      <w:r w:rsidR="00FD3723" w:rsidRPr="0087712F">
        <w:rPr>
          <w:rFonts w:ascii="Calibri" w:eastAsia="Calibri" w:hAnsi="Calibri" w:cs="Times New Roman"/>
          <w:sz w:val="24"/>
        </w:rPr>
        <w:t>mebli oraz</w:t>
      </w:r>
      <w:r w:rsidRPr="0087712F">
        <w:rPr>
          <w:rFonts w:ascii="Calibri" w:eastAsia="Calibri" w:hAnsi="Calibri" w:cs="Times New Roman"/>
          <w:sz w:val="24"/>
        </w:rPr>
        <w:t xml:space="preserve"> sprzętu sportowego,</w:t>
      </w:r>
    </w:p>
    <w:p w14:paraId="1366CCEE" w14:textId="77777777"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Pr>
          <w:rFonts w:ascii="Calibri" w:eastAsia="Calibri" w:hAnsi="Calibri" w:cs="Times New Roman"/>
          <w:sz w:val="24"/>
        </w:rPr>
        <w:t>planów lekcji,</w:t>
      </w:r>
    </w:p>
    <w:p w14:paraId="69D07A02" w14:textId="07CA0366" w:rsidR="00CD55AD"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stanu sanitarno</w:t>
      </w:r>
      <w:r w:rsidR="00C574D9">
        <w:rPr>
          <w:rFonts w:ascii="Calibri" w:eastAsia="Calibri" w:hAnsi="Calibri" w:cs="Times New Roman"/>
          <w:sz w:val="24"/>
        </w:rPr>
        <w:t>-</w:t>
      </w:r>
      <w:r w:rsidRPr="0087712F">
        <w:rPr>
          <w:rFonts w:ascii="Calibri" w:eastAsia="Calibri" w:hAnsi="Calibri" w:cs="Times New Roman"/>
          <w:sz w:val="24"/>
        </w:rPr>
        <w:t xml:space="preserve">higienicznego </w:t>
      </w:r>
      <w:r>
        <w:rPr>
          <w:rFonts w:ascii="Calibri" w:eastAsia="Calibri" w:hAnsi="Calibri" w:cs="Times New Roman"/>
          <w:sz w:val="24"/>
        </w:rPr>
        <w:t>i technicznego pomieszczeń higienicznosanitarnych oraz ich wyposażenia</w:t>
      </w:r>
      <w:r w:rsidRPr="0087712F">
        <w:rPr>
          <w:rFonts w:ascii="Calibri" w:eastAsia="Calibri" w:hAnsi="Calibri" w:cs="Times New Roman"/>
          <w:sz w:val="24"/>
        </w:rPr>
        <w:t xml:space="preserve">, </w:t>
      </w:r>
    </w:p>
    <w:p w14:paraId="7DE59DBA" w14:textId="77777777"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niezachowania standardów dostępności do urządzeń sanitarnych,</w:t>
      </w:r>
    </w:p>
    <w:p w14:paraId="6CE0E433" w14:textId="77777777" w:rsidR="00CD55AD"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warunków prowadzenia zajęć W-F,</w:t>
      </w:r>
    </w:p>
    <w:p w14:paraId="0A9F6DA5" w14:textId="77777777" w:rsidR="00CD55AD" w:rsidRPr="004D069B"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4D069B">
        <w:rPr>
          <w:rFonts w:ascii="Calibri" w:eastAsia="Calibri" w:hAnsi="Calibri" w:cs="Times New Roman"/>
          <w:sz w:val="24"/>
        </w:rPr>
        <w:t>pracowni komputerowych i innych pracowni zawodowych,</w:t>
      </w:r>
    </w:p>
    <w:p w14:paraId="213E02D3" w14:textId="77777777"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Pr>
          <w:rFonts w:ascii="Calibri" w:eastAsia="Calibri" w:hAnsi="Calibri" w:cs="Times New Roman"/>
          <w:sz w:val="24"/>
        </w:rPr>
        <w:t>g</w:t>
      </w:r>
      <w:r w:rsidRPr="004D069B">
        <w:rPr>
          <w:rFonts w:ascii="Calibri" w:eastAsia="Calibri" w:hAnsi="Calibri" w:cs="Times New Roman"/>
          <w:sz w:val="24"/>
        </w:rPr>
        <w:t>abinetów profilaktyki zdrowotnej</w:t>
      </w:r>
      <w:r>
        <w:rPr>
          <w:rFonts w:ascii="Calibri" w:eastAsia="Calibri" w:hAnsi="Calibri" w:cs="Times New Roman"/>
          <w:sz w:val="24"/>
        </w:rPr>
        <w:t>,</w:t>
      </w:r>
    </w:p>
    <w:p w14:paraId="62FF0EC0" w14:textId="77777777" w:rsidR="00CD55AD"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sidRPr="0087712F">
        <w:rPr>
          <w:rFonts w:ascii="Calibri" w:eastAsia="Calibri" w:hAnsi="Calibri" w:cs="Times New Roman"/>
          <w:sz w:val="24"/>
        </w:rPr>
        <w:t>stanu sanitarno-higienicznego i technicznego w pokojach mieszkalnych</w:t>
      </w:r>
      <w:r>
        <w:rPr>
          <w:rFonts w:ascii="Calibri" w:eastAsia="Calibri" w:hAnsi="Calibri" w:cs="Times New Roman"/>
          <w:sz w:val="24"/>
        </w:rPr>
        <w:t>,</w:t>
      </w:r>
    </w:p>
    <w:p w14:paraId="6DE5BB22" w14:textId="77777777" w:rsidR="00CD55AD" w:rsidRPr="0087712F" w:rsidRDefault="00CD55AD" w:rsidP="00597239">
      <w:pPr>
        <w:pStyle w:val="Akapitzlist"/>
        <w:numPr>
          <w:ilvl w:val="0"/>
          <w:numId w:val="90"/>
        </w:numPr>
        <w:tabs>
          <w:tab w:val="left" w:pos="357"/>
        </w:tabs>
        <w:spacing w:after="0" w:line="276" w:lineRule="auto"/>
        <w:rPr>
          <w:rFonts w:ascii="Calibri" w:eastAsia="Calibri" w:hAnsi="Calibri" w:cs="Times New Roman"/>
          <w:sz w:val="24"/>
        </w:rPr>
      </w:pPr>
      <w:r>
        <w:rPr>
          <w:rFonts w:ascii="Calibri" w:eastAsia="Calibri" w:hAnsi="Calibri" w:cs="Times New Roman"/>
          <w:sz w:val="24"/>
        </w:rPr>
        <w:t>postępowania z odpadami</w:t>
      </w:r>
      <w:r w:rsidRPr="0087712F">
        <w:rPr>
          <w:rFonts w:ascii="Calibri" w:eastAsia="Calibri" w:hAnsi="Calibri" w:cs="Times New Roman"/>
          <w:sz w:val="24"/>
        </w:rPr>
        <w:t>.</w:t>
      </w:r>
    </w:p>
    <w:p w14:paraId="2148E9F6" w14:textId="77777777" w:rsidR="00CD55AD" w:rsidRPr="00B81B5F" w:rsidRDefault="00CD55AD" w:rsidP="00597239">
      <w:pPr>
        <w:tabs>
          <w:tab w:val="left" w:pos="357"/>
        </w:tabs>
        <w:spacing w:after="0" w:line="276" w:lineRule="auto"/>
        <w:rPr>
          <w:rFonts w:ascii="Calibri" w:eastAsia="Calibri" w:hAnsi="Calibri" w:cs="Times New Roman"/>
          <w:sz w:val="24"/>
        </w:rPr>
      </w:pPr>
    </w:p>
    <w:p w14:paraId="250BEE8E" w14:textId="7B56069C" w:rsidR="00CD55AD" w:rsidRPr="00B82275" w:rsidRDefault="00CD55AD" w:rsidP="00597239">
      <w:pPr>
        <w:spacing w:after="0" w:line="276" w:lineRule="auto"/>
        <w:rPr>
          <w:rFonts w:ascii="Calibri" w:eastAsia="Calibri" w:hAnsi="Calibri" w:cs="Times New Roman"/>
          <w:sz w:val="24"/>
        </w:rPr>
      </w:pPr>
      <w:r w:rsidRPr="004D069B">
        <w:rPr>
          <w:rFonts w:ascii="Calibri" w:eastAsia="Calibri" w:hAnsi="Calibri" w:cs="Times New Roman"/>
          <w:sz w:val="24"/>
        </w:rPr>
        <w:t xml:space="preserve">Ponadto wydano </w:t>
      </w:r>
      <w:r>
        <w:rPr>
          <w:rFonts w:ascii="Calibri" w:eastAsia="Calibri" w:hAnsi="Calibri" w:cs="Times New Roman"/>
          <w:sz w:val="24"/>
        </w:rPr>
        <w:t>ponad 100</w:t>
      </w:r>
      <w:r w:rsidRPr="004D069B">
        <w:rPr>
          <w:rFonts w:ascii="Calibri" w:eastAsia="Calibri" w:hAnsi="Calibri" w:cs="Times New Roman"/>
          <w:sz w:val="24"/>
        </w:rPr>
        <w:t xml:space="preserve"> decyzji w zakresie</w:t>
      </w:r>
      <w:r w:rsidRPr="004D069B">
        <w:t xml:space="preserve"> </w:t>
      </w:r>
      <w:r w:rsidRPr="004D069B">
        <w:rPr>
          <w:rFonts w:ascii="Calibri" w:eastAsia="Calibri" w:hAnsi="Calibri" w:cs="Times New Roman"/>
          <w:sz w:val="24"/>
        </w:rPr>
        <w:t>nieprawidłowe</w:t>
      </w:r>
      <w:r>
        <w:rPr>
          <w:rFonts w:ascii="Calibri" w:eastAsia="Calibri" w:hAnsi="Calibri" w:cs="Times New Roman"/>
          <w:sz w:val="24"/>
        </w:rPr>
        <w:t>go</w:t>
      </w:r>
      <w:r w:rsidRPr="004D069B">
        <w:rPr>
          <w:rFonts w:ascii="Calibri" w:eastAsia="Calibri" w:hAnsi="Calibri" w:cs="Times New Roman"/>
          <w:sz w:val="24"/>
        </w:rPr>
        <w:t xml:space="preserve"> oświetlenia </w:t>
      </w:r>
      <w:r>
        <w:rPr>
          <w:rFonts w:ascii="Calibri" w:eastAsia="Calibri" w:hAnsi="Calibri" w:cs="Times New Roman"/>
          <w:sz w:val="24"/>
        </w:rPr>
        <w:t>w pomieszczeniach</w:t>
      </w:r>
      <w:r w:rsidRPr="004D069B">
        <w:rPr>
          <w:rFonts w:ascii="Calibri" w:eastAsia="Calibri" w:hAnsi="Calibri" w:cs="Times New Roman"/>
          <w:sz w:val="24"/>
        </w:rPr>
        <w:t xml:space="preserve">, </w:t>
      </w:r>
      <w:r>
        <w:rPr>
          <w:rFonts w:ascii="Calibri" w:eastAsia="Calibri" w:hAnsi="Calibri" w:cs="Times New Roman"/>
          <w:sz w:val="24"/>
        </w:rPr>
        <w:t xml:space="preserve">właściwej </w:t>
      </w:r>
      <w:r w:rsidRPr="004D069B">
        <w:rPr>
          <w:rFonts w:ascii="Calibri" w:eastAsia="Calibri" w:hAnsi="Calibri" w:cs="Times New Roman"/>
          <w:sz w:val="24"/>
        </w:rPr>
        <w:t>wentylacj</w:t>
      </w:r>
      <w:r>
        <w:rPr>
          <w:rFonts w:ascii="Calibri" w:eastAsia="Calibri" w:hAnsi="Calibri" w:cs="Times New Roman"/>
          <w:sz w:val="24"/>
        </w:rPr>
        <w:t>i</w:t>
      </w:r>
      <w:r w:rsidRPr="004D069B">
        <w:rPr>
          <w:rFonts w:ascii="Calibri" w:eastAsia="Calibri" w:hAnsi="Calibri" w:cs="Times New Roman"/>
          <w:sz w:val="24"/>
        </w:rPr>
        <w:t>,</w:t>
      </w:r>
      <w:r>
        <w:rPr>
          <w:rFonts w:ascii="Calibri" w:eastAsia="Calibri" w:hAnsi="Calibri" w:cs="Times New Roman"/>
          <w:sz w:val="24"/>
        </w:rPr>
        <w:t xml:space="preserve"> </w:t>
      </w:r>
      <w:r w:rsidR="008926FB">
        <w:rPr>
          <w:rFonts w:ascii="Calibri" w:eastAsia="Calibri" w:hAnsi="Calibri" w:cs="Times New Roman"/>
          <w:sz w:val="24"/>
        </w:rPr>
        <w:t xml:space="preserve">braku </w:t>
      </w:r>
      <w:r w:rsidRPr="004D069B">
        <w:rPr>
          <w:rFonts w:ascii="Calibri" w:eastAsia="Calibri" w:hAnsi="Calibri" w:cs="Times New Roman"/>
          <w:sz w:val="24"/>
        </w:rPr>
        <w:t>bieżąc</w:t>
      </w:r>
      <w:r>
        <w:rPr>
          <w:rFonts w:ascii="Calibri" w:eastAsia="Calibri" w:hAnsi="Calibri" w:cs="Times New Roman"/>
          <w:sz w:val="24"/>
        </w:rPr>
        <w:t>ej</w:t>
      </w:r>
      <w:r w:rsidRPr="004D069B">
        <w:rPr>
          <w:rFonts w:ascii="Calibri" w:eastAsia="Calibri" w:hAnsi="Calibri" w:cs="Times New Roman"/>
          <w:sz w:val="24"/>
        </w:rPr>
        <w:t xml:space="preserve"> ciepł</w:t>
      </w:r>
      <w:r>
        <w:rPr>
          <w:rFonts w:ascii="Calibri" w:eastAsia="Calibri" w:hAnsi="Calibri" w:cs="Times New Roman"/>
          <w:sz w:val="24"/>
        </w:rPr>
        <w:t>ej</w:t>
      </w:r>
      <w:r w:rsidRPr="004D069B">
        <w:rPr>
          <w:rFonts w:ascii="Calibri" w:eastAsia="Calibri" w:hAnsi="Calibri" w:cs="Times New Roman"/>
          <w:sz w:val="24"/>
        </w:rPr>
        <w:t xml:space="preserve"> wod</w:t>
      </w:r>
      <w:r>
        <w:rPr>
          <w:rFonts w:ascii="Calibri" w:eastAsia="Calibri" w:hAnsi="Calibri" w:cs="Times New Roman"/>
          <w:sz w:val="24"/>
        </w:rPr>
        <w:t>y</w:t>
      </w:r>
      <w:r w:rsidRPr="004D069B">
        <w:rPr>
          <w:rFonts w:ascii="Calibri" w:eastAsia="Calibri" w:hAnsi="Calibri" w:cs="Times New Roman"/>
          <w:sz w:val="24"/>
        </w:rPr>
        <w:t xml:space="preserve">, zapewnienia opieki stomatologicznej nad </w:t>
      </w:r>
      <w:r w:rsidR="00FD3723" w:rsidRPr="004D069B">
        <w:rPr>
          <w:rFonts w:ascii="Calibri" w:eastAsia="Calibri" w:hAnsi="Calibri" w:cs="Times New Roman"/>
          <w:sz w:val="24"/>
        </w:rPr>
        <w:t>uczniami, braku</w:t>
      </w:r>
      <w:r w:rsidRPr="004D069B">
        <w:rPr>
          <w:rFonts w:ascii="Calibri" w:eastAsia="Calibri" w:hAnsi="Calibri" w:cs="Times New Roman"/>
          <w:sz w:val="24"/>
        </w:rPr>
        <w:t xml:space="preserve"> miejsca na pozostawienie podręczników i przyborów szkolnych</w:t>
      </w:r>
      <w:r>
        <w:rPr>
          <w:rFonts w:ascii="Calibri" w:eastAsia="Calibri" w:hAnsi="Calibri" w:cs="Times New Roman"/>
          <w:sz w:val="24"/>
        </w:rPr>
        <w:t>,</w:t>
      </w:r>
      <w:r w:rsidRPr="000B1B8E">
        <w:t xml:space="preserve"> </w:t>
      </w:r>
      <w:r w:rsidRPr="000B1B8E">
        <w:rPr>
          <w:rFonts w:ascii="Calibri" w:eastAsia="Calibri" w:hAnsi="Calibri" w:cs="Times New Roman"/>
          <w:sz w:val="24"/>
        </w:rPr>
        <w:t>stan</w:t>
      </w:r>
      <w:r>
        <w:rPr>
          <w:rFonts w:ascii="Calibri" w:eastAsia="Calibri" w:hAnsi="Calibri" w:cs="Times New Roman"/>
          <w:sz w:val="24"/>
        </w:rPr>
        <w:t>u</w:t>
      </w:r>
      <w:r w:rsidRPr="000B1B8E">
        <w:rPr>
          <w:rFonts w:ascii="Calibri" w:eastAsia="Calibri" w:hAnsi="Calibri" w:cs="Times New Roman"/>
          <w:sz w:val="24"/>
        </w:rPr>
        <w:t xml:space="preserve"> sanitarno-techniczn</w:t>
      </w:r>
      <w:r>
        <w:rPr>
          <w:rFonts w:ascii="Calibri" w:eastAsia="Calibri" w:hAnsi="Calibri" w:cs="Times New Roman"/>
          <w:sz w:val="24"/>
        </w:rPr>
        <w:t xml:space="preserve">ego </w:t>
      </w:r>
      <w:r w:rsidRPr="000B1B8E">
        <w:rPr>
          <w:rFonts w:ascii="Calibri" w:eastAsia="Calibri" w:hAnsi="Calibri" w:cs="Times New Roman"/>
          <w:sz w:val="24"/>
        </w:rPr>
        <w:t>pomieszczeń pływalni (basenu)</w:t>
      </w:r>
      <w:r w:rsidRPr="000B1B8E">
        <w:t xml:space="preserve"> </w:t>
      </w:r>
      <w:r>
        <w:t xml:space="preserve">oraz </w:t>
      </w:r>
      <w:r w:rsidRPr="000B1B8E">
        <w:rPr>
          <w:rFonts w:ascii="Calibri" w:eastAsia="Calibri" w:hAnsi="Calibri" w:cs="Times New Roman"/>
          <w:sz w:val="24"/>
        </w:rPr>
        <w:t>niezachowani</w:t>
      </w:r>
      <w:r>
        <w:rPr>
          <w:rFonts w:ascii="Calibri" w:eastAsia="Calibri" w:hAnsi="Calibri" w:cs="Times New Roman"/>
          <w:sz w:val="24"/>
        </w:rPr>
        <w:t>a</w:t>
      </w:r>
      <w:r w:rsidRPr="000B1B8E">
        <w:rPr>
          <w:rFonts w:ascii="Calibri" w:eastAsia="Calibri" w:hAnsi="Calibri" w:cs="Times New Roman"/>
          <w:sz w:val="24"/>
        </w:rPr>
        <w:t xml:space="preserve"> standardów dostępności do urządzeń </w:t>
      </w:r>
      <w:r w:rsidR="00FD3723" w:rsidRPr="000B1B8E">
        <w:rPr>
          <w:rFonts w:ascii="Calibri" w:eastAsia="Calibri" w:hAnsi="Calibri" w:cs="Times New Roman"/>
          <w:sz w:val="24"/>
        </w:rPr>
        <w:t>sanitarnych</w:t>
      </w:r>
      <w:r w:rsidR="00FD3723">
        <w:rPr>
          <w:rFonts w:ascii="Calibri" w:eastAsia="Calibri" w:hAnsi="Calibri" w:cs="Times New Roman"/>
          <w:sz w:val="24"/>
        </w:rPr>
        <w:t>.</w:t>
      </w:r>
    </w:p>
    <w:p w14:paraId="55CB9148" w14:textId="5DDFCEB1" w:rsidR="00CD55AD" w:rsidRDefault="00CD55AD" w:rsidP="00597239">
      <w:pPr>
        <w:spacing w:after="0" w:line="276" w:lineRule="auto"/>
        <w:rPr>
          <w:rFonts w:ascii="Calibri" w:eastAsia="Calibri" w:hAnsi="Calibri" w:cs="Calibri"/>
          <w:bCs/>
          <w:sz w:val="24"/>
          <w:szCs w:val="24"/>
        </w:rPr>
      </w:pPr>
      <w:r>
        <w:rPr>
          <w:rFonts w:ascii="Calibri" w:eastAsia="Calibri" w:hAnsi="Calibri" w:cs="Calibri"/>
          <w:bCs/>
          <w:sz w:val="24"/>
          <w:szCs w:val="24"/>
        </w:rPr>
        <w:lastRenderedPageBreak/>
        <w:t>W ciągu całego roku przyjęto</w:t>
      </w:r>
      <w:r w:rsidRPr="002E3832">
        <w:rPr>
          <w:rFonts w:ascii="Calibri" w:eastAsia="Calibri" w:hAnsi="Calibri" w:cs="Calibri"/>
          <w:bCs/>
          <w:sz w:val="24"/>
          <w:szCs w:val="24"/>
        </w:rPr>
        <w:t xml:space="preserve"> </w:t>
      </w:r>
      <w:r>
        <w:rPr>
          <w:rFonts w:ascii="Calibri" w:eastAsia="Times New Roman" w:hAnsi="Calibri" w:cs="Calibri"/>
          <w:bCs/>
          <w:sz w:val="24"/>
          <w:szCs w:val="24"/>
          <w:lang w:eastAsia="pl-PL"/>
        </w:rPr>
        <w:t>161</w:t>
      </w:r>
      <w:r w:rsidRPr="002E3832">
        <w:rPr>
          <w:rFonts w:ascii="Calibri" w:eastAsia="Times New Roman" w:hAnsi="Calibri" w:cs="Calibri"/>
          <w:b/>
          <w:sz w:val="24"/>
          <w:szCs w:val="24"/>
          <w:lang w:eastAsia="pl-PL"/>
        </w:rPr>
        <w:t xml:space="preserve"> </w:t>
      </w:r>
      <w:r w:rsidRPr="002E3832">
        <w:rPr>
          <w:rFonts w:ascii="Calibri" w:eastAsia="Calibri" w:hAnsi="Calibri" w:cs="Calibri"/>
          <w:bCs/>
          <w:sz w:val="24"/>
          <w:szCs w:val="24"/>
        </w:rPr>
        <w:t>zgłoszeń interwencyjnych</w:t>
      </w:r>
      <w:r w:rsidRPr="000D6519">
        <w:rPr>
          <w:rFonts w:ascii="Calibri" w:eastAsia="Calibri" w:hAnsi="Calibri" w:cs="Calibri"/>
          <w:bCs/>
          <w:sz w:val="24"/>
          <w:szCs w:val="24"/>
        </w:rPr>
        <w:t>,</w:t>
      </w:r>
      <w:r w:rsidRPr="000D6519">
        <w:rPr>
          <w:rFonts w:ascii="Calibri" w:eastAsia="Calibri" w:hAnsi="Calibri" w:cs="Calibri"/>
          <w:b/>
          <w:sz w:val="24"/>
          <w:szCs w:val="24"/>
        </w:rPr>
        <w:t xml:space="preserve"> </w:t>
      </w:r>
      <w:r w:rsidRPr="000D6519">
        <w:rPr>
          <w:rFonts w:ascii="Calibri" w:eastAsia="Calibri" w:hAnsi="Calibri" w:cs="Calibri"/>
          <w:bCs/>
          <w:sz w:val="24"/>
          <w:szCs w:val="24"/>
        </w:rPr>
        <w:t>które dotyczyły głównie</w:t>
      </w:r>
      <w:r w:rsidRPr="00D54FEF">
        <w:t xml:space="preserve"> </w:t>
      </w:r>
      <w:r w:rsidRPr="00ED4474">
        <w:t>wszawicy</w:t>
      </w:r>
      <w:r>
        <w:t xml:space="preserve">, braku środków higieny osobistej oraz </w:t>
      </w:r>
      <w:r w:rsidRPr="00D54FEF">
        <w:rPr>
          <w:rFonts w:ascii="Calibri" w:eastAsia="Calibri" w:hAnsi="Calibri" w:cs="Calibri"/>
          <w:bCs/>
          <w:sz w:val="24"/>
          <w:szCs w:val="24"/>
        </w:rPr>
        <w:t>niewłaściwego stanu sanitarno</w:t>
      </w:r>
      <w:r w:rsidR="00C574D9">
        <w:rPr>
          <w:rFonts w:ascii="Calibri" w:eastAsia="Calibri" w:hAnsi="Calibri" w:cs="Calibri"/>
          <w:bCs/>
          <w:sz w:val="24"/>
          <w:szCs w:val="24"/>
        </w:rPr>
        <w:t>-</w:t>
      </w:r>
      <w:r w:rsidRPr="00D54FEF">
        <w:rPr>
          <w:rFonts w:ascii="Calibri" w:eastAsia="Calibri" w:hAnsi="Calibri" w:cs="Calibri"/>
          <w:bCs/>
          <w:sz w:val="24"/>
          <w:szCs w:val="24"/>
        </w:rPr>
        <w:t>higienicznego i</w:t>
      </w:r>
      <w:r w:rsidR="002E1F9D">
        <w:rPr>
          <w:rFonts w:ascii="Calibri" w:eastAsia="Calibri" w:hAnsi="Calibri" w:cs="Calibri"/>
          <w:bCs/>
          <w:sz w:val="24"/>
          <w:szCs w:val="24"/>
        </w:rPr>
        <w:t> </w:t>
      </w:r>
      <w:r w:rsidRPr="00D54FEF">
        <w:rPr>
          <w:rFonts w:ascii="Calibri" w:eastAsia="Calibri" w:hAnsi="Calibri" w:cs="Calibri"/>
          <w:bCs/>
          <w:sz w:val="24"/>
          <w:szCs w:val="24"/>
        </w:rPr>
        <w:t xml:space="preserve">technicznego </w:t>
      </w:r>
      <w:r w:rsidRPr="00256C84">
        <w:rPr>
          <w:rFonts w:ascii="Calibri" w:eastAsia="Calibri" w:hAnsi="Calibri" w:cs="Calibri"/>
          <w:bCs/>
          <w:sz w:val="24"/>
          <w:szCs w:val="24"/>
        </w:rPr>
        <w:t>pomieszczeń</w:t>
      </w:r>
      <w:r>
        <w:rPr>
          <w:rFonts w:ascii="Calibri" w:eastAsia="Calibri" w:hAnsi="Calibri" w:cs="Calibri"/>
          <w:bCs/>
          <w:sz w:val="24"/>
          <w:szCs w:val="24"/>
        </w:rPr>
        <w:t>,</w:t>
      </w:r>
      <w:r w:rsidRPr="00256C84">
        <w:rPr>
          <w:rFonts w:ascii="Calibri" w:eastAsia="Calibri" w:hAnsi="Calibri" w:cs="Calibri"/>
          <w:bCs/>
          <w:sz w:val="24"/>
          <w:szCs w:val="24"/>
        </w:rPr>
        <w:t xml:space="preserve"> </w:t>
      </w:r>
      <w:r>
        <w:rPr>
          <w:rFonts w:ascii="Calibri" w:eastAsia="Calibri" w:hAnsi="Calibri" w:cs="Calibri"/>
          <w:bCs/>
          <w:sz w:val="24"/>
          <w:szCs w:val="24"/>
        </w:rPr>
        <w:t>urządzeń oraz wyposażenia.</w:t>
      </w:r>
      <w:r w:rsidRPr="00256C84">
        <w:rPr>
          <w:rFonts w:ascii="Calibri" w:eastAsia="Calibri" w:hAnsi="Calibri" w:cs="Calibri"/>
          <w:bCs/>
          <w:sz w:val="24"/>
          <w:szCs w:val="24"/>
        </w:rPr>
        <w:t xml:space="preserve"> </w:t>
      </w:r>
    </w:p>
    <w:p w14:paraId="7D914CDF" w14:textId="77777777" w:rsidR="00CD55AD" w:rsidRPr="002E3832" w:rsidRDefault="00CD55AD" w:rsidP="00597239">
      <w:pPr>
        <w:spacing w:after="0" w:line="276" w:lineRule="auto"/>
      </w:pPr>
    </w:p>
    <w:p w14:paraId="6DD9A82D" w14:textId="7E986232" w:rsidR="00CD55AD" w:rsidRDefault="00CD55AD" w:rsidP="00597239">
      <w:pPr>
        <w:spacing w:after="0" w:line="276" w:lineRule="auto"/>
        <w:rPr>
          <w:rFonts w:ascii="Calibri" w:eastAsia="Calibri" w:hAnsi="Calibri" w:cs="Times New Roman"/>
          <w:sz w:val="24"/>
          <w:u w:val="single"/>
        </w:rPr>
      </w:pPr>
      <w:r w:rsidRPr="00522A62">
        <w:rPr>
          <w:rFonts w:ascii="Calibri" w:eastAsia="Calibri" w:hAnsi="Calibri" w:cs="Times New Roman"/>
          <w:sz w:val="24"/>
          <w:u w:val="single"/>
        </w:rPr>
        <w:t>Pomieszczenia higieniczno</w:t>
      </w:r>
      <w:r>
        <w:rPr>
          <w:rFonts w:ascii="Calibri" w:eastAsia="Calibri" w:hAnsi="Calibri" w:cs="Times New Roman"/>
          <w:sz w:val="24"/>
          <w:u w:val="single"/>
        </w:rPr>
        <w:t>-</w:t>
      </w:r>
      <w:r w:rsidRPr="00522A62">
        <w:rPr>
          <w:rFonts w:ascii="Calibri" w:eastAsia="Calibri" w:hAnsi="Calibri" w:cs="Times New Roman"/>
          <w:sz w:val="24"/>
          <w:u w:val="single"/>
        </w:rPr>
        <w:t>sanitarne oraz warunki do utrzymania higieny osobistej dla dzieci</w:t>
      </w:r>
      <w:r w:rsidR="002E1F9D">
        <w:rPr>
          <w:rFonts w:ascii="Calibri" w:eastAsia="Calibri" w:hAnsi="Calibri" w:cs="Times New Roman"/>
          <w:sz w:val="24"/>
          <w:u w:val="single"/>
        </w:rPr>
        <w:t xml:space="preserve"> </w:t>
      </w:r>
      <w:r w:rsidRPr="00522A62">
        <w:rPr>
          <w:rFonts w:ascii="Calibri" w:eastAsia="Calibri" w:hAnsi="Calibri" w:cs="Times New Roman"/>
          <w:sz w:val="24"/>
          <w:u w:val="single"/>
        </w:rPr>
        <w:t>i młodzieży.</w:t>
      </w:r>
    </w:p>
    <w:p w14:paraId="5215AD4C" w14:textId="77777777" w:rsidR="00CD55AD" w:rsidRPr="00000A8A" w:rsidRDefault="00CD55AD" w:rsidP="00597239">
      <w:pPr>
        <w:spacing w:after="0" w:line="276" w:lineRule="auto"/>
        <w:rPr>
          <w:rFonts w:ascii="Calibri" w:eastAsia="Calibri" w:hAnsi="Calibri" w:cs="Times New Roman"/>
          <w:sz w:val="24"/>
        </w:rPr>
      </w:pPr>
      <w:r w:rsidRPr="00522A62">
        <w:rPr>
          <w:rFonts w:ascii="Calibri" w:eastAsia="Calibri" w:hAnsi="Calibri" w:cs="Times New Roman"/>
          <w:sz w:val="24"/>
        </w:rPr>
        <w:t>Warunki do utrzymania higieny osobistej w placówkach nauczania i wychowania</w:t>
      </w:r>
      <w:r>
        <w:rPr>
          <w:rFonts w:ascii="Calibri" w:eastAsia="Calibri" w:hAnsi="Calibri" w:cs="Times New Roman"/>
          <w:sz w:val="24"/>
        </w:rPr>
        <w:t xml:space="preserve"> skontrolowano w </w:t>
      </w:r>
      <w:r w:rsidRPr="0087712F">
        <w:rPr>
          <w:rFonts w:ascii="Calibri" w:eastAsia="Calibri" w:hAnsi="Calibri" w:cs="Times New Roman"/>
          <w:sz w:val="24"/>
        </w:rPr>
        <w:t>12</w:t>
      </w:r>
      <w:r>
        <w:rPr>
          <w:rFonts w:ascii="Calibri" w:eastAsia="Calibri" w:hAnsi="Calibri" w:cs="Times New Roman"/>
          <w:sz w:val="24"/>
        </w:rPr>
        <w:t>18</w:t>
      </w:r>
      <w:r w:rsidRPr="0087712F">
        <w:rPr>
          <w:rFonts w:ascii="Calibri" w:eastAsia="Calibri" w:hAnsi="Calibri" w:cs="Times New Roman"/>
          <w:sz w:val="24"/>
        </w:rPr>
        <w:t xml:space="preserve"> placówkach. </w:t>
      </w:r>
    </w:p>
    <w:p w14:paraId="160AE52C" w14:textId="7D5102A4" w:rsidR="00CD55AD" w:rsidRDefault="00CD55AD" w:rsidP="00597239">
      <w:pPr>
        <w:spacing w:after="0" w:line="276" w:lineRule="auto"/>
        <w:rPr>
          <w:rFonts w:ascii="Calibri" w:eastAsia="Calibri" w:hAnsi="Calibri" w:cs="Times New Roman"/>
          <w:sz w:val="24"/>
        </w:rPr>
      </w:pPr>
      <w:r w:rsidRPr="00522A62">
        <w:rPr>
          <w:rFonts w:ascii="Calibri" w:eastAsia="Calibri" w:hAnsi="Calibri" w:cs="Times New Roman"/>
          <w:sz w:val="24"/>
        </w:rPr>
        <w:t>Niewłaściwe warunki do utrzymania higieny osobistej stwierdzono w </w:t>
      </w:r>
      <w:r w:rsidRPr="00EA79E6">
        <w:rPr>
          <w:rFonts w:ascii="Calibri" w:eastAsia="Calibri" w:hAnsi="Calibri" w:cs="Times New Roman"/>
          <w:sz w:val="24"/>
        </w:rPr>
        <w:t>1</w:t>
      </w:r>
      <w:r>
        <w:rPr>
          <w:rFonts w:ascii="Calibri" w:eastAsia="Calibri" w:hAnsi="Calibri" w:cs="Times New Roman"/>
          <w:sz w:val="24"/>
        </w:rPr>
        <w:t>07</w:t>
      </w:r>
      <w:r w:rsidRPr="00522A62">
        <w:rPr>
          <w:rFonts w:ascii="Calibri" w:eastAsia="Calibri" w:hAnsi="Calibri" w:cs="Times New Roman"/>
          <w:sz w:val="24"/>
        </w:rPr>
        <w:t xml:space="preserve"> obiektach i dotyczyły one głównie niewłaściwego stanu technicznego pomieszczeń sanitarnych oraz ich wyposażenia, zaniedbania czystości i porządku, braku </w:t>
      </w:r>
      <w:r w:rsidRPr="00000A8A">
        <w:rPr>
          <w:rFonts w:ascii="Calibri" w:eastAsia="Calibri" w:hAnsi="Calibri" w:cs="Times New Roman"/>
          <w:sz w:val="24"/>
        </w:rPr>
        <w:t>bieżącej ciepłej wody przy umywalkach</w:t>
      </w:r>
      <w:r>
        <w:rPr>
          <w:rFonts w:ascii="Calibri" w:eastAsia="Calibri" w:hAnsi="Calibri" w:cs="Times New Roman"/>
          <w:sz w:val="24"/>
        </w:rPr>
        <w:t xml:space="preserve"> oraz </w:t>
      </w:r>
      <w:r w:rsidRPr="00000A8A">
        <w:rPr>
          <w:rFonts w:ascii="Calibri" w:eastAsia="Calibri" w:hAnsi="Calibri" w:cs="Times New Roman"/>
          <w:sz w:val="24"/>
        </w:rPr>
        <w:t>braku wyposażenia w środki higi</w:t>
      </w:r>
      <w:r>
        <w:rPr>
          <w:rFonts w:ascii="Calibri" w:eastAsia="Calibri" w:hAnsi="Calibri" w:cs="Times New Roman"/>
          <w:sz w:val="24"/>
        </w:rPr>
        <w:t>eniczne</w:t>
      </w:r>
      <w:r w:rsidRPr="00000A8A">
        <w:rPr>
          <w:rFonts w:ascii="Calibri" w:eastAsia="Calibri" w:hAnsi="Calibri" w:cs="Times New Roman"/>
          <w:sz w:val="24"/>
        </w:rPr>
        <w:t>.</w:t>
      </w:r>
      <w:r w:rsidRPr="009008B8">
        <w:t xml:space="preserve"> </w:t>
      </w:r>
      <w:r w:rsidRPr="009008B8">
        <w:rPr>
          <w:rFonts w:ascii="Calibri" w:eastAsia="Calibri" w:hAnsi="Calibri" w:cs="Times New Roman"/>
          <w:sz w:val="24"/>
        </w:rPr>
        <w:t>Placówki, w których stwierdzono nieprawidłowości zobowiązano do ich usunięcia i zapewnienia właściwych warunków do</w:t>
      </w:r>
      <w:r w:rsidR="002E1F9D">
        <w:rPr>
          <w:rFonts w:ascii="Calibri" w:eastAsia="Calibri" w:hAnsi="Calibri" w:cs="Times New Roman"/>
          <w:sz w:val="24"/>
        </w:rPr>
        <w:t> </w:t>
      </w:r>
      <w:r w:rsidRPr="009008B8">
        <w:rPr>
          <w:rFonts w:ascii="Calibri" w:eastAsia="Calibri" w:hAnsi="Calibri" w:cs="Times New Roman"/>
          <w:sz w:val="24"/>
        </w:rPr>
        <w:t xml:space="preserve">utrzymania higieny osobistej dla dzieci i młodzieży. </w:t>
      </w:r>
    </w:p>
    <w:p w14:paraId="41832C3E" w14:textId="77777777" w:rsidR="00777D94" w:rsidRPr="00D65330" w:rsidRDefault="00777D94" w:rsidP="00597239">
      <w:pPr>
        <w:spacing w:after="0" w:line="276" w:lineRule="auto"/>
        <w:rPr>
          <w:rFonts w:ascii="Calibri" w:eastAsia="Calibri" w:hAnsi="Calibri" w:cs="Times New Roman"/>
          <w:sz w:val="24"/>
        </w:rPr>
      </w:pPr>
    </w:p>
    <w:p w14:paraId="03FB3FDE" w14:textId="477B2701" w:rsidR="00CD55AD" w:rsidRPr="00D65330" w:rsidRDefault="00CD55AD" w:rsidP="00597239">
      <w:pPr>
        <w:pStyle w:val="Nagwek2"/>
        <w:numPr>
          <w:ilvl w:val="0"/>
          <w:numId w:val="59"/>
        </w:numPr>
        <w:spacing w:before="0" w:after="0"/>
        <w:ind w:left="284" w:hanging="284"/>
        <w:jc w:val="left"/>
        <w:rPr>
          <w:rFonts w:eastAsia="Times New Roman"/>
          <w:sz w:val="26"/>
          <w:szCs w:val="26"/>
        </w:rPr>
      </w:pPr>
      <w:bookmarkStart w:id="325" w:name="_Toc135041762"/>
      <w:bookmarkStart w:id="326" w:name="_Toc194059843"/>
      <w:r w:rsidRPr="00E36E36">
        <w:rPr>
          <w:rFonts w:eastAsia="Times New Roman"/>
          <w:sz w:val="26"/>
          <w:szCs w:val="26"/>
        </w:rPr>
        <w:t>Higiena procesów nauczania</w:t>
      </w:r>
      <w:bookmarkEnd w:id="325"/>
      <w:bookmarkEnd w:id="326"/>
    </w:p>
    <w:p w14:paraId="6F028DC6" w14:textId="5A941F96" w:rsidR="00CD55AD" w:rsidRPr="00DA73DF" w:rsidRDefault="00CD55AD" w:rsidP="00597239">
      <w:pPr>
        <w:spacing w:after="0" w:line="276" w:lineRule="auto"/>
        <w:rPr>
          <w:sz w:val="24"/>
          <w:szCs w:val="24"/>
          <w:u w:val="single"/>
        </w:rPr>
      </w:pPr>
      <w:bookmarkStart w:id="327" w:name="_Toc135041763"/>
      <w:r w:rsidRPr="00DA73DF">
        <w:rPr>
          <w:sz w:val="24"/>
          <w:szCs w:val="24"/>
          <w:u w:val="single"/>
        </w:rPr>
        <w:t>Ergonomiczne warunki pracy ucznia.</w:t>
      </w:r>
      <w:bookmarkEnd w:id="327"/>
    </w:p>
    <w:p w14:paraId="5005D732" w14:textId="55D42E55" w:rsidR="00CD55AD" w:rsidRPr="00744129" w:rsidRDefault="00CD55AD" w:rsidP="00597239">
      <w:pPr>
        <w:spacing w:after="0" w:line="276" w:lineRule="auto"/>
        <w:rPr>
          <w:rFonts w:ascii="Calibri" w:eastAsia="Calibri" w:hAnsi="Calibri" w:cs="Times New Roman"/>
          <w:sz w:val="24"/>
        </w:rPr>
      </w:pPr>
      <w:r w:rsidRPr="00E36E36">
        <w:rPr>
          <w:rFonts w:ascii="Calibri" w:eastAsia="Calibri" w:hAnsi="Calibri" w:cs="Times New Roman"/>
          <w:sz w:val="24"/>
        </w:rPr>
        <w:t xml:space="preserve">W </w:t>
      </w:r>
      <w:r>
        <w:rPr>
          <w:rFonts w:ascii="Calibri" w:eastAsia="Calibri" w:hAnsi="Calibri" w:cs="Times New Roman"/>
          <w:sz w:val="24"/>
        </w:rPr>
        <w:t>2024</w:t>
      </w:r>
      <w:r w:rsidRPr="00E36E36">
        <w:rPr>
          <w:rFonts w:ascii="Calibri" w:eastAsia="Calibri" w:hAnsi="Calibri" w:cs="Times New Roman"/>
          <w:sz w:val="24"/>
        </w:rPr>
        <w:t xml:space="preserve"> r. skontrolowano </w:t>
      </w:r>
      <w:r>
        <w:rPr>
          <w:rFonts w:ascii="Calibri" w:eastAsia="Calibri" w:hAnsi="Calibri" w:cs="Times New Roman"/>
          <w:sz w:val="24"/>
        </w:rPr>
        <w:t>673</w:t>
      </w:r>
      <w:r w:rsidRPr="00744129">
        <w:rPr>
          <w:rFonts w:ascii="Calibri" w:eastAsia="Calibri" w:hAnsi="Calibri" w:cs="Times New Roman"/>
          <w:sz w:val="24"/>
        </w:rPr>
        <w:t xml:space="preserve"> placówki (</w:t>
      </w:r>
      <w:r>
        <w:rPr>
          <w:rFonts w:ascii="Calibri" w:eastAsia="Calibri" w:hAnsi="Calibri" w:cs="Times New Roman"/>
          <w:sz w:val="24"/>
        </w:rPr>
        <w:t>325</w:t>
      </w:r>
      <w:r w:rsidRPr="00744129">
        <w:rPr>
          <w:rFonts w:ascii="Calibri" w:eastAsia="Calibri" w:hAnsi="Calibri" w:cs="Times New Roman"/>
          <w:sz w:val="24"/>
        </w:rPr>
        <w:t xml:space="preserve"> przedszkoli i innych form wychowania przedszkolnego, </w:t>
      </w:r>
      <w:r>
        <w:rPr>
          <w:rFonts w:ascii="Calibri" w:eastAsia="Calibri" w:hAnsi="Calibri" w:cs="Times New Roman"/>
          <w:sz w:val="24"/>
        </w:rPr>
        <w:t>242</w:t>
      </w:r>
      <w:r w:rsidRPr="00744129">
        <w:rPr>
          <w:rFonts w:ascii="Calibri" w:eastAsia="Calibri" w:hAnsi="Calibri" w:cs="Times New Roman"/>
          <w:sz w:val="24"/>
        </w:rPr>
        <w:t xml:space="preserve"> szkół podstawowych, </w:t>
      </w:r>
      <w:r>
        <w:rPr>
          <w:rFonts w:ascii="Calibri" w:eastAsia="Calibri" w:hAnsi="Calibri" w:cs="Times New Roman"/>
          <w:sz w:val="24"/>
        </w:rPr>
        <w:t>3</w:t>
      </w:r>
      <w:r w:rsidRPr="00744129">
        <w:rPr>
          <w:rFonts w:ascii="Calibri" w:eastAsia="Calibri" w:hAnsi="Calibri" w:cs="Times New Roman"/>
          <w:sz w:val="24"/>
        </w:rPr>
        <w:t xml:space="preserve">2 szkoły </w:t>
      </w:r>
      <w:r>
        <w:rPr>
          <w:rFonts w:ascii="Calibri" w:eastAsia="Calibri" w:hAnsi="Calibri" w:cs="Times New Roman"/>
          <w:sz w:val="24"/>
        </w:rPr>
        <w:t>ponadpodstawowe</w:t>
      </w:r>
      <w:r w:rsidRPr="00744129">
        <w:rPr>
          <w:rFonts w:ascii="Calibri" w:eastAsia="Calibri" w:hAnsi="Calibri" w:cs="Times New Roman"/>
          <w:sz w:val="24"/>
        </w:rPr>
        <w:t xml:space="preserve"> </w:t>
      </w:r>
      <w:r w:rsidR="00FD3723" w:rsidRPr="00744129">
        <w:rPr>
          <w:rFonts w:ascii="Calibri" w:eastAsia="Calibri" w:hAnsi="Calibri" w:cs="Times New Roman"/>
          <w:sz w:val="24"/>
        </w:rPr>
        <w:t>oraz 74</w:t>
      </w:r>
      <w:r w:rsidRPr="00744129">
        <w:rPr>
          <w:rFonts w:ascii="Calibri" w:eastAsia="Calibri" w:hAnsi="Calibri" w:cs="Times New Roman"/>
          <w:sz w:val="24"/>
        </w:rPr>
        <w:t xml:space="preserve"> zespoły szkół) w zakresie dostosowania stanowisk pracy dzieci i młodzieży do zasad ergonomii. Ocenie poddano </w:t>
      </w:r>
      <w:r w:rsidRPr="00750497">
        <w:rPr>
          <w:rFonts w:ascii="Calibri" w:eastAsia="Calibri" w:hAnsi="Calibri" w:cs="Times New Roman"/>
          <w:sz w:val="24"/>
        </w:rPr>
        <w:t>35</w:t>
      </w:r>
      <w:r>
        <w:rPr>
          <w:rFonts w:ascii="Calibri" w:eastAsia="Calibri" w:hAnsi="Calibri" w:cs="Times New Roman"/>
          <w:sz w:val="24"/>
        </w:rPr>
        <w:t xml:space="preserve"> </w:t>
      </w:r>
      <w:r w:rsidRPr="00750497">
        <w:rPr>
          <w:rFonts w:ascii="Calibri" w:eastAsia="Calibri" w:hAnsi="Calibri" w:cs="Times New Roman"/>
          <w:sz w:val="24"/>
        </w:rPr>
        <w:t>815</w:t>
      </w:r>
      <w:r w:rsidRPr="00744129">
        <w:rPr>
          <w:rFonts w:ascii="Calibri" w:eastAsia="Calibri" w:hAnsi="Calibri" w:cs="Times New Roman"/>
          <w:sz w:val="24"/>
        </w:rPr>
        <w:t xml:space="preserve"> stanowisk.</w:t>
      </w:r>
    </w:p>
    <w:p w14:paraId="55E36DDF" w14:textId="77777777" w:rsidR="00777D94" w:rsidRDefault="00777D94" w:rsidP="00597239">
      <w:pPr>
        <w:spacing w:after="0" w:line="276" w:lineRule="auto"/>
        <w:rPr>
          <w:rFonts w:ascii="Calibri" w:eastAsia="Calibri" w:hAnsi="Calibri" w:cs="Times New Roman"/>
          <w:sz w:val="24"/>
        </w:rPr>
      </w:pPr>
    </w:p>
    <w:p w14:paraId="03D77EC8" w14:textId="6045192B" w:rsidR="00CD55AD" w:rsidRDefault="00CD55AD" w:rsidP="00597239">
      <w:pPr>
        <w:spacing w:after="0" w:line="276" w:lineRule="auto"/>
        <w:rPr>
          <w:rFonts w:ascii="Calibri" w:eastAsia="Calibri" w:hAnsi="Calibri" w:cs="Times New Roman"/>
          <w:sz w:val="24"/>
        </w:rPr>
      </w:pPr>
      <w:r>
        <w:rPr>
          <w:rFonts w:ascii="Calibri" w:eastAsia="Calibri" w:hAnsi="Calibri" w:cs="Times New Roman"/>
          <w:sz w:val="24"/>
        </w:rPr>
        <w:t xml:space="preserve">W większości skontrolowanych obiektów zapewniono właściwe warunki pracy dla uczniów. </w:t>
      </w:r>
      <w:r w:rsidRPr="00744129">
        <w:rPr>
          <w:rFonts w:ascii="Calibri" w:eastAsia="Calibri" w:hAnsi="Calibri" w:cs="Times New Roman"/>
          <w:sz w:val="24"/>
        </w:rPr>
        <w:t>Nieprawidłowości dot</w:t>
      </w:r>
      <w:r>
        <w:rPr>
          <w:rFonts w:ascii="Calibri" w:eastAsia="Calibri" w:hAnsi="Calibri" w:cs="Times New Roman"/>
          <w:sz w:val="24"/>
        </w:rPr>
        <w:t>yczące</w:t>
      </w:r>
      <w:r w:rsidRPr="00744129">
        <w:rPr>
          <w:rFonts w:ascii="Calibri" w:eastAsia="Calibri" w:hAnsi="Calibri" w:cs="Times New Roman"/>
          <w:sz w:val="24"/>
        </w:rPr>
        <w:t xml:space="preserve"> błędnie dopasowanych krzeseł i ławek do wzrostu uczniów stwierdzono w </w:t>
      </w:r>
      <w:r>
        <w:rPr>
          <w:rFonts w:ascii="Calibri" w:eastAsia="Calibri" w:hAnsi="Calibri" w:cs="Times New Roman"/>
          <w:sz w:val="24"/>
        </w:rPr>
        <w:t>12</w:t>
      </w:r>
      <w:r w:rsidRPr="00744129">
        <w:rPr>
          <w:rFonts w:ascii="Calibri" w:eastAsia="Calibri" w:hAnsi="Calibri" w:cs="Times New Roman"/>
          <w:sz w:val="24"/>
        </w:rPr>
        <w:t xml:space="preserve"> placówkach</w:t>
      </w:r>
      <w:r>
        <w:rPr>
          <w:rFonts w:ascii="Calibri" w:eastAsia="Calibri" w:hAnsi="Calibri" w:cs="Times New Roman"/>
          <w:sz w:val="24"/>
        </w:rPr>
        <w:t xml:space="preserve"> </w:t>
      </w:r>
      <w:r w:rsidRPr="00744129">
        <w:rPr>
          <w:rFonts w:ascii="Calibri" w:eastAsia="Calibri" w:hAnsi="Calibri" w:cs="Times New Roman"/>
          <w:sz w:val="24"/>
        </w:rPr>
        <w:t xml:space="preserve">na </w:t>
      </w:r>
      <w:r>
        <w:rPr>
          <w:rFonts w:ascii="Calibri" w:eastAsia="Calibri" w:hAnsi="Calibri" w:cs="Times New Roman"/>
          <w:sz w:val="24"/>
        </w:rPr>
        <w:t>333</w:t>
      </w:r>
      <w:r w:rsidRPr="00744129">
        <w:rPr>
          <w:rFonts w:ascii="Calibri" w:eastAsia="Calibri" w:hAnsi="Calibri" w:cs="Times New Roman"/>
          <w:sz w:val="24"/>
        </w:rPr>
        <w:t xml:space="preserve"> stanowiskach pracy.</w:t>
      </w:r>
      <w:r w:rsidR="009901B6">
        <w:rPr>
          <w:rFonts w:ascii="Calibri" w:eastAsia="Calibri" w:hAnsi="Calibri" w:cs="Times New Roman"/>
          <w:sz w:val="24"/>
        </w:rPr>
        <w:t xml:space="preserve"> Placówki, w których stwierdzono nieprawidłowości zobowiązano do ich usunięcia i zapewnienia właściwych stanowisk nauki dla dzieci i młodzieży. </w:t>
      </w:r>
    </w:p>
    <w:p w14:paraId="04D871F4" w14:textId="77777777" w:rsidR="00777D94" w:rsidRPr="00D65330" w:rsidRDefault="00777D94" w:rsidP="00597239">
      <w:pPr>
        <w:spacing w:after="0" w:line="276" w:lineRule="auto"/>
        <w:rPr>
          <w:rFonts w:ascii="Calibri" w:eastAsia="Calibri" w:hAnsi="Calibri" w:cs="Times New Roman"/>
          <w:sz w:val="24"/>
        </w:rPr>
      </w:pPr>
    </w:p>
    <w:p w14:paraId="7D276970" w14:textId="77777777" w:rsidR="00CD55AD" w:rsidRPr="00DA73DF" w:rsidRDefault="00CD55AD" w:rsidP="00597239">
      <w:pPr>
        <w:spacing w:after="0" w:line="276" w:lineRule="auto"/>
        <w:rPr>
          <w:sz w:val="24"/>
          <w:szCs w:val="24"/>
          <w:u w:val="single"/>
        </w:rPr>
      </w:pPr>
      <w:bookmarkStart w:id="328" w:name="_Toc135041765"/>
      <w:r w:rsidRPr="00DA73DF">
        <w:rPr>
          <w:sz w:val="24"/>
          <w:szCs w:val="24"/>
          <w:u w:val="single"/>
        </w:rPr>
        <w:t>Zapewnienie miejsca na podręczniki i przybory szkolne.</w:t>
      </w:r>
      <w:bookmarkEnd w:id="328"/>
    </w:p>
    <w:p w14:paraId="6C04E306" w14:textId="1F95CEDB" w:rsidR="00CD55AD" w:rsidRPr="001A417F" w:rsidRDefault="00CD55AD" w:rsidP="00597239">
      <w:pPr>
        <w:spacing w:after="0" w:line="276" w:lineRule="auto"/>
        <w:rPr>
          <w:rFonts w:ascii="Calibri" w:eastAsia="Calibri" w:hAnsi="Calibri" w:cs="Times New Roman"/>
          <w:sz w:val="24"/>
          <w:szCs w:val="24"/>
        </w:rPr>
      </w:pPr>
      <w:r w:rsidRPr="00DC1FA6">
        <w:rPr>
          <w:rFonts w:ascii="Calibri" w:eastAsia="Calibri" w:hAnsi="Calibri" w:cs="Times New Roman"/>
          <w:sz w:val="24"/>
          <w:szCs w:val="24"/>
        </w:rPr>
        <w:t xml:space="preserve"> Zgodnie z</w:t>
      </w:r>
      <w:r>
        <w:rPr>
          <w:rFonts w:ascii="Calibri" w:eastAsia="Calibri" w:hAnsi="Calibri" w:cs="Times New Roman"/>
          <w:sz w:val="24"/>
          <w:szCs w:val="24"/>
        </w:rPr>
        <w:t xml:space="preserve"> rozporządzeniem </w:t>
      </w:r>
      <w:r w:rsidRPr="00DC1FA6">
        <w:rPr>
          <w:rFonts w:ascii="Calibri" w:eastAsia="Calibri" w:hAnsi="Calibri" w:cs="Times New Roman"/>
          <w:sz w:val="24"/>
          <w:szCs w:val="24"/>
        </w:rPr>
        <w:t xml:space="preserve">Ministra Edukacji Narodowej </w:t>
      </w:r>
      <w:r>
        <w:rPr>
          <w:rFonts w:ascii="Calibri" w:eastAsia="Calibri" w:hAnsi="Calibri" w:cs="Times New Roman"/>
          <w:sz w:val="24"/>
          <w:szCs w:val="24"/>
        </w:rPr>
        <w:t>i</w:t>
      </w:r>
      <w:r w:rsidRPr="00DC1FA6">
        <w:rPr>
          <w:rFonts w:ascii="Calibri" w:eastAsia="Calibri" w:hAnsi="Calibri" w:cs="Times New Roman"/>
          <w:sz w:val="24"/>
          <w:szCs w:val="24"/>
        </w:rPr>
        <w:t xml:space="preserve"> Sportu z dnia 31 grudnia 2002 r.</w:t>
      </w:r>
      <w:r>
        <w:rPr>
          <w:rFonts w:ascii="Calibri" w:eastAsia="Calibri" w:hAnsi="Calibri" w:cs="Times New Roman"/>
          <w:sz w:val="24"/>
          <w:szCs w:val="24"/>
        </w:rPr>
        <w:t xml:space="preserve"> </w:t>
      </w:r>
      <w:r w:rsidRPr="00DC1FA6">
        <w:rPr>
          <w:rFonts w:ascii="Calibri" w:eastAsia="Calibri" w:hAnsi="Calibri" w:cs="Times New Roman"/>
          <w:sz w:val="24"/>
          <w:szCs w:val="24"/>
        </w:rPr>
        <w:t>w sprawie bezpieczeństwa i higieny w publicznych i niepublicznych szkołach i</w:t>
      </w:r>
      <w:r w:rsidR="00C574D9">
        <w:rPr>
          <w:rFonts w:ascii="Calibri" w:eastAsia="Calibri" w:hAnsi="Calibri" w:cs="Times New Roman"/>
          <w:sz w:val="24"/>
          <w:szCs w:val="24"/>
        </w:rPr>
        <w:t> </w:t>
      </w:r>
      <w:r w:rsidRPr="00DC1FA6">
        <w:rPr>
          <w:rFonts w:ascii="Calibri" w:eastAsia="Calibri" w:hAnsi="Calibri" w:cs="Times New Roman"/>
          <w:sz w:val="24"/>
          <w:szCs w:val="24"/>
        </w:rPr>
        <w:t>placówkach</w:t>
      </w:r>
      <w:r>
        <w:rPr>
          <w:rFonts w:ascii="Calibri" w:eastAsia="Calibri" w:hAnsi="Calibri" w:cs="Times New Roman"/>
          <w:sz w:val="24"/>
          <w:szCs w:val="24"/>
        </w:rPr>
        <w:t xml:space="preserve"> szkoły mają obowiązek</w:t>
      </w:r>
      <w:r w:rsidRPr="00DC1FA6">
        <w:t xml:space="preserve"> </w:t>
      </w:r>
      <w:r w:rsidRPr="00DC1FA6">
        <w:rPr>
          <w:rFonts w:ascii="Calibri" w:eastAsia="Calibri" w:hAnsi="Calibri" w:cs="Times New Roman"/>
          <w:sz w:val="24"/>
          <w:szCs w:val="24"/>
        </w:rPr>
        <w:t xml:space="preserve">zapewnienia uczniom miejsca na pozostawienie podręczników i przyborów szkolnych, </w:t>
      </w:r>
      <w:r>
        <w:rPr>
          <w:rFonts w:ascii="Calibri" w:eastAsia="Calibri" w:hAnsi="Calibri" w:cs="Times New Roman"/>
          <w:sz w:val="24"/>
          <w:szCs w:val="24"/>
        </w:rPr>
        <w:t>w celu</w:t>
      </w:r>
      <w:r w:rsidRPr="00DC1FA6">
        <w:rPr>
          <w:rFonts w:ascii="Calibri" w:eastAsia="Calibri" w:hAnsi="Calibri" w:cs="Times New Roman"/>
          <w:sz w:val="24"/>
          <w:szCs w:val="24"/>
        </w:rPr>
        <w:t xml:space="preserve"> zapobiegania dysfunkcjom układu ruchu.</w:t>
      </w:r>
      <w:r>
        <w:rPr>
          <w:rFonts w:ascii="Calibri" w:eastAsia="Calibri" w:hAnsi="Calibri" w:cs="Times New Roman"/>
          <w:sz w:val="24"/>
          <w:szCs w:val="24"/>
        </w:rPr>
        <w:t xml:space="preserve"> </w:t>
      </w:r>
      <w:r w:rsidRPr="00E36E36">
        <w:rPr>
          <w:rFonts w:ascii="Calibri" w:eastAsia="Calibri" w:hAnsi="Calibri" w:cs="Times New Roman"/>
          <w:sz w:val="24"/>
          <w:szCs w:val="24"/>
        </w:rPr>
        <w:t>W tym zakresie skontrolowan</w:t>
      </w:r>
      <w:r>
        <w:rPr>
          <w:rFonts w:ascii="Calibri" w:eastAsia="Calibri" w:hAnsi="Calibri" w:cs="Times New Roman"/>
          <w:sz w:val="24"/>
          <w:szCs w:val="24"/>
        </w:rPr>
        <w:t>o 806</w:t>
      </w:r>
      <w:r w:rsidRPr="00E36E36">
        <w:rPr>
          <w:rFonts w:ascii="Calibri" w:eastAsia="Calibri" w:hAnsi="Calibri" w:cs="Times New Roman"/>
          <w:sz w:val="24"/>
          <w:szCs w:val="24"/>
        </w:rPr>
        <w:t xml:space="preserve"> </w:t>
      </w:r>
      <w:r>
        <w:rPr>
          <w:rFonts w:ascii="Calibri" w:eastAsia="Calibri" w:hAnsi="Calibri" w:cs="Times New Roman"/>
          <w:sz w:val="24"/>
          <w:szCs w:val="24"/>
        </w:rPr>
        <w:t xml:space="preserve">obiektów. </w:t>
      </w:r>
      <w:r w:rsidR="00FD3723">
        <w:rPr>
          <w:rFonts w:ascii="Calibri" w:eastAsia="Calibri" w:hAnsi="Calibri" w:cs="Times New Roman"/>
          <w:sz w:val="24"/>
          <w:szCs w:val="24"/>
        </w:rPr>
        <w:t>W 461</w:t>
      </w:r>
      <w:r w:rsidRPr="000776DB">
        <w:rPr>
          <w:rFonts w:ascii="Calibri" w:eastAsia="Calibri" w:hAnsi="Calibri" w:cs="Times New Roman"/>
          <w:sz w:val="24"/>
          <w:szCs w:val="24"/>
        </w:rPr>
        <w:t xml:space="preserve"> placów</w:t>
      </w:r>
      <w:r>
        <w:rPr>
          <w:rFonts w:ascii="Calibri" w:eastAsia="Calibri" w:hAnsi="Calibri" w:cs="Times New Roman"/>
          <w:sz w:val="24"/>
          <w:szCs w:val="24"/>
        </w:rPr>
        <w:t>kach</w:t>
      </w:r>
      <w:r w:rsidRPr="000776DB">
        <w:rPr>
          <w:rFonts w:ascii="Calibri" w:eastAsia="Calibri" w:hAnsi="Calibri" w:cs="Times New Roman"/>
          <w:sz w:val="24"/>
          <w:szCs w:val="24"/>
        </w:rPr>
        <w:t xml:space="preserve"> zapewn</w:t>
      </w:r>
      <w:r>
        <w:rPr>
          <w:rFonts w:ascii="Calibri" w:eastAsia="Calibri" w:hAnsi="Calibri" w:cs="Times New Roman"/>
          <w:sz w:val="24"/>
          <w:szCs w:val="24"/>
        </w:rPr>
        <w:t>i</w:t>
      </w:r>
      <w:r w:rsidRPr="000776DB">
        <w:rPr>
          <w:rFonts w:ascii="Calibri" w:eastAsia="Calibri" w:hAnsi="Calibri" w:cs="Times New Roman"/>
          <w:sz w:val="24"/>
          <w:szCs w:val="24"/>
        </w:rPr>
        <w:t>o</w:t>
      </w:r>
      <w:r>
        <w:rPr>
          <w:rFonts w:ascii="Calibri" w:eastAsia="Calibri" w:hAnsi="Calibri" w:cs="Times New Roman"/>
          <w:sz w:val="24"/>
          <w:szCs w:val="24"/>
        </w:rPr>
        <w:t>no</w:t>
      </w:r>
      <w:r w:rsidRPr="000776DB">
        <w:rPr>
          <w:rFonts w:ascii="Calibri" w:eastAsia="Calibri" w:hAnsi="Calibri" w:cs="Times New Roman"/>
          <w:sz w:val="24"/>
          <w:szCs w:val="24"/>
        </w:rPr>
        <w:t xml:space="preserve"> uczniom szafki z</w:t>
      </w:r>
      <w:r w:rsidR="002E1F9D">
        <w:rPr>
          <w:rFonts w:ascii="Calibri" w:eastAsia="Calibri" w:hAnsi="Calibri" w:cs="Times New Roman"/>
          <w:sz w:val="24"/>
          <w:szCs w:val="24"/>
        </w:rPr>
        <w:t> </w:t>
      </w:r>
      <w:r w:rsidRPr="000776DB">
        <w:rPr>
          <w:rFonts w:ascii="Calibri" w:eastAsia="Calibri" w:hAnsi="Calibri" w:cs="Times New Roman"/>
          <w:sz w:val="24"/>
          <w:szCs w:val="24"/>
        </w:rPr>
        <w:t xml:space="preserve">indywidualnymi skrytkami, a </w:t>
      </w:r>
      <w:r>
        <w:rPr>
          <w:rFonts w:ascii="Calibri" w:eastAsia="Calibri" w:hAnsi="Calibri" w:cs="Times New Roman"/>
          <w:sz w:val="24"/>
          <w:szCs w:val="24"/>
        </w:rPr>
        <w:t>w 457</w:t>
      </w:r>
      <w:r w:rsidRPr="000776DB">
        <w:rPr>
          <w:rFonts w:ascii="Calibri" w:eastAsia="Calibri" w:hAnsi="Calibri" w:cs="Times New Roman"/>
          <w:sz w:val="24"/>
          <w:szCs w:val="24"/>
        </w:rPr>
        <w:t xml:space="preserve"> </w:t>
      </w:r>
      <w:r>
        <w:rPr>
          <w:rFonts w:ascii="Calibri" w:eastAsia="Calibri" w:hAnsi="Calibri" w:cs="Times New Roman"/>
          <w:sz w:val="24"/>
          <w:szCs w:val="24"/>
        </w:rPr>
        <w:t>-</w:t>
      </w:r>
      <w:r w:rsidRPr="000776DB">
        <w:rPr>
          <w:rFonts w:ascii="Calibri" w:eastAsia="Calibri" w:hAnsi="Calibri" w:cs="Times New Roman"/>
          <w:sz w:val="24"/>
          <w:szCs w:val="24"/>
        </w:rPr>
        <w:t xml:space="preserve"> </w:t>
      </w:r>
      <w:r w:rsidRPr="001A417F">
        <w:rPr>
          <w:rFonts w:ascii="Calibri" w:eastAsia="Calibri" w:hAnsi="Calibri" w:cs="Times New Roman"/>
          <w:sz w:val="24"/>
          <w:szCs w:val="24"/>
        </w:rPr>
        <w:t>inne miejsce na pozostawienie podręczników i</w:t>
      </w:r>
      <w:r w:rsidR="00C574D9">
        <w:rPr>
          <w:rFonts w:ascii="Calibri" w:eastAsia="Calibri" w:hAnsi="Calibri" w:cs="Times New Roman"/>
          <w:sz w:val="24"/>
          <w:szCs w:val="24"/>
        </w:rPr>
        <w:t> </w:t>
      </w:r>
      <w:r w:rsidRPr="001A417F">
        <w:rPr>
          <w:rFonts w:ascii="Calibri" w:eastAsia="Calibri" w:hAnsi="Calibri" w:cs="Times New Roman"/>
          <w:sz w:val="24"/>
          <w:szCs w:val="24"/>
        </w:rPr>
        <w:t>przyborów szkolnych. Część z ww. obiektów posiadało jednocześnie obie możliwości pozostawiania podręczników i przyborów szkolnych.</w:t>
      </w:r>
    </w:p>
    <w:p w14:paraId="44946E8F" w14:textId="5339BFA6" w:rsidR="00CD55AD" w:rsidRPr="00D65330" w:rsidRDefault="00CD55AD" w:rsidP="00597239">
      <w:pPr>
        <w:spacing w:after="0" w:line="276" w:lineRule="auto"/>
        <w:rPr>
          <w:rFonts w:ascii="Calibri" w:eastAsia="Calibri" w:hAnsi="Calibri" w:cs="Times New Roman"/>
          <w:sz w:val="24"/>
          <w:szCs w:val="24"/>
        </w:rPr>
      </w:pPr>
      <w:r>
        <w:rPr>
          <w:rFonts w:ascii="Calibri" w:eastAsia="Calibri" w:hAnsi="Calibri" w:cs="Times New Roman"/>
          <w:sz w:val="24"/>
          <w:szCs w:val="24"/>
        </w:rPr>
        <w:t>Tylko</w:t>
      </w:r>
      <w:r w:rsidRPr="001A417F">
        <w:rPr>
          <w:rFonts w:ascii="Calibri" w:eastAsia="Calibri" w:hAnsi="Calibri" w:cs="Times New Roman"/>
          <w:sz w:val="24"/>
          <w:szCs w:val="24"/>
        </w:rPr>
        <w:t xml:space="preserve"> 1 placówka – zespół szkół, w którym funkcjonowało technikum oraz liceum nie zapewniła miejsca na podręczniki </w:t>
      </w:r>
      <w:r>
        <w:rPr>
          <w:rFonts w:ascii="Calibri" w:eastAsia="Calibri" w:hAnsi="Calibri" w:cs="Times New Roman"/>
          <w:sz w:val="24"/>
          <w:szCs w:val="24"/>
        </w:rPr>
        <w:t xml:space="preserve">i </w:t>
      </w:r>
      <w:r w:rsidRPr="001A417F">
        <w:rPr>
          <w:rFonts w:ascii="Calibri" w:eastAsia="Calibri" w:hAnsi="Calibri" w:cs="Times New Roman"/>
          <w:sz w:val="24"/>
          <w:szCs w:val="24"/>
        </w:rPr>
        <w:t>przybory szkolne.</w:t>
      </w:r>
    </w:p>
    <w:p w14:paraId="5BD40298" w14:textId="77777777" w:rsidR="008A1F5A" w:rsidRDefault="008A1F5A" w:rsidP="00597239">
      <w:pPr>
        <w:spacing w:after="0" w:line="276" w:lineRule="auto"/>
        <w:rPr>
          <w:sz w:val="24"/>
          <w:szCs w:val="24"/>
          <w:u w:val="single"/>
        </w:rPr>
      </w:pPr>
      <w:bookmarkStart w:id="329" w:name="_Toc135041766"/>
    </w:p>
    <w:p w14:paraId="628D69CD" w14:textId="77777777" w:rsidR="008A1F5A" w:rsidRDefault="008A1F5A" w:rsidP="00597239">
      <w:pPr>
        <w:spacing w:after="0" w:line="276" w:lineRule="auto"/>
        <w:rPr>
          <w:sz w:val="24"/>
          <w:szCs w:val="24"/>
          <w:u w:val="single"/>
        </w:rPr>
      </w:pPr>
    </w:p>
    <w:p w14:paraId="0E564FA2" w14:textId="6F747A86" w:rsidR="00CD55AD" w:rsidRPr="00DA73DF" w:rsidRDefault="00CD55AD" w:rsidP="00597239">
      <w:pPr>
        <w:spacing w:after="0" w:line="276" w:lineRule="auto"/>
        <w:rPr>
          <w:sz w:val="24"/>
          <w:szCs w:val="24"/>
          <w:u w:val="single"/>
        </w:rPr>
      </w:pPr>
      <w:r w:rsidRPr="00DA73DF">
        <w:rPr>
          <w:sz w:val="24"/>
          <w:szCs w:val="24"/>
          <w:u w:val="single"/>
        </w:rPr>
        <w:lastRenderedPageBreak/>
        <w:t>Rozkład zajęć lekcyjnych oraz zmianowy system nauczania w szkołach. Zagęszczenie uczniów w placówkach</w:t>
      </w:r>
      <w:bookmarkEnd w:id="329"/>
    </w:p>
    <w:p w14:paraId="61B80A4C" w14:textId="0B998028" w:rsidR="00CD55AD" w:rsidRPr="00D65330" w:rsidRDefault="00CD55AD" w:rsidP="00597239">
      <w:pPr>
        <w:spacing w:after="0" w:line="276" w:lineRule="auto"/>
        <w:rPr>
          <w:rFonts w:ascii="Calibri" w:eastAsia="Calibri" w:hAnsi="Calibri" w:cs="Times New Roman"/>
          <w:strike/>
          <w:sz w:val="24"/>
          <w:szCs w:val="24"/>
        </w:rPr>
      </w:pPr>
      <w:bookmarkStart w:id="330" w:name="_Hlk128643210"/>
      <w:bookmarkStart w:id="331" w:name="_Toc133231338"/>
      <w:bookmarkStart w:id="332" w:name="_Toc133236347"/>
      <w:bookmarkStart w:id="333" w:name="_Toc133311737"/>
      <w:bookmarkStart w:id="334" w:name="_Toc133320593"/>
      <w:bookmarkStart w:id="335" w:name="_Toc133321712"/>
      <w:r w:rsidRPr="00EA79E6">
        <w:rPr>
          <w:rFonts w:ascii="Calibri" w:eastAsia="Calibri" w:hAnsi="Calibri" w:cs="Times New Roman"/>
          <w:sz w:val="24"/>
          <w:szCs w:val="24"/>
        </w:rPr>
        <w:t>Rozkład zajęć lekcyjnych powinien uwzględniać równomierne obciążenie uczniów zajęciami w poszczególnych dniach tygodnia, zróżnicowanie zajęć w</w:t>
      </w:r>
      <w:r w:rsidR="008A1F5A">
        <w:rPr>
          <w:rFonts w:ascii="Calibri" w:eastAsia="Calibri" w:hAnsi="Calibri" w:cs="Times New Roman"/>
          <w:sz w:val="24"/>
          <w:szCs w:val="24"/>
        </w:rPr>
        <w:t xml:space="preserve"> </w:t>
      </w:r>
      <w:r w:rsidRPr="00EA79E6">
        <w:rPr>
          <w:rFonts w:ascii="Calibri" w:eastAsia="Calibri" w:hAnsi="Calibri" w:cs="Times New Roman"/>
          <w:sz w:val="24"/>
          <w:szCs w:val="24"/>
        </w:rPr>
        <w:t xml:space="preserve">każdym dniu oraz możliwości psychofizyczne uczniów </w:t>
      </w:r>
      <w:r w:rsidR="004027AE">
        <w:rPr>
          <w:rFonts w:ascii="Calibri" w:eastAsia="Calibri" w:hAnsi="Calibri" w:cs="Times New Roman"/>
          <w:sz w:val="24"/>
          <w:szCs w:val="24"/>
        </w:rPr>
        <w:t xml:space="preserve">do </w:t>
      </w:r>
      <w:r w:rsidRPr="00EA79E6">
        <w:rPr>
          <w:rFonts w:ascii="Calibri" w:eastAsia="Calibri" w:hAnsi="Calibri" w:cs="Times New Roman"/>
          <w:sz w:val="24"/>
          <w:szCs w:val="24"/>
        </w:rPr>
        <w:t>podejmowania intensywnego wysiłku umysłowego w</w:t>
      </w:r>
      <w:r w:rsidR="008A1F5A">
        <w:rPr>
          <w:rFonts w:ascii="Calibri" w:eastAsia="Calibri" w:hAnsi="Calibri" w:cs="Times New Roman"/>
          <w:sz w:val="24"/>
          <w:szCs w:val="24"/>
        </w:rPr>
        <w:t xml:space="preserve"> </w:t>
      </w:r>
      <w:r w:rsidRPr="00EA79E6">
        <w:rPr>
          <w:rFonts w:ascii="Calibri" w:eastAsia="Calibri" w:hAnsi="Calibri" w:cs="Times New Roman"/>
          <w:sz w:val="24"/>
          <w:szCs w:val="24"/>
        </w:rPr>
        <w:t xml:space="preserve">ciągu dnia. </w:t>
      </w:r>
      <w:bookmarkEnd w:id="330"/>
    </w:p>
    <w:p w14:paraId="6C6FDE79" w14:textId="77777777" w:rsidR="00CD55AD" w:rsidRPr="00EA79E6" w:rsidRDefault="00CD55AD" w:rsidP="00597239">
      <w:pPr>
        <w:keepNext/>
        <w:spacing w:after="200" w:line="240" w:lineRule="auto"/>
        <w:rPr>
          <w:rFonts w:ascii="Calibri" w:eastAsia="Calibri" w:hAnsi="Calibri" w:cs="Times New Roman"/>
          <w:sz w:val="24"/>
          <w:szCs w:val="24"/>
        </w:rPr>
      </w:pPr>
      <w:bookmarkStart w:id="336" w:name="_Toc133387690"/>
      <w:bookmarkStart w:id="337" w:name="_Toc133388634"/>
      <w:bookmarkStart w:id="338" w:name="_Toc133500657"/>
      <w:bookmarkStart w:id="339" w:name="_Toc133559661"/>
      <w:bookmarkStart w:id="340" w:name="_Toc133576683"/>
      <w:bookmarkStart w:id="341" w:name="_Toc133582287"/>
      <w:bookmarkStart w:id="342" w:name="_Toc133582905"/>
      <w:bookmarkStart w:id="343" w:name="_Toc133583795"/>
      <w:bookmarkStart w:id="344" w:name="_Toc134604404"/>
      <w:bookmarkStart w:id="345" w:name="_Toc134610918"/>
      <w:bookmarkStart w:id="346" w:name="_Toc135041617"/>
      <w:r w:rsidRPr="00EA79E6">
        <w:rPr>
          <w:rFonts w:ascii="Calibri" w:eastAsia="Calibri" w:hAnsi="Calibri" w:cs="Times New Roman"/>
          <w:sz w:val="24"/>
          <w:szCs w:val="24"/>
        </w:rPr>
        <w:t xml:space="preserve">W </w:t>
      </w:r>
      <w:r>
        <w:rPr>
          <w:rFonts w:ascii="Calibri" w:eastAsia="Calibri" w:hAnsi="Calibri" w:cs="Times New Roman"/>
          <w:sz w:val="24"/>
          <w:szCs w:val="24"/>
        </w:rPr>
        <w:t>2024</w:t>
      </w:r>
      <w:r w:rsidRPr="00EA79E6">
        <w:rPr>
          <w:rFonts w:ascii="Calibri" w:eastAsia="Calibri" w:hAnsi="Calibri" w:cs="Times New Roman"/>
          <w:sz w:val="24"/>
          <w:szCs w:val="24"/>
        </w:rPr>
        <w:t xml:space="preserve"> roku oceniono rozkłady lekcji w </w:t>
      </w:r>
      <w:r>
        <w:rPr>
          <w:rFonts w:ascii="Calibri" w:eastAsia="Calibri" w:hAnsi="Calibri" w:cs="Times New Roman"/>
          <w:sz w:val="24"/>
          <w:szCs w:val="24"/>
        </w:rPr>
        <w:t>384</w:t>
      </w:r>
      <w:r w:rsidRPr="00EA79E6">
        <w:rPr>
          <w:rFonts w:ascii="Calibri" w:eastAsia="Calibri" w:hAnsi="Calibri" w:cs="Times New Roman"/>
          <w:sz w:val="24"/>
          <w:szCs w:val="24"/>
        </w:rPr>
        <w:t xml:space="preserve"> szkołach, w </w:t>
      </w:r>
      <w:r>
        <w:rPr>
          <w:rFonts w:ascii="Calibri" w:eastAsia="Calibri" w:hAnsi="Calibri" w:cs="Times New Roman"/>
          <w:sz w:val="24"/>
          <w:szCs w:val="24"/>
        </w:rPr>
        <w:t>4848</w:t>
      </w:r>
      <w:r w:rsidRPr="00EA79E6">
        <w:rPr>
          <w:rFonts w:ascii="Calibri" w:eastAsia="Calibri" w:hAnsi="Calibri" w:cs="Times New Roman"/>
          <w:sz w:val="24"/>
          <w:szCs w:val="24"/>
        </w:rPr>
        <w:t xml:space="preserve"> oddziałach. </w:t>
      </w:r>
      <w:r>
        <w:rPr>
          <w:rFonts w:ascii="Calibri" w:eastAsia="Calibri" w:hAnsi="Calibri" w:cs="Times New Roman"/>
          <w:sz w:val="24"/>
          <w:szCs w:val="24"/>
        </w:rPr>
        <w:t>Nieprawidłowości stwierdzono</w:t>
      </w:r>
      <w:r w:rsidRPr="00EA79E6">
        <w:rPr>
          <w:rFonts w:ascii="Calibri" w:eastAsia="Calibri" w:hAnsi="Calibri" w:cs="Times New Roman"/>
          <w:sz w:val="24"/>
          <w:szCs w:val="24"/>
        </w:rPr>
        <w:t xml:space="preserve"> w </w:t>
      </w:r>
      <w:r>
        <w:rPr>
          <w:rFonts w:ascii="Calibri" w:eastAsia="Calibri" w:hAnsi="Calibri" w:cs="Times New Roman"/>
          <w:sz w:val="24"/>
          <w:szCs w:val="24"/>
        </w:rPr>
        <w:t>30</w:t>
      </w:r>
      <w:r w:rsidRPr="00EA79E6">
        <w:rPr>
          <w:rFonts w:ascii="Calibri" w:eastAsia="Calibri" w:hAnsi="Calibri" w:cs="Times New Roman"/>
          <w:sz w:val="24"/>
          <w:szCs w:val="24"/>
        </w:rPr>
        <w:t xml:space="preserve"> placówkach</w:t>
      </w:r>
      <w:r>
        <w:rPr>
          <w:rFonts w:ascii="Calibri" w:eastAsia="Calibri" w:hAnsi="Calibri" w:cs="Times New Roman"/>
          <w:sz w:val="24"/>
          <w:szCs w:val="24"/>
        </w:rPr>
        <w:t>,</w:t>
      </w:r>
      <w:r w:rsidRPr="00EA79E6">
        <w:rPr>
          <w:rFonts w:ascii="Calibri" w:eastAsia="Calibri" w:hAnsi="Calibri" w:cs="Times New Roman"/>
          <w:sz w:val="24"/>
          <w:szCs w:val="24"/>
        </w:rPr>
        <w:t xml:space="preserve"> w </w:t>
      </w:r>
      <w:r>
        <w:rPr>
          <w:rFonts w:ascii="Calibri" w:eastAsia="Calibri" w:hAnsi="Calibri" w:cs="Times New Roman"/>
          <w:sz w:val="24"/>
          <w:szCs w:val="24"/>
        </w:rPr>
        <w:t>239</w:t>
      </w:r>
      <w:r w:rsidRPr="00EA79E6">
        <w:rPr>
          <w:rFonts w:ascii="Calibri" w:eastAsia="Calibri" w:hAnsi="Calibri" w:cs="Times New Roman"/>
          <w:sz w:val="24"/>
          <w:szCs w:val="24"/>
        </w:rPr>
        <w:t xml:space="preserve"> oddziałach</w:t>
      </w:r>
      <w:r>
        <w:rPr>
          <w:rFonts w:ascii="Calibri" w:eastAsia="Calibri" w:hAnsi="Calibri" w:cs="Times New Roman"/>
          <w:sz w:val="24"/>
          <w:szCs w:val="24"/>
        </w:rPr>
        <w:t>.</w:t>
      </w:r>
      <w:r w:rsidRPr="00EA79E6">
        <w:rPr>
          <w:rFonts w:ascii="Calibri" w:eastAsia="Calibri" w:hAnsi="Calibri" w:cs="Times New Roman"/>
          <w:sz w:val="24"/>
          <w:szCs w:val="24"/>
        </w:rPr>
        <w:t xml:space="preserve"> </w:t>
      </w:r>
    </w:p>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14:paraId="1AB6B222" w14:textId="152D0FCD" w:rsidR="00CD55AD" w:rsidRPr="00EA79E6" w:rsidRDefault="00CD55AD" w:rsidP="00597239">
      <w:pPr>
        <w:spacing w:after="0" w:line="276" w:lineRule="auto"/>
        <w:rPr>
          <w:rFonts w:ascii="Calibri" w:eastAsia="Calibri" w:hAnsi="Calibri" w:cs="Times New Roman"/>
          <w:sz w:val="24"/>
          <w:szCs w:val="24"/>
        </w:rPr>
      </w:pPr>
      <w:r>
        <w:rPr>
          <w:rFonts w:ascii="Calibri" w:eastAsia="Calibri" w:hAnsi="Calibri" w:cs="Times New Roman"/>
          <w:sz w:val="24"/>
          <w:szCs w:val="24"/>
        </w:rPr>
        <w:t>Uchybienia</w:t>
      </w:r>
      <w:r w:rsidRPr="00EA79E6">
        <w:rPr>
          <w:rFonts w:ascii="Calibri" w:eastAsia="Calibri" w:hAnsi="Calibri" w:cs="Times New Roman"/>
          <w:sz w:val="24"/>
          <w:szCs w:val="24"/>
        </w:rPr>
        <w:t xml:space="preserve"> w</w:t>
      </w:r>
      <w:r w:rsidR="008A1F5A">
        <w:rPr>
          <w:rFonts w:ascii="Calibri" w:eastAsia="Calibri" w:hAnsi="Calibri" w:cs="Times New Roman"/>
          <w:sz w:val="24"/>
          <w:szCs w:val="24"/>
        </w:rPr>
        <w:t xml:space="preserve"> </w:t>
      </w:r>
      <w:r w:rsidRPr="00EA79E6">
        <w:rPr>
          <w:rFonts w:ascii="Calibri" w:eastAsia="Calibri" w:hAnsi="Calibri" w:cs="Times New Roman"/>
          <w:sz w:val="24"/>
          <w:szCs w:val="24"/>
        </w:rPr>
        <w:t>zakresie higieny procesów nauczania w planach lekcji dotyczyły:</w:t>
      </w:r>
    </w:p>
    <w:p w14:paraId="6DDC84A9" w14:textId="77777777" w:rsidR="00CD55AD" w:rsidRPr="00EA79E6" w:rsidRDefault="00CD55AD" w:rsidP="00597239">
      <w:pPr>
        <w:pStyle w:val="Akapitzlist"/>
        <w:numPr>
          <w:ilvl w:val="0"/>
          <w:numId w:val="14"/>
        </w:numPr>
        <w:tabs>
          <w:tab w:val="left" w:pos="357"/>
        </w:tabs>
        <w:spacing w:after="0" w:line="276" w:lineRule="auto"/>
        <w:rPr>
          <w:rFonts w:ascii="Calibri" w:eastAsia="Calibri" w:hAnsi="Calibri" w:cs="Times New Roman"/>
          <w:sz w:val="24"/>
        </w:rPr>
      </w:pPr>
      <w:r w:rsidRPr="00EA79E6">
        <w:rPr>
          <w:rFonts w:ascii="Calibri" w:eastAsia="Calibri" w:hAnsi="Calibri" w:cs="Times New Roman"/>
          <w:sz w:val="24"/>
        </w:rPr>
        <w:t xml:space="preserve">braku stałej pory rozpoczynania zajęć lekcyjnych </w:t>
      </w:r>
    </w:p>
    <w:p w14:paraId="3FDA3E15" w14:textId="77777777" w:rsidR="00CD55AD" w:rsidRPr="00EA79E6" w:rsidRDefault="00CD55AD" w:rsidP="00597239">
      <w:pPr>
        <w:pStyle w:val="Akapitzlist"/>
        <w:numPr>
          <w:ilvl w:val="0"/>
          <w:numId w:val="14"/>
        </w:numPr>
        <w:tabs>
          <w:tab w:val="left" w:pos="357"/>
        </w:tabs>
        <w:spacing w:after="0" w:line="276" w:lineRule="auto"/>
        <w:rPr>
          <w:rFonts w:ascii="Calibri" w:eastAsia="Calibri" w:hAnsi="Calibri" w:cs="Times New Roman"/>
          <w:sz w:val="24"/>
        </w:rPr>
      </w:pPr>
      <w:r w:rsidRPr="00EA79E6">
        <w:rPr>
          <w:rFonts w:ascii="Calibri" w:eastAsia="Calibri" w:hAnsi="Calibri" w:cs="Times New Roman"/>
          <w:sz w:val="24"/>
        </w:rPr>
        <w:t xml:space="preserve">nierównomiernego obciążenia zajęciami w poszczególnych dniach tygodnia, </w:t>
      </w:r>
    </w:p>
    <w:p w14:paraId="328C7AAE" w14:textId="77777777" w:rsidR="00CD55AD" w:rsidRPr="00EA79E6" w:rsidRDefault="00CD55AD" w:rsidP="00597239">
      <w:pPr>
        <w:pStyle w:val="Akapitzlist"/>
        <w:numPr>
          <w:ilvl w:val="0"/>
          <w:numId w:val="14"/>
        </w:numPr>
        <w:tabs>
          <w:tab w:val="left" w:pos="357"/>
        </w:tabs>
        <w:spacing w:after="0" w:line="276" w:lineRule="auto"/>
        <w:rPr>
          <w:rFonts w:ascii="Calibri" w:eastAsia="Calibri" w:hAnsi="Calibri" w:cs="Times New Roman"/>
          <w:sz w:val="24"/>
        </w:rPr>
      </w:pPr>
      <w:r w:rsidRPr="00EA79E6">
        <w:rPr>
          <w:rFonts w:ascii="Calibri" w:eastAsia="Calibri" w:hAnsi="Calibri" w:cs="Times New Roman"/>
          <w:sz w:val="24"/>
        </w:rPr>
        <w:t>dwuzmianowości w szkole,</w:t>
      </w:r>
    </w:p>
    <w:p w14:paraId="524B30E3" w14:textId="77777777" w:rsidR="00CD55AD" w:rsidRPr="00EA79E6" w:rsidRDefault="00CD55AD" w:rsidP="00597239">
      <w:pPr>
        <w:pStyle w:val="Akapitzlist"/>
        <w:numPr>
          <w:ilvl w:val="0"/>
          <w:numId w:val="14"/>
        </w:numPr>
        <w:tabs>
          <w:tab w:val="left" w:pos="357"/>
        </w:tabs>
        <w:spacing w:after="0" w:line="276" w:lineRule="auto"/>
        <w:rPr>
          <w:rFonts w:ascii="Calibri" w:eastAsia="Calibri" w:hAnsi="Calibri" w:cs="Times New Roman"/>
          <w:sz w:val="24"/>
        </w:rPr>
      </w:pPr>
      <w:r w:rsidRPr="00EA79E6">
        <w:rPr>
          <w:rFonts w:ascii="Calibri" w:eastAsia="Calibri" w:hAnsi="Calibri" w:cs="Times New Roman"/>
          <w:sz w:val="24"/>
        </w:rPr>
        <w:t>planowania przedmiotów wymagających zwiększonej koncentracji (chemia, fizyka, matematyka) po piątej godzinie lekcyjnej lub ich kumulacji w jednym dniu.</w:t>
      </w:r>
    </w:p>
    <w:p w14:paraId="7A0815EC" w14:textId="720C0ADA" w:rsidR="009901B6" w:rsidRPr="009901B6" w:rsidRDefault="009901B6" w:rsidP="00597239">
      <w:pPr>
        <w:spacing w:after="0" w:line="276" w:lineRule="auto"/>
        <w:rPr>
          <w:rFonts w:ascii="Calibri" w:eastAsia="Calibri" w:hAnsi="Calibri" w:cs="Times New Roman"/>
          <w:sz w:val="24"/>
        </w:rPr>
      </w:pPr>
      <w:r w:rsidRPr="009901B6">
        <w:rPr>
          <w:rFonts w:ascii="Calibri" w:eastAsia="Calibri" w:hAnsi="Calibri" w:cs="Times New Roman"/>
          <w:sz w:val="24"/>
        </w:rPr>
        <w:t>Placówki, w których stwierdzono nieprawidłowości zobowiązano do ich usunięcia</w:t>
      </w:r>
      <w:r>
        <w:rPr>
          <w:rFonts w:ascii="Calibri" w:eastAsia="Calibri" w:hAnsi="Calibri" w:cs="Times New Roman"/>
          <w:sz w:val="24"/>
        </w:rPr>
        <w:t>.</w:t>
      </w:r>
      <w:r w:rsidRPr="009901B6">
        <w:rPr>
          <w:rFonts w:ascii="Calibri" w:eastAsia="Calibri" w:hAnsi="Calibri" w:cs="Times New Roman"/>
          <w:sz w:val="24"/>
        </w:rPr>
        <w:t xml:space="preserve"> </w:t>
      </w:r>
    </w:p>
    <w:p w14:paraId="299F5FD7" w14:textId="77777777" w:rsidR="00CD55AD" w:rsidRPr="00EA79E6" w:rsidRDefault="00CD55AD" w:rsidP="00597239">
      <w:pPr>
        <w:spacing w:after="0" w:line="276" w:lineRule="auto"/>
        <w:rPr>
          <w:rFonts w:ascii="Calibri" w:eastAsia="Calibri" w:hAnsi="Calibri" w:cs="Times New Roman"/>
          <w:sz w:val="24"/>
        </w:rPr>
      </w:pPr>
    </w:p>
    <w:p w14:paraId="5F476888" w14:textId="786EFFAF" w:rsidR="00CD55AD" w:rsidRPr="00BA4523" w:rsidRDefault="00CD55AD" w:rsidP="00597239">
      <w:pPr>
        <w:spacing w:after="0"/>
        <w:rPr>
          <w:sz w:val="24"/>
          <w:szCs w:val="24"/>
          <w:u w:val="single"/>
        </w:rPr>
      </w:pPr>
      <w:bookmarkStart w:id="347" w:name="_Toc135041767"/>
      <w:r w:rsidRPr="00BA4523">
        <w:rPr>
          <w:sz w:val="24"/>
          <w:szCs w:val="24"/>
          <w:u w:val="single"/>
        </w:rPr>
        <w:t>Ocena obciążenia uczniów ciężarem tornistrów szkolnych.</w:t>
      </w:r>
      <w:bookmarkEnd w:id="347"/>
    </w:p>
    <w:p w14:paraId="51820292" w14:textId="285750BC" w:rsidR="00CD55AD" w:rsidRPr="005E3686" w:rsidRDefault="00CD55AD" w:rsidP="00597239">
      <w:pPr>
        <w:spacing w:after="0" w:line="276" w:lineRule="auto"/>
        <w:rPr>
          <w:rFonts w:ascii="Calibri" w:eastAsia="Calibri" w:hAnsi="Calibri" w:cs="Calibri"/>
          <w:sz w:val="24"/>
        </w:rPr>
      </w:pPr>
      <w:bookmarkStart w:id="348" w:name="_Toc135041768"/>
      <w:r w:rsidRPr="00EA79E6">
        <w:rPr>
          <w:rFonts w:ascii="Calibri" w:eastAsia="Calibri" w:hAnsi="Calibri" w:cs="Calibri"/>
          <w:sz w:val="24"/>
        </w:rPr>
        <w:t>Zgodnie z</w:t>
      </w:r>
      <w:r w:rsidR="008A1F5A">
        <w:rPr>
          <w:rFonts w:ascii="Calibri" w:eastAsia="Calibri" w:hAnsi="Calibri" w:cs="Calibri"/>
          <w:sz w:val="24"/>
        </w:rPr>
        <w:t xml:space="preserve"> </w:t>
      </w:r>
      <w:r w:rsidRPr="00EA79E6">
        <w:rPr>
          <w:rFonts w:ascii="Calibri" w:eastAsia="Calibri" w:hAnsi="Calibri" w:cs="Calibri"/>
          <w:sz w:val="24"/>
        </w:rPr>
        <w:t>zaleceniami Instytutu Matki i Dziecka ciężar tornistra nie powinien przekraczać 10% masy ciała ucznia (niska norma), natomiast w myśl wytycznych Głównego Inspektora Sanitarnego, waga tornistra nie powinna przekraczać 15% masy ciała ucznia (</w:t>
      </w:r>
      <w:r w:rsidRPr="005E3686">
        <w:rPr>
          <w:rFonts w:ascii="Calibri" w:eastAsia="Calibri" w:hAnsi="Calibri" w:cs="Calibri"/>
          <w:sz w:val="24"/>
        </w:rPr>
        <w:t>wysoka norma).</w:t>
      </w:r>
    </w:p>
    <w:p w14:paraId="052753BE" w14:textId="77777777" w:rsidR="00777D94" w:rsidRDefault="00777D94" w:rsidP="00597239">
      <w:pPr>
        <w:spacing w:after="0" w:line="276" w:lineRule="auto"/>
        <w:rPr>
          <w:rFonts w:ascii="Calibri" w:eastAsia="Calibri" w:hAnsi="Calibri" w:cs="Calibri"/>
          <w:sz w:val="24"/>
        </w:rPr>
      </w:pPr>
    </w:p>
    <w:p w14:paraId="17D5E353" w14:textId="298C445C" w:rsidR="00CD55AD" w:rsidRDefault="00CD55AD" w:rsidP="00597239">
      <w:pPr>
        <w:spacing w:after="0" w:line="276" w:lineRule="auto"/>
        <w:rPr>
          <w:rFonts w:ascii="Calibri" w:eastAsia="Calibri" w:hAnsi="Calibri" w:cs="Calibri"/>
          <w:sz w:val="24"/>
        </w:rPr>
      </w:pPr>
      <w:r w:rsidRPr="005E3686">
        <w:rPr>
          <w:rFonts w:ascii="Calibri" w:eastAsia="Calibri" w:hAnsi="Calibri" w:cs="Calibri"/>
          <w:sz w:val="24"/>
        </w:rPr>
        <w:t xml:space="preserve">W </w:t>
      </w:r>
      <w:r>
        <w:rPr>
          <w:rFonts w:ascii="Calibri" w:eastAsia="Calibri" w:hAnsi="Calibri" w:cs="Calibri"/>
          <w:sz w:val="24"/>
        </w:rPr>
        <w:t>2024</w:t>
      </w:r>
      <w:r w:rsidRPr="005E3686">
        <w:rPr>
          <w:rFonts w:ascii="Calibri" w:eastAsia="Calibri" w:hAnsi="Calibri" w:cs="Calibri"/>
          <w:sz w:val="24"/>
        </w:rPr>
        <w:t xml:space="preserve"> r. w</w:t>
      </w:r>
      <w:r w:rsidR="008A1F5A">
        <w:rPr>
          <w:rFonts w:ascii="Calibri" w:eastAsia="Calibri" w:hAnsi="Calibri" w:cs="Calibri"/>
          <w:sz w:val="24"/>
        </w:rPr>
        <w:t xml:space="preserve"> </w:t>
      </w:r>
      <w:r w:rsidRPr="005E3686">
        <w:rPr>
          <w:rFonts w:ascii="Calibri" w:eastAsia="Calibri" w:hAnsi="Calibri" w:cs="Calibri"/>
          <w:sz w:val="24"/>
        </w:rPr>
        <w:t>ramach sprawowanego nadzoru bieżącego przeprowadzono ważenie tornistrów w </w:t>
      </w:r>
      <w:r>
        <w:rPr>
          <w:rFonts w:ascii="Calibri" w:eastAsia="Calibri" w:hAnsi="Calibri" w:cs="Calibri"/>
          <w:sz w:val="24"/>
        </w:rPr>
        <w:t>111</w:t>
      </w:r>
      <w:r w:rsidRPr="005E3686">
        <w:rPr>
          <w:rFonts w:ascii="Calibri" w:eastAsia="Calibri" w:hAnsi="Calibri" w:cs="Calibri"/>
          <w:sz w:val="24"/>
        </w:rPr>
        <w:t xml:space="preserve"> placówkach. Badaniem objęto </w:t>
      </w:r>
      <w:r w:rsidRPr="001A417F">
        <w:rPr>
          <w:rFonts w:ascii="Calibri" w:eastAsia="Calibri" w:hAnsi="Calibri" w:cs="Calibri"/>
          <w:sz w:val="24"/>
        </w:rPr>
        <w:t>11222</w:t>
      </w:r>
      <w:r>
        <w:rPr>
          <w:rFonts w:ascii="Calibri" w:eastAsia="Calibri" w:hAnsi="Calibri" w:cs="Calibri"/>
          <w:sz w:val="24"/>
        </w:rPr>
        <w:t xml:space="preserve"> </w:t>
      </w:r>
      <w:r w:rsidRPr="005E3686">
        <w:rPr>
          <w:rFonts w:ascii="Calibri" w:eastAsia="Calibri" w:hAnsi="Calibri" w:cs="Calibri"/>
          <w:sz w:val="24"/>
        </w:rPr>
        <w:t xml:space="preserve">uczniów. </w:t>
      </w:r>
      <w:r>
        <w:rPr>
          <w:rFonts w:ascii="Calibri" w:eastAsia="Calibri" w:hAnsi="Calibri" w:cs="Calibri"/>
          <w:sz w:val="24"/>
        </w:rPr>
        <w:t xml:space="preserve">Ciężar tornistrów poniżej 10% masy ciała stwierdzono </w:t>
      </w:r>
      <w:r w:rsidR="00975982">
        <w:rPr>
          <w:rFonts w:ascii="Calibri" w:eastAsia="Calibri" w:hAnsi="Calibri" w:cs="Calibri"/>
          <w:sz w:val="24"/>
        </w:rPr>
        <w:t>u ponad połowy uczniów (</w:t>
      </w:r>
      <w:r w:rsidR="00FD3723">
        <w:rPr>
          <w:rFonts w:ascii="Calibri" w:eastAsia="Calibri" w:hAnsi="Calibri" w:cs="Calibri"/>
          <w:sz w:val="24"/>
        </w:rPr>
        <w:t>5630)</w:t>
      </w:r>
      <w:r>
        <w:rPr>
          <w:rFonts w:ascii="Calibri" w:eastAsia="Calibri" w:hAnsi="Calibri" w:cs="Calibri"/>
          <w:sz w:val="24"/>
        </w:rPr>
        <w:t xml:space="preserve">. </w:t>
      </w:r>
      <w:r w:rsidRPr="005E3686">
        <w:rPr>
          <w:rFonts w:ascii="Calibri" w:eastAsia="Calibri" w:hAnsi="Calibri" w:cs="Calibri"/>
          <w:sz w:val="24"/>
        </w:rPr>
        <w:t>Nieprawidłową wagę tornistrów, przekraczającą 15% masy ciała</w:t>
      </w:r>
      <w:r>
        <w:rPr>
          <w:rFonts w:ascii="Calibri" w:eastAsia="Calibri" w:hAnsi="Calibri" w:cs="Calibri"/>
          <w:sz w:val="24"/>
        </w:rPr>
        <w:t>,</w:t>
      </w:r>
      <w:r w:rsidRPr="005E3686">
        <w:rPr>
          <w:rFonts w:ascii="Calibri" w:eastAsia="Calibri" w:hAnsi="Calibri" w:cs="Calibri"/>
          <w:sz w:val="24"/>
        </w:rPr>
        <w:t xml:space="preserve"> stwierdzono u </w:t>
      </w:r>
      <w:r>
        <w:rPr>
          <w:rFonts w:ascii="Calibri" w:eastAsia="Calibri" w:hAnsi="Calibri" w:cs="Calibri"/>
          <w:sz w:val="24"/>
        </w:rPr>
        <w:t>1300</w:t>
      </w:r>
      <w:r w:rsidRPr="005E3686">
        <w:rPr>
          <w:rFonts w:ascii="Calibri" w:eastAsia="Calibri" w:hAnsi="Calibri" w:cs="Calibri"/>
          <w:sz w:val="24"/>
        </w:rPr>
        <w:t xml:space="preserve"> </w:t>
      </w:r>
      <w:r>
        <w:rPr>
          <w:rFonts w:ascii="Calibri" w:eastAsia="Calibri" w:hAnsi="Calibri" w:cs="Calibri"/>
          <w:sz w:val="24"/>
        </w:rPr>
        <w:t xml:space="preserve">uczniów (12%). </w:t>
      </w:r>
    </w:p>
    <w:p w14:paraId="1834169F" w14:textId="77777777" w:rsidR="00777D94" w:rsidRPr="00C12063" w:rsidRDefault="00777D94" w:rsidP="00597239">
      <w:pPr>
        <w:spacing w:after="0" w:line="276" w:lineRule="auto"/>
        <w:rPr>
          <w:rFonts w:ascii="Calibri" w:eastAsia="Calibri" w:hAnsi="Calibri" w:cs="Calibri"/>
          <w:sz w:val="24"/>
        </w:rPr>
      </w:pPr>
    </w:p>
    <w:p w14:paraId="2E7FBBD0" w14:textId="305BF06E" w:rsidR="00CD55AD" w:rsidRPr="00D65330" w:rsidRDefault="00CD55AD" w:rsidP="00597239">
      <w:pPr>
        <w:pStyle w:val="Nagwek2"/>
        <w:numPr>
          <w:ilvl w:val="0"/>
          <w:numId w:val="59"/>
        </w:numPr>
        <w:spacing w:before="0" w:after="0"/>
        <w:ind w:left="284" w:hanging="284"/>
        <w:jc w:val="left"/>
        <w:rPr>
          <w:rFonts w:eastAsia="Times New Roman"/>
        </w:rPr>
      </w:pPr>
      <w:bookmarkStart w:id="349" w:name="_Toc194059844"/>
      <w:r w:rsidRPr="00C12063">
        <w:rPr>
          <w:rFonts w:eastAsia="Times New Roman"/>
        </w:rPr>
        <w:t>Warunki do prowadzenia zajęć wychowania fizycznego</w:t>
      </w:r>
      <w:bookmarkEnd w:id="348"/>
      <w:bookmarkEnd w:id="349"/>
    </w:p>
    <w:p w14:paraId="7554E02B" w14:textId="22258280" w:rsidR="00CD55AD" w:rsidRPr="00C12063" w:rsidRDefault="00CD55AD" w:rsidP="00597239">
      <w:pPr>
        <w:spacing w:after="0" w:line="276" w:lineRule="auto"/>
        <w:rPr>
          <w:rFonts w:ascii="Calibri" w:eastAsia="Calibri" w:hAnsi="Calibri" w:cs="Times New Roman"/>
          <w:sz w:val="24"/>
          <w:szCs w:val="24"/>
        </w:rPr>
      </w:pPr>
      <w:r w:rsidRPr="00C12063">
        <w:rPr>
          <w:rFonts w:ascii="Calibri" w:eastAsia="Calibri" w:hAnsi="Calibri" w:cs="Times New Roman"/>
          <w:sz w:val="24"/>
          <w:szCs w:val="24"/>
        </w:rPr>
        <w:t>Stan infrastruktury do realizacji zajęć z</w:t>
      </w:r>
      <w:r w:rsidR="008A1F5A">
        <w:rPr>
          <w:rFonts w:ascii="Calibri" w:eastAsia="Calibri" w:hAnsi="Calibri" w:cs="Times New Roman"/>
          <w:sz w:val="24"/>
          <w:szCs w:val="24"/>
        </w:rPr>
        <w:t xml:space="preserve"> </w:t>
      </w:r>
      <w:r w:rsidRPr="00C12063">
        <w:rPr>
          <w:rFonts w:ascii="Calibri" w:eastAsia="Calibri" w:hAnsi="Calibri" w:cs="Times New Roman"/>
          <w:sz w:val="24"/>
          <w:szCs w:val="24"/>
        </w:rPr>
        <w:t>wychowania fizycznego oceniono w</w:t>
      </w:r>
      <w:r w:rsidR="008A1F5A">
        <w:rPr>
          <w:rFonts w:ascii="Calibri" w:eastAsia="Calibri" w:hAnsi="Calibri" w:cs="Times New Roman"/>
          <w:sz w:val="24"/>
          <w:szCs w:val="24"/>
        </w:rPr>
        <w:t xml:space="preserve"> </w:t>
      </w:r>
      <w:r w:rsidRPr="00C12063">
        <w:rPr>
          <w:rFonts w:ascii="Calibri" w:eastAsia="Calibri" w:hAnsi="Calibri" w:cs="Times New Roman"/>
          <w:sz w:val="24"/>
          <w:szCs w:val="24"/>
        </w:rPr>
        <w:t xml:space="preserve">440 szkołach. Placówki posiadały: </w:t>
      </w:r>
    </w:p>
    <w:p w14:paraId="5428C802" w14:textId="77777777"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18 - salę gimnastyczną,</w:t>
      </w:r>
    </w:p>
    <w:p w14:paraId="3B8DCE44" w14:textId="77777777"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 xml:space="preserve">17 - sale zastępcze lub rekreacyjne, </w:t>
      </w:r>
    </w:p>
    <w:p w14:paraId="4A2EE2DD" w14:textId="77777777"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 xml:space="preserve">22 - boisko sportowe, </w:t>
      </w:r>
    </w:p>
    <w:p w14:paraId="03C2222A" w14:textId="761F8F96"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50 - salę gimnastyczną wraz z</w:t>
      </w:r>
      <w:r w:rsidR="009901B6" w:rsidRPr="00777D94">
        <w:rPr>
          <w:rFonts w:ascii="Calibri" w:eastAsia="Calibri" w:hAnsi="Calibri" w:cs="Times New Roman"/>
          <w:sz w:val="24"/>
        </w:rPr>
        <w:t xml:space="preserve"> </w:t>
      </w:r>
      <w:r w:rsidRPr="00777D94">
        <w:rPr>
          <w:rFonts w:ascii="Calibri" w:eastAsia="Calibri" w:hAnsi="Calibri" w:cs="Times New Roman"/>
          <w:sz w:val="24"/>
        </w:rPr>
        <w:t>boiskiem,</w:t>
      </w:r>
    </w:p>
    <w:p w14:paraId="49A54B9F" w14:textId="586E1B96"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34 - salę zastępcza/ rekreacyjną z</w:t>
      </w:r>
      <w:r w:rsidR="009901B6" w:rsidRPr="00777D94">
        <w:rPr>
          <w:rFonts w:ascii="Calibri" w:eastAsia="Calibri" w:hAnsi="Calibri" w:cs="Times New Roman"/>
          <w:sz w:val="24"/>
        </w:rPr>
        <w:t xml:space="preserve"> </w:t>
      </w:r>
      <w:r w:rsidRPr="00777D94">
        <w:rPr>
          <w:rFonts w:ascii="Calibri" w:eastAsia="Calibri" w:hAnsi="Calibri" w:cs="Times New Roman"/>
          <w:sz w:val="24"/>
        </w:rPr>
        <w:t>boiskiem,</w:t>
      </w:r>
    </w:p>
    <w:p w14:paraId="6552EC99" w14:textId="712D0055"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4 - salę gimnastyczną i</w:t>
      </w:r>
      <w:r w:rsidR="009901B6" w:rsidRPr="00777D94">
        <w:rPr>
          <w:rFonts w:ascii="Calibri" w:eastAsia="Calibri" w:hAnsi="Calibri" w:cs="Times New Roman"/>
          <w:sz w:val="24"/>
        </w:rPr>
        <w:t xml:space="preserve"> </w:t>
      </w:r>
      <w:r w:rsidRPr="00777D94">
        <w:rPr>
          <w:rFonts w:ascii="Calibri" w:eastAsia="Calibri" w:hAnsi="Calibri" w:cs="Times New Roman"/>
          <w:sz w:val="24"/>
        </w:rPr>
        <w:t>salę zastępczą/rekreacyjną z</w:t>
      </w:r>
      <w:r w:rsidR="009901B6" w:rsidRPr="00777D94">
        <w:rPr>
          <w:rFonts w:ascii="Calibri" w:eastAsia="Calibri" w:hAnsi="Calibri" w:cs="Times New Roman"/>
          <w:sz w:val="24"/>
        </w:rPr>
        <w:t xml:space="preserve"> </w:t>
      </w:r>
      <w:r w:rsidRPr="00777D94">
        <w:rPr>
          <w:rFonts w:ascii="Calibri" w:eastAsia="Calibri" w:hAnsi="Calibri" w:cs="Times New Roman"/>
          <w:sz w:val="24"/>
        </w:rPr>
        <w:t xml:space="preserve">boiskiem, </w:t>
      </w:r>
    </w:p>
    <w:p w14:paraId="394BA19E" w14:textId="157468E9"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2 - salę gimnastyczną i</w:t>
      </w:r>
      <w:r w:rsidR="009901B6" w:rsidRPr="00777D94">
        <w:rPr>
          <w:rFonts w:ascii="Calibri" w:eastAsia="Calibri" w:hAnsi="Calibri" w:cs="Times New Roman"/>
          <w:sz w:val="24"/>
        </w:rPr>
        <w:t xml:space="preserve"> </w:t>
      </w:r>
      <w:r w:rsidRPr="00777D94">
        <w:rPr>
          <w:rFonts w:ascii="Calibri" w:eastAsia="Calibri" w:hAnsi="Calibri" w:cs="Times New Roman"/>
          <w:sz w:val="24"/>
        </w:rPr>
        <w:t xml:space="preserve">salę zastępczą/rekreacyjną bez boiska, </w:t>
      </w:r>
    </w:p>
    <w:p w14:paraId="258403CA" w14:textId="168C3A3B"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sz w:val="24"/>
        </w:rPr>
      </w:pPr>
      <w:r w:rsidRPr="00777D94">
        <w:rPr>
          <w:rFonts w:ascii="Calibri" w:eastAsia="Calibri" w:hAnsi="Calibri" w:cs="Times New Roman"/>
          <w:sz w:val="24"/>
        </w:rPr>
        <w:t>205 - szkolny zespół sportowy z</w:t>
      </w:r>
      <w:r w:rsidR="009901B6" w:rsidRPr="00777D94">
        <w:rPr>
          <w:rFonts w:ascii="Calibri" w:eastAsia="Calibri" w:hAnsi="Calibri" w:cs="Times New Roman"/>
          <w:sz w:val="24"/>
        </w:rPr>
        <w:t xml:space="preserve"> </w:t>
      </w:r>
      <w:r w:rsidRPr="00777D94">
        <w:rPr>
          <w:rFonts w:ascii="Calibri" w:eastAsia="Calibri" w:hAnsi="Calibri" w:cs="Times New Roman"/>
          <w:sz w:val="24"/>
        </w:rPr>
        <w:t>boiskiem,</w:t>
      </w:r>
    </w:p>
    <w:p w14:paraId="54922A9B" w14:textId="77777777"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bCs/>
          <w:sz w:val="24"/>
        </w:rPr>
      </w:pPr>
      <w:r w:rsidRPr="00777D94">
        <w:rPr>
          <w:rFonts w:ascii="Calibri" w:eastAsia="Calibri" w:hAnsi="Calibri" w:cs="Times New Roman"/>
          <w:bCs/>
          <w:sz w:val="24"/>
        </w:rPr>
        <w:t>36 - szkolny zespół sportowy bez boiska,</w:t>
      </w:r>
    </w:p>
    <w:p w14:paraId="06796E6E" w14:textId="605D2A46" w:rsidR="00CD55AD" w:rsidRPr="00777D94" w:rsidRDefault="00CD55AD" w:rsidP="00597239">
      <w:pPr>
        <w:pStyle w:val="Akapitzlist"/>
        <w:numPr>
          <w:ilvl w:val="0"/>
          <w:numId w:val="102"/>
        </w:numPr>
        <w:tabs>
          <w:tab w:val="left" w:pos="357"/>
        </w:tabs>
        <w:spacing w:after="0" w:line="276" w:lineRule="auto"/>
        <w:rPr>
          <w:rFonts w:ascii="Calibri" w:eastAsia="Calibri" w:hAnsi="Calibri" w:cs="Times New Roman"/>
          <w:bCs/>
          <w:sz w:val="24"/>
        </w:rPr>
      </w:pPr>
      <w:r w:rsidRPr="00777D94">
        <w:rPr>
          <w:rFonts w:ascii="Calibri" w:eastAsia="Calibri" w:hAnsi="Calibri" w:cs="Times New Roman"/>
          <w:bCs/>
          <w:sz w:val="24"/>
        </w:rPr>
        <w:t>52 - placówki nie posiadały infrastruktury do prowadzenia zajęć z</w:t>
      </w:r>
      <w:r w:rsidR="005E5B30" w:rsidRPr="00777D94">
        <w:rPr>
          <w:rFonts w:ascii="Calibri" w:eastAsia="Calibri" w:hAnsi="Calibri" w:cs="Times New Roman"/>
          <w:bCs/>
          <w:sz w:val="24"/>
        </w:rPr>
        <w:t xml:space="preserve"> </w:t>
      </w:r>
      <w:r w:rsidRPr="00777D94">
        <w:rPr>
          <w:rFonts w:ascii="Calibri" w:eastAsia="Calibri" w:hAnsi="Calibri" w:cs="Times New Roman"/>
          <w:bCs/>
          <w:sz w:val="24"/>
        </w:rPr>
        <w:t>wychowania fizycznego.</w:t>
      </w:r>
    </w:p>
    <w:p w14:paraId="7B8E1792" w14:textId="7A23A943" w:rsidR="00CD55AD" w:rsidRPr="00C12063" w:rsidRDefault="00CD55AD" w:rsidP="00597239">
      <w:pPr>
        <w:spacing w:after="0" w:line="276" w:lineRule="auto"/>
        <w:rPr>
          <w:rFonts w:ascii="Calibri" w:eastAsia="Calibri" w:hAnsi="Calibri" w:cs="Times New Roman"/>
          <w:bCs/>
          <w:sz w:val="24"/>
        </w:rPr>
      </w:pPr>
      <w:r w:rsidRPr="00C12063">
        <w:rPr>
          <w:rFonts w:ascii="Calibri" w:eastAsia="Calibri" w:hAnsi="Calibri" w:cs="Times New Roman"/>
          <w:bCs/>
          <w:sz w:val="24"/>
        </w:rPr>
        <w:lastRenderedPageBreak/>
        <w:t>Należy wskazać, że w</w:t>
      </w:r>
      <w:r w:rsidR="005E5B30">
        <w:rPr>
          <w:rFonts w:ascii="Calibri" w:eastAsia="Calibri" w:hAnsi="Calibri" w:cs="Times New Roman"/>
          <w:bCs/>
          <w:sz w:val="24"/>
        </w:rPr>
        <w:t xml:space="preserve"> </w:t>
      </w:r>
      <w:r w:rsidRPr="00C12063">
        <w:rPr>
          <w:rFonts w:ascii="Calibri" w:eastAsia="Calibri" w:hAnsi="Calibri" w:cs="Times New Roman"/>
          <w:bCs/>
          <w:sz w:val="24"/>
        </w:rPr>
        <w:t>15 szkołach niezależnie od posiadanej infrastruktury zajęcia z</w:t>
      </w:r>
      <w:r w:rsidR="001271C8">
        <w:rPr>
          <w:rFonts w:ascii="Calibri" w:eastAsia="Calibri" w:hAnsi="Calibri" w:cs="Times New Roman"/>
          <w:bCs/>
          <w:sz w:val="24"/>
        </w:rPr>
        <w:t> </w:t>
      </w:r>
      <w:r w:rsidRPr="00C12063">
        <w:rPr>
          <w:rFonts w:ascii="Calibri" w:eastAsia="Calibri" w:hAnsi="Calibri" w:cs="Times New Roman"/>
          <w:bCs/>
          <w:sz w:val="24"/>
        </w:rPr>
        <w:t>wychowania fizycznego prowadzone były na korytarzach. Ustalono również, że 157 szk</w:t>
      </w:r>
      <w:r>
        <w:rPr>
          <w:rFonts w:ascii="Calibri" w:eastAsia="Calibri" w:hAnsi="Calibri" w:cs="Times New Roman"/>
          <w:bCs/>
          <w:sz w:val="24"/>
        </w:rPr>
        <w:t>ół</w:t>
      </w:r>
      <w:r w:rsidRPr="00C12063">
        <w:rPr>
          <w:rFonts w:ascii="Calibri" w:eastAsia="Calibri" w:hAnsi="Calibri" w:cs="Times New Roman"/>
          <w:bCs/>
          <w:sz w:val="24"/>
        </w:rPr>
        <w:t xml:space="preserve"> korzystał</w:t>
      </w:r>
      <w:r>
        <w:rPr>
          <w:rFonts w:ascii="Calibri" w:eastAsia="Calibri" w:hAnsi="Calibri" w:cs="Times New Roman"/>
          <w:bCs/>
          <w:sz w:val="24"/>
        </w:rPr>
        <w:t>o</w:t>
      </w:r>
      <w:r w:rsidRPr="00C12063">
        <w:rPr>
          <w:rFonts w:ascii="Calibri" w:eastAsia="Calibri" w:hAnsi="Calibri" w:cs="Times New Roman"/>
          <w:bCs/>
          <w:sz w:val="24"/>
        </w:rPr>
        <w:t xml:space="preserve"> z</w:t>
      </w:r>
      <w:r w:rsidR="005E5B30">
        <w:rPr>
          <w:rFonts w:ascii="Calibri" w:eastAsia="Calibri" w:hAnsi="Calibri" w:cs="Times New Roman"/>
          <w:bCs/>
          <w:sz w:val="24"/>
        </w:rPr>
        <w:t xml:space="preserve"> </w:t>
      </w:r>
      <w:r w:rsidRPr="00C12063">
        <w:rPr>
          <w:rFonts w:ascii="Calibri" w:eastAsia="Calibri" w:hAnsi="Calibri" w:cs="Times New Roman"/>
          <w:bCs/>
          <w:sz w:val="24"/>
        </w:rPr>
        <w:t>infrastruktury do prowadzenia zajęć z</w:t>
      </w:r>
      <w:r w:rsidR="005E5B30">
        <w:rPr>
          <w:rFonts w:ascii="Calibri" w:eastAsia="Calibri" w:hAnsi="Calibri" w:cs="Times New Roman"/>
          <w:bCs/>
          <w:sz w:val="24"/>
        </w:rPr>
        <w:t xml:space="preserve"> </w:t>
      </w:r>
      <w:r w:rsidRPr="00C12063">
        <w:rPr>
          <w:rFonts w:ascii="Calibri" w:eastAsia="Calibri" w:hAnsi="Calibri" w:cs="Times New Roman"/>
          <w:bCs/>
          <w:sz w:val="24"/>
        </w:rPr>
        <w:t>wychowania fizycznego poza obiektem</w:t>
      </w:r>
      <w:r w:rsidR="005E5B30">
        <w:rPr>
          <w:rFonts w:ascii="Calibri" w:eastAsia="Calibri" w:hAnsi="Calibri" w:cs="Times New Roman"/>
          <w:bCs/>
          <w:sz w:val="24"/>
        </w:rPr>
        <w:t>, na</w:t>
      </w:r>
      <w:r w:rsidR="001271C8">
        <w:rPr>
          <w:rFonts w:ascii="Calibri" w:eastAsia="Calibri" w:hAnsi="Calibri" w:cs="Times New Roman"/>
          <w:bCs/>
          <w:sz w:val="24"/>
        </w:rPr>
        <w:t> </w:t>
      </w:r>
      <w:r w:rsidR="005E5B30">
        <w:rPr>
          <w:rFonts w:ascii="Calibri" w:eastAsia="Calibri" w:hAnsi="Calibri" w:cs="Times New Roman"/>
          <w:bCs/>
          <w:sz w:val="24"/>
        </w:rPr>
        <w:t xml:space="preserve">terenie </w:t>
      </w:r>
      <w:proofErr w:type="spellStart"/>
      <w:r w:rsidR="005E5B30">
        <w:rPr>
          <w:rFonts w:ascii="Calibri" w:eastAsia="Calibri" w:hAnsi="Calibri" w:cs="Times New Roman"/>
          <w:bCs/>
          <w:sz w:val="24"/>
        </w:rPr>
        <w:t>sal</w:t>
      </w:r>
      <w:proofErr w:type="spellEnd"/>
      <w:r w:rsidR="005E5B30">
        <w:rPr>
          <w:rFonts w:ascii="Calibri" w:eastAsia="Calibri" w:hAnsi="Calibri" w:cs="Times New Roman"/>
          <w:bCs/>
          <w:sz w:val="24"/>
        </w:rPr>
        <w:t xml:space="preserve"> gimnastycznych, hal sportowych, siłowni, fitness klubów, basenów.</w:t>
      </w:r>
      <w:r w:rsidRPr="00C12063">
        <w:rPr>
          <w:rFonts w:ascii="Calibri" w:eastAsia="Calibri" w:hAnsi="Calibri" w:cs="Times New Roman"/>
          <w:bCs/>
          <w:sz w:val="24"/>
        </w:rPr>
        <w:t xml:space="preserve"> </w:t>
      </w:r>
    </w:p>
    <w:p w14:paraId="152B434A" w14:textId="77777777" w:rsidR="00CD55AD" w:rsidRPr="00C12063" w:rsidRDefault="00CD55AD" w:rsidP="00597239">
      <w:pPr>
        <w:tabs>
          <w:tab w:val="left" w:pos="500"/>
        </w:tabs>
        <w:spacing w:after="0" w:line="276" w:lineRule="auto"/>
        <w:rPr>
          <w:rFonts w:ascii="Calibri" w:eastAsia="Times New Roman" w:hAnsi="Calibri" w:cs="Calibri"/>
          <w:bCs/>
          <w:sz w:val="24"/>
          <w:szCs w:val="24"/>
          <w:lang w:eastAsia="pl-PL"/>
        </w:rPr>
      </w:pPr>
      <w:r w:rsidRPr="00C12063">
        <w:rPr>
          <w:rFonts w:ascii="Calibri" w:eastAsia="Times New Roman" w:hAnsi="Calibri" w:cs="Calibri"/>
          <w:bCs/>
          <w:sz w:val="24"/>
          <w:szCs w:val="24"/>
          <w:lang w:eastAsia="pl-PL"/>
        </w:rPr>
        <w:t>Stan sanitarno – techniczny posiadanej przez szkoły i placówki bazy sportowej jest zróżnicowany. W związku z nieprawidłowościami wydano 4</w:t>
      </w:r>
      <w:r>
        <w:rPr>
          <w:rFonts w:ascii="Calibri" w:eastAsia="Times New Roman" w:hAnsi="Calibri" w:cs="Calibri"/>
          <w:bCs/>
          <w:sz w:val="24"/>
          <w:szCs w:val="24"/>
          <w:lang w:eastAsia="pl-PL"/>
        </w:rPr>
        <w:t>6</w:t>
      </w:r>
      <w:r w:rsidRPr="00C12063">
        <w:rPr>
          <w:rFonts w:ascii="Calibri" w:eastAsia="Times New Roman" w:hAnsi="Calibri" w:cs="Calibri"/>
          <w:bCs/>
          <w:sz w:val="24"/>
          <w:szCs w:val="24"/>
          <w:lang w:eastAsia="pl-PL"/>
        </w:rPr>
        <w:t xml:space="preserve"> decyzji dot. zapewnienia prawidłowych warunków do prowadzenia zajęć z wychowania fizycznego i 1</w:t>
      </w:r>
      <w:r>
        <w:rPr>
          <w:rFonts w:ascii="Calibri" w:eastAsia="Times New Roman" w:hAnsi="Calibri" w:cs="Calibri"/>
          <w:bCs/>
          <w:sz w:val="24"/>
          <w:szCs w:val="24"/>
          <w:lang w:eastAsia="pl-PL"/>
        </w:rPr>
        <w:t>9</w:t>
      </w:r>
      <w:r w:rsidRPr="00C12063">
        <w:rPr>
          <w:rFonts w:ascii="Calibri" w:eastAsia="Times New Roman" w:hAnsi="Calibri" w:cs="Calibri"/>
          <w:bCs/>
          <w:sz w:val="24"/>
          <w:szCs w:val="24"/>
          <w:lang w:eastAsia="pl-PL"/>
        </w:rPr>
        <w:t xml:space="preserve"> decyzji dot. zapewnienia prawidłowego stanu sanitarno – technicznego placów zabaw, rekreacyjnych/boisk sportowych. </w:t>
      </w:r>
    </w:p>
    <w:p w14:paraId="290D68AE" w14:textId="77777777" w:rsidR="00777D94" w:rsidRDefault="00777D94" w:rsidP="00597239">
      <w:pPr>
        <w:tabs>
          <w:tab w:val="left" w:pos="709"/>
        </w:tabs>
        <w:spacing w:after="0" w:line="276" w:lineRule="auto"/>
        <w:rPr>
          <w:rFonts w:ascii="Calibri" w:eastAsia="Times New Roman" w:hAnsi="Calibri" w:cs="Calibri"/>
          <w:bCs/>
          <w:sz w:val="24"/>
          <w:szCs w:val="24"/>
          <w:lang w:eastAsia="pl-PL"/>
        </w:rPr>
      </w:pPr>
    </w:p>
    <w:p w14:paraId="06606126" w14:textId="20BA604F" w:rsidR="00CD55AD" w:rsidRDefault="00CD55AD" w:rsidP="00597239">
      <w:pPr>
        <w:tabs>
          <w:tab w:val="left" w:pos="709"/>
        </w:tabs>
        <w:spacing w:after="0" w:line="276" w:lineRule="auto"/>
        <w:rPr>
          <w:rFonts w:ascii="Calibri" w:eastAsia="Times New Roman" w:hAnsi="Calibri" w:cs="Calibri"/>
          <w:bCs/>
          <w:sz w:val="24"/>
          <w:szCs w:val="24"/>
          <w:lang w:eastAsia="pl-PL"/>
        </w:rPr>
      </w:pPr>
      <w:r w:rsidRPr="00C12063">
        <w:rPr>
          <w:rFonts w:ascii="Calibri" w:eastAsia="Times New Roman" w:hAnsi="Calibri" w:cs="Calibri"/>
          <w:bCs/>
          <w:sz w:val="24"/>
          <w:szCs w:val="24"/>
          <w:lang w:eastAsia="pl-PL"/>
        </w:rPr>
        <w:t>Przeprowadzone kontrole wykazały, że warunki do utrzymania higieny po</w:t>
      </w:r>
      <w:r w:rsidR="002E1F9D">
        <w:rPr>
          <w:rFonts w:ascii="Calibri" w:eastAsia="Times New Roman" w:hAnsi="Calibri" w:cs="Calibri"/>
          <w:bCs/>
          <w:sz w:val="24"/>
          <w:szCs w:val="24"/>
          <w:lang w:eastAsia="pl-PL"/>
        </w:rPr>
        <w:t> </w:t>
      </w:r>
      <w:r w:rsidRPr="00C12063">
        <w:rPr>
          <w:rFonts w:ascii="Calibri" w:eastAsia="Times New Roman" w:hAnsi="Calibri" w:cs="Calibri"/>
          <w:bCs/>
          <w:sz w:val="24"/>
          <w:szCs w:val="24"/>
          <w:lang w:eastAsia="pl-PL"/>
        </w:rPr>
        <w:t xml:space="preserve">przeprowadzonych zajęciach z wychowania fizycznego oraz sportowych </w:t>
      </w:r>
      <w:r w:rsidR="009901B6">
        <w:rPr>
          <w:rFonts w:ascii="Calibri" w:eastAsia="Times New Roman" w:hAnsi="Calibri" w:cs="Calibri"/>
          <w:bCs/>
          <w:sz w:val="24"/>
          <w:szCs w:val="24"/>
          <w:lang w:eastAsia="pl-PL"/>
        </w:rPr>
        <w:t xml:space="preserve">w niektórych placówkach </w:t>
      </w:r>
      <w:r w:rsidRPr="00C12063">
        <w:rPr>
          <w:rFonts w:ascii="Calibri" w:eastAsia="Times New Roman" w:hAnsi="Calibri" w:cs="Calibri"/>
          <w:bCs/>
          <w:sz w:val="24"/>
          <w:szCs w:val="24"/>
          <w:lang w:eastAsia="pl-PL"/>
        </w:rPr>
        <w:t>wciąż nie są</w:t>
      </w:r>
      <w:r w:rsidR="009901B6">
        <w:rPr>
          <w:rFonts w:ascii="Calibri" w:eastAsia="Times New Roman" w:hAnsi="Calibri" w:cs="Calibri"/>
          <w:bCs/>
          <w:sz w:val="24"/>
          <w:szCs w:val="24"/>
          <w:lang w:eastAsia="pl-PL"/>
        </w:rPr>
        <w:t xml:space="preserve"> </w:t>
      </w:r>
      <w:r w:rsidRPr="00C12063">
        <w:rPr>
          <w:rFonts w:ascii="Calibri" w:eastAsia="Times New Roman" w:hAnsi="Calibri" w:cs="Calibri"/>
          <w:bCs/>
          <w:sz w:val="24"/>
          <w:szCs w:val="24"/>
          <w:lang w:eastAsia="pl-PL"/>
        </w:rPr>
        <w:t>satysfakcjonujące</w:t>
      </w:r>
      <w:r w:rsidR="009901B6">
        <w:rPr>
          <w:rFonts w:ascii="Calibri" w:eastAsia="Times New Roman" w:hAnsi="Calibri" w:cs="Calibri"/>
          <w:bCs/>
          <w:sz w:val="24"/>
          <w:szCs w:val="24"/>
          <w:lang w:eastAsia="pl-PL"/>
        </w:rPr>
        <w:t xml:space="preserve"> - </w:t>
      </w:r>
      <w:r w:rsidRPr="00C12063">
        <w:rPr>
          <w:rFonts w:ascii="Calibri" w:eastAsia="Times New Roman" w:hAnsi="Calibri" w:cs="Calibri"/>
          <w:bCs/>
          <w:sz w:val="24"/>
          <w:szCs w:val="24"/>
          <w:lang w:eastAsia="pl-PL"/>
        </w:rPr>
        <w:t xml:space="preserve">w 11 placówkach stwierdzono nieczynne pomieszczenia z natryskami. </w:t>
      </w:r>
    </w:p>
    <w:p w14:paraId="22D7A2AD" w14:textId="77777777" w:rsidR="009901B6" w:rsidRPr="00D65330" w:rsidRDefault="009901B6" w:rsidP="00597239">
      <w:pPr>
        <w:tabs>
          <w:tab w:val="left" w:pos="709"/>
        </w:tabs>
        <w:spacing w:after="0" w:line="276" w:lineRule="auto"/>
        <w:ind w:firstLine="709"/>
        <w:rPr>
          <w:rFonts w:ascii="Calibri" w:eastAsia="Times New Roman" w:hAnsi="Calibri" w:cs="Calibri"/>
          <w:bCs/>
          <w:sz w:val="24"/>
          <w:szCs w:val="24"/>
          <w:lang w:eastAsia="pl-PL"/>
        </w:rPr>
      </w:pPr>
    </w:p>
    <w:p w14:paraId="51061F58" w14:textId="3D1E4B99" w:rsidR="00701115" w:rsidRPr="001271C8" w:rsidRDefault="00CD55AD" w:rsidP="00597239">
      <w:pPr>
        <w:pStyle w:val="Nagwek2"/>
        <w:numPr>
          <w:ilvl w:val="0"/>
          <w:numId w:val="59"/>
        </w:numPr>
        <w:spacing w:before="0" w:after="0"/>
        <w:ind w:left="284" w:hanging="284"/>
        <w:jc w:val="left"/>
        <w:rPr>
          <w:rFonts w:eastAsia="Times New Roman"/>
        </w:rPr>
      </w:pPr>
      <w:bookmarkStart w:id="350" w:name="_Toc135041769"/>
      <w:bookmarkStart w:id="351" w:name="_Toc194059845"/>
      <w:r w:rsidRPr="00C12063">
        <w:rPr>
          <w:rFonts w:eastAsia="Times New Roman"/>
        </w:rPr>
        <w:t>Żywienie / Dożywianie dzieci i</w:t>
      </w:r>
      <w:r w:rsidR="00811CFE">
        <w:rPr>
          <w:rFonts w:eastAsia="Times New Roman"/>
        </w:rPr>
        <w:t xml:space="preserve"> </w:t>
      </w:r>
      <w:r w:rsidRPr="00C12063">
        <w:rPr>
          <w:rFonts w:eastAsia="Times New Roman"/>
        </w:rPr>
        <w:t>młodzieży w</w:t>
      </w:r>
      <w:r w:rsidR="00811CFE">
        <w:rPr>
          <w:rFonts w:eastAsia="Times New Roman"/>
        </w:rPr>
        <w:t xml:space="preserve"> </w:t>
      </w:r>
      <w:r w:rsidRPr="00C12063">
        <w:rPr>
          <w:rFonts w:eastAsia="Times New Roman"/>
        </w:rPr>
        <w:t>placówkach</w:t>
      </w:r>
      <w:bookmarkEnd w:id="350"/>
      <w:bookmarkEnd w:id="351"/>
    </w:p>
    <w:p w14:paraId="4B00880D" w14:textId="256D4830" w:rsidR="00076C93" w:rsidRPr="009B71FF" w:rsidRDefault="00076C93" w:rsidP="00597239">
      <w:pPr>
        <w:spacing w:after="0" w:line="276" w:lineRule="auto"/>
        <w:rPr>
          <w:rFonts w:cstheme="minorHAnsi"/>
          <w:sz w:val="24"/>
          <w:szCs w:val="24"/>
          <w:lang w:eastAsia="ar-SA" w:bidi="en-US"/>
        </w:rPr>
      </w:pPr>
      <w:r>
        <w:rPr>
          <w:rFonts w:cstheme="minorHAnsi"/>
          <w:sz w:val="24"/>
          <w:szCs w:val="24"/>
          <w:lang w:eastAsia="ar-SA" w:bidi="en-US"/>
        </w:rPr>
        <w:t>W placówkach oświatowych dzieci spędzają bardzo dużo czasu, w związku z</w:t>
      </w:r>
      <w:r w:rsidR="009901B6">
        <w:rPr>
          <w:rFonts w:cstheme="minorHAnsi"/>
          <w:sz w:val="24"/>
          <w:szCs w:val="24"/>
          <w:lang w:eastAsia="ar-SA" w:bidi="en-US"/>
        </w:rPr>
        <w:t xml:space="preserve"> </w:t>
      </w:r>
      <w:r>
        <w:rPr>
          <w:rFonts w:cstheme="minorHAnsi"/>
          <w:sz w:val="24"/>
          <w:szCs w:val="24"/>
          <w:lang w:eastAsia="ar-SA" w:bidi="en-US"/>
        </w:rPr>
        <w:t xml:space="preserve">tym ważne jest zapewnienie im prawidłowego żywienia, zgodnego z aktualnymi rekomendacjami dla danej grupy wiekowej. Prawidłowe żywienie, to dostarczanie organizmowi energii oraz wszystkich niezbędnych składników pokarmowych we właściwych proporcjach, jak również regularność ich </w:t>
      </w:r>
      <w:r w:rsidRPr="009B71FF">
        <w:rPr>
          <w:rFonts w:cstheme="minorHAnsi"/>
          <w:sz w:val="24"/>
          <w:szCs w:val="24"/>
          <w:lang w:eastAsia="ar-SA" w:bidi="en-US"/>
        </w:rPr>
        <w:t>spożywania w ciągu dnia tak, aby zapobiegać zarówno niedoborom żywieniowym oraz nadmiernemu spożyciu żywności.</w:t>
      </w:r>
    </w:p>
    <w:p w14:paraId="73D2DD64" w14:textId="77777777" w:rsidR="00777D94" w:rsidRDefault="00777D94" w:rsidP="00597239">
      <w:pPr>
        <w:spacing w:after="0" w:line="276" w:lineRule="auto"/>
        <w:rPr>
          <w:rFonts w:cstheme="minorHAnsi"/>
          <w:sz w:val="24"/>
          <w:szCs w:val="24"/>
          <w:lang w:eastAsia="ar-SA" w:bidi="en-US"/>
        </w:rPr>
      </w:pPr>
    </w:p>
    <w:p w14:paraId="6E703C34" w14:textId="0275949C" w:rsidR="00076C93" w:rsidRDefault="00076C93" w:rsidP="00597239">
      <w:pPr>
        <w:spacing w:after="0" w:line="276" w:lineRule="auto"/>
        <w:rPr>
          <w:rFonts w:cstheme="minorHAnsi"/>
          <w:sz w:val="24"/>
          <w:szCs w:val="24"/>
          <w:lang w:eastAsia="ar-SA" w:bidi="en-US"/>
        </w:rPr>
      </w:pPr>
      <w:r w:rsidRPr="009B71FF">
        <w:rPr>
          <w:rFonts w:cstheme="minorHAnsi"/>
          <w:sz w:val="24"/>
          <w:szCs w:val="24"/>
          <w:lang w:eastAsia="ar-SA" w:bidi="en-US"/>
        </w:rPr>
        <w:t xml:space="preserve">W województwie zachodniopomorskim, w 2024 r. funkcjonowało 1212 placówek oświatowo-wychowawczych, w których żywiono dzieci i młodzież. </w:t>
      </w:r>
    </w:p>
    <w:p w14:paraId="198F5C23" w14:textId="77777777" w:rsidR="00777D94" w:rsidRDefault="00777D94" w:rsidP="00597239">
      <w:pPr>
        <w:spacing w:after="0" w:line="276" w:lineRule="auto"/>
        <w:rPr>
          <w:rFonts w:ascii="Calibri" w:eastAsia="Calibri" w:hAnsi="Calibri"/>
          <w:sz w:val="24"/>
        </w:rPr>
      </w:pPr>
    </w:p>
    <w:p w14:paraId="302B2BFB" w14:textId="77777777" w:rsidR="00777D94" w:rsidRDefault="00076C93" w:rsidP="00597239">
      <w:pPr>
        <w:spacing w:after="0" w:line="276" w:lineRule="auto"/>
        <w:rPr>
          <w:rFonts w:ascii="Calibri" w:eastAsia="Calibri" w:hAnsi="Calibri"/>
          <w:sz w:val="24"/>
        </w:rPr>
      </w:pPr>
      <w:r w:rsidRPr="00C12063">
        <w:rPr>
          <w:rFonts w:ascii="Calibri" w:eastAsia="Calibri" w:hAnsi="Calibri"/>
          <w:sz w:val="24"/>
        </w:rPr>
        <w:t xml:space="preserve">Na podstawie danych zebranych </w:t>
      </w:r>
      <w:r>
        <w:rPr>
          <w:rFonts w:ascii="Calibri" w:eastAsia="Calibri" w:hAnsi="Calibri"/>
          <w:sz w:val="24"/>
        </w:rPr>
        <w:t>podczas kontroli</w:t>
      </w:r>
      <w:r w:rsidRPr="00C12063">
        <w:rPr>
          <w:rFonts w:ascii="Calibri" w:eastAsia="Calibri" w:hAnsi="Calibri"/>
          <w:sz w:val="24"/>
        </w:rPr>
        <w:t xml:space="preserve"> </w:t>
      </w:r>
      <w:r w:rsidRPr="009B71FF">
        <w:rPr>
          <w:rFonts w:ascii="Calibri" w:eastAsia="Calibri" w:hAnsi="Calibri"/>
          <w:sz w:val="24"/>
        </w:rPr>
        <w:t>ustalono, że</w:t>
      </w:r>
      <w:r w:rsidRPr="00C12063">
        <w:rPr>
          <w:rFonts w:ascii="Calibri" w:eastAsia="Calibri" w:hAnsi="Calibri"/>
          <w:sz w:val="24"/>
        </w:rPr>
        <w:t xml:space="preserve"> </w:t>
      </w:r>
      <w:r>
        <w:rPr>
          <w:rFonts w:ascii="Calibri" w:eastAsia="Calibri" w:hAnsi="Calibri"/>
          <w:sz w:val="24"/>
        </w:rPr>
        <w:t xml:space="preserve">w przypadku </w:t>
      </w:r>
      <w:r w:rsidRPr="00C12063">
        <w:rPr>
          <w:rFonts w:ascii="Calibri" w:eastAsia="Calibri" w:hAnsi="Calibri"/>
          <w:sz w:val="24"/>
        </w:rPr>
        <w:t>43</w:t>
      </w:r>
      <w:r>
        <w:rPr>
          <w:rFonts w:ascii="Calibri" w:eastAsia="Calibri" w:hAnsi="Calibri"/>
          <w:sz w:val="24"/>
        </w:rPr>
        <w:t xml:space="preserve"> </w:t>
      </w:r>
      <w:r w:rsidRPr="00C12063">
        <w:rPr>
          <w:rFonts w:ascii="Calibri" w:eastAsia="Calibri" w:hAnsi="Calibri"/>
          <w:sz w:val="24"/>
        </w:rPr>
        <w:t xml:space="preserve">% placówek </w:t>
      </w:r>
      <w:r>
        <w:rPr>
          <w:rFonts w:ascii="Calibri" w:eastAsia="Calibri" w:hAnsi="Calibri"/>
          <w:sz w:val="24"/>
        </w:rPr>
        <w:t>p</w:t>
      </w:r>
      <w:r w:rsidRPr="00C12063">
        <w:rPr>
          <w:rFonts w:ascii="Calibri" w:eastAsia="Calibri" w:hAnsi="Calibri"/>
          <w:sz w:val="24"/>
        </w:rPr>
        <w:t>osiłki przygotowywan</w:t>
      </w:r>
      <w:r>
        <w:rPr>
          <w:rFonts w:ascii="Calibri" w:eastAsia="Calibri" w:hAnsi="Calibri"/>
          <w:sz w:val="24"/>
        </w:rPr>
        <w:t>e są</w:t>
      </w:r>
      <w:r w:rsidRPr="00C12063">
        <w:rPr>
          <w:rFonts w:ascii="Calibri" w:eastAsia="Calibri" w:hAnsi="Calibri"/>
          <w:sz w:val="24"/>
        </w:rPr>
        <w:t xml:space="preserve"> na miejscu, </w:t>
      </w:r>
      <w:r>
        <w:rPr>
          <w:rFonts w:ascii="Calibri" w:eastAsia="Calibri" w:hAnsi="Calibri"/>
          <w:sz w:val="24"/>
        </w:rPr>
        <w:t xml:space="preserve">do </w:t>
      </w:r>
      <w:r w:rsidRPr="00C12063">
        <w:rPr>
          <w:rFonts w:ascii="Calibri" w:eastAsia="Calibri" w:hAnsi="Calibri"/>
          <w:sz w:val="24"/>
        </w:rPr>
        <w:t>54</w:t>
      </w:r>
      <w:r>
        <w:rPr>
          <w:rFonts w:ascii="Calibri" w:eastAsia="Calibri" w:hAnsi="Calibri"/>
          <w:sz w:val="24"/>
        </w:rPr>
        <w:t xml:space="preserve"> </w:t>
      </w:r>
      <w:r w:rsidRPr="00C12063">
        <w:rPr>
          <w:rFonts w:ascii="Calibri" w:eastAsia="Calibri" w:hAnsi="Calibri"/>
          <w:sz w:val="24"/>
        </w:rPr>
        <w:t>%</w:t>
      </w:r>
      <w:r>
        <w:rPr>
          <w:rFonts w:ascii="Calibri" w:eastAsia="Calibri" w:hAnsi="Calibri"/>
          <w:sz w:val="24"/>
        </w:rPr>
        <w:t xml:space="preserve"> są </w:t>
      </w:r>
      <w:r w:rsidRPr="00C12063">
        <w:rPr>
          <w:rFonts w:ascii="Calibri" w:eastAsia="Calibri" w:hAnsi="Calibri"/>
          <w:sz w:val="24"/>
        </w:rPr>
        <w:t>dowożon</w:t>
      </w:r>
      <w:r>
        <w:rPr>
          <w:rFonts w:ascii="Calibri" w:eastAsia="Calibri" w:hAnsi="Calibri"/>
          <w:sz w:val="24"/>
        </w:rPr>
        <w:t>e</w:t>
      </w:r>
      <w:r w:rsidRPr="00C12063">
        <w:rPr>
          <w:rFonts w:ascii="Calibri" w:eastAsia="Calibri" w:hAnsi="Calibri"/>
          <w:sz w:val="24"/>
        </w:rPr>
        <w:t xml:space="preserve"> (catering)</w:t>
      </w:r>
      <w:r>
        <w:rPr>
          <w:rFonts w:ascii="Calibri" w:eastAsia="Calibri" w:hAnsi="Calibri"/>
          <w:sz w:val="24"/>
        </w:rPr>
        <w:t>,</w:t>
      </w:r>
      <w:r w:rsidRPr="00C12063">
        <w:rPr>
          <w:rFonts w:ascii="Calibri" w:eastAsia="Calibri" w:hAnsi="Calibri"/>
          <w:sz w:val="24"/>
        </w:rPr>
        <w:t xml:space="preserve"> </w:t>
      </w:r>
      <w:r>
        <w:rPr>
          <w:rFonts w:ascii="Calibri" w:eastAsia="Calibri" w:hAnsi="Calibri"/>
          <w:sz w:val="24"/>
        </w:rPr>
        <w:t>w</w:t>
      </w:r>
      <w:r w:rsidRPr="00C12063">
        <w:rPr>
          <w:rFonts w:ascii="Calibri" w:eastAsia="Calibri" w:hAnsi="Calibri"/>
          <w:sz w:val="24"/>
        </w:rPr>
        <w:t xml:space="preserve"> 2,6</w:t>
      </w:r>
      <w:r>
        <w:rPr>
          <w:rFonts w:ascii="Calibri" w:eastAsia="Calibri" w:hAnsi="Calibri"/>
          <w:sz w:val="24"/>
        </w:rPr>
        <w:t xml:space="preserve"> </w:t>
      </w:r>
      <w:r w:rsidRPr="00C12063">
        <w:rPr>
          <w:rFonts w:ascii="Calibri" w:eastAsia="Calibri" w:hAnsi="Calibri"/>
          <w:sz w:val="24"/>
        </w:rPr>
        <w:t xml:space="preserve">% </w:t>
      </w:r>
      <w:r>
        <w:rPr>
          <w:rFonts w:ascii="Calibri" w:eastAsia="Calibri" w:hAnsi="Calibri"/>
          <w:sz w:val="24"/>
        </w:rPr>
        <w:t xml:space="preserve">placówek </w:t>
      </w:r>
      <w:r w:rsidRPr="00C12063">
        <w:rPr>
          <w:rFonts w:ascii="Calibri" w:eastAsia="Calibri" w:hAnsi="Calibri"/>
          <w:sz w:val="24"/>
        </w:rPr>
        <w:t>żywienie zostało zapewnione poza obiektami.</w:t>
      </w:r>
      <w:r>
        <w:rPr>
          <w:rFonts w:ascii="Calibri" w:eastAsia="Calibri" w:hAnsi="Calibri"/>
          <w:sz w:val="24"/>
        </w:rPr>
        <w:t xml:space="preserve"> Dla blisko 10 % </w:t>
      </w:r>
      <w:r w:rsidRPr="00C12063">
        <w:rPr>
          <w:rFonts w:ascii="Calibri" w:eastAsia="Calibri" w:hAnsi="Calibri"/>
          <w:sz w:val="24"/>
        </w:rPr>
        <w:t>uczniów</w:t>
      </w:r>
      <w:r>
        <w:rPr>
          <w:rFonts w:ascii="Calibri" w:eastAsia="Calibri" w:hAnsi="Calibri"/>
          <w:sz w:val="24"/>
        </w:rPr>
        <w:t xml:space="preserve"> </w:t>
      </w:r>
      <w:r w:rsidRPr="00C12063">
        <w:rPr>
          <w:rFonts w:ascii="Calibri" w:eastAsia="Calibri" w:hAnsi="Calibri"/>
          <w:sz w:val="24"/>
        </w:rPr>
        <w:t xml:space="preserve">zapewniono posiłki dofinansowane. </w:t>
      </w:r>
      <w:r>
        <w:rPr>
          <w:rFonts w:ascii="Calibri" w:eastAsia="Calibri" w:hAnsi="Calibri"/>
          <w:sz w:val="24"/>
        </w:rPr>
        <w:t>Dzieci i młodzież</w:t>
      </w:r>
      <w:r w:rsidRPr="00C12063">
        <w:rPr>
          <w:rFonts w:ascii="Calibri" w:eastAsia="Calibri" w:hAnsi="Calibri"/>
          <w:sz w:val="24"/>
        </w:rPr>
        <w:t xml:space="preserve"> spożywał</w:t>
      </w:r>
      <w:r>
        <w:rPr>
          <w:rFonts w:ascii="Calibri" w:eastAsia="Calibri" w:hAnsi="Calibri"/>
          <w:sz w:val="24"/>
        </w:rPr>
        <w:t>y</w:t>
      </w:r>
      <w:r w:rsidRPr="00C12063">
        <w:rPr>
          <w:rFonts w:ascii="Calibri" w:eastAsia="Calibri" w:hAnsi="Calibri"/>
          <w:sz w:val="24"/>
        </w:rPr>
        <w:t xml:space="preserve"> posiłki przede wszystkim w</w:t>
      </w:r>
      <w:r w:rsidR="009901B6">
        <w:rPr>
          <w:rFonts w:ascii="Calibri" w:eastAsia="Calibri" w:hAnsi="Calibri"/>
          <w:sz w:val="24"/>
        </w:rPr>
        <w:t xml:space="preserve"> </w:t>
      </w:r>
      <w:r w:rsidRPr="00C12063">
        <w:rPr>
          <w:rFonts w:ascii="Calibri" w:eastAsia="Calibri" w:hAnsi="Calibri"/>
          <w:sz w:val="24"/>
        </w:rPr>
        <w:t>postaci obiadów</w:t>
      </w:r>
      <w:r>
        <w:rPr>
          <w:rFonts w:ascii="Calibri" w:eastAsia="Calibri" w:hAnsi="Calibri"/>
          <w:sz w:val="24"/>
        </w:rPr>
        <w:t xml:space="preserve">, </w:t>
      </w:r>
      <w:r w:rsidRPr="00C12063">
        <w:rPr>
          <w:rFonts w:ascii="Calibri" w:eastAsia="Calibri" w:hAnsi="Calibri"/>
          <w:sz w:val="24"/>
        </w:rPr>
        <w:t>12,4</w:t>
      </w:r>
      <w:r>
        <w:rPr>
          <w:rFonts w:ascii="Calibri" w:eastAsia="Calibri" w:hAnsi="Calibri"/>
          <w:sz w:val="24"/>
        </w:rPr>
        <w:t xml:space="preserve"> </w:t>
      </w:r>
      <w:r w:rsidRPr="00C12063">
        <w:rPr>
          <w:rFonts w:ascii="Calibri" w:eastAsia="Calibri" w:hAnsi="Calibri"/>
          <w:sz w:val="24"/>
        </w:rPr>
        <w:t>% placówek organizowało</w:t>
      </w:r>
      <w:r>
        <w:rPr>
          <w:rFonts w:ascii="Calibri" w:eastAsia="Calibri" w:hAnsi="Calibri"/>
          <w:sz w:val="24"/>
        </w:rPr>
        <w:t xml:space="preserve"> również</w:t>
      </w:r>
      <w:r w:rsidRPr="00C12063">
        <w:rPr>
          <w:rFonts w:ascii="Calibri" w:eastAsia="Calibri" w:hAnsi="Calibri"/>
          <w:sz w:val="24"/>
        </w:rPr>
        <w:t xml:space="preserve"> uczniom śniadanie, natomiast 41</w:t>
      </w:r>
      <w:r>
        <w:rPr>
          <w:rFonts w:ascii="Calibri" w:eastAsia="Calibri" w:hAnsi="Calibri"/>
          <w:sz w:val="24"/>
        </w:rPr>
        <w:t xml:space="preserve"> </w:t>
      </w:r>
      <w:r w:rsidRPr="00C12063">
        <w:rPr>
          <w:rFonts w:ascii="Calibri" w:eastAsia="Calibri" w:hAnsi="Calibri"/>
          <w:sz w:val="24"/>
        </w:rPr>
        <w:t xml:space="preserve">% </w:t>
      </w:r>
      <w:r w:rsidRPr="00473D47">
        <w:rPr>
          <w:rFonts w:ascii="Calibri" w:eastAsia="Calibri" w:hAnsi="Calibri"/>
          <w:color w:val="000000" w:themeColor="text1"/>
          <w:sz w:val="24"/>
        </w:rPr>
        <w:t>zapewniało napoje (wodę, herbatę, kawę zbożową, kompot).</w:t>
      </w:r>
    </w:p>
    <w:p w14:paraId="3BE241B2" w14:textId="77777777" w:rsidR="00777D94" w:rsidRDefault="00777D94" w:rsidP="00597239">
      <w:pPr>
        <w:spacing w:after="0" w:line="276" w:lineRule="auto"/>
        <w:rPr>
          <w:rFonts w:ascii="Calibri" w:eastAsia="Calibri" w:hAnsi="Calibri"/>
          <w:sz w:val="24"/>
        </w:rPr>
      </w:pPr>
    </w:p>
    <w:p w14:paraId="5A3A52C8" w14:textId="0342FCA0" w:rsidR="00076C93" w:rsidRPr="00777D94" w:rsidRDefault="00076C93" w:rsidP="00597239">
      <w:pPr>
        <w:spacing w:after="0" w:line="276" w:lineRule="auto"/>
        <w:rPr>
          <w:rFonts w:ascii="Calibri" w:eastAsia="Calibri" w:hAnsi="Calibri"/>
          <w:sz w:val="24"/>
        </w:rPr>
      </w:pPr>
      <w:r>
        <w:rPr>
          <w:rFonts w:cstheme="minorHAnsi"/>
          <w:sz w:val="24"/>
          <w:szCs w:val="24"/>
          <w:lang w:eastAsia="ar-SA" w:bidi="en-US"/>
        </w:rPr>
        <w:t>Pr</w:t>
      </w:r>
      <w:r w:rsidRPr="00D55A05">
        <w:rPr>
          <w:rFonts w:cstheme="minorHAnsi"/>
          <w:sz w:val="24"/>
          <w:szCs w:val="24"/>
          <w:lang w:eastAsia="ar-SA" w:bidi="en-US"/>
        </w:rPr>
        <w:t>zeprowadzono</w:t>
      </w:r>
      <w:r>
        <w:rPr>
          <w:rFonts w:cstheme="minorHAnsi"/>
          <w:sz w:val="24"/>
          <w:szCs w:val="24"/>
          <w:lang w:eastAsia="ar-SA" w:bidi="en-US"/>
        </w:rPr>
        <w:t xml:space="preserve"> </w:t>
      </w:r>
      <w:r w:rsidRPr="00D55A05">
        <w:rPr>
          <w:rFonts w:cstheme="minorHAnsi"/>
          <w:sz w:val="24"/>
          <w:szCs w:val="24"/>
          <w:lang w:eastAsia="ar-SA" w:bidi="en-US"/>
        </w:rPr>
        <w:t xml:space="preserve">łącznie 780 kontroli bloków żywienia zlokalizowanych w </w:t>
      </w:r>
      <w:r>
        <w:rPr>
          <w:rFonts w:cstheme="minorHAnsi"/>
          <w:sz w:val="24"/>
          <w:szCs w:val="24"/>
          <w:lang w:eastAsia="ar-SA" w:bidi="en-US"/>
        </w:rPr>
        <w:t>placówkach</w:t>
      </w:r>
      <w:r w:rsidRPr="000E6AE0">
        <w:rPr>
          <w:rFonts w:cstheme="minorHAnsi"/>
          <w:sz w:val="24"/>
          <w:szCs w:val="24"/>
          <w:lang w:eastAsia="ar-SA" w:bidi="en-US"/>
        </w:rPr>
        <w:t xml:space="preserve"> oświat</w:t>
      </w:r>
      <w:r>
        <w:rPr>
          <w:rFonts w:cstheme="minorHAnsi"/>
          <w:sz w:val="24"/>
          <w:szCs w:val="24"/>
          <w:lang w:eastAsia="ar-SA" w:bidi="en-US"/>
        </w:rPr>
        <w:t>owych</w:t>
      </w:r>
      <w:r w:rsidRPr="00D55A05">
        <w:rPr>
          <w:rFonts w:cstheme="minorHAnsi"/>
          <w:sz w:val="24"/>
          <w:szCs w:val="24"/>
          <w:lang w:eastAsia="ar-SA" w:bidi="en-US"/>
        </w:rPr>
        <w:t>: 336 szkolnych, 325 przedszkolnych, 71 zlokalizowanych w bursach i</w:t>
      </w:r>
      <w:r>
        <w:rPr>
          <w:rFonts w:cstheme="minorHAnsi"/>
          <w:sz w:val="24"/>
          <w:szCs w:val="24"/>
          <w:lang w:eastAsia="ar-SA" w:bidi="en-US"/>
        </w:rPr>
        <w:t> </w:t>
      </w:r>
      <w:r w:rsidRPr="00D55A05">
        <w:rPr>
          <w:rFonts w:cstheme="minorHAnsi"/>
          <w:sz w:val="24"/>
          <w:szCs w:val="24"/>
          <w:lang w:eastAsia="ar-SA" w:bidi="en-US"/>
        </w:rPr>
        <w:t xml:space="preserve">internatach oraz 48 w zakładach specjalnych i wychowawczych. </w:t>
      </w:r>
      <w:r w:rsidRPr="00D55A05">
        <w:rPr>
          <w:rFonts w:cstheme="minorHAnsi"/>
          <w:bCs/>
          <w:sz w:val="24"/>
          <w:szCs w:val="24"/>
          <w:lang w:eastAsia="ar-SA" w:bidi="en-US"/>
        </w:rPr>
        <w:t xml:space="preserve">Poza kontrolą warunków sanitarno-higienicznych oraz technicznych kontrolujący weryfikowali również realizację wymagań </w:t>
      </w:r>
      <w:r w:rsidRPr="00D55A05">
        <w:rPr>
          <w:rFonts w:cstheme="minorHAnsi"/>
          <w:i/>
          <w:iCs/>
          <w:sz w:val="24"/>
          <w:szCs w:val="24"/>
          <w:lang w:eastAsia="ar-SA" w:bidi="en-US"/>
        </w:rPr>
        <w:t>rozporządzenia Ministra Zdrowia z 26 lipca 2016 roku w sprawie grup środków spożywczych przeznaczonych do sprzedaży dzieciom i młodzieży w jednostkach systemu oświaty oraz wymagań jakie muszą spełniać środki spożywcze stosowane w ramach żywienia zbiorowego dzieci i młodzieży w tych jednostkach</w:t>
      </w:r>
      <w:r w:rsidRPr="00D55A05">
        <w:rPr>
          <w:rFonts w:cstheme="minorHAnsi"/>
          <w:sz w:val="24"/>
          <w:szCs w:val="24"/>
          <w:lang w:eastAsia="ar-SA" w:bidi="en-US"/>
        </w:rPr>
        <w:t>.</w:t>
      </w:r>
      <w:r>
        <w:rPr>
          <w:rFonts w:cstheme="minorHAnsi"/>
          <w:sz w:val="24"/>
          <w:szCs w:val="24"/>
          <w:lang w:eastAsia="ar-SA" w:bidi="en-US"/>
        </w:rPr>
        <w:t xml:space="preserve"> </w:t>
      </w:r>
      <w:r>
        <w:rPr>
          <w:rFonts w:ascii="Calibri" w:hAnsi="Calibri" w:cs="Calibri"/>
          <w:sz w:val="24"/>
          <w:szCs w:val="24"/>
        </w:rPr>
        <w:t xml:space="preserve">Kontrolą objęto również produkty </w:t>
      </w:r>
      <w:r>
        <w:rPr>
          <w:rFonts w:ascii="Calibri" w:hAnsi="Calibri" w:cs="Calibri"/>
          <w:sz w:val="24"/>
          <w:szCs w:val="24"/>
        </w:rPr>
        <w:lastRenderedPageBreak/>
        <w:t>sprzedawane w sklepikach szkolnych oraz w automatach z napojami i żywnością, które muszą spełniać wymagania określone w cytowanym rozporządzeniu.</w:t>
      </w:r>
    </w:p>
    <w:p w14:paraId="4CADBAD9" w14:textId="77777777" w:rsidR="00777D94" w:rsidRDefault="00777D94" w:rsidP="00597239">
      <w:pPr>
        <w:spacing w:after="0" w:line="276" w:lineRule="auto"/>
        <w:rPr>
          <w:rFonts w:cstheme="minorHAnsi"/>
          <w:sz w:val="24"/>
          <w:szCs w:val="24"/>
          <w:lang w:eastAsia="ar-SA" w:bidi="en-US"/>
        </w:rPr>
      </w:pPr>
    </w:p>
    <w:p w14:paraId="0A86B719" w14:textId="26B6C4EF" w:rsidR="00076C93" w:rsidRDefault="00076C93" w:rsidP="00597239">
      <w:pPr>
        <w:spacing w:after="0" w:line="276" w:lineRule="auto"/>
        <w:rPr>
          <w:rFonts w:cstheme="minorHAnsi"/>
          <w:bCs/>
          <w:sz w:val="24"/>
          <w:szCs w:val="24"/>
          <w:lang w:eastAsia="ar-SA" w:bidi="en-US"/>
        </w:rPr>
      </w:pPr>
      <w:r>
        <w:rPr>
          <w:rFonts w:cstheme="minorHAnsi"/>
          <w:sz w:val="24"/>
          <w:szCs w:val="24"/>
          <w:lang w:eastAsia="ar-SA" w:bidi="en-US"/>
        </w:rPr>
        <w:t>W ramach kontroli ocenie poddawano j</w:t>
      </w:r>
      <w:r w:rsidRPr="00D55A05">
        <w:rPr>
          <w:rFonts w:cstheme="minorHAnsi"/>
          <w:sz w:val="24"/>
          <w:szCs w:val="24"/>
          <w:lang w:eastAsia="ar-SA" w:bidi="en-US"/>
        </w:rPr>
        <w:t>adłospisy dekadowe</w:t>
      </w:r>
      <w:r>
        <w:rPr>
          <w:rFonts w:cstheme="minorHAnsi"/>
          <w:sz w:val="24"/>
          <w:szCs w:val="24"/>
          <w:lang w:eastAsia="ar-SA" w:bidi="en-US"/>
        </w:rPr>
        <w:t>.</w:t>
      </w:r>
      <w:r w:rsidRPr="00D55A05">
        <w:rPr>
          <w:rFonts w:cstheme="minorHAnsi"/>
          <w:sz w:val="24"/>
          <w:szCs w:val="24"/>
          <w:lang w:eastAsia="ar-SA" w:bidi="en-US"/>
        </w:rPr>
        <w:t xml:space="preserve"> </w:t>
      </w:r>
      <w:r>
        <w:rPr>
          <w:rFonts w:cstheme="minorHAnsi"/>
          <w:sz w:val="24"/>
          <w:szCs w:val="24"/>
          <w:lang w:eastAsia="ar-SA" w:bidi="en-US"/>
        </w:rPr>
        <w:t>A</w:t>
      </w:r>
      <w:r w:rsidRPr="00D55A05">
        <w:rPr>
          <w:rFonts w:cstheme="minorHAnsi"/>
          <w:sz w:val="24"/>
          <w:szCs w:val="24"/>
          <w:lang w:eastAsia="ar-SA" w:bidi="en-US"/>
        </w:rPr>
        <w:t>naliz</w:t>
      </w:r>
      <w:r>
        <w:rPr>
          <w:rFonts w:cstheme="minorHAnsi"/>
          <w:sz w:val="24"/>
          <w:szCs w:val="24"/>
          <w:lang w:eastAsia="ar-SA" w:bidi="en-US"/>
        </w:rPr>
        <w:t>ę prowadzono</w:t>
      </w:r>
      <w:r w:rsidRPr="00D55A05">
        <w:rPr>
          <w:rFonts w:cstheme="minorHAnsi"/>
          <w:sz w:val="24"/>
          <w:szCs w:val="24"/>
          <w:lang w:eastAsia="ar-SA" w:bidi="en-US"/>
        </w:rPr>
        <w:t xml:space="preserve"> pod kątem spełnienia wymagań ww. rozporządzenia</w:t>
      </w:r>
      <w:r>
        <w:rPr>
          <w:rFonts w:cstheme="minorHAnsi"/>
          <w:sz w:val="24"/>
          <w:szCs w:val="24"/>
          <w:lang w:eastAsia="ar-SA" w:bidi="en-US"/>
        </w:rPr>
        <w:t>,</w:t>
      </w:r>
      <w:r w:rsidRPr="00D55A05">
        <w:rPr>
          <w:rFonts w:cstheme="minorHAnsi"/>
          <w:sz w:val="24"/>
          <w:szCs w:val="24"/>
          <w:lang w:eastAsia="ar-SA" w:bidi="en-US"/>
        </w:rPr>
        <w:t xml:space="preserve"> tj. obecności konkretnych składników używanych do produkcji, określonych technik przygotowania, częstotliwości występowania konkretnych grup środków spożywczych, obecności w posiłkach źródła pełnowartościowego białka, warzyw i owoców (szczególnie w postaci surowej), mleka oraz przetworów mlecznych, kasz, razowego pieczywa, roślin strączkowych oraz powtarzalności posiłków w dekadzie</w:t>
      </w:r>
      <w:r w:rsidRPr="00D55A05">
        <w:rPr>
          <w:rFonts w:cstheme="minorHAnsi"/>
          <w:bCs/>
          <w:sz w:val="24"/>
          <w:szCs w:val="24"/>
          <w:lang w:eastAsia="ar-SA" w:bidi="en-US"/>
        </w:rPr>
        <w:t xml:space="preserve">. </w:t>
      </w:r>
    </w:p>
    <w:p w14:paraId="73182A9C" w14:textId="77777777" w:rsidR="00777D94" w:rsidRDefault="00076C93" w:rsidP="00597239">
      <w:pPr>
        <w:spacing w:after="0" w:line="276" w:lineRule="auto"/>
        <w:rPr>
          <w:rFonts w:cstheme="minorHAnsi"/>
          <w:bCs/>
          <w:sz w:val="24"/>
          <w:szCs w:val="24"/>
          <w:lang w:eastAsia="ar-SA" w:bidi="en-US"/>
        </w:rPr>
      </w:pPr>
      <w:r w:rsidRPr="009B71FF">
        <w:rPr>
          <w:rFonts w:cstheme="minorHAnsi"/>
          <w:bCs/>
          <w:sz w:val="24"/>
          <w:szCs w:val="24"/>
          <w:lang w:eastAsia="ar-SA" w:bidi="en-US"/>
        </w:rPr>
        <w:t>W większości przypadków jadłospisy zostały ułożone zgodnie z zasadami racjonalnego żywienia, tj. posiłki były urozmaicone, przygotowywane na bazie produktów ze wszystkich</w:t>
      </w:r>
      <w:r w:rsidRPr="00D55A05">
        <w:rPr>
          <w:rFonts w:cstheme="minorHAnsi"/>
          <w:bCs/>
          <w:sz w:val="24"/>
          <w:szCs w:val="24"/>
          <w:lang w:eastAsia="ar-SA" w:bidi="en-US"/>
        </w:rPr>
        <w:t xml:space="preserve"> grup asortymentowych z</w:t>
      </w:r>
      <w:r>
        <w:rPr>
          <w:rFonts w:cstheme="minorHAnsi"/>
          <w:bCs/>
          <w:sz w:val="24"/>
          <w:szCs w:val="24"/>
          <w:lang w:eastAsia="ar-SA" w:bidi="en-US"/>
        </w:rPr>
        <w:t> </w:t>
      </w:r>
      <w:r w:rsidRPr="00D55A05">
        <w:rPr>
          <w:rFonts w:cstheme="minorHAnsi"/>
          <w:bCs/>
          <w:sz w:val="24"/>
          <w:szCs w:val="24"/>
          <w:lang w:eastAsia="ar-SA" w:bidi="en-US"/>
        </w:rPr>
        <w:t xml:space="preserve">uwzględnieniem sezonowości, przygotowywane różnymi technikami kulinarnym, dobierane z uwzględnieniem grupy wiekowej konsumentów. </w:t>
      </w:r>
    </w:p>
    <w:p w14:paraId="68CB5B41" w14:textId="77777777" w:rsidR="00777D94" w:rsidRDefault="00777D94" w:rsidP="00597239">
      <w:pPr>
        <w:spacing w:after="0" w:line="276" w:lineRule="auto"/>
        <w:rPr>
          <w:rFonts w:cstheme="minorHAnsi"/>
          <w:bCs/>
          <w:sz w:val="24"/>
          <w:szCs w:val="24"/>
          <w:lang w:eastAsia="ar-SA" w:bidi="en-US"/>
        </w:rPr>
      </w:pPr>
    </w:p>
    <w:p w14:paraId="6D2AF7E5" w14:textId="0127A401" w:rsidR="00076C93" w:rsidRPr="00D55A05" w:rsidRDefault="00076C93" w:rsidP="00597239">
      <w:pPr>
        <w:spacing w:after="0" w:line="276" w:lineRule="auto"/>
        <w:rPr>
          <w:rFonts w:cstheme="minorHAnsi"/>
          <w:bCs/>
          <w:sz w:val="24"/>
          <w:szCs w:val="24"/>
          <w:lang w:eastAsia="ar-SA" w:bidi="en-US"/>
        </w:rPr>
      </w:pPr>
      <w:r w:rsidRPr="00D55A05">
        <w:rPr>
          <w:rFonts w:cstheme="minorHAnsi"/>
          <w:bCs/>
          <w:sz w:val="24"/>
          <w:szCs w:val="24"/>
          <w:lang w:eastAsia="ar-SA" w:bidi="en-US"/>
        </w:rPr>
        <w:t>Najczęściej stwierdzanymi błędami, w</w:t>
      </w:r>
      <w:r>
        <w:rPr>
          <w:rFonts w:cstheme="minorHAnsi"/>
          <w:bCs/>
          <w:sz w:val="24"/>
          <w:szCs w:val="24"/>
          <w:lang w:eastAsia="ar-SA" w:bidi="en-US"/>
        </w:rPr>
        <w:t> </w:t>
      </w:r>
      <w:r w:rsidRPr="00D55A05">
        <w:rPr>
          <w:rFonts w:cstheme="minorHAnsi"/>
          <w:bCs/>
          <w:sz w:val="24"/>
          <w:szCs w:val="24"/>
          <w:lang w:eastAsia="ar-SA" w:bidi="en-US"/>
        </w:rPr>
        <w:t>przypadkach kwestionowania jadłospisów, były:</w:t>
      </w:r>
    </w:p>
    <w:p w14:paraId="247506C7" w14:textId="12D54D3D" w:rsidR="00076C93" w:rsidRPr="00C574D9" w:rsidRDefault="00076C93" w:rsidP="00597239">
      <w:pPr>
        <w:pStyle w:val="Akapitzlist"/>
        <w:numPr>
          <w:ilvl w:val="0"/>
          <w:numId w:val="91"/>
        </w:numPr>
        <w:tabs>
          <w:tab w:val="left" w:pos="567"/>
        </w:tabs>
        <w:spacing w:after="0" w:line="276" w:lineRule="auto"/>
        <w:ind w:left="567"/>
        <w:rPr>
          <w:rFonts w:cstheme="minorHAnsi"/>
          <w:bCs/>
          <w:color w:val="000000" w:themeColor="text1"/>
          <w:sz w:val="24"/>
          <w:szCs w:val="24"/>
          <w:lang w:eastAsia="ar-SA" w:bidi="en-US"/>
        </w:rPr>
      </w:pPr>
      <w:r w:rsidRPr="00C574D9">
        <w:rPr>
          <w:rFonts w:cstheme="minorHAnsi"/>
          <w:color w:val="000000" w:themeColor="text1"/>
          <w:sz w:val="24"/>
          <w:szCs w:val="24"/>
          <w:lang w:eastAsia="ar-SA" w:bidi="en-US"/>
        </w:rPr>
        <w:t>brak urozmaicenia i wykorzystywania do przygotowania posiłków produktów</w:t>
      </w:r>
      <w:r w:rsidR="00C574D9">
        <w:rPr>
          <w:rFonts w:cstheme="minorHAnsi"/>
          <w:color w:val="000000" w:themeColor="text1"/>
          <w:sz w:val="24"/>
          <w:szCs w:val="24"/>
          <w:lang w:eastAsia="ar-SA" w:bidi="en-US"/>
        </w:rPr>
        <w:t xml:space="preserve"> </w:t>
      </w:r>
      <w:r w:rsidRPr="00C574D9">
        <w:rPr>
          <w:rFonts w:cstheme="minorHAnsi"/>
          <w:color w:val="000000" w:themeColor="text1"/>
          <w:sz w:val="24"/>
          <w:szCs w:val="24"/>
          <w:lang w:eastAsia="ar-SA" w:bidi="en-US"/>
        </w:rPr>
        <w:t>ze</w:t>
      </w:r>
      <w:r w:rsidR="00020A86">
        <w:rPr>
          <w:rFonts w:cstheme="minorHAnsi"/>
          <w:color w:val="000000" w:themeColor="text1"/>
          <w:sz w:val="24"/>
          <w:szCs w:val="24"/>
          <w:lang w:eastAsia="ar-SA" w:bidi="en-US"/>
        </w:rPr>
        <w:t> </w:t>
      </w:r>
      <w:r w:rsidRPr="00C574D9">
        <w:rPr>
          <w:rFonts w:cstheme="minorHAnsi"/>
          <w:color w:val="000000" w:themeColor="text1"/>
          <w:sz w:val="24"/>
          <w:szCs w:val="24"/>
          <w:lang w:eastAsia="ar-SA" w:bidi="en-US"/>
        </w:rPr>
        <w:t>wszystkich grup asortymentowych;</w:t>
      </w:r>
    </w:p>
    <w:p w14:paraId="3891BA10" w14:textId="77777777" w:rsidR="00076C93" w:rsidRPr="00C574D9" w:rsidRDefault="00076C93" w:rsidP="00597239">
      <w:pPr>
        <w:pStyle w:val="Akapitzlist"/>
        <w:numPr>
          <w:ilvl w:val="0"/>
          <w:numId w:val="91"/>
        </w:numPr>
        <w:tabs>
          <w:tab w:val="left" w:pos="567"/>
        </w:tabs>
        <w:spacing w:after="0" w:line="276" w:lineRule="auto"/>
        <w:ind w:left="567"/>
        <w:rPr>
          <w:rFonts w:cstheme="minorHAnsi"/>
          <w:color w:val="000000" w:themeColor="text1"/>
          <w:sz w:val="24"/>
          <w:szCs w:val="24"/>
          <w:lang w:eastAsia="ar-SA" w:bidi="en-US"/>
        </w:rPr>
      </w:pPr>
      <w:r w:rsidRPr="00C574D9">
        <w:rPr>
          <w:rFonts w:cstheme="minorHAnsi"/>
          <w:color w:val="000000" w:themeColor="text1"/>
          <w:sz w:val="24"/>
          <w:szCs w:val="24"/>
          <w:lang w:eastAsia="ar-SA" w:bidi="en-US"/>
        </w:rPr>
        <w:t>zbyt niska częstotliwość serwowania mleka i przetworów mlecznych, pieczywa razowego, kasz i roślin strączkowych, warzyw i owoców, jak również ich powtarzalność;</w:t>
      </w:r>
    </w:p>
    <w:p w14:paraId="499BD360" w14:textId="77777777" w:rsidR="00076C93" w:rsidRPr="00C574D9" w:rsidRDefault="00076C93" w:rsidP="00597239">
      <w:pPr>
        <w:pStyle w:val="Akapitzlist"/>
        <w:numPr>
          <w:ilvl w:val="0"/>
          <w:numId w:val="91"/>
        </w:numPr>
        <w:tabs>
          <w:tab w:val="left" w:pos="567"/>
        </w:tabs>
        <w:spacing w:after="0" w:line="276" w:lineRule="auto"/>
        <w:ind w:left="567"/>
        <w:rPr>
          <w:rFonts w:cstheme="minorHAnsi"/>
          <w:bCs/>
          <w:color w:val="000000" w:themeColor="text1"/>
          <w:sz w:val="24"/>
          <w:szCs w:val="24"/>
          <w:lang w:eastAsia="ar-SA" w:bidi="en-US"/>
        </w:rPr>
      </w:pPr>
      <w:r w:rsidRPr="00C574D9">
        <w:rPr>
          <w:rFonts w:cstheme="minorHAnsi"/>
          <w:bCs/>
          <w:color w:val="000000" w:themeColor="text1"/>
          <w:sz w:val="24"/>
          <w:szCs w:val="24"/>
          <w:lang w:eastAsia="ar-SA" w:bidi="en-US"/>
        </w:rPr>
        <w:t>brak serwowania porcji ryby co najmniej raz w tygodniu;</w:t>
      </w:r>
    </w:p>
    <w:p w14:paraId="7A08E25D" w14:textId="77777777" w:rsidR="00076C93" w:rsidRPr="00C574D9" w:rsidRDefault="00076C93" w:rsidP="00597239">
      <w:pPr>
        <w:pStyle w:val="Akapitzlist"/>
        <w:numPr>
          <w:ilvl w:val="0"/>
          <w:numId w:val="91"/>
        </w:numPr>
        <w:tabs>
          <w:tab w:val="left" w:pos="567"/>
        </w:tabs>
        <w:spacing w:after="0" w:line="276" w:lineRule="auto"/>
        <w:ind w:left="567"/>
        <w:rPr>
          <w:rFonts w:cstheme="minorHAnsi"/>
          <w:bCs/>
          <w:sz w:val="24"/>
          <w:szCs w:val="24"/>
          <w:lang w:eastAsia="ar-SA" w:bidi="en-US"/>
        </w:rPr>
      </w:pPr>
      <w:r w:rsidRPr="00C574D9">
        <w:rPr>
          <w:rFonts w:cstheme="minorHAnsi"/>
          <w:bCs/>
          <w:sz w:val="24"/>
          <w:szCs w:val="24"/>
          <w:lang w:eastAsia="ar-SA" w:bidi="en-US"/>
        </w:rPr>
        <w:t>powtarzalność potraw w dekadzie.</w:t>
      </w:r>
    </w:p>
    <w:p w14:paraId="1FD7FC44" w14:textId="77777777" w:rsidR="00777D94" w:rsidRDefault="00777D94" w:rsidP="00597239">
      <w:pPr>
        <w:spacing w:after="0" w:line="276" w:lineRule="auto"/>
        <w:rPr>
          <w:rFonts w:cstheme="minorHAnsi"/>
          <w:bCs/>
          <w:sz w:val="24"/>
          <w:szCs w:val="24"/>
          <w:lang w:eastAsia="ar-SA" w:bidi="en-US"/>
        </w:rPr>
      </w:pPr>
    </w:p>
    <w:p w14:paraId="41E0F77B" w14:textId="5C78C2DA" w:rsidR="00076C93" w:rsidRPr="00D55A05" w:rsidRDefault="00076C93" w:rsidP="00597239">
      <w:pPr>
        <w:spacing w:after="0" w:line="276" w:lineRule="auto"/>
        <w:rPr>
          <w:rFonts w:cstheme="minorHAnsi"/>
          <w:sz w:val="24"/>
          <w:szCs w:val="24"/>
          <w:lang w:eastAsia="ar-SA" w:bidi="en-US"/>
        </w:rPr>
      </w:pPr>
      <w:r w:rsidRPr="009B71FF">
        <w:rPr>
          <w:rFonts w:cstheme="minorHAnsi"/>
          <w:bCs/>
          <w:sz w:val="24"/>
          <w:szCs w:val="24"/>
          <w:lang w:eastAsia="ar-SA" w:bidi="en-US"/>
        </w:rPr>
        <w:t>W ramach nadzoru w jednostkach systemu oświaty pobrano do badań laboratoryjnych 30</w:t>
      </w:r>
      <w:r>
        <w:rPr>
          <w:rFonts w:cstheme="minorHAnsi"/>
          <w:bCs/>
          <w:sz w:val="24"/>
          <w:szCs w:val="24"/>
          <w:lang w:eastAsia="ar-SA" w:bidi="en-US"/>
        </w:rPr>
        <w:t> </w:t>
      </w:r>
      <w:r w:rsidRPr="009B71FF">
        <w:rPr>
          <w:rFonts w:cstheme="minorHAnsi"/>
          <w:bCs/>
          <w:sz w:val="24"/>
          <w:szCs w:val="24"/>
          <w:lang w:eastAsia="ar-SA" w:bidi="en-US"/>
        </w:rPr>
        <w:t>próbek posiłków obiadowych.</w:t>
      </w:r>
      <w:r>
        <w:rPr>
          <w:rFonts w:cstheme="minorHAnsi"/>
          <w:bCs/>
          <w:sz w:val="24"/>
          <w:szCs w:val="24"/>
          <w:lang w:eastAsia="ar-SA" w:bidi="en-US"/>
        </w:rPr>
        <w:t xml:space="preserve"> Badania wykonano</w:t>
      </w:r>
      <w:r w:rsidRPr="00D55A05">
        <w:rPr>
          <w:rFonts w:cstheme="minorHAnsi"/>
          <w:bCs/>
          <w:sz w:val="24"/>
          <w:szCs w:val="24"/>
          <w:lang w:eastAsia="ar-SA" w:bidi="en-US"/>
        </w:rPr>
        <w:t xml:space="preserve"> w Laboratorium Wojewódzkiej Stacji Sanitarno-Epidemiologicznej w Szczecinie pod kątem: wartości energetycznej oraz zawartości białka, tłuszczu i węglowodanów w posiłku</w:t>
      </w:r>
      <w:r>
        <w:rPr>
          <w:rFonts w:cstheme="minorHAnsi"/>
          <w:bCs/>
          <w:sz w:val="24"/>
          <w:szCs w:val="24"/>
          <w:lang w:eastAsia="ar-SA" w:bidi="en-US"/>
        </w:rPr>
        <w:t xml:space="preserve">. </w:t>
      </w:r>
      <w:r w:rsidRPr="00D55A05">
        <w:rPr>
          <w:rFonts w:cstheme="minorHAnsi"/>
          <w:sz w:val="24"/>
          <w:szCs w:val="24"/>
          <w:lang w:eastAsia="ar-SA" w:bidi="en-US"/>
        </w:rPr>
        <w:t>Uwagi wniesiono do 7 spośród wszystkich przebadanych próbek:</w:t>
      </w:r>
    </w:p>
    <w:p w14:paraId="6E830086" w14:textId="77777777" w:rsidR="00076C93" w:rsidRPr="00C574D9" w:rsidRDefault="00076C93" w:rsidP="00597239">
      <w:pPr>
        <w:pStyle w:val="Akapitzlist"/>
        <w:numPr>
          <w:ilvl w:val="0"/>
          <w:numId w:val="93"/>
        </w:numPr>
        <w:spacing w:after="0" w:line="276" w:lineRule="auto"/>
        <w:rPr>
          <w:rFonts w:cstheme="minorHAnsi"/>
          <w:bCs/>
          <w:sz w:val="24"/>
          <w:szCs w:val="24"/>
          <w:lang w:eastAsia="ar-SA" w:bidi="en-US"/>
        </w:rPr>
      </w:pPr>
      <w:r w:rsidRPr="00C574D9">
        <w:rPr>
          <w:rFonts w:cstheme="minorHAnsi"/>
          <w:bCs/>
          <w:sz w:val="24"/>
          <w:szCs w:val="24"/>
          <w:lang w:eastAsia="ar-SA" w:bidi="en-US"/>
        </w:rPr>
        <w:t>w 2 przypadkach (szkoła i przedszkole) stwierdzono, że przy wielkości serwowanych porcji wartość energetyczna jest zaniżona;</w:t>
      </w:r>
    </w:p>
    <w:p w14:paraId="32B80287" w14:textId="77777777" w:rsidR="00076C93" w:rsidRPr="00C574D9" w:rsidRDefault="00076C93" w:rsidP="00597239">
      <w:pPr>
        <w:pStyle w:val="Akapitzlist"/>
        <w:numPr>
          <w:ilvl w:val="0"/>
          <w:numId w:val="93"/>
        </w:numPr>
        <w:spacing w:after="0" w:line="276" w:lineRule="auto"/>
        <w:rPr>
          <w:rFonts w:cstheme="minorHAnsi"/>
          <w:bCs/>
          <w:sz w:val="24"/>
          <w:szCs w:val="24"/>
          <w:lang w:eastAsia="ar-SA" w:bidi="en-US"/>
        </w:rPr>
      </w:pPr>
      <w:r w:rsidRPr="00C574D9">
        <w:rPr>
          <w:rFonts w:cstheme="minorHAnsi"/>
          <w:bCs/>
          <w:sz w:val="24"/>
          <w:szCs w:val="24"/>
          <w:lang w:eastAsia="ar-SA" w:bidi="en-US"/>
        </w:rPr>
        <w:t>w przypadku 1 szkoły stwierdzono zbyt mały udział tłuszczów;</w:t>
      </w:r>
    </w:p>
    <w:p w14:paraId="5845B39B" w14:textId="77777777" w:rsidR="00076C93" w:rsidRPr="00C574D9" w:rsidRDefault="00076C93" w:rsidP="00597239">
      <w:pPr>
        <w:pStyle w:val="Akapitzlist"/>
        <w:numPr>
          <w:ilvl w:val="0"/>
          <w:numId w:val="93"/>
        </w:numPr>
        <w:spacing w:after="0" w:line="276" w:lineRule="auto"/>
        <w:rPr>
          <w:rFonts w:cstheme="minorHAnsi"/>
          <w:bCs/>
          <w:sz w:val="24"/>
          <w:szCs w:val="24"/>
          <w:lang w:eastAsia="ar-SA" w:bidi="en-US"/>
        </w:rPr>
      </w:pPr>
      <w:r w:rsidRPr="00C574D9">
        <w:rPr>
          <w:rFonts w:cstheme="minorHAnsi"/>
          <w:bCs/>
          <w:sz w:val="24"/>
          <w:szCs w:val="24"/>
          <w:lang w:eastAsia="ar-SA" w:bidi="en-US"/>
        </w:rPr>
        <w:t>w przypadku 1 szkoły - zbyt mały udział tłuszczów oraz białka;</w:t>
      </w:r>
    </w:p>
    <w:p w14:paraId="050834DA" w14:textId="4C36BDEB" w:rsidR="00076C93" w:rsidRPr="00C574D9" w:rsidRDefault="00076C93" w:rsidP="00597239">
      <w:pPr>
        <w:pStyle w:val="Akapitzlist"/>
        <w:numPr>
          <w:ilvl w:val="0"/>
          <w:numId w:val="93"/>
        </w:numPr>
        <w:spacing w:after="0" w:line="276" w:lineRule="auto"/>
        <w:rPr>
          <w:rFonts w:cstheme="minorHAnsi"/>
          <w:bCs/>
          <w:sz w:val="24"/>
          <w:szCs w:val="24"/>
          <w:lang w:eastAsia="ar-SA" w:bidi="en-US"/>
        </w:rPr>
      </w:pPr>
      <w:r w:rsidRPr="00C574D9">
        <w:rPr>
          <w:rFonts w:cstheme="minorHAnsi"/>
          <w:bCs/>
          <w:sz w:val="24"/>
          <w:szCs w:val="24"/>
          <w:lang w:eastAsia="ar-SA" w:bidi="en-US"/>
        </w:rPr>
        <w:t>w przypadkach 2 przedszkoli, posiłki obiadowe zapewniały zbyt wysoką podaż energii w</w:t>
      </w:r>
      <w:r w:rsidR="002E1F9D" w:rsidRPr="00C574D9">
        <w:rPr>
          <w:rFonts w:cstheme="minorHAnsi"/>
          <w:bCs/>
          <w:sz w:val="24"/>
          <w:szCs w:val="24"/>
          <w:lang w:eastAsia="ar-SA" w:bidi="en-US"/>
        </w:rPr>
        <w:t> </w:t>
      </w:r>
      <w:r w:rsidRPr="00C574D9">
        <w:rPr>
          <w:rFonts w:cstheme="minorHAnsi"/>
          <w:bCs/>
          <w:sz w:val="24"/>
          <w:szCs w:val="24"/>
          <w:lang w:eastAsia="ar-SA" w:bidi="en-US"/>
        </w:rPr>
        <w:t>stosunku do zapotrzebowania energetycznego określonego w normach żywienia dla danej grupy wiekowej (zawyżony procentowy udział białka i tłuszczów).</w:t>
      </w:r>
    </w:p>
    <w:p w14:paraId="26E0461F" w14:textId="77777777" w:rsidR="00076C93" w:rsidRPr="00C574D9" w:rsidRDefault="00076C93" w:rsidP="00597239">
      <w:pPr>
        <w:pStyle w:val="Akapitzlist"/>
        <w:numPr>
          <w:ilvl w:val="0"/>
          <w:numId w:val="93"/>
        </w:numPr>
        <w:spacing w:after="0" w:line="276" w:lineRule="auto"/>
        <w:rPr>
          <w:rFonts w:cstheme="minorHAnsi"/>
          <w:bCs/>
          <w:sz w:val="24"/>
          <w:szCs w:val="24"/>
          <w:lang w:eastAsia="ar-SA" w:bidi="en-US"/>
        </w:rPr>
      </w:pPr>
      <w:r w:rsidRPr="00C574D9">
        <w:rPr>
          <w:rFonts w:cstheme="minorHAnsi"/>
          <w:bCs/>
          <w:sz w:val="24"/>
          <w:szCs w:val="24"/>
          <w:lang w:eastAsia="ar-SA" w:bidi="en-US"/>
        </w:rPr>
        <w:t>w przypadku 1 przedszkola stwierdzono, że przy wielkości serwowanych porcji wartość energetyczna oraz udział procentowy tłuszczów oraz gramatura jest zaniżona, natomiast poziom białka zawyżony.</w:t>
      </w:r>
    </w:p>
    <w:p w14:paraId="04EECC36" w14:textId="674898FF" w:rsidR="00076C93" w:rsidRPr="00F21333" w:rsidRDefault="00076C93" w:rsidP="00597239">
      <w:pPr>
        <w:spacing w:after="0" w:line="276" w:lineRule="auto"/>
        <w:rPr>
          <w:rFonts w:cstheme="minorHAnsi"/>
          <w:bCs/>
          <w:sz w:val="24"/>
          <w:szCs w:val="24"/>
          <w:lang w:eastAsia="ar-SA" w:bidi="en-US"/>
        </w:rPr>
      </w:pPr>
      <w:r w:rsidRPr="00F21333">
        <w:rPr>
          <w:rFonts w:cstheme="minorHAnsi"/>
          <w:bCs/>
          <w:sz w:val="24"/>
          <w:szCs w:val="24"/>
          <w:lang w:eastAsia="ar-SA" w:bidi="en-US"/>
        </w:rPr>
        <w:t>Wszystkie uwagi zostały przekazane dyrektorom szkół, którzy zostali zobowiązani do</w:t>
      </w:r>
      <w:r>
        <w:rPr>
          <w:rFonts w:cstheme="minorHAnsi"/>
          <w:bCs/>
          <w:sz w:val="24"/>
          <w:szCs w:val="24"/>
          <w:lang w:eastAsia="ar-SA" w:bidi="en-US"/>
        </w:rPr>
        <w:t> </w:t>
      </w:r>
      <w:r w:rsidRPr="00F21333">
        <w:rPr>
          <w:rFonts w:cstheme="minorHAnsi"/>
          <w:bCs/>
          <w:sz w:val="24"/>
          <w:szCs w:val="24"/>
          <w:lang w:eastAsia="ar-SA" w:bidi="en-US"/>
        </w:rPr>
        <w:t>wyeliminowania błędów</w:t>
      </w:r>
      <w:r w:rsidRPr="00D07C7C">
        <w:rPr>
          <w:rFonts w:cstheme="minorHAnsi"/>
          <w:bCs/>
          <w:sz w:val="24"/>
          <w:szCs w:val="24"/>
          <w:lang w:eastAsia="ar-SA" w:bidi="en-US"/>
        </w:rPr>
        <w:t>. W</w:t>
      </w:r>
      <w:r w:rsidRPr="00D55A05">
        <w:rPr>
          <w:rFonts w:cstheme="minorHAnsi"/>
          <w:bCs/>
          <w:sz w:val="24"/>
          <w:szCs w:val="24"/>
          <w:lang w:eastAsia="ar-SA" w:bidi="en-US"/>
        </w:rPr>
        <w:t xml:space="preserve"> trakcie kontroli omawia</w:t>
      </w:r>
      <w:r>
        <w:rPr>
          <w:rFonts w:cstheme="minorHAnsi"/>
          <w:bCs/>
          <w:sz w:val="24"/>
          <w:szCs w:val="24"/>
          <w:lang w:eastAsia="ar-SA" w:bidi="en-US"/>
        </w:rPr>
        <w:t>no stwierdzane nieprawidłowości również z o</w:t>
      </w:r>
      <w:r w:rsidRPr="00D55A05">
        <w:rPr>
          <w:rFonts w:cstheme="minorHAnsi"/>
          <w:bCs/>
          <w:sz w:val="24"/>
          <w:szCs w:val="24"/>
          <w:lang w:eastAsia="ar-SA" w:bidi="en-US"/>
        </w:rPr>
        <w:t>sobami odpowiedzialnymi za układanie jadłospisów</w:t>
      </w:r>
      <w:r>
        <w:rPr>
          <w:rFonts w:cstheme="minorHAnsi"/>
          <w:bCs/>
          <w:sz w:val="24"/>
          <w:szCs w:val="24"/>
          <w:lang w:eastAsia="ar-SA" w:bidi="en-US"/>
        </w:rPr>
        <w:t xml:space="preserve"> i przygotowanie posiłków</w:t>
      </w:r>
      <w:r w:rsidRPr="00D55A05">
        <w:rPr>
          <w:rFonts w:cstheme="minorHAnsi"/>
          <w:bCs/>
          <w:sz w:val="24"/>
          <w:szCs w:val="24"/>
          <w:lang w:eastAsia="ar-SA" w:bidi="en-US"/>
        </w:rPr>
        <w:t>. W</w:t>
      </w:r>
      <w:r>
        <w:rPr>
          <w:rFonts w:cstheme="minorHAnsi"/>
          <w:bCs/>
          <w:sz w:val="24"/>
          <w:szCs w:val="24"/>
          <w:lang w:eastAsia="ar-SA" w:bidi="en-US"/>
        </w:rPr>
        <w:t> </w:t>
      </w:r>
      <w:r w:rsidRPr="00D55A05">
        <w:rPr>
          <w:rFonts w:cstheme="minorHAnsi"/>
          <w:bCs/>
          <w:sz w:val="24"/>
          <w:szCs w:val="24"/>
          <w:lang w:eastAsia="ar-SA" w:bidi="en-US"/>
        </w:rPr>
        <w:t xml:space="preserve">przypadkach, kiedy uwagi dotyczyły podmiotów zewnętrznych stosowne pisma </w:t>
      </w:r>
      <w:r w:rsidRPr="00D55A05">
        <w:rPr>
          <w:rFonts w:cstheme="minorHAnsi"/>
          <w:bCs/>
          <w:sz w:val="24"/>
          <w:szCs w:val="24"/>
          <w:lang w:eastAsia="ar-SA" w:bidi="en-US"/>
        </w:rPr>
        <w:lastRenderedPageBreak/>
        <w:t>wskazujące błędy kierowano do placówek lub firm cateringowych zajmujących się produkcją posiłków.</w:t>
      </w:r>
    </w:p>
    <w:p w14:paraId="581CE8E4" w14:textId="5CF5A60E" w:rsidR="00076C93" w:rsidRPr="00D55A05" w:rsidRDefault="00076C93" w:rsidP="00597239">
      <w:pPr>
        <w:spacing w:after="0" w:line="276" w:lineRule="auto"/>
        <w:rPr>
          <w:rFonts w:cstheme="minorHAnsi"/>
          <w:bCs/>
          <w:sz w:val="24"/>
          <w:szCs w:val="24"/>
          <w:lang w:eastAsia="ar-SA" w:bidi="en-US"/>
        </w:rPr>
      </w:pPr>
      <w:r>
        <w:rPr>
          <w:rFonts w:cstheme="minorHAnsi"/>
          <w:bCs/>
          <w:sz w:val="24"/>
          <w:szCs w:val="24"/>
          <w:lang w:eastAsia="ar-SA" w:bidi="en-US"/>
        </w:rPr>
        <w:t>O</w:t>
      </w:r>
      <w:r w:rsidRPr="00D55A05">
        <w:rPr>
          <w:rFonts w:cstheme="minorHAnsi"/>
          <w:bCs/>
          <w:sz w:val="24"/>
          <w:szCs w:val="24"/>
          <w:lang w:eastAsia="ar-SA" w:bidi="en-US"/>
        </w:rPr>
        <w:t xml:space="preserve">prócz bieżącego nadzoru nad jednostkami systemu oświaty, pracownicy PSSE prowadzili wzmożone działania kontrolne w typowych firmach cateringowych oraz innych zakładach, które przygotowują i dostarczają posiłki do jednostek systemu oświaty. </w:t>
      </w:r>
      <w:r w:rsidR="00FB6F6A">
        <w:rPr>
          <w:rFonts w:cstheme="minorHAnsi"/>
          <w:bCs/>
          <w:sz w:val="24"/>
          <w:szCs w:val="24"/>
          <w:lang w:eastAsia="ar-SA" w:bidi="en-US"/>
        </w:rPr>
        <w:t>S</w:t>
      </w:r>
      <w:r w:rsidRPr="00D55A05">
        <w:rPr>
          <w:rFonts w:cstheme="minorHAnsi"/>
          <w:bCs/>
          <w:sz w:val="24"/>
          <w:szCs w:val="24"/>
          <w:lang w:eastAsia="ar-SA" w:bidi="en-US"/>
        </w:rPr>
        <w:t xml:space="preserve">kontrolowano 86 takich zakładów. </w:t>
      </w:r>
      <w:r>
        <w:rPr>
          <w:rFonts w:cstheme="minorHAnsi"/>
          <w:bCs/>
          <w:sz w:val="24"/>
          <w:szCs w:val="24"/>
          <w:lang w:eastAsia="ar-SA" w:bidi="en-US"/>
        </w:rPr>
        <w:t xml:space="preserve"> </w:t>
      </w:r>
      <w:r w:rsidRPr="00D55A05">
        <w:rPr>
          <w:rFonts w:cstheme="minorHAnsi"/>
          <w:bCs/>
          <w:sz w:val="24"/>
          <w:szCs w:val="24"/>
          <w:lang w:eastAsia="ar-SA" w:bidi="en-US"/>
        </w:rPr>
        <w:t>W 38 stwierdzono nieprawidłowości dot. głównie:</w:t>
      </w:r>
    </w:p>
    <w:p w14:paraId="681F5249" w14:textId="77777777" w:rsidR="00076C93" w:rsidRPr="00C574D9" w:rsidRDefault="00076C93" w:rsidP="00597239">
      <w:pPr>
        <w:pStyle w:val="Akapitzlist"/>
        <w:numPr>
          <w:ilvl w:val="0"/>
          <w:numId w:val="92"/>
        </w:numPr>
        <w:spacing w:after="0" w:line="276" w:lineRule="auto"/>
        <w:rPr>
          <w:rFonts w:cstheme="minorHAnsi"/>
          <w:bCs/>
          <w:sz w:val="24"/>
          <w:szCs w:val="24"/>
          <w:lang w:eastAsia="ar-SA" w:bidi="en-US"/>
        </w:rPr>
      </w:pPr>
      <w:r w:rsidRPr="00C574D9">
        <w:rPr>
          <w:rFonts w:cstheme="minorHAnsi"/>
          <w:bCs/>
          <w:sz w:val="24"/>
          <w:szCs w:val="24"/>
          <w:lang w:eastAsia="ar-SA" w:bidi="en-US"/>
        </w:rPr>
        <w:t>złego stanu technicznego pomieszczeń oraz sprzętu;</w:t>
      </w:r>
    </w:p>
    <w:p w14:paraId="14A4A419" w14:textId="77777777" w:rsidR="00076C93" w:rsidRPr="00C574D9" w:rsidRDefault="00076C93" w:rsidP="00597239">
      <w:pPr>
        <w:pStyle w:val="Akapitzlist"/>
        <w:numPr>
          <w:ilvl w:val="0"/>
          <w:numId w:val="92"/>
        </w:numPr>
        <w:spacing w:after="0" w:line="276" w:lineRule="auto"/>
        <w:rPr>
          <w:rFonts w:cstheme="minorHAnsi"/>
          <w:bCs/>
          <w:sz w:val="24"/>
          <w:szCs w:val="24"/>
          <w:lang w:eastAsia="ar-SA" w:bidi="en-US"/>
        </w:rPr>
      </w:pPr>
      <w:r w:rsidRPr="00C574D9">
        <w:rPr>
          <w:rFonts w:cstheme="minorHAnsi"/>
          <w:bCs/>
          <w:sz w:val="24"/>
          <w:szCs w:val="24"/>
          <w:lang w:eastAsia="ar-SA" w:bidi="en-US"/>
        </w:rPr>
        <w:t>braku bieżącej czystości;</w:t>
      </w:r>
    </w:p>
    <w:p w14:paraId="0B3803F0" w14:textId="77777777" w:rsidR="00076C93" w:rsidRPr="00C574D9" w:rsidRDefault="00076C93" w:rsidP="00597239">
      <w:pPr>
        <w:pStyle w:val="Akapitzlist"/>
        <w:numPr>
          <w:ilvl w:val="0"/>
          <w:numId w:val="92"/>
        </w:numPr>
        <w:spacing w:after="0" w:line="276" w:lineRule="auto"/>
        <w:rPr>
          <w:rFonts w:cstheme="minorHAnsi"/>
          <w:bCs/>
          <w:sz w:val="24"/>
          <w:szCs w:val="24"/>
          <w:lang w:eastAsia="ar-SA" w:bidi="en-US"/>
        </w:rPr>
      </w:pPr>
      <w:r w:rsidRPr="00C574D9">
        <w:rPr>
          <w:rFonts w:cstheme="minorHAnsi"/>
          <w:bCs/>
          <w:sz w:val="24"/>
          <w:szCs w:val="24"/>
          <w:lang w:eastAsia="ar-SA" w:bidi="en-US"/>
        </w:rPr>
        <w:t>niewłaściwego przechowywania żywności (braku segregacji asortymentowej, przechowywania w warunkach niezgodnych z zaleceniami producenta);</w:t>
      </w:r>
    </w:p>
    <w:p w14:paraId="7EFBD225" w14:textId="77777777" w:rsidR="00076C93" w:rsidRPr="00C574D9" w:rsidRDefault="00076C93" w:rsidP="00597239">
      <w:pPr>
        <w:pStyle w:val="Akapitzlist"/>
        <w:numPr>
          <w:ilvl w:val="0"/>
          <w:numId w:val="92"/>
        </w:numPr>
        <w:spacing w:after="0" w:line="276" w:lineRule="auto"/>
        <w:rPr>
          <w:rFonts w:cstheme="minorHAnsi"/>
          <w:bCs/>
          <w:sz w:val="24"/>
          <w:szCs w:val="24"/>
          <w:lang w:eastAsia="ar-SA" w:bidi="en-US"/>
        </w:rPr>
      </w:pPr>
      <w:r w:rsidRPr="00C574D9">
        <w:rPr>
          <w:rFonts w:cstheme="minorHAnsi"/>
          <w:bCs/>
          <w:sz w:val="24"/>
          <w:szCs w:val="24"/>
          <w:lang w:eastAsia="ar-SA" w:bidi="en-US"/>
        </w:rPr>
        <w:t xml:space="preserve">odkładania próbek pokarmowych niezgodnie z wymaganiami </w:t>
      </w:r>
      <w:r w:rsidRPr="00C574D9">
        <w:rPr>
          <w:rFonts w:cstheme="minorHAnsi"/>
          <w:bCs/>
          <w:i/>
          <w:iCs/>
          <w:sz w:val="24"/>
          <w:szCs w:val="24"/>
          <w:lang w:eastAsia="ar-SA" w:bidi="en-US"/>
        </w:rPr>
        <w:t xml:space="preserve">rozporządzenia Ministra Zdrowia z dnia 17 kwietnia 2007 r. w sprawie pobierania i przechowywania próbek żywności przez zakłady żywienia zbiorowego typu </w:t>
      </w:r>
      <w:r w:rsidRPr="00C574D9">
        <w:rPr>
          <w:rFonts w:cstheme="minorHAnsi"/>
          <w:bCs/>
          <w:sz w:val="24"/>
          <w:szCs w:val="24"/>
          <w:lang w:eastAsia="ar-SA" w:bidi="en-US"/>
        </w:rPr>
        <w:t>zamkniętego (zbyt małe ilości, brak oznakowania pojemników, zbyt krótki czas przechowywania);</w:t>
      </w:r>
    </w:p>
    <w:p w14:paraId="1DB9CBFB" w14:textId="77777777" w:rsidR="00076C93" w:rsidRPr="00C574D9" w:rsidRDefault="00076C93" w:rsidP="00597239">
      <w:pPr>
        <w:pStyle w:val="Akapitzlist"/>
        <w:numPr>
          <w:ilvl w:val="0"/>
          <w:numId w:val="92"/>
        </w:numPr>
        <w:spacing w:after="0" w:line="276" w:lineRule="auto"/>
        <w:rPr>
          <w:rFonts w:cstheme="minorHAnsi"/>
          <w:bCs/>
          <w:sz w:val="24"/>
          <w:szCs w:val="24"/>
          <w:lang w:eastAsia="ar-SA" w:bidi="en-US"/>
        </w:rPr>
      </w:pPr>
      <w:r w:rsidRPr="00C574D9">
        <w:rPr>
          <w:rFonts w:cstheme="minorHAnsi"/>
          <w:bCs/>
          <w:sz w:val="24"/>
          <w:szCs w:val="24"/>
          <w:lang w:eastAsia="ar-SA" w:bidi="en-US"/>
        </w:rPr>
        <w:t xml:space="preserve">braku zapisów wynikających z systemu kontroli wewnętrznej opartego na zasadach HACCP. </w:t>
      </w:r>
    </w:p>
    <w:p w14:paraId="0E003E48" w14:textId="77777777" w:rsidR="00C574D9" w:rsidRDefault="00C574D9" w:rsidP="00597239">
      <w:pPr>
        <w:spacing w:after="0" w:line="276" w:lineRule="auto"/>
        <w:rPr>
          <w:rFonts w:ascii="Calibri" w:hAnsi="Calibri" w:cs="Calibri"/>
          <w:bCs/>
          <w:sz w:val="24"/>
          <w:szCs w:val="24"/>
          <w:lang w:eastAsia="ar-SA"/>
        </w:rPr>
      </w:pPr>
    </w:p>
    <w:p w14:paraId="7BD31D71" w14:textId="5FEFCFB5" w:rsidR="00076C93" w:rsidRPr="0010739E" w:rsidRDefault="00076C93" w:rsidP="00597239">
      <w:pPr>
        <w:spacing w:after="0" w:line="276" w:lineRule="auto"/>
        <w:rPr>
          <w:rFonts w:ascii="Calibri" w:hAnsi="Calibri" w:cs="Calibri"/>
          <w:bCs/>
          <w:sz w:val="24"/>
          <w:szCs w:val="24"/>
          <w:lang w:eastAsia="ar-SA"/>
        </w:rPr>
      </w:pPr>
      <w:r w:rsidRPr="0010739E">
        <w:rPr>
          <w:rFonts w:ascii="Calibri" w:hAnsi="Calibri" w:cs="Calibri"/>
          <w:bCs/>
          <w:sz w:val="24"/>
          <w:szCs w:val="24"/>
          <w:lang w:eastAsia="ar-SA"/>
        </w:rPr>
        <w:t>Wobec przedsiębiorców niespełniających wymagań prawa żywnościowego wszczynano postępowania administracyjne i zobowiązywano do usunięcia nieprawidłowości.</w:t>
      </w:r>
    </w:p>
    <w:p w14:paraId="5CA1ECA6" w14:textId="2D7D505D" w:rsidR="00076C93" w:rsidRDefault="00076C93" w:rsidP="00597239">
      <w:pPr>
        <w:spacing w:after="0" w:line="276" w:lineRule="auto"/>
        <w:rPr>
          <w:rFonts w:ascii="Calibri" w:hAnsi="Calibri" w:cs="Calibri"/>
          <w:sz w:val="24"/>
          <w:szCs w:val="24"/>
        </w:rPr>
      </w:pPr>
      <w:r>
        <w:rPr>
          <w:rFonts w:ascii="Calibri" w:hAnsi="Calibri" w:cs="Calibri"/>
          <w:bCs/>
          <w:sz w:val="24"/>
          <w:szCs w:val="24"/>
          <w:lang w:eastAsia="ar-SA"/>
        </w:rPr>
        <w:t>Sk</w:t>
      </w:r>
      <w:r w:rsidRPr="006A63F5">
        <w:rPr>
          <w:rFonts w:ascii="Calibri" w:hAnsi="Calibri" w:cs="Calibri"/>
          <w:sz w:val="24"/>
          <w:szCs w:val="24"/>
        </w:rPr>
        <w:t xml:space="preserve">ontrolowano </w:t>
      </w:r>
      <w:r>
        <w:rPr>
          <w:rFonts w:ascii="Calibri" w:hAnsi="Calibri" w:cs="Calibri"/>
          <w:sz w:val="24"/>
          <w:szCs w:val="24"/>
        </w:rPr>
        <w:t xml:space="preserve">30% sklepików objętych nadzorem, </w:t>
      </w:r>
      <w:r w:rsidRPr="006A63F5">
        <w:rPr>
          <w:rFonts w:ascii="Calibri" w:hAnsi="Calibri" w:cs="Calibri"/>
          <w:sz w:val="24"/>
          <w:szCs w:val="24"/>
        </w:rPr>
        <w:t>przeprowadzając w nich 51 kontroli</w:t>
      </w:r>
      <w:r>
        <w:rPr>
          <w:rFonts w:ascii="Calibri" w:hAnsi="Calibri" w:cs="Calibri"/>
          <w:sz w:val="24"/>
          <w:szCs w:val="24"/>
        </w:rPr>
        <w:t xml:space="preserve">. </w:t>
      </w:r>
      <w:r w:rsidRPr="00D07C7C">
        <w:rPr>
          <w:rFonts w:ascii="Calibri" w:hAnsi="Calibri" w:cs="Calibri"/>
          <w:sz w:val="24"/>
          <w:szCs w:val="24"/>
        </w:rPr>
        <w:t>Asortyment w większości przypadków spełniał wymagania rozporządzenia Ministra Zdrowia z</w:t>
      </w:r>
      <w:r w:rsidR="002E1F9D">
        <w:rPr>
          <w:rFonts w:ascii="Calibri" w:hAnsi="Calibri" w:cs="Calibri"/>
          <w:sz w:val="24"/>
          <w:szCs w:val="24"/>
        </w:rPr>
        <w:t> </w:t>
      </w:r>
      <w:r w:rsidRPr="00D07C7C">
        <w:rPr>
          <w:rFonts w:ascii="Calibri" w:hAnsi="Calibri" w:cs="Calibri"/>
          <w:sz w:val="24"/>
          <w:szCs w:val="24"/>
        </w:rPr>
        <w:t xml:space="preserve">dnia 26 lipca 2016 r. w sprawie grup środków spożywczych </w:t>
      </w:r>
      <w:r>
        <w:rPr>
          <w:rFonts w:ascii="Calibri" w:hAnsi="Calibri" w:cs="Calibri"/>
          <w:sz w:val="24"/>
          <w:szCs w:val="24"/>
        </w:rPr>
        <w:t>p</w:t>
      </w:r>
      <w:r w:rsidRPr="00D07C7C">
        <w:rPr>
          <w:rFonts w:ascii="Calibri" w:hAnsi="Calibri" w:cs="Calibri"/>
          <w:sz w:val="24"/>
          <w:szCs w:val="24"/>
        </w:rPr>
        <w:t>rzeznaczonych do sprzedaży dzieciom i młodzieży w jednostkach systemu oświaty oraz wymagań, jakie muszą spełniać środki spożywcze stosowane w ramach żywienia zbiorowego dzieci i młodzieży w tych jednostkach.</w:t>
      </w:r>
      <w:r w:rsidRPr="00F5370B">
        <w:rPr>
          <w:rFonts w:ascii="Calibri" w:hAnsi="Calibri" w:cs="Calibri"/>
          <w:sz w:val="24"/>
          <w:szCs w:val="24"/>
        </w:rPr>
        <w:t xml:space="preserve"> </w:t>
      </w:r>
      <w:r w:rsidRPr="006A63F5">
        <w:rPr>
          <w:rFonts w:ascii="Calibri" w:hAnsi="Calibri" w:cs="Calibri"/>
          <w:sz w:val="24"/>
          <w:szCs w:val="24"/>
        </w:rPr>
        <w:t xml:space="preserve">W 5 sklepikach szkolnych stwierdzono wprowadzanie do obrotu handlowego </w:t>
      </w:r>
      <w:r w:rsidRPr="00B95797">
        <w:rPr>
          <w:rFonts w:ascii="Calibri" w:hAnsi="Calibri" w:cs="Calibri"/>
          <w:sz w:val="24"/>
          <w:szCs w:val="24"/>
        </w:rPr>
        <w:t>asortymentu niezgodnego z ww. rozporządzeniem Ministra Zdrowia, głównie były to napoje oraz słodkie i słone przekąski typu batoniki i chipsy. W związku z tym zobowiąz</w:t>
      </w:r>
      <w:r>
        <w:rPr>
          <w:rFonts w:ascii="Calibri" w:hAnsi="Calibri" w:cs="Calibri"/>
          <w:sz w:val="24"/>
          <w:szCs w:val="24"/>
        </w:rPr>
        <w:t>yw</w:t>
      </w:r>
      <w:r w:rsidRPr="00B95797">
        <w:rPr>
          <w:rFonts w:ascii="Calibri" w:hAnsi="Calibri" w:cs="Calibri"/>
          <w:sz w:val="24"/>
          <w:szCs w:val="24"/>
        </w:rPr>
        <w:t>ano osoby odpowiedzialne do wycofania tych produktów z punktów sprzedaży w jednostkach systemu oświaty.</w:t>
      </w:r>
    </w:p>
    <w:p w14:paraId="5DAC2B17" w14:textId="5371B50E" w:rsidR="00FB6F6A" w:rsidRDefault="00FB6F6A" w:rsidP="00597239">
      <w:pPr>
        <w:spacing w:after="0" w:line="276" w:lineRule="auto"/>
        <w:rPr>
          <w:rFonts w:ascii="Calibri" w:hAnsi="Calibri" w:cs="Calibri"/>
          <w:sz w:val="24"/>
          <w:szCs w:val="24"/>
        </w:rPr>
      </w:pPr>
      <w:r>
        <w:rPr>
          <w:rFonts w:ascii="Calibri" w:hAnsi="Calibri" w:cs="Calibri"/>
          <w:sz w:val="24"/>
          <w:szCs w:val="24"/>
        </w:rPr>
        <w:t xml:space="preserve">Kontrolą objęto również automaty </w:t>
      </w:r>
      <w:proofErr w:type="spellStart"/>
      <w:r>
        <w:rPr>
          <w:rFonts w:ascii="Calibri" w:hAnsi="Calibri" w:cs="Calibri"/>
          <w:sz w:val="24"/>
          <w:szCs w:val="24"/>
        </w:rPr>
        <w:t>vendingowe</w:t>
      </w:r>
      <w:proofErr w:type="spellEnd"/>
      <w:r>
        <w:rPr>
          <w:rFonts w:ascii="Calibri" w:hAnsi="Calibri" w:cs="Calibri"/>
          <w:sz w:val="24"/>
          <w:szCs w:val="24"/>
        </w:rPr>
        <w:t xml:space="preserve">. W większości oferowany asortyment był zgodny z cyt. rozporządzeniem. Tylko około 4% zawierało produkty, które nie spełniały wymagań. Nadzór nad tą formą sprzedaży będzie kontynuowany w 2025 roku. </w:t>
      </w:r>
    </w:p>
    <w:p w14:paraId="523F21FC" w14:textId="77777777" w:rsidR="00777D94" w:rsidRPr="00820779" w:rsidRDefault="00777D94" w:rsidP="00597239">
      <w:pPr>
        <w:spacing w:after="0" w:line="276" w:lineRule="auto"/>
        <w:rPr>
          <w:rFonts w:ascii="Calibri" w:hAnsi="Calibri" w:cs="Calibri"/>
          <w:sz w:val="24"/>
          <w:szCs w:val="24"/>
        </w:rPr>
      </w:pPr>
    </w:p>
    <w:p w14:paraId="09ADA5C1" w14:textId="6C684DD6" w:rsidR="00CD55AD" w:rsidRPr="00C12063" w:rsidRDefault="00CD55AD" w:rsidP="00597239">
      <w:pPr>
        <w:pStyle w:val="Nagwek2"/>
        <w:numPr>
          <w:ilvl w:val="0"/>
          <w:numId w:val="59"/>
        </w:numPr>
        <w:spacing w:before="0" w:after="0"/>
        <w:ind w:left="284" w:hanging="284"/>
        <w:jc w:val="left"/>
        <w:rPr>
          <w:rFonts w:eastAsia="Calibri"/>
        </w:rPr>
      </w:pPr>
      <w:bookmarkStart w:id="352" w:name="_Toc194059846"/>
      <w:r w:rsidRPr="00C12063">
        <w:rPr>
          <w:rFonts w:eastAsia="Calibri"/>
        </w:rPr>
        <w:t>Warunki realizacji profilaktycznej opieki zdrowotnej nad uczniami w szkołach</w:t>
      </w:r>
      <w:bookmarkEnd w:id="352"/>
    </w:p>
    <w:p w14:paraId="6F54CCF9" w14:textId="23486325" w:rsidR="00C574D9" w:rsidRDefault="00CD55AD" w:rsidP="00597239">
      <w:pPr>
        <w:pStyle w:val="NormalnyWeb"/>
        <w:spacing w:before="0" w:beforeAutospacing="0" w:after="0" w:afterAutospacing="0" w:line="276" w:lineRule="auto"/>
        <w:rPr>
          <w:rFonts w:ascii="Calibri" w:hAnsi="Calibri" w:cs="Calibri"/>
        </w:rPr>
      </w:pPr>
      <w:r w:rsidRPr="00C12063">
        <w:rPr>
          <w:rFonts w:ascii="Calibri" w:hAnsi="Calibri" w:cs="Calibri"/>
        </w:rPr>
        <w:t>Zgodnie z obowiązującymi przepisami, opieka zdrowotna nad uczniami jest realizowana w</w:t>
      </w:r>
      <w:r w:rsidR="002E1F9D">
        <w:rPr>
          <w:rFonts w:ascii="Calibri" w:hAnsi="Calibri" w:cs="Calibri"/>
        </w:rPr>
        <w:t> </w:t>
      </w:r>
      <w:r w:rsidRPr="00C12063">
        <w:rPr>
          <w:rFonts w:ascii="Calibri" w:hAnsi="Calibri" w:cs="Calibri"/>
        </w:rPr>
        <w:t>szkole i obejmuje profilaktyczną opiekę zdrowotną, promocję zdrowia oraz opiekę stomatologiczną. Profilaktyczna opieka zdrowotna sprawowana jest nad uczniami do</w:t>
      </w:r>
      <w:r w:rsidR="00820779">
        <w:rPr>
          <w:rFonts w:ascii="Calibri" w:hAnsi="Calibri" w:cs="Calibri"/>
        </w:rPr>
        <w:t> </w:t>
      </w:r>
      <w:r w:rsidRPr="00C12063">
        <w:rPr>
          <w:rFonts w:ascii="Calibri" w:hAnsi="Calibri" w:cs="Calibri"/>
        </w:rPr>
        <w:t xml:space="preserve">ukończenia 19 roku życia, a w przypadku uczniów posiadających orzeczenie o potrzebie kształcenia specjalnego - do ukończenia szkoły ponadpodstawowej. Profilaktyczną opiekę zdrowotną nad uczniami w szkole sprawują pielęgniarki środowiska nauczania i wychowania lub higienistki szkolne. Profilaktyczna opieka zdrowotna w szkole realizowana jest w </w:t>
      </w:r>
      <w:r w:rsidRPr="00C12063">
        <w:rPr>
          <w:rFonts w:ascii="Calibri" w:hAnsi="Calibri" w:cs="Calibri"/>
        </w:rPr>
        <w:lastRenderedPageBreak/>
        <w:t>gabinecie profilaktyki zdrowotnej zlokalizowanym w szkole, a w przypadku braku gabinetu, w miejscu określonym w umowie o udzielanie świadczeń opieki zdrowotnej.</w:t>
      </w:r>
    </w:p>
    <w:p w14:paraId="03735D16" w14:textId="77777777" w:rsidR="00C574D9" w:rsidRPr="00C12063" w:rsidRDefault="00C574D9" w:rsidP="00597239">
      <w:pPr>
        <w:pStyle w:val="NormalnyWeb"/>
        <w:spacing w:before="0" w:beforeAutospacing="0" w:after="0" w:afterAutospacing="0" w:line="276" w:lineRule="auto"/>
        <w:rPr>
          <w:rFonts w:ascii="Calibri" w:hAnsi="Calibri" w:cs="Calibri"/>
        </w:rPr>
      </w:pPr>
    </w:p>
    <w:p w14:paraId="0C34F75A" w14:textId="464A8289" w:rsidR="00CD55AD" w:rsidRDefault="00CD55AD" w:rsidP="00597239">
      <w:pPr>
        <w:spacing w:after="0" w:line="276" w:lineRule="auto"/>
        <w:rPr>
          <w:rFonts w:ascii="Calibri" w:eastAsia="Times New Roman" w:hAnsi="Calibri" w:cs="Calibri"/>
          <w:sz w:val="24"/>
          <w:szCs w:val="24"/>
          <w:lang w:eastAsia="pl-PL"/>
        </w:rPr>
      </w:pPr>
      <w:r w:rsidRPr="00C12063">
        <w:rPr>
          <w:rFonts w:ascii="Calibri" w:eastAsia="Times New Roman" w:hAnsi="Calibri" w:cs="Calibri"/>
          <w:sz w:val="24"/>
          <w:szCs w:val="24"/>
          <w:lang w:eastAsia="pl-PL"/>
        </w:rPr>
        <w:t>W 2024 roku pracownicy Państwowej Inspekcji Sanitarnej skontrolowali w powyższym zakresie 433 szkoły. 326 placówek posiadało gabinet profilaktyki zdrowotnej do własnej dyspozycji, a 27 wspólny z inną placówką w tym samym obiekcie. Ponadto w 49 szkołach podstawową opiekę zdrowotną zapewniono w pomieszczeniach zastępczych na terenie placówki, np.: gabinetach psychologów, pedagogów, pokojach nauczycielskich, gdzie opieka medyczna sprawowana była przez pielęgniarkę. W 31 placówkach ze względu na warunki lokalowe niepozwalające na wydzielenie gabinetu lub oddzielnego pomieszczenia do</w:t>
      </w:r>
      <w:r w:rsidR="00820779">
        <w:rPr>
          <w:rFonts w:ascii="Calibri" w:eastAsia="Times New Roman" w:hAnsi="Calibri" w:cs="Calibri"/>
          <w:sz w:val="24"/>
          <w:szCs w:val="24"/>
          <w:lang w:eastAsia="pl-PL"/>
        </w:rPr>
        <w:t> </w:t>
      </w:r>
      <w:r w:rsidRPr="00C12063">
        <w:rPr>
          <w:rFonts w:ascii="Calibri" w:eastAsia="Times New Roman" w:hAnsi="Calibri" w:cs="Calibri"/>
          <w:sz w:val="24"/>
          <w:szCs w:val="24"/>
          <w:lang w:eastAsia="pl-PL"/>
        </w:rPr>
        <w:t>świadczenia podstawowej opieki zdrowotnej korzystano z usług przychodni rodzinnych lub ośrodków zdrowia, z którymi dyrektorzy szkół podpisali porozumienia.</w:t>
      </w:r>
      <w:r>
        <w:rPr>
          <w:rFonts w:ascii="Calibri" w:eastAsia="Times New Roman" w:hAnsi="Calibri" w:cs="Calibri"/>
          <w:sz w:val="24"/>
          <w:szCs w:val="24"/>
          <w:lang w:eastAsia="pl-PL"/>
        </w:rPr>
        <w:t xml:space="preserve"> </w:t>
      </w:r>
    </w:p>
    <w:p w14:paraId="66AA77F0" w14:textId="77777777" w:rsidR="00C574D9" w:rsidRPr="00873B98" w:rsidRDefault="00C574D9" w:rsidP="00597239">
      <w:pPr>
        <w:spacing w:after="0" w:line="276" w:lineRule="auto"/>
        <w:rPr>
          <w:rFonts w:ascii="Calibri" w:eastAsia="Times New Roman" w:hAnsi="Calibri" w:cs="Calibri"/>
          <w:color w:val="FF0000"/>
          <w:sz w:val="24"/>
          <w:szCs w:val="24"/>
          <w:lang w:eastAsia="pl-PL"/>
        </w:rPr>
      </w:pPr>
    </w:p>
    <w:p w14:paraId="6701F609" w14:textId="77777777" w:rsidR="00CD55AD" w:rsidRDefault="00CD55AD" w:rsidP="00597239">
      <w:pPr>
        <w:spacing w:after="0" w:line="276" w:lineRule="auto"/>
        <w:rPr>
          <w:rFonts w:ascii="Calibri" w:eastAsia="Times New Roman" w:hAnsi="Calibri" w:cs="Calibri"/>
          <w:sz w:val="24"/>
          <w:szCs w:val="24"/>
          <w:lang w:eastAsia="pl-PL"/>
        </w:rPr>
      </w:pPr>
      <w:r w:rsidRPr="00CF2690">
        <w:rPr>
          <w:rFonts w:ascii="Calibri" w:eastAsia="Calibri" w:hAnsi="Calibri" w:cs="Times New Roman"/>
          <w:sz w:val="24"/>
        </w:rPr>
        <w:t xml:space="preserve">Większość gabinetów była w dobrym stanie sanitarnohigienicznym i technicznym, w </w:t>
      </w:r>
      <w:r>
        <w:rPr>
          <w:rFonts w:ascii="Calibri" w:eastAsia="Calibri" w:hAnsi="Calibri" w:cs="Times New Roman"/>
          <w:sz w:val="24"/>
        </w:rPr>
        <w:t>14</w:t>
      </w:r>
      <w:r w:rsidRPr="00CF2690">
        <w:rPr>
          <w:rFonts w:ascii="Calibri" w:eastAsia="Calibri" w:hAnsi="Calibri" w:cs="Times New Roman"/>
          <w:sz w:val="24"/>
        </w:rPr>
        <w:t xml:space="preserve"> szkołach podstawowych wszczęte zostało postępowanie administracyjne sprawie stwierdzonych uchybień w gabinetach opieki przedmedycznej w zakresie niewłaściwego stanu sanitarno – technicznego i braku dostępu do bieżącej ciepłej wody.</w:t>
      </w:r>
      <w:r w:rsidRPr="007C5ADB">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Zostały wydane decyzje nakazujące usunięcie ww. nieprawidłowości.</w:t>
      </w:r>
    </w:p>
    <w:p w14:paraId="790A7178" w14:textId="77777777" w:rsidR="00D65330" w:rsidRDefault="00D65330" w:rsidP="00597239">
      <w:pPr>
        <w:spacing w:after="0" w:line="276" w:lineRule="auto"/>
        <w:rPr>
          <w:rFonts w:ascii="Calibri" w:eastAsia="Times New Roman" w:hAnsi="Calibri" w:cs="Calibri"/>
          <w:sz w:val="24"/>
          <w:szCs w:val="24"/>
          <w:lang w:eastAsia="pl-PL"/>
        </w:rPr>
      </w:pPr>
    </w:p>
    <w:p w14:paraId="732342E7" w14:textId="77777777" w:rsidR="008D0D62" w:rsidRPr="00CF2690" w:rsidRDefault="008D0D62" w:rsidP="00597239">
      <w:pPr>
        <w:spacing w:after="0" w:line="276" w:lineRule="auto"/>
        <w:rPr>
          <w:rFonts w:ascii="Calibri" w:eastAsia="Times New Roman" w:hAnsi="Calibri" w:cs="Calibri"/>
          <w:sz w:val="24"/>
          <w:szCs w:val="24"/>
          <w:lang w:eastAsia="pl-PL"/>
        </w:rPr>
      </w:pPr>
    </w:p>
    <w:p w14:paraId="7AE97810" w14:textId="7196EE7B" w:rsidR="00CD55AD" w:rsidRPr="00041A4F" w:rsidRDefault="00870C98" w:rsidP="00597239">
      <w:pPr>
        <w:rPr>
          <w:rFonts w:ascii="Calibri" w:eastAsia="Calibri" w:hAnsi="Calibri" w:cs="Calibri"/>
          <w:bCs/>
          <w:sz w:val="24"/>
          <w:szCs w:val="24"/>
        </w:rPr>
      </w:pPr>
      <w:r>
        <w:rPr>
          <w:rFonts w:ascii="Calibri" w:eastAsia="Calibri" w:hAnsi="Calibri" w:cs="Calibri"/>
          <w:bCs/>
          <w:noProof/>
          <w:sz w:val="24"/>
          <w:szCs w:val="24"/>
        </w:rPr>
        <w:drawing>
          <wp:inline distT="0" distB="0" distL="0" distR="0" wp14:anchorId="4647CB43" wp14:editId="067486D7">
            <wp:extent cx="5760720" cy="3840480"/>
            <wp:effectExtent l="0" t="0" r="0" b="7620"/>
            <wp:docPr id="1615078713" name="Obraz 16" descr="Sprawdzanie poziomu ciśnienia krwi dzie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78713" name="Obraz 16" descr="Sprawdzanie poziomu ciśnienia krwi dziecka."/>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a:noFill/>
                    </a:ln>
                    <a:effectLst>
                      <a:softEdge rad="112500"/>
                    </a:effectLst>
                  </pic:spPr>
                </pic:pic>
              </a:graphicData>
            </a:graphic>
          </wp:inline>
        </w:drawing>
      </w:r>
      <w:r w:rsidR="00DD750A">
        <w:rPr>
          <w:rFonts w:ascii="Calibri" w:eastAsia="Calibri" w:hAnsi="Calibri" w:cs="Calibri"/>
          <w:bCs/>
          <w:sz w:val="24"/>
          <w:szCs w:val="24"/>
        </w:rPr>
        <w:br w:type="page"/>
      </w:r>
    </w:p>
    <w:p w14:paraId="1C6EA0DD" w14:textId="50D9D863" w:rsidR="00CD55AD" w:rsidRDefault="00CD55AD" w:rsidP="00597239">
      <w:pPr>
        <w:pStyle w:val="Nagwek1"/>
        <w:numPr>
          <w:ilvl w:val="0"/>
          <w:numId w:val="76"/>
        </w:numPr>
        <w:spacing w:before="0" w:after="0"/>
        <w:ind w:left="0" w:firstLine="0"/>
        <w:jc w:val="left"/>
        <w:rPr>
          <w:rFonts w:eastAsia="Times New Roman"/>
        </w:rPr>
      </w:pPr>
      <w:bookmarkStart w:id="353" w:name="_Toc135041771"/>
      <w:bookmarkStart w:id="354" w:name="_Toc194059847"/>
      <w:r w:rsidRPr="00041A4F">
        <w:rPr>
          <w:rFonts w:eastAsia="Times New Roman"/>
        </w:rPr>
        <w:lastRenderedPageBreak/>
        <w:t>Warunki wypoczynku oraz rekreacji dzieci i</w:t>
      </w:r>
      <w:r w:rsidR="00DF3F15">
        <w:rPr>
          <w:rFonts w:eastAsia="Times New Roman"/>
        </w:rPr>
        <w:t xml:space="preserve"> </w:t>
      </w:r>
      <w:r w:rsidRPr="00041A4F">
        <w:rPr>
          <w:rFonts w:eastAsia="Times New Roman"/>
        </w:rPr>
        <w:t>młodzieży</w:t>
      </w:r>
      <w:bookmarkEnd w:id="353"/>
      <w:bookmarkEnd w:id="354"/>
    </w:p>
    <w:p w14:paraId="4789FEF2" w14:textId="77777777" w:rsidR="00777D94" w:rsidRPr="00777D94" w:rsidRDefault="00777D94" w:rsidP="00597239">
      <w:pPr>
        <w:spacing w:after="0"/>
      </w:pPr>
    </w:p>
    <w:p w14:paraId="28AAE22D" w14:textId="784795E4" w:rsidR="00CD55AD" w:rsidRPr="00DD750A" w:rsidRDefault="00CD55AD" w:rsidP="00597239">
      <w:pPr>
        <w:pStyle w:val="Nagwek2"/>
        <w:numPr>
          <w:ilvl w:val="0"/>
          <w:numId w:val="60"/>
        </w:numPr>
        <w:spacing w:before="0" w:after="0"/>
        <w:ind w:left="568" w:hanging="284"/>
        <w:jc w:val="left"/>
        <w:rPr>
          <w:rFonts w:eastAsia="Times New Roman"/>
        </w:rPr>
      </w:pPr>
      <w:bookmarkStart w:id="355" w:name="_Toc135041772"/>
      <w:bookmarkStart w:id="356" w:name="_Toc194059848"/>
      <w:r w:rsidRPr="00041A4F">
        <w:rPr>
          <w:rFonts w:eastAsia="Times New Roman"/>
        </w:rPr>
        <w:t>Wypoczynek zimowy</w:t>
      </w:r>
      <w:bookmarkEnd w:id="355"/>
      <w:bookmarkEnd w:id="356"/>
    </w:p>
    <w:p w14:paraId="3EB395F0" w14:textId="0415CA4B" w:rsidR="00CD55AD" w:rsidRPr="00AC20C1" w:rsidRDefault="00CD55AD" w:rsidP="00597239">
      <w:pPr>
        <w:spacing w:after="0" w:line="276" w:lineRule="auto"/>
        <w:rPr>
          <w:rFonts w:ascii="Calibri" w:eastAsia="Calibri" w:hAnsi="Calibri" w:cs="Times New Roman"/>
          <w:sz w:val="24"/>
          <w:szCs w:val="24"/>
        </w:rPr>
      </w:pPr>
      <w:bookmarkStart w:id="357" w:name="_Toc133231387"/>
      <w:bookmarkStart w:id="358" w:name="_Toc133236374"/>
      <w:bookmarkStart w:id="359" w:name="_Toc133311764"/>
      <w:bookmarkStart w:id="360" w:name="_Toc133320628"/>
      <w:bookmarkStart w:id="361" w:name="_Toc133321739"/>
      <w:r w:rsidRPr="00041A4F">
        <w:rPr>
          <w:rFonts w:ascii="Calibri" w:eastAsia="Calibri" w:hAnsi="Calibri" w:cs="Times New Roman"/>
          <w:sz w:val="24"/>
          <w:szCs w:val="24"/>
        </w:rPr>
        <w:t xml:space="preserve">W 2024 roku w bazie wypoczynku MEN zgłoszono 333 turnusów dla 10 932 uczestników. Skontrolowano 143 turnusy, na których wypoczywało 4342 dzieci i młodzieży. Najwięcej form wypoczynku </w:t>
      </w:r>
      <w:r w:rsidR="00FD3723" w:rsidRPr="00041A4F">
        <w:rPr>
          <w:rFonts w:ascii="Calibri" w:eastAsia="Calibri" w:hAnsi="Calibri" w:cs="Times New Roman"/>
          <w:sz w:val="24"/>
          <w:szCs w:val="24"/>
        </w:rPr>
        <w:t>zorganizowano w</w:t>
      </w:r>
      <w:r w:rsidRPr="00041A4F">
        <w:rPr>
          <w:rFonts w:ascii="Calibri" w:eastAsia="Calibri" w:hAnsi="Calibri" w:cs="Times New Roman"/>
          <w:sz w:val="24"/>
          <w:szCs w:val="24"/>
        </w:rPr>
        <w:t> miejscu zamieszkania (półkolonie) – 196, następnie w obiektach hotelowych lub innych obiektach, w których świadczone są usługi hotelarskie – 120</w:t>
      </w:r>
      <w:r w:rsidRPr="00AC20C1">
        <w:rPr>
          <w:rFonts w:ascii="Calibri" w:eastAsia="Calibri" w:hAnsi="Calibri" w:cs="Times New Roman"/>
          <w:sz w:val="24"/>
          <w:szCs w:val="24"/>
        </w:rPr>
        <w:t xml:space="preserve">. W 17 przypadkach wypoczynek zorganizowano w obiektach wykorzystywanych okazjonalnie do tego celu.  </w:t>
      </w:r>
    </w:p>
    <w:p w14:paraId="78C076D9" w14:textId="77777777" w:rsidR="00C574D9" w:rsidRDefault="00C574D9" w:rsidP="00597239">
      <w:pPr>
        <w:spacing w:after="0" w:line="276" w:lineRule="auto"/>
        <w:rPr>
          <w:rFonts w:ascii="Calibri" w:eastAsia="Calibri" w:hAnsi="Calibri" w:cs="Times New Roman"/>
          <w:sz w:val="24"/>
          <w:szCs w:val="24"/>
        </w:rPr>
      </w:pPr>
    </w:p>
    <w:p w14:paraId="0A8BFDDE" w14:textId="2E61CB49" w:rsidR="00CD55AD" w:rsidRPr="00AC20C1" w:rsidRDefault="00CD55AD" w:rsidP="00597239">
      <w:pPr>
        <w:spacing w:after="0" w:line="276" w:lineRule="auto"/>
        <w:rPr>
          <w:rFonts w:ascii="Calibri" w:eastAsia="Calibri" w:hAnsi="Calibri" w:cs="Times New Roman"/>
          <w:sz w:val="24"/>
          <w:szCs w:val="24"/>
        </w:rPr>
      </w:pPr>
      <w:r w:rsidRPr="00AC20C1">
        <w:rPr>
          <w:rFonts w:ascii="Calibri" w:eastAsia="Calibri" w:hAnsi="Calibri" w:cs="Times New Roman"/>
          <w:sz w:val="24"/>
          <w:szCs w:val="24"/>
        </w:rPr>
        <w:t xml:space="preserve">W większości przypadków skontrolowane turnusy zapewniły właściwe warunki higieniczno-sanitarne do wypoczynku dzieci i młodzieży. </w:t>
      </w:r>
    </w:p>
    <w:p w14:paraId="2C1D2731" w14:textId="77777777" w:rsidR="00C574D9" w:rsidRDefault="00C574D9" w:rsidP="00597239">
      <w:pPr>
        <w:spacing w:after="0" w:line="276" w:lineRule="auto"/>
        <w:rPr>
          <w:rFonts w:ascii="Calibri" w:eastAsia="Calibri" w:hAnsi="Calibri" w:cs="Times New Roman"/>
          <w:sz w:val="24"/>
          <w:szCs w:val="24"/>
        </w:rPr>
      </w:pPr>
    </w:p>
    <w:p w14:paraId="3796F3C8" w14:textId="0A9C600A" w:rsidR="00CD55AD" w:rsidRPr="00AC20C1" w:rsidRDefault="00CD55AD" w:rsidP="00597239">
      <w:pPr>
        <w:spacing w:after="0" w:line="276" w:lineRule="auto"/>
        <w:rPr>
          <w:rFonts w:ascii="Calibri" w:eastAsia="Calibri" w:hAnsi="Calibri" w:cs="Times New Roman"/>
          <w:sz w:val="24"/>
          <w:szCs w:val="24"/>
        </w:rPr>
      </w:pPr>
      <w:r w:rsidRPr="00AC20C1">
        <w:rPr>
          <w:rFonts w:ascii="Calibri" w:eastAsia="Calibri" w:hAnsi="Calibri" w:cs="Times New Roman"/>
          <w:sz w:val="24"/>
          <w:szCs w:val="24"/>
        </w:rPr>
        <w:t>Uchybienia i nieprawidłowości stanu sanitarno-technicznego stwierdzono w 6 obiektach, które dotyczyły:</w:t>
      </w:r>
      <w:bookmarkEnd w:id="357"/>
      <w:bookmarkEnd w:id="358"/>
      <w:bookmarkEnd w:id="359"/>
      <w:bookmarkEnd w:id="360"/>
      <w:bookmarkEnd w:id="361"/>
    </w:p>
    <w:p w14:paraId="35131A18" w14:textId="77777777" w:rsidR="00CD55AD" w:rsidRPr="00AC20C1" w:rsidRDefault="00CD55AD" w:rsidP="00597239">
      <w:pPr>
        <w:numPr>
          <w:ilvl w:val="0"/>
          <w:numId w:val="15"/>
        </w:numPr>
        <w:spacing w:after="0" w:line="276" w:lineRule="auto"/>
        <w:contextualSpacing/>
        <w:rPr>
          <w:rFonts w:ascii="Calibri" w:eastAsia="Calibri" w:hAnsi="Calibri" w:cs="Times New Roman"/>
          <w:sz w:val="24"/>
          <w:szCs w:val="24"/>
        </w:rPr>
      </w:pPr>
      <w:r w:rsidRPr="00AC20C1">
        <w:rPr>
          <w:rFonts w:ascii="Calibri" w:eastAsia="Calibri" w:hAnsi="Calibri" w:cs="Times New Roman"/>
          <w:sz w:val="24"/>
          <w:szCs w:val="24"/>
        </w:rPr>
        <w:t>braków w umeblowaniu - niedostatecznej ilości szaf na odzież oraz krzeseł lub taboretów,</w:t>
      </w:r>
    </w:p>
    <w:p w14:paraId="38DCEDC6" w14:textId="77777777" w:rsidR="00CD55AD" w:rsidRPr="00AC20C1" w:rsidRDefault="00CD55AD" w:rsidP="00597239">
      <w:pPr>
        <w:numPr>
          <w:ilvl w:val="0"/>
          <w:numId w:val="15"/>
        </w:numPr>
        <w:spacing w:after="0" w:line="276" w:lineRule="auto"/>
        <w:contextualSpacing/>
        <w:rPr>
          <w:rFonts w:ascii="Calibri" w:eastAsia="Calibri" w:hAnsi="Calibri" w:cs="Times New Roman"/>
          <w:sz w:val="24"/>
          <w:szCs w:val="24"/>
        </w:rPr>
      </w:pPr>
      <w:r w:rsidRPr="00AC20C1">
        <w:rPr>
          <w:rFonts w:ascii="Calibri" w:eastAsia="Calibri" w:hAnsi="Calibri" w:cs="Times New Roman"/>
          <w:sz w:val="24"/>
          <w:szCs w:val="24"/>
        </w:rPr>
        <w:t xml:space="preserve">niewłaściwego stanu sanitarno - technicznego pomieszczeń sanitarnych, </w:t>
      </w:r>
    </w:p>
    <w:p w14:paraId="0E9AA3B8" w14:textId="77777777" w:rsidR="00CD55AD" w:rsidRPr="00AC20C1" w:rsidRDefault="00CD55AD" w:rsidP="00597239">
      <w:pPr>
        <w:numPr>
          <w:ilvl w:val="0"/>
          <w:numId w:val="15"/>
        </w:numPr>
        <w:spacing w:after="0" w:line="276" w:lineRule="auto"/>
        <w:contextualSpacing/>
        <w:rPr>
          <w:rFonts w:ascii="Calibri" w:eastAsia="Calibri" w:hAnsi="Calibri" w:cs="Times New Roman"/>
          <w:sz w:val="24"/>
          <w:szCs w:val="24"/>
        </w:rPr>
      </w:pPr>
      <w:r w:rsidRPr="00AC20C1">
        <w:rPr>
          <w:rFonts w:ascii="Calibri" w:eastAsia="Calibri" w:hAnsi="Calibri" w:cs="Times New Roman"/>
          <w:sz w:val="24"/>
          <w:szCs w:val="24"/>
        </w:rPr>
        <w:t>niewłaściwego stanu technicznego stolarki drzwiowej oraz wyposażenia,</w:t>
      </w:r>
    </w:p>
    <w:p w14:paraId="3094F356" w14:textId="36C6CB4C" w:rsidR="00CD55AD" w:rsidRPr="00AC20C1" w:rsidRDefault="00CD55AD" w:rsidP="00597239">
      <w:pPr>
        <w:numPr>
          <w:ilvl w:val="0"/>
          <w:numId w:val="15"/>
        </w:numPr>
        <w:spacing w:after="0"/>
        <w:contextualSpacing/>
        <w:rPr>
          <w:rFonts w:ascii="Calibri" w:eastAsia="Calibri" w:hAnsi="Calibri" w:cs="Times New Roman"/>
          <w:sz w:val="24"/>
          <w:szCs w:val="24"/>
        </w:rPr>
      </w:pPr>
      <w:r w:rsidRPr="00AC20C1">
        <w:rPr>
          <w:rFonts w:ascii="Calibri" w:eastAsia="Calibri" w:hAnsi="Calibri" w:cs="Times New Roman"/>
          <w:sz w:val="24"/>
          <w:szCs w:val="24"/>
        </w:rPr>
        <w:t>braku zapisów dotyczących systemów kontroli wewnętrznej HACCP,</w:t>
      </w:r>
    </w:p>
    <w:p w14:paraId="5D47EAD4" w14:textId="77777777" w:rsidR="00CD55AD" w:rsidRDefault="00CD55AD" w:rsidP="00597239">
      <w:pPr>
        <w:numPr>
          <w:ilvl w:val="0"/>
          <w:numId w:val="15"/>
        </w:numPr>
        <w:spacing w:after="0"/>
        <w:contextualSpacing/>
        <w:rPr>
          <w:rFonts w:ascii="Calibri" w:eastAsia="Calibri" w:hAnsi="Calibri" w:cs="Times New Roman"/>
          <w:sz w:val="24"/>
          <w:szCs w:val="24"/>
        </w:rPr>
      </w:pPr>
      <w:r w:rsidRPr="00AC20C1">
        <w:rPr>
          <w:rFonts w:ascii="Calibri" w:eastAsia="Calibri" w:hAnsi="Calibri" w:cs="Times New Roman"/>
          <w:sz w:val="24"/>
          <w:szCs w:val="24"/>
        </w:rPr>
        <w:t>mrożen</w:t>
      </w:r>
      <w:r>
        <w:rPr>
          <w:rFonts w:ascii="Calibri" w:eastAsia="Calibri" w:hAnsi="Calibri" w:cs="Times New Roman"/>
          <w:sz w:val="24"/>
          <w:szCs w:val="24"/>
        </w:rPr>
        <w:t>ia</w:t>
      </w:r>
      <w:r w:rsidRPr="00AC20C1">
        <w:rPr>
          <w:rFonts w:ascii="Calibri" w:eastAsia="Calibri" w:hAnsi="Calibri" w:cs="Times New Roman"/>
          <w:sz w:val="24"/>
          <w:szCs w:val="24"/>
        </w:rPr>
        <w:t xml:space="preserve"> we własnym zakresie dużych ilości przygotowanych w zakładzie potraw,</w:t>
      </w:r>
    </w:p>
    <w:p w14:paraId="2B08B6E3" w14:textId="77777777" w:rsidR="00CD55AD" w:rsidRPr="00AC20C1" w:rsidRDefault="00CD55AD" w:rsidP="00597239">
      <w:pPr>
        <w:numPr>
          <w:ilvl w:val="0"/>
          <w:numId w:val="15"/>
        </w:numPr>
        <w:spacing w:after="0"/>
        <w:contextualSpacing/>
        <w:rPr>
          <w:rFonts w:ascii="Calibri" w:eastAsia="Calibri" w:hAnsi="Calibri" w:cs="Times New Roman"/>
          <w:sz w:val="24"/>
          <w:szCs w:val="24"/>
        </w:rPr>
      </w:pPr>
      <w:r w:rsidRPr="00AC20C1">
        <w:rPr>
          <w:rFonts w:ascii="Calibri" w:eastAsia="Calibri" w:hAnsi="Calibri" w:cs="Times New Roman"/>
          <w:sz w:val="24"/>
          <w:szCs w:val="24"/>
        </w:rPr>
        <w:t>przetrzymywan</w:t>
      </w:r>
      <w:r>
        <w:rPr>
          <w:rFonts w:ascii="Calibri" w:eastAsia="Calibri" w:hAnsi="Calibri" w:cs="Times New Roman"/>
          <w:sz w:val="24"/>
          <w:szCs w:val="24"/>
        </w:rPr>
        <w:t>ia</w:t>
      </w:r>
      <w:r w:rsidRPr="00AC20C1">
        <w:rPr>
          <w:rFonts w:ascii="Calibri" w:eastAsia="Calibri" w:hAnsi="Calibri" w:cs="Times New Roman"/>
          <w:sz w:val="24"/>
          <w:szCs w:val="24"/>
        </w:rPr>
        <w:t xml:space="preserve"> </w:t>
      </w:r>
      <w:r>
        <w:rPr>
          <w:rFonts w:ascii="Calibri" w:eastAsia="Calibri" w:hAnsi="Calibri" w:cs="Times New Roman"/>
          <w:sz w:val="24"/>
          <w:szCs w:val="24"/>
        </w:rPr>
        <w:t>żywności w niewłaściwych warunkach</w:t>
      </w:r>
      <w:r w:rsidRPr="00AC20C1">
        <w:rPr>
          <w:rFonts w:ascii="Calibri" w:eastAsia="Calibri" w:hAnsi="Calibri" w:cs="Times New Roman"/>
          <w:sz w:val="24"/>
          <w:szCs w:val="24"/>
        </w:rPr>
        <w:t>,</w:t>
      </w:r>
    </w:p>
    <w:p w14:paraId="085CDD36" w14:textId="77777777" w:rsidR="00CD55AD" w:rsidRDefault="00CD55AD" w:rsidP="00597239">
      <w:pPr>
        <w:numPr>
          <w:ilvl w:val="0"/>
          <w:numId w:val="15"/>
        </w:numPr>
        <w:spacing w:after="0"/>
        <w:contextualSpacing/>
        <w:rPr>
          <w:rFonts w:ascii="Calibri" w:eastAsia="Calibri" w:hAnsi="Calibri" w:cs="Times New Roman"/>
          <w:sz w:val="24"/>
          <w:szCs w:val="24"/>
        </w:rPr>
      </w:pPr>
      <w:r w:rsidRPr="00AC20C1">
        <w:rPr>
          <w:rFonts w:ascii="Calibri" w:eastAsia="Calibri" w:hAnsi="Calibri" w:cs="Times New Roman"/>
          <w:sz w:val="24"/>
          <w:szCs w:val="24"/>
        </w:rPr>
        <w:t>niewłaściwego stanu technicznego pomieszczeń bloku żywienia.</w:t>
      </w:r>
    </w:p>
    <w:p w14:paraId="7CE93307" w14:textId="77777777" w:rsidR="00C574D9" w:rsidRPr="00AC20C1" w:rsidRDefault="00C574D9" w:rsidP="00597239">
      <w:pPr>
        <w:spacing w:after="0"/>
        <w:contextualSpacing/>
        <w:rPr>
          <w:rFonts w:ascii="Calibri" w:eastAsia="Calibri" w:hAnsi="Calibri" w:cs="Times New Roman"/>
          <w:sz w:val="24"/>
          <w:szCs w:val="24"/>
        </w:rPr>
      </w:pPr>
    </w:p>
    <w:p w14:paraId="0D28937F" w14:textId="6AF8881B" w:rsidR="00CD55AD" w:rsidRDefault="00CD55AD" w:rsidP="00597239">
      <w:pPr>
        <w:spacing w:after="0" w:line="276" w:lineRule="auto"/>
        <w:contextualSpacing/>
        <w:rPr>
          <w:rFonts w:ascii="Calibri" w:eastAsia="Calibri" w:hAnsi="Calibri" w:cs="Times New Roman"/>
          <w:sz w:val="24"/>
          <w:lang w:eastAsia="ar-SA"/>
        </w:rPr>
      </w:pPr>
      <w:r w:rsidRPr="007C5ADB">
        <w:rPr>
          <w:rFonts w:ascii="Calibri" w:eastAsia="Calibri" w:hAnsi="Calibri" w:cs="Times New Roman"/>
          <w:sz w:val="24"/>
          <w:lang w:eastAsia="ar-SA"/>
        </w:rPr>
        <w:t>W celu zapewnienia właściwych warunków higienicznosanitarnych zobowiązano placówki do usunięcia stwierdzonych nieprawidłowości</w:t>
      </w:r>
      <w:r>
        <w:rPr>
          <w:rFonts w:ascii="Calibri" w:eastAsia="Calibri" w:hAnsi="Calibri" w:cs="Times New Roman"/>
          <w:sz w:val="24"/>
          <w:lang w:eastAsia="ar-SA"/>
        </w:rPr>
        <w:t>.</w:t>
      </w:r>
    </w:p>
    <w:p w14:paraId="556A9E82" w14:textId="77777777" w:rsidR="00777D94" w:rsidRPr="006039D5" w:rsidRDefault="00777D94" w:rsidP="00597239">
      <w:pPr>
        <w:spacing w:after="0" w:line="276" w:lineRule="auto"/>
        <w:contextualSpacing/>
        <w:rPr>
          <w:rFonts w:ascii="Calibri" w:eastAsia="Calibri" w:hAnsi="Calibri" w:cs="Times New Roman"/>
          <w:sz w:val="24"/>
          <w:szCs w:val="24"/>
        </w:rPr>
      </w:pPr>
    </w:p>
    <w:p w14:paraId="1FCA49FD" w14:textId="1230F930" w:rsidR="00CD55AD" w:rsidRPr="00D65330" w:rsidRDefault="00CD55AD" w:rsidP="00597239">
      <w:pPr>
        <w:pStyle w:val="Nagwek2"/>
        <w:numPr>
          <w:ilvl w:val="0"/>
          <w:numId w:val="60"/>
        </w:numPr>
        <w:spacing w:before="0" w:after="0"/>
        <w:ind w:left="284" w:hanging="284"/>
        <w:jc w:val="left"/>
        <w:rPr>
          <w:rFonts w:eastAsia="Times New Roman"/>
        </w:rPr>
      </w:pPr>
      <w:bookmarkStart w:id="362" w:name="_Toc135041773"/>
      <w:bookmarkStart w:id="363" w:name="_Toc194059849"/>
      <w:r w:rsidRPr="00AC20C1">
        <w:rPr>
          <w:rFonts w:eastAsia="Times New Roman"/>
        </w:rPr>
        <w:t>Wypoczynek letni</w:t>
      </w:r>
      <w:bookmarkEnd w:id="362"/>
      <w:bookmarkEnd w:id="363"/>
    </w:p>
    <w:p w14:paraId="2E852ED3" w14:textId="77777777" w:rsidR="00CD55AD" w:rsidRPr="00FA1D67" w:rsidRDefault="00CD55AD" w:rsidP="00597239">
      <w:pPr>
        <w:spacing w:after="0" w:line="276" w:lineRule="auto"/>
        <w:rPr>
          <w:rFonts w:ascii="Calibri" w:eastAsia="Calibri" w:hAnsi="Calibri" w:cs="Calibri"/>
          <w:bCs/>
          <w:sz w:val="24"/>
          <w:szCs w:val="24"/>
        </w:rPr>
      </w:pPr>
      <w:r w:rsidRPr="00FA1D67">
        <w:rPr>
          <w:rFonts w:ascii="Calibri" w:eastAsia="Calibri" w:hAnsi="Calibri" w:cs="Calibri"/>
          <w:bCs/>
          <w:sz w:val="24"/>
          <w:szCs w:val="24"/>
        </w:rPr>
        <w:t>Na terenie woj. zachodniopomorskiego w okresie wakacyjnym organizatorzy wypoczynku dla dzieci i młodzieży zgłosili łącznie 3534 turnusy dla 160 724 uczestników wypoczynku.</w:t>
      </w:r>
    </w:p>
    <w:p w14:paraId="46622C2B" w14:textId="77777777" w:rsidR="00CD55AD" w:rsidRPr="00406E40" w:rsidRDefault="00CD55AD" w:rsidP="00597239">
      <w:pPr>
        <w:spacing w:after="0" w:line="276" w:lineRule="auto"/>
        <w:ind w:firstLine="709"/>
        <w:rPr>
          <w:rFonts w:ascii="Calibri" w:eastAsia="Calibri" w:hAnsi="Calibri" w:cs="Calibri"/>
          <w:bCs/>
          <w:sz w:val="24"/>
          <w:szCs w:val="24"/>
        </w:rPr>
      </w:pPr>
      <w:r w:rsidRPr="00406E40">
        <w:rPr>
          <w:rFonts w:ascii="Calibri" w:eastAsia="Calibri" w:hAnsi="Calibri" w:cs="Calibri"/>
          <w:bCs/>
          <w:sz w:val="24"/>
          <w:szCs w:val="24"/>
        </w:rPr>
        <w:t>Najwięcej wypoczynków zorganizowano w:</w:t>
      </w:r>
    </w:p>
    <w:p w14:paraId="3F454D74" w14:textId="77777777" w:rsidR="00CD55AD" w:rsidRPr="00406E40" w:rsidRDefault="00CD55AD" w:rsidP="00597239">
      <w:pPr>
        <w:pStyle w:val="Akapitzlist"/>
        <w:numPr>
          <w:ilvl w:val="0"/>
          <w:numId w:val="29"/>
        </w:numPr>
        <w:tabs>
          <w:tab w:val="left" w:pos="357"/>
        </w:tabs>
        <w:spacing w:after="0" w:line="276" w:lineRule="auto"/>
        <w:ind w:left="714" w:hanging="357"/>
        <w:rPr>
          <w:rFonts w:ascii="Calibri" w:eastAsia="Calibri" w:hAnsi="Calibri" w:cs="Times New Roman"/>
          <w:bCs/>
          <w:sz w:val="24"/>
        </w:rPr>
      </w:pPr>
      <w:r w:rsidRPr="00406E40">
        <w:rPr>
          <w:rFonts w:ascii="Calibri" w:eastAsia="Calibri" w:hAnsi="Calibri" w:cs="Times New Roman"/>
          <w:bCs/>
          <w:sz w:val="24"/>
        </w:rPr>
        <w:t>2263 w obiektach hotelowych lub innych obiektach świadczących usługi</w:t>
      </w:r>
      <w:r>
        <w:rPr>
          <w:rFonts w:ascii="Calibri" w:eastAsia="Calibri" w:hAnsi="Calibri" w:cs="Times New Roman"/>
          <w:bCs/>
          <w:sz w:val="24"/>
        </w:rPr>
        <w:t xml:space="preserve"> hotelarskie</w:t>
      </w:r>
      <w:r w:rsidRPr="00406E40">
        <w:rPr>
          <w:rFonts w:ascii="Calibri" w:eastAsia="Calibri" w:hAnsi="Calibri" w:cs="Times New Roman"/>
          <w:bCs/>
          <w:sz w:val="24"/>
        </w:rPr>
        <w:t>,</w:t>
      </w:r>
    </w:p>
    <w:p w14:paraId="60B94131" w14:textId="77777777" w:rsidR="00CD55AD" w:rsidRPr="00406E40" w:rsidRDefault="00CD55AD" w:rsidP="00597239">
      <w:pPr>
        <w:pStyle w:val="Akapitzlist"/>
        <w:numPr>
          <w:ilvl w:val="0"/>
          <w:numId w:val="29"/>
        </w:numPr>
        <w:tabs>
          <w:tab w:val="left" w:pos="357"/>
        </w:tabs>
        <w:spacing w:after="0" w:line="276" w:lineRule="auto"/>
        <w:ind w:left="714" w:hanging="357"/>
        <w:rPr>
          <w:rFonts w:ascii="Calibri" w:eastAsia="Calibri" w:hAnsi="Calibri" w:cs="Times New Roman"/>
          <w:bCs/>
          <w:sz w:val="24"/>
        </w:rPr>
      </w:pPr>
      <w:r w:rsidRPr="00406E40">
        <w:rPr>
          <w:rFonts w:ascii="Calibri" w:eastAsia="Calibri" w:hAnsi="Calibri" w:cs="Times New Roman"/>
          <w:bCs/>
          <w:sz w:val="24"/>
        </w:rPr>
        <w:t>497 w obiektach używanych okazjonalnie do wypoczynku świadczących usługi,</w:t>
      </w:r>
    </w:p>
    <w:p w14:paraId="3E06DDC7" w14:textId="77777777" w:rsidR="00CD55AD" w:rsidRPr="00406E40" w:rsidRDefault="00CD55AD" w:rsidP="00597239">
      <w:pPr>
        <w:pStyle w:val="Akapitzlist"/>
        <w:numPr>
          <w:ilvl w:val="0"/>
          <w:numId w:val="29"/>
        </w:numPr>
        <w:tabs>
          <w:tab w:val="left" w:pos="357"/>
        </w:tabs>
        <w:spacing w:after="0" w:line="276" w:lineRule="auto"/>
        <w:ind w:left="714" w:hanging="357"/>
        <w:rPr>
          <w:rFonts w:ascii="Calibri" w:eastAsia="Calibri" w:hAnsi="Calibri" w:cs="Times New Roman"/>
          <w:bCs/>
          <w:sz w:val="24"/>
        </w:rPr>
      </w:pPr>
      <w:r w:rsidRPr="00406E40">
        <w:rPr>
          <w:rFonts w:ascii="Calibri" w:eastAsia="Calibri" w:hAnsi="Calibri" w:cs="Times New Roman"/>
          <w:bCs/>
          <w:sz w:val="24"/>
        </w:rPr>
        <w:t>49 obozów pod namiotami ze stałą infrastrukturą komunalną,</w:t>
      </w:r>
    </w:p>
    <w:p w14:paraId="2876E121" w14:textId="77777777" w:rsidR="00CD55AD" w:rsidRPr="00406E40" w:rsidRDefault="00CD55AD" w:rsidP="00597239">
      <w:pPr>
        <w:pStyle w:val="Akapitzlist"/>
        <w:numPr>
          <w:ilvl w:val="0"/>
          <w:numId w:val="29"/>
        </w:numPr>
        <w:tabs>
          <w:tab w:val="left" w:pos="357"/>
        </w:tabs>
        <w:spacing w:after="0" w:line="276" w:lineRule="auto"/>
        <w:ind w:left="714" w:hanging="357"/>
        <w:rPr>
          <w:rFonts w:ascii="Calibri" w:eastAsia="Calibri" w:hAnsi="Calibri" w:cs="Times New Roman"/>
          <w:bCs/>
          <w:sz w:val="24"/>
        </w:rPr>
      </w:pPr>
      <w:r w:rsidRPr="00406E40">
        <w:rPr>
          <w:rFonts w:ascii="Calibri" w:eastAsia="Calibri" w:hAnsi="Calibri" w:cs="Times New Roman"/>
          <w:bCs/>
          <w:sz w:val="24"/>
        </w:rPr>
        <w:t>82 obozów pod namiotami bez stałej infrastruktury komunalnej.</w:t>
      </w:r>
    </w:p>
    <w:p w14:paraId="73A76D8D" w14:textId="77777777" w:rsidR="00CD55AD" w:rsidRPr="00406E40" w:rsidRDefault="00CD55AD" w:rsidP="00597239">
      <w:pPr>
        <w:spacing w:after="0" w:line="276" w:lineRule="auto"/>
        <w:ind w:firstLine="709"/>
        <w:rPr>
          <w:rFonts w:ascii="Calibri" w:eastAsia="Calibri" w:hAnsi="Calibri" w:cs="Calibri"/>
          <w:bCs/>
          <w:sz w:val="24"/>
        </w:rPr>
      </w:pPr>
      <w:r w:rsidRPr="00406E40">
        <w:rPr>
          <w:rFonts w:ascii="Calibri" w:eastAsia="Calibri" w:hAnsi="Calibri" w:cs="Calibri"/>
          <w:bCs/>
          <w:sz w:val="24"/>
        </w:rPr>
        <w:t>Ponadto 643 formy wypoczynku zorganizowano w miejscu zamieszkania - półkolonie.</w:t>
      </w:r>
    </w:p>
    <w:p w14:paraId="7922ADC2" w14:textId="77777777" w:rsidR="00CD55AD" w:rsidRPr="00406E40" w:rsidRDefault="00CD55AD" w:rsidP="00597239">
      <w:pPr>
        <w:spacing w:after="0" w:line="276" w:lineRule="auto"/>
        <w:rPr>
          <w:rFonts w:ascii="Calibri" w:eastAsia="Calibri" w:hAnsi="Calibri" w:cs="Calibri"/>
          <w:bCs/>
          <w:sz w:val="24"/>
        </w:rPr>
      </w:pPr>
      <w:r w:rsidRPr="00406E40">
        <w:rPr>
          <w:rFonts w:ascii="Calibri" w:eastAsia="Calibri" w:hAnsi="Calibri" w:cs="Calibri"/>
          <w:bCs/>
          <w:sz w:val="24"/>
        </w:rPr>
        <w:t>Skontrolowano 633 turnusy, na których wypoczywało 29 209 dzieci i młodzieży.</w:t>
      </w:r>
    </w:p>
    <w:p w14:paraId="4C92DD2D" w14:textId="77777777" w:rsidR="00C574D9" w:rsidRDefault="00C574D9" w:rsidP="00597239">
      <w:pPr>
        <w:spacing w:after="0" w:line="276" w:lineRule="auto"/>
        <w:rPr>
          <w:rFonts w:ascii="Calibri" w:eastAsia="Calibri" w:hAnsi="Calibri" w:cs="Calibri"/>
          <w:bCs/>
          <w:sz w:val="24"/>
        </w:rPr>
      </w:pPr>
    </w:p>
    <w:p w14:paraId="48FCF95E" w14:textId="19577E3E" w:rsidR="00B362B3" w:rsidRDefault="00CD55AD" w:rsidP="00597239">
      <w:pPr>
        <w:spacing w:after="0" w:line="276" w:lineRule="auto"/>
        <w:rPr>
          <w:rFonts w:ascii="Calibri" w:eastAsia="Calibri" w:hAnsi="Calibri" w:cs="Calibri"/>
          <w:bCs/>
          <w:sz w:val="24"/>
        </w:rPr>
      </w:pPr>
      <w:r w:rsidRPr="00406E40">
        <w:rPr>
          <w:rFonts w:ascii="Calibri" w:eastAsia="Calibri" w:hAnsi="Calibri" w:cs="Calibri"/>
          <w:bCs/>
          <w:sz w:val="24"/>
        </w:rPr>
        <w:t xml:space="preserve">Wyniki przeprowadzonych czynności kontrolnych wykazały, że warunki, w których przebywały dzieci i młodzież w większości przypadków nie budziły zastrzeżeń w zakresie </w:t>
      </w:r>
      <w:r w:rsidRPr="00406E40">
        <w:rPr>
          <w:rFonts w:ascii="Calibri" w:eastAsia="Calibri" w:hAnsi="Calibri" w:cs="Calibri"/>
          <w:bCs/>
          <w:sz w:val="24"/>
        </w:rPr>
        <w:lastRenderedPageBreak/>
        <w:t>stanu sanitarno-higienicznego i technicznego. Nieprawidłowości stwierdzano w 41 placówkach</w:t>
      </w:r>
      <w:r w:rsidR="00B362B3">
        <w:rPr>
          <w:rFonts w:ascii="Calibri" w:eastAsia="Calibri" w:hAnsi="Calibri" w:cs="Calibri"/>
          <w:bCs/>
          <w:sz w:val="24"/>
        </w:rPr>
        <w:t>.</w:t>
      </w:r>
      <w:r w:rsidRPr="00406E40">
        <w:rPr>
          <w:rFonts w:ascii="Calibri" w:eastAsia="Calibri" w:hAnsi="Calibri" w:cs="Calibri"/>
          <w:bCs/>
          <w:sz w:val="24"/>
        </w:rPr>
        <w:t xml:space="preserve"> </w:t>
      </w:r>
    </w:p>
    <w:p w14:paraId="17EB1F52" w14:textId="77777777" w:rsidR="00B362B3" w:rsidRDefault="00B362B3" w:rsidP="00597239">
      <w:pPr>
        <w:spacing w:after="0" w:line="276" w:lineRule="auto"/>
        <w:rPr>
          <w:rFonts w:ascii="Calibri" w:eastAsia="Calibri" w:hAnsi="Calibri" w:cs="Calibri"/>
          <w:bCs/>
          <w:sz w:val="24"/>
        </w:rPr>
      </w:pPr>
    </w:p>
    <w:p w14:paraId="4270EF47" w14:textId="171190C2" w:rsidR="00CD55AD" w:rsidRPr="00406E40" w:rsidRDefault="00B362B3" w:rsidP="00597239">
      <w:pPr>
        <w:spacing w:after="0" w:line="276" w:lineRule="auto"/>
        <w:rPr>
          <w:rFonts w:ascii="Calibri" w:eastAsia="Calibri" w:hAnsi="Calibri" w:cs="Calibri"/>
          <w:bCs/>
          <w:sz w:val="24"/>
        </w:rPr>
      </w:pPr>
      <w:r>
        <w:rPr>
          <w:rFonts w:ascii="Calibri" w:eastAsia="Calibri" w:hAnsi="Calibri" w:cs="Calibri"/>
          <w:bCs/>
          <w:sz w:val="24"/>
        </w:rPr>
        <w:t>N</w:t>
      </w:r>
      <w:r w:rsidR="00CD55AD" w:rsidRPr="00406E40">
        <w:rPr>
          <w:rFonts w:ascii="Calibri" w:eastAsia="Calibri" w:hAnsi="Calibri" w:cs="Calibri"/>
          <w:bCs/>
          <w:sz w:val="24"/>
        </w:rPr>
        <w:t>ajczęściej były to:</w:t>
      </w:r>
    </w:p>
    <w:p w14:paraId="01983DC1"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eastAsia="Times New Roman" w:hAnsi="Calibri" w:cs="Calibri"/>
          <w:sz w:val="24"/>
          <w:szCs w:val="24"/>
          <w:lang w:eastAsia="zh-CN"/>
        </w:rPr>
        <w:t>niewłaściwy stan sanitarno-higieniczny i techniczny wyposażenia oraz pomieszczeń kuchennych, pokoi mieszkalnych pomieszczeń higienicznosanitarnych,</w:t>
      </w:r>
    </w:p>
    <w:p w14:paraId="4885C91D"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eastAsia="Times New Roman" w:hAnsi="Calibri" w:cs="Calibri"/>
          <w:sz w:val="24"/>
          <w:szCs w:val="24"/>
          <w:lang w:eastAsia="ar-SA"/>
        </w:rPr>
        <w:t>niedostateczna liczba urządzeń sanitarnych,</w:t>
      </w:r>
    </w:p>
    <w:p w14:paraId="4F81399F" w14:textId="1D5BFDCA"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eastAsia="Times New Roman" w:hAnsi="Calibri" w:cs="Calibri"/>
          <w:sz w:val="24"/>
          <w:szCs w:val="24"/>
          <w:lang w:eastAsia="ar-SA"/>
        </w:rPr>
        <w:t xml:space="preserve">brak aktualnej dokumentacji </w:t>
      </w:r>
      <w:r w:rsidR="00584A77" w:rsidRPr="00C574D9">
        <w:rPr>
          <w:rFonts w:ascii="Calibri" w:eastAsia="Times New Roman" w:hAnsi="Calibri" w:cs="Calibri"/>
          <w:sz w:val="24"/>
          <w:szCs w:val="24"/>
          <w:lang w:eastAsia="ar-SA"/>
        </w:rPr>
        <w:t>sanitarno-epidemiologicznej</w:t>
      </w:r>
      <w:r w:rsidRPr="00C574D9">
        <w:rPr>
          <w:rFonts w:ascii="Calibri" w:eastAsia="Times New Roman" w:hAnsi="Calibri" w:cs="Calibri"/>
          <w:sz w:val="24"/>
          <w:szCs w:val="24"/>
          <w:lang w:eastAsia="ar-SA"/>
        </w:rPr>
        <w:t xml:space="preserve"> personelu,</w:t>
      </w:r>
    </w:p>
    <w:p w14:paraId="2B8C7722" w14:textId="720C02D2"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hAnsi="Calibri" w:cs="Calibri"/>
          <w:iCs/>
          <w:sz w:val="24"/>
          <w:szCs w:val="24"/>
        </w:rPr>
        <w:t>udostępnianie niepoprawnie opracowanego wykazu alergenów występujących w produkowanej i wprowadzanej do obrotu żywności,</w:t>
      </w:r>
    </w:p>
    <w:p w14:paraId="46C31C2F" w14:textId="69F1451D"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hAnsi="Calibri" w:cs="Calibri"/>
          <w:iCs/>
          <w:sz w:val="24"/>
          <w:szCs w:val="24"/>
        </w:rPr>
        <w:t>przechowywanie środków spożywczych niezgodnie z zaleceniami producenta,</w:t>
      </w:r>
      <w:r w:rsidRPr="00C574D9">
        <w:rPr>
          <w:rFonts w:ascii="Calibri" w:hAnsi="Calibri" w:cs="Calibri"/>
        </w:rPr>
        <w:t xml:space="preserve"> </w:t>
      </w:r>
      <w:r w:rsidRPr="00C574D9">
        <w:rPr>
          <w:rFonts w:ascii="Calibri" w:hAnsi="Calibri" w:cs="Calibri"/>
          <w:iCs/>
          <w:sz w:val="24"/>
          <w:szCs w:val="24"/>
        </w:rPr>
        <w:t>po</w:t>
      </w:r>
      <w:r w:rsidR="00020A86">
        <w:rPr>
          <w:rFonts w:ascii="Calibri" w:hAnsi="Calibri" w:cs="Calibri"/>
          <w:iCs/>
          <w:sz w:val="24"/>
          <w:szCs w:val="24"/>
        </w:rPr>
        <w:t> </w:t>
      </w:r>
      <w:r w:rsidRPr="00C574D9">
        <w:rPr>
          <w:rFonts w:ascii="Calibri" w:hAnsi="Calibri" w:cs="Calibri"/>
          <w:iCs/>
          <w:sz w:val="24"/>
          <w:szCs w:val="24"/>
        </w:rPr>
        <w:t>upływie terminu przydatności do spożycia/ daty minimalnej trwałości,</w:t>
      </w:r>
    </w:p>
    <w:p w14:paraId="461CFFD4"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eastAsia="Times New Roman" w:hAnsi="Calibri" w:cs="Calibri"/>
          <w:sz w:val="24"/>
          <w:szCs w:val="24"/>
          <w:lang w:eastAsia="ar-SA"/>
        </w:rPr>
        <w:t>brak bieżących zapisów w dokumentacji operacyjnej GHP/GMP/HACCP oraz monitorowania Krytycznych Punktów Kontroli,</w:t>
      </w:r>
    </w:p>
    <w:p w14:paraId="618F502A"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SimSun" w:hAnsi="Calibri" w:cs="Calibri"/>
          <w:iCs/>
          <w:sz w:val="24"/>
          <w:szCs w:val="24"/>
          <w:lang w:eastAsia="zh-CN"/>
        </w:rPr>
      </w:pPr>
      <w:r w:rsidRPr="00C574D9">
        <w:rPr>
          <w:rFonts w:ascii="Calibri" w:eastAsia="SimSun" w:hAnsi="Calibri" w:cs="Calibri"/>
          <w:iCs/>
          <w:sz w:val="24"/>
          <w:szCs w:val="24"/>
          <w:lang w:eastAsia="zh-CN"/>
        </w:rPr>
        <w:t>brak bielizny pościelowej na kołdrach i poduszkach, brak prześcieradeł,</w:t>
      </w:r>
    </w:p>
    <w:p w14:paraId="52034787"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SimSun" w:hAnsi="Calibri" w:cs="Calibri"/>
          <w:iCs/>
          <w:sz w:val="24"/>
          <w:szCs w:val="24"/>
          <w:lang w:eastAsia="zh-CN"/>
        </w:rPr>
      </w:pPr>
      <w:r w:rsidRPr="00C574D9">
        <w:rPr>
          <w:rFonts w:ascii="Calibri" w:eastAsia="Times New Roman" w:hAnsi="Calibri" w:cs="Calibri"/>
          <w:bCs/>
          <w:iCs/>
          <w:sz w:val="24"/>
          <w:szCs w:val="24"/>
          <w:lang w:eastAsia="ar-SA"/>
        </w:rPr>
        <w:t>brak dostępu do bieżącej ciepłej wody w pomieszczeniach sanitarnych dla dzieci,</w:t>
      </w:r>
      <w:r w:rsidRPr="00C574D9">
        <w:rPr>
          <w:rFonts w:ascii="Calibri" w:hAnsi="Calibri" w:cs="Calibri"/>
        </w:rPr>
        <w:t xml:space="preserve"> </w:t>
      </w:r>
    </w:p>
    <w:p w14:paraId="62DBF1F0"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eastAsia="Times New Roman" w:hAnsi="Calibri" w:cs="Calibri"/>
          <w:sz w:val="24"/>
          <w:szCs w:val="24"/>
          <w:lang w:eastAsia="ar-SA"/>
        </w:rPr>
        <w:t>zbyt mała ilość miejsca do przechowywania rzeczy osobistych uczestników w pokojach mieszkalnych,</w:t>
      </w:r>
    </w:p>
    <w:p w14:paraId="2ADD739C"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sz w:val="24"/>
          <w:szCs w:val="24"/>
          <w:lang w:eastAsia="ar-SA"/>
        </w:rPr>
      </w:pPr>
      <w:r w:rsidRPr="00C574D9">
        <w:rPr>
          <w:rFonts w:ascii="Calibri" w:eastAsia="Times New Roman" w:hAnsi="Calibri" w:cs="Calibri"/>
          <w:sz w:val="24"/>
          <w:szCs w:val="24"/>
          <w:lang w:eastAsia="ar-SA"/>
        </w:rPr>
        <w:t>brak środków do mycia i dezynfekcji rąk,</w:t>
      </w:r>
    </w:p>
    <w:p w14:paraId="0CA8DEF9" w14:textId="77777777" w:rsidR="00CD55AD" w:rsidRPr="00C574D9" w:rsidRDefault="00CD55AD" w:rsidP="00597239">
      <w:pPr>
        <w:pStyle w:val="Akapitzlist"/>
        <w:numPr>
          <w:ilvl w:val="0"/>
          <w:numId w:val="94"/>
        </w:numPr>
        <w:suppressAutoHyphens/>
        <w:spacing w:after="0" w:line="276" w:lineRule="auto"/>
        <w:ind w:left="714" w:hanging="357"/>
        <w:rPr>
          <w:rFonts w:ascii="Calibri" w:eastAsia="Times New Roman" w:hAnsi="Calibri" w:cs="Calibri"/>
          <w:bCs/>
          <w:iCs/>
          <w:sz w:val="24"/>
          <w:szCs w:val="24"/>
          <w:lang w:eastAsia="ar-SA"/>
        </w:rPr>
      </w:pPr>
      <w:r w:rsidRPr="00C574D9">
        <w:rPr>
          <w:rFonts w:ascii="Calibri" w:eastAsia="Times New Roman" w:hAnsi="Calibri" w:cs="Calibri"/>
          <w:sz w:val="24"/>
          <w:szCs w:val="24"/>
          <w:lang w:eastAsia="ar-SA"/>
        </w:rPr>
        <w:t>prowadzenie działalności bez decyzji zatwierdzającej zakład w zakresie żywienia wydanej przez organ Państwowej Inspekcji Sanitarnej</w:t>
      </w:r>
      <w:r w:rsidRPr="00C574D9">
        <w:rPr>
          <w:rFonts w:ascii="Calibri" w:eastAsia="Times New Roman" w:hAnsi="Calibri" w:cs="Calibri"/>
          <w:bCs/>
          <w:iCs/>
          <w:sz w:val="24"/>
          <w:szCs w:val="24"/>
          <w:lang w:eastAsia="ar-SA"/>
        </w:rPr>
        <w:t>.</w:t>
      </w:r>
    </w:p>
    <w:p w14:paraId="10391D6B" w14:textId="77777777" w:rsidR="00C574D9" w:rsidRDefault="00C574D9" w:rsidP="00597239">
      <w:pPr>
        <w:spacing w:after="0" w:line="276" w:lineRule="auto"/>
        <w:rPr>
          <w:rFonts w:ascii="Calibri" w:eastAsia="Times New Roman" w:hAnsi="Calibri" w:cs="Calibri"/>
          <w:sz w:val="24"/>
          <w:szCs w:val="24"/>
          <w:lang w:eastAsia="ar-SA"/>
        </w:rPr>
      </w:pPr>
    </w:p>
    <w:p w14:paraId="457EABE2" w14:textId="36E527EA" w:rsidR="00CD55AD" w:rsidRDefault="00CD55AD" w:rsidP="00597239">
      <w:pPr>
        <w:spacing w:after="0" w:line="276" w:lineRule="auto"/>
        <w:rPr>
          <w:rFonts w:ascii="Calibri" w:eastAsia="Calibri" w:hAnsi="Calibri" w:cs="Calibri"/>
          <w:bCs/>
          <w:sz w:val="24"/>
        </w:rPr>
      </w:pPr>
      <w:r>
        <w:rPr>
          <w:rFonts w:ascii="Calibri" w:eastAsia="Calibri" w:hAnsi="Calibri" w:cs="Calibri"/>
          <w:bCs/>
          <w:sz w:val="24"/>
        </w:rPr>
        <w:t>Ponadto stwierdzono, że</w:t>
      </w:r>
      <w:r w:rsidRPr="00406E40">
        <w:rPr>
          <w:rFonts w:ascii="Calibri" w:eastAsia="Calibri" w:hAnsi="Calibri" w:cs="Calibri"/>
          <w:bCs/>
          <w:sz w:val="24"/>
        </w:rPr>
        <w:t xml:space="preserve"> 2 wypoczynki nie </w:t>
      </w:r>
      <w:r>
        <w:rPr>
          <w:rFonts w:ascii="Calibri" w:eastAsia="Calibri" w:hAnsi="Calibri" w:cs="Calibri"/>
          <w:bCs/>
          <w:sz w:val="24"/>
        </w:rPr>
        <w:t xml:space="preserve">zostały </w:t>
      </w:r>
      <w:r w:rsidRPr="00406E40">
        <w:rPr>
          <w:rFonts w:ascii="Calibri" w:eastAsia="Calibri" w:hAnsi="Calibri" w:cs="Calibri"/>
          <w:bCs/>
          <w:sz w:val="24"/>
        </w:rPr>
        <w:t xml:space="preserve">zgłoszone </w:t>
      </w:r>
      <w:r>
        <w:rPr>
          <w:rFonts w:ascii="Calibri" w:eastAsia="Calibri" w:hAnsi="Calibri" w:cs="Calibri"/>
          <w:bCs/>
          <w:sz w:val="24"/>
        </w:rPr>
        <w:t>do</w:t>
      </w:r>
      <w:r w:rsidRPr="00406E40">
        <w:rPr>
          <w:rFonts w:ascii="Calibri" w:eastAsia="Calibri" w:hAnsi="Calibri" w:cs="Calibri"/>
          <w:bCs/>
          <w:sz w:val="24"/>
        </w:rPr>
        <w:t> baz</w:t>
      </w:r>
      <w:r>
        <w:rPr>
          <w:rFonts w:ascii="Calibri" w:eastAsia="Calibri" w:hAnsi="Calibri" w:cs="Calibri"/>
          <w:bCs/>
          <w:sz w:val="24"/>
        </w:rPr>
        <w:t>y wypoczynku</w:t>
      </w:r>
      <w:r w:rsidRPr="00406E40">
        <w:rPr>
          <w:rFonts w:ascii="Calibri" w:eastAsia="Calibri" w:hAnsi="Calibri" w:cs="Calibri"/>
          <w:bCs/>
          <w:sz w:val="24"/>
        </w:rPr>
        <w:t xml:space="preserve"> MEN, o</w:t>
      </w:r>
      <w:r w:rsidR="002E1F9D">
        <w:rPr>
          <w:rFonts w:ascii="Calibri" w:eastAsia="Calibri" w:hAnsi="Calibri" w:cs="Calibri"/>
          <w:bCs/>
          <w:sz w:val="24"/>
        </w:rPr>
        <w:t> </w:t>
      </w:r>
      <w:r w:rsidRPr="00406E40">
        <w:rPr>
          <w:rFonts w:ascii="Calibri" w:eastAsia="Calibri" w:hAnsi="Calibri" w:cs="Calibri"/>
          <w:bCs/>
          <w:sz w:val="24"/>
        </w:rPr>
        <w:t xml:space="preserve">czym poinformowano Kuratorium Oświaty w Szczecinie. </w:t>
      </w:r>
    </w:p>
    <w:p w14:paraId="452E7C6C" w14:textId="77777777" w:rsidR="00C574D9" w:rsidRDefault="00C574D9" w:rsidP="00597239">
      <w:pPr>
        <w:spacing w:after="0" w:line="276" w:lineRule="auto"/>
        <w:rPr>
          <w:rFonts w:ascii="Calibri" w:eastAsia="Calibri" w:hAnsi="Calibri" w:cs="Calibri"/>
          <w:bCs/>
          <w:sz w:val="24"/>
        </w:rPr>
      </w:pPr>
    </w:p>
    <w:p w14:paraId="11352DB0" w14:textId="7A2A55E7" w:rsidR="00CD55AD" w:rsidRPr="00406E40" w:rsidRDefault="00CD55AD" w:rsidP="00597239">
      <w:pPr>
        <w:spacing w:after="0" w:line="276" w:lineRule="auto"/>
        <w:rPr>
          <w:rFonts w:ascii="Calibri" w:eastAsia="Calibri" w:hAnsi="Calibri" w:cs="Calibri"/>
          <w:bCs/>
          <w:sz w:val="24"/>
        </w:rPr>
      </w:pPr>
      <w:r w:rsidRPr="00406E40">
        <w:rPr>
          <w:rFonts w:ascii="Calibri" w:eastAsia="Calibri" w:hAnsi="Calibri" w:cs="Calibri"/>
          <w:bCs/>
          <w:sz w:val="24"/>
        </w:rPr>
        <w:t xml:space="preserve">W związku ze stwierdzonymi nieprawidłowościami </w:t>
      </w:r>
      <w:r>
        <w:rPr>
          <w:rFonts w:ascii="Calibri" w:eastAsia="Calibri" w:hAnsi="Calibri" w:cs="Calibri"/>
          <w:bCs/>
          <w:sz w:val="24"/>
        </w:rPr>
        <w:t xml:space="preserve">zobowiązano osoby odpowiedzialne do ich usunięcia. Wydano doraźne zalecenia na poprawę stanu </w:t>
      </w:r>
      <w:r w:rsidRPr="00406E40">
        <w:rPr>
          <w:rFonts w:ascii="Calibri" w:eastAsia="Calibri" w:hAnsi="Calibri" w:cs="Calibri"/>
          <w:bCs/>
          <w:sz w:val="24"/>
        </w:rPr>
        <w:t>sanitarno</w:t>
      </w:r>
      <w:r>
        <w:rPr>
          <w:rFonts w:ascii="Calibri" w:eastAsia="Calibri" w:hAnsi="Calibri" w:cs="Calibri"/>
          <w:bCs/>
          <w:sz w:val="24"/>
        </w:rPr>
        <w:t xml:space="preserve">higienicznego oraz </w:t>
      </w:r>
      <w:r w:rsidRPr="00406E40">
        <w:rPr>
          <w:rFonts w:ascii="Calibri" w:eastAsia="Calibri" w:hAnsi="Calibri" w:cs="Calibri"/>
          <w:bCs/>
          <w:sz w:val="24"/>
        </w:rPr>
        <w:t>technicznego placówek</w:t>
      </w:r>
      <w:r>
        <w:rPr>
          <w:rFonts w:ascii="Calibri" w:eastAsia="Calibri" w:hAnsi="Calibri" w:cs="Calibri"/>
          <w:bCs/>
          <w:sz w:val="24"/>
        </w:rPr>
        <w:t xml:space="preserve">, </w:t>
      </w:r>
      <w:r w:rsidRPr="00406E40">
        <w:rPr>
          <w:rFonts w:ascii="Calibri" w:eastAsia="Calibri" w:hAnsi="Calibri" w:cs="Calibri"/>
          <w:bCs/>
          <w:sz w:val="24"/>
        </w:rPr>
        <w:t xml:space="preserve">wydano 34 decyzje </w:t>
      </w:r>
      <w:r>
        <w:rPr>
          <w:rFonts w:ascii="Calibri" w:eastAsia="Calibri" w:hAnsi="Calibri" w:cs="Calibri"/>
          <w:bCs/>
          <w:sz w:val="24"/>
        </w:rPr>
        <w:t>nakazujące</w:t>
      </w:r>
      <w:r w:rsidRPr="00406E40">
        <w:rPr>
          <w:rFonts w:ascii="Calibri" w:eastAsia="Calibri" w:hAnsi="Calibri" w:cs="Calibri"/>
          <w:bCs/>
          <w:sz w:val="24"/>
        </w:rPr>
        <w:t xml:space="preserve"> usunięci</w:t>
      </w:r>
      <w:r>
        <w:rPr>
          <w:rFonts w:ascii="Calibri" w:eastAsia="Calibri" w:hAnsi="Calibri" w:cs="Calibri"/>
          <w:bCs/>
          <w:sz w:val="24"/>
        </w:rPr>
        <w:t>e</w:t>
      </w:r>
      <w:r w:rsidRPr="00406E40">
        <w:rPr>
          <w:rFonts w:ascii="Calibri" w:eastAsia="Calibri" w:hAnsi="Calibri" w:cs="Calibri"/>
          <w:bCs/>
          <w:sz w:val="24"/>
        </w:rPr>
        <w:t xml:space="preserve"> nieprawidłowości</w:t>
      </w:r>
      <w:r>
        <w:rPr>
          <w:rFonts w:ascii="Calibri" w:eastAsia="Calibri" w:hAnsi="Calibri" w:cs="Calibri"/>
          <w:bCs/>
          <w:sz w:val="24"/>
        </w:rPr>
        <w:t xml:space="preserve"> </w:t>
      </w:r>
      <w:r w:rsidRPr="00406E40">
        <w:rPr>
          <w:rFonts w:ascii="Calibri" w:eastAsia="Calibri" w:hAnsi="Calibri" w:cs="Calibri"/>
          <w:bCs/>
          <w:sz w:val="24"/>
        </w:rPr>
        <w:t xml:space="preserve">oraz </w:t>
      </w:r>
      <w:r>
        <w:rPr>
          <w:rFonts w:ascii="Calibri" w:eastAsia="Calibri" w:hAnsi="Calibri" w:cs="Calibri"/>
          <w:bCs/>
          <w:sz w:val="24"/>
        </w:rPr>
        <w:t xml:space="preserve">nałożono </w:t>
      </w:r>
      <w:r w:rsidRPr="00406E40">
        <w:rPr>
          <w:rFonts w:ascii="Calibri" w:eastAsia="Calibri" w:hAnsi="Calibri" w:cs="Calibri"/>
          <w:bCs/>
          <w:sz w:val="24"/>
        </w:rPr>
        <w:t>48 mandatów na kwotę 15 050 zł.</w:t>
      </w:r>
    </w:p>
    <w:p w14:paraId="1CD2136A" w14:textId="192C6596" w:rsidR="00F67401" w:rsidRDefault="00F67401" w:rsidP="00597239">
      <w:pPr>
        <w:rPr>
          <w:rFonts w:ascii="Calibri" w:hAnsi="Calibri" w:cs="Calibri"/>
        </w:rPr>
      </w:pPr>
      <w:r>
        <w:rPr>
          <w:rFonts w:ascii="Calibri" w:hAnsi="Calibri" w:cs="Calibri"/>
        </w:rPr>
        <w:br w:type="page"/>
      </w:r>
    </w:p>
    <w:p w14:paraId="5741DA3F" w14:textId="0E1DC0EE" w:rsidR="00CD55AD" w:rsidRDefault="00F67401" w:rsidP="00597239">
      <w:pPr>
        <w:spacing w:after="0" w:line="276" w:lineRule="auto"/>
        <w:rPr>
          <w:rFonts w:ascii="Calibri" w:hAnsi="Calibri" w:cs="Calibri"/>
        </w:rPr>
      </w:pPr>
      <w:r>
        <w:rPr>
          <w:noProof/>
        </w:rPr>
        <w:lastRenderedPageBreak/>
        <mc:AlternateContent>
          <mc:Choice Requires="wps">
            <w:drawing>
              <wp:anchor distT="0" distB="0" distL="114300" distR="114300" simplePos="0" relativeHeight="251734016" behindDoc="0" locked="0" layoutInCell="1" allowOverlap="1" wp14:anchorId="267F14DF" wp14:editId="311EAD64">
                <wp:simplePos x="0" y="0"/>
                <wp:positionH relativeFrom="margin">
                  <wp:align>right</wp:align>
                </wp:positionH>
                <wp:positionV relativeFrom="paragraph">
                  <wp:posOffset>7654502</wp:posOffset>
                </wp:positionV>
                <wp:extent cx="5760000" cy="720000"/>
                <wp:effectExtent l="0" t="0" r="0" b="4445"/>
                <wp:wrapNone/>
                <wp:docPr id="1822463090" name="Pole tekstowe 12"/>
                <wp:cNvGraphicFramePr/>
                <a:graphic xmlns:a="http://schemas.openxmlformats.org/drawingml/2006/main">
                  <a:graphicData uri="http://schemas.microsoft.com/office/word/2010/wordprocessingShape">
                    <wps:wsp>
                      <wps:cNvSpPr txBox="1"/>
                      <wps:spPr>
                        <a:xfrm>
                          <a:off x="0" y="0"/>
                          <a:ext cx="5760000" cy="720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44CCFCB" w14:textId="77777777" w:rsidR="00F67401" w:rsidRPr="005517B2" w:rsidRDefault="00F67401" w:rsidP="00F67401">
                            <w:pPr>
                              <w:spacing w:after="0"/>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Stan sanitarny zakładów pracy</w:t>
                            </w:r>
                          </w:p>
                          <w:p w14:paraId="71CC7DFA" w14:textId="77777777" w:rsidR="00F67401" w:rsidRDefault="00F67401" w:rsidP="00F6740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14DF" id="_x0000_s1031" type="#_x0000_t202" style="position:absolute;margin-left:402.35pt;margin-top:602.7pt;width:453.55pt;height:56.7pt;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" fillcolor="#a5a5a5 [3206]" stroked="f">
                <v:fill opacity="32896f"/>
                <v:textbox>
                  <w:txbxContent>
                    <w:p w14:paraId="644CCFCB" w14:textId="77777777" w:rsidR="00F67401" w:rsidRPr="005517B2" w:rsidRDefault="00F67401" w:rsidP="00F67401">
                      <w:pPr>
                        <w:spacing w:after="0"/>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Stan sanitarny zakładów pracy</w:t>
                      </w:r>
                    </w:p>
                    <w:p w14:paraId="71CC7DFA" w14:textId="77777777" w:rsidR="00F67401" w:rsidRDefault="00F67401" w:rsidP="00F67401"/>
                  </w:txbxContent>
                </v:textbox>
                <w10:wrap anchorx="margin"/>
              </v:shape>
            </w:pict>
          </mc:Fallback>
        </mc:AlternateContent>
      </w:r>
      <w:r>
        <w:rPr>
          <w:noProof/>
        </w:rPr>
        <w:drawing>
          <wp:anchor distT="0" distB="0" distL="114300" distR="114300" simplePos="0" relativeHeight="251731968" behindDoc="0" locked="0" layoutInCell="1" allowOverlap="1" wp14:anchorId="09DDA67C" wp14:editId="2222A69E">
            <wp:simplePos x="0" y="0"/>
            <wp:positionH relativeFrom="column">
              <wp:posOffset>-256328</wp:posOffset>
            </wp:positionH>
            <wp:positionV relativeFrom="page">
              <wp:posOffset>1174044</wp:posOffset>
            </wp:positionV>
            <wp:extent cx="6263640" cy="8351520"/>
            <wp:effectExtent l="0" t="0" r="3810" b="0"/>
            <wp:wrapSquare wrapText="bothSides"/>
            <wp:docPr id="911166138" name="Obraz 16" descr="Osoba montująca smartf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166138" name="Obraz 911166138" descr="Osoba montująca smartfon"/>
                    <pic:cNvPicPr/>
                  </pic:nvPicPr>
                  <pic:blipFill>
                    <a:blip r:embed="rId35" cstate="print">
                      <a:alphaModFix amt="71000"/>
                      <a:extLst>
                        <a:ext uri="{28A0092B-C50C-407E-A947-70E740481C1C}">
                          <a14:useLocalDpi xmlns:a14="http://schemas.microsoft.com/office/drawing/2010/main" val="0"/>
                        </a:ext>
                      </a:extLst>
                    </a:blip>
                    <a:stretch>
                      <a:fillRect/>
                    </a:stretch>
                  </pic:blipFill>
                  <pic:spPr>
                    <a:xfrm>
                      <a:off x="0" y="0"/>
                      <a:ext cx="6263640" cy="8351520"/>
                    </a:xfrm>
                    <a:prstGeom prst="rect">
                      <a:avLst/>
                    </a:prstGeom>
                    <a:ln>
                      <a:noFill/>
                    </a:ln>
                    <a:effectLst>
                      <a:softEdge rad="112500"/>
                    </a:effectLst>
                  </pic:spPr>
                </pic:pic>
              </a:graphicData>
            </a:graphic>
          </wp:anchor>
        </w:drawing>
      </w:r>
    </w:p>
    <w:p w14:paraId="7FDB4471" w14:textId="1D210006" w:rsidR="00E55E0F" w:rsidRDefault="00E55E0F" w:rsidP="00597239">
      <w:pPr>
        <w:rPr>
          <w:i/>
          <w:iCs/>
          <w:color w:val="000000" w:themeColor="text1"/>
          <w:sz w:val="24"/>
          <w:szCs w:val="24"/>
        </w:rPr>
      </w:pPr>
    </w:p>
    <w:p w14:paraId="59EAA92D" w14:textId="77777777" w:rsidR="00E55E0F" w:rsidRDefault="00E55E0F" w:rsidP="00597239">
      <w:pPr>
        <w:pStyle w:val="Nagwek1"/>
        <w:numPr>
          <w:ilvl w:val="0"/>
          <w:numId w:val="82"/>
        </w:numPr>
        <w:spacing w:before="0" w:after="0"/>
        <w:ind w:left="0" w:firstLine="0"/>
        <w:jc w:val="left"/>
      </w:pPr>
      <w:bookmarkStart w:id="364" w:name="_Toc194059850"/>
      <w:r w:rsidRPr="00E55E0F">
        <w:lastRenderedPageBreak/>
        <w:t>Warunki higienicznosanitarne środowiska pracy</w:t>
      </w:r>
      <w:bookmarkEnd w:id="364"/>
    </w:p>
    <w:p w14:paraId="4F8C7EA0" w14:textId="77777777" w:rsidR="00777D94" w:rsidRPr="00777D94" w:rsidRDefault="00777D94" w:rsidP="00597239">
      <w:pPr>
        <w:spacing w:after="0"/>
      </w:pPr>
    </w:p>
    <w:p w14:paraId="1A6919A9" w14:textId="77777777" w:rsidR="00E55E0F" w:rsidRPr="00725572" w:rsidRDefault="00E55E0F" w:rsidP="00597239">
      <w:pPr>
        <w:pStyle w:val="Nagwek2"/>
        <w:numPr>
          <w:ilvl w:val="0"/>
          <w:numId w:val="44"/>
        </w:numPr>
        <w:spacing w:before="0" w:after="0"/>
        <w:ind w:left="284" w:hanging="284"/>
        <w:jc w:val="left"/>
      </w:pPr>
      <w:bookmarkStart w:id="365" w:name="_Toc194059851"/>
      <w:r w:rsidRPr="00725572">
        <w:t>Stan sanitarny zakładów pracy</w:t>
      </w:r>
      <w:bookmarkEnd w:id="365"/>
    </w:p>
    <w:p w14:paraId="1C84F604" w14:textId="309B4B68" w:rsidR="00E55E0F" w:rsidRPr="00E55E0F" w:rsidRDefault="00E55E0F" w:rsidP="00597239">
      <w:pPr>
        <w:spacing w:after="0" w:line="276" w:lineRule="auto"/>
        <w:rPr>
          <w:rFonts w:cstheme="minorHAnsi"/>
          <w:color w:val="000000" w:themeColor="text1"/>
          <w:sz w:val="24"/>
          <w:szCs w:val="24"/>
        </w:rPr>
      </w:pPr>
      <w:r w:rsidRPr="00E55E0F">
        <w:rPr>
          <w:rFonts w:cstheme="minorHAnsi"/>
          <w:color w:val="000000" w:themeColor="text1"/>
          <w:sz w:val="24"/>
          <w:szCs w:val="24"/>
        </w:rPr>
        <w:t xml:space="preserve">Nadzór nad warunkami zdrowotnymi środowiska pracy, ma na celu wzmocnienie ochrony zdrowia pracowników przed niekorzystnym oddziaływaniem szkodliwych i uciążliwych czynników występujących w miejscu pracy. </w:t>
      </w:r>
    </w:p>
    <w:p w14:paraId="33DEBA97" w14:textId="7755F52C" w:rsidR="00E55E0F" w:rsidRPr="00E55E0F" w:rsidRDefault="00E55E0F" w:rsidP="00597239">
      <w:pPr>
        <w:spacing w:after="0" w:line="276" w:lineRule="auto"/>
        <w:rPr>
          <w:rFonts w:cstheme="minorHAnsi"/>
          <w:sz w:val="24"/>
          <w:szCs w:val="24"/>
        </w:rPr>
      </w:pPr>
      <w:r w:rsidRPr="00E55E0F">
        <w:rPr>
          <w:rFonts w:cstheme="minorHAnsi"/>
          <w:color w:val="000000" w:themeColor="text1"/>
          <w:sz w:val="24"/>
          <w:szCs w:val="24"/>
        </w:rPr>
        <w:t xml:space="preserve">W ewidencji pionu Higieny Pracy znajduje się 8958 zakładów pracy, w których zatrudnionych jest 253180 pracowników. Grupa zakładów zatrudniających do 9 pracowników pozostaje nadal najliczniejszą na terenie województwa zachodniopomorskiego (55% ogólnej liczby zakładów w ewidencji). Przeprowadzono 2949 kontroli, </w:t>
      </w:r>
      <w:r w:rsidRPr="00E55E0F">
        <w:rPr>
          <w:rFonts w:cstheme="minorHAnsi"/>
          <w:sz w:val="24"/>
          <w:szCs w:val="24"/>
        </w:rPr>
        <w:t>z których 34% wykazało nieprawidłowości.</w:t>
      </w:r>
    </w:p>
    <w:p w14:paraId="02A9031C" w14:textId="77777777" w:rsidR="00E55E0F" w:rsidRPr="00E55E0F" w:rsidRDefault="00E55E0F" w:rsidP="00597239">
      <w:pPr>
        <w:spacing w:after="0" w:line="276" w:lineRule="auto"/>
        <w:rPr>
          <w:rFonts w:cstheme="minorHAnsi"/>
          <w:color w:val="000000" w:themeColor="text1"/>
          <w:sz w:val="24"/>
          <w:szCs w:val="24"/>
        </w:rPr>
      </w:pPr>
      <w:r w:rsidRPr="00E55E0F">
        <w:rPr>
          <w:rFonts w:cstheme="minorHAnsi"/>
          <w:color w:val="000000" w:themeColor="text1"/>
          <w:sz w:val="24"/>
          <w:szCs w:val="24"/>
        </w:rPr>
        <w:t xml:space="preserve">Najczęściej stwierdzane uchybienia dotyczyły: </w:t>
      </w:r>
    </w:p>
    <w:p w14:paraId="28E8EAE4" w14:textId="01DFFB8C" w:rsidR="00E55E0F" w:rsidRPr="00E55E0F" w:rsidRDefault="00E55E0F" w:rsidP="00597239">
      <w:pPr>
        <w:pStyle w:val="Akapitzlist"/>
        <w:numPr>
          <w:ilvl w:val="0"/>
          <w:numId w:val="39"/>
        </w:numPr>
        <w:spacing w:after="0" w:line="276" w:lineRule="auto"/>
        <w:ind w:left="714" w:hanging="357"/>
        <w:rPr>
          <w:rFonts w:cstheme="minorHAnsi"/>
          <w:color w:val="000000" w:themeColor="text1"/>
          <w:sz w:val="24"/>
          <w:szCs w:val="24"/>
        </w:rPr>
      </w:pPr>
      <w:r w:rsidRPr="00E55E0F">
        <w:rPr>
          <w:rFonts w:cstheme="minorHAnsi"/>
          <w:color w:val="000000" w:themeColor="text1"/>
          <w:sz w:val="24"/>
          <w:szCs w:val="24"/>
        </w:rPr>
        <w:t>niewłaściwego stanu techniczno</w:t>
      </w:r>
      <w:r w:rsidR="007F2B58">
        <w:rPr>
          <w:rFonts w:cstheme="minorHAnsi"/>
          <w:color w:val="000000" w:themeColor="text1"/>
          <w:sz w:val="24"/>
          <w:szCs w:val="24"/>
        </w:rPr>
        <w:t>-</w:t>
      </w:r>
      <w:r w:rsidRPr="00E55E0F">
        <w:rPr>
          <w:rFonts w:cstheme="minorHAnsi"/>
          <w:color w:val="000000" w:themeColor="text1"/>
          <w:sz w:val="24"/>
          <w:szCs w:val="24"/>
        </w:rPr>
        <w:t>sanitarnego pomieszczeń pracy oraz pomieszczeń higieniczno</w:t>
      </w:r>
      <w:r w:rsidR="007F2B58">
        <w:rPr>
          <w:rFonts w:cstheme="minorHAnsi"/>
          <w:color w:val="000000" w:themeColor="text1"/>
          <w:sz w:val="24"/>
          <w:szCs w:val="24"/>
        </w:rPr>
        <w:t>-</w:t>
      </w:r>
      <w:r w:rsidRPr="00E55E0F">
        <w:rPr>
          <w:rFonts w:cstheme="minorHAnsi"/>
          <w:color w:val="000000" w:themeColor="text1"/>
          <w:sz w:val="24"/>
          <w:szCs w:val="24"/>
        </w:rPr>
        <w:t>sanitarnych,</w:t>
      </w:r>
    </w:p>
    <w:p w14:paraId="0A87FCA2" w14:textId="3AA19390" w:rsidR="00E55E0F" w:rsidRPr="00E55E0F" w:rsidRDefault="00E55E0F" w:rsidP="00597239">
      <w:pPr>
        <w:pStyle w:val="Akapitzlist"/>
        <w:numPr>
          <w:ilvl w:val="0"/>
          <w:numId w:val="39"/>
        </w:numPr>
        <w:spacing w:after="0" w:line="276" w:lineRule="auto"/>
        <w:ind w:left="714" w:hanging="357"/>
        <w:rPr>
          <w:rFonts w:cstheme="minorHAnsi"/>
          <w:color w:val="000000" w:themeColor="text1"/>
          <w:sz w:val="24"/>
          <w:szCs w:val="24"/>
        </w:rPr>
      </w:pPr>
      <w:r w:rsidRPr="00E55E0F">
        <w:rPr>
          <w:rFonts w:cstheme="minorHAnsi"/>
          <w:color w:val="000000" w:themeColor="text1"/>
          <w:sz w:val="24"/>
          <w:szCs w:val="24"/>
        </w:rPr>
        <w:t>braku aktualnych wyników badań i pomiarów czynników szkodliwych występujących na</w:t>
      </w:r>
      <w:r w:rsidR="002E1F9D">
        <w:rPr>
          <w:rFonts w:cstheme="minorHAnsi"/>
          <w:color w:val="000000" w:themeColor="text1"/>
          <w:sz w:val="24"/>
          <w:szCs w:val="24"/>
        </w:rPr>
        <w:t> </w:t>
      </w:r>
      <w:r w:rsidRPr="00E55E0F">
        <w:rPr>
          <w:rFonts w:cstheme="minorHAnsi"/>
          <w:color w:val="000000" w:themeColor="text1"/>
          <w:sz w:val="24"/>
          <w:szCs w:val="24"/>
        </w:rPr>
        <w:t>stanowiskach pracy,</w:t>
      </w:r>
    </w:p>
    <w:p w14:paraId="1DF38821" w14:textId="46924967" w:rsidR="00E55E0F" w:rsidRPr="00E55E0F" w:rsidRDefault="00E55E0F" w:rsidP="00597239">
      <w:pPr>
        <w:pStyle w:val="Akapitzlist"/>
        <w:numPr>
          <w:ilvl w:val="0"/>
          <w:numId w:val="39"/>
        </w:numPr>
        <w:spacing w:after="0" w:line="276" w:lineRule="auto"/>
        <w:ind w:left="714" w:hanging="357"/>
        <w:rPr>
          <w:rFonts w:cstheme="minorHAnsi"/>
          <w:color w:val="000000" w:themeColor="text1"/>
          <w:sz w:val="24"/>
          <w:szCs w:val="24"/>
        </w:rPr>
      </w:pPr>
      <w:r w:rsidRPr="00E55E0F">
        <w:rPr>
          <w:rFonts w:cstheme="minorHAnsi"/>
          <w:color w:val="000000" w:themeColor="text1"/>
          <w:sz w:val="24"/>
          <w:szCs w:val="24"/>
        </w:rPr>
        <w:t>braku wykonania i udokumentowania lub zaktualizowania oceny ryzyka zawodowego i</w:t>
      </w:r>
      <w:r w:rsidR="004245A4">
        <w:rPr>
          <w:rFonts w:cstheme="minorHAnsi"/>
          <w:color w:val="000000" w:themeColor="text1"/>
          <w:sz w:val="24"/>
          <w:szCs w:val="24"/>
        </w:rPr>
        <w:t> </w:t>
      </w:r>
      <w:r w:rsidRPr="00E55E0F">
        <w:rPr>
          <w:rFonts w:cstheme="minorHAnsi"/>
          <w:color w:val="000000" w:themeColor="text1"/>
          <w:sz w:val="24"/>
          <w:szCs w:val="24"/>
        </w:rPr>
        <w:t>zapoznania z nią pracowników,</w:t>
      </w:r>
    </w:p>
    <w:p w14:paraId="22BA1316" w14:textId="77777777" w:rsidR="00E55E0F" w:rsidRPr="00E55E0F" w:rsidRDefault="00E55E0F" w:rsidP="00597239">
      <w:pPr>
        <w:pStyle w:val="Akapitzlist"/>
        <w:numPr>
          <w:ilvl w:val="0"/>
          <w:numId w:val="39"/>
        </w:numPr>
        <w:spacing w:after="0" w:line="276" w:lineRule="auto"/>
        <w:ind w:left="714" w:hanging="357"/>
        <w:rPr>
          <w:rFonts w:cstheme="minorHAnsi"/>
          <w:color w:val="000000" w:themeColor="text1"/>
          <w:sz w:val="24"/>
          <w:szCs w:val="24"/>
        </w:rPr>
      </w:pPr>
      <w:r w:rsidRPr="00E55E0F">
        <w:rPr>
          <w:rFonts w:cstheme="minorHAnsi"/>
          <w:color w:val="000000" w:themeColor="text1"/>
          <w:sz w:val="24"/>
          <w:szCs w:val="24"/>
        </w:rPr>
        <w:t>braku zapewnienia natężenia oświetlenia elektrycznego w pomieszczeniach pracy zgodnego z PN,</w:t>
      </w:r>
    </w:p>
    <w:p w14:paraId="577AF634" w14:textId="77777777" w:rsidR="00E55E0F" w:rsidRPr="008545D8" w:rsidRDefault="00E55E0F" w:rsidP="00597239">
      <w:pPr>
        <w:pStyle w:val="Akapitzlist"/>
        <w:numPr>
          <w:ilvl w:val="0"/>
          <w:numId w:val="39"/>
        </w:numPr>
        <w:spacing w:after="0" w:line="276" w:lineRule="auto"/>
        <w:ind w:left="714" w:hanging="357"/>
        <w:rPr>
          <w:rFonts w:cstheme="minorHAnsi"/>
          <w:color w:val="000000" w:themeColor="text1"/>
          <w:sz w:val="24"/>
          <w:szCs w:val="24"/>
        </w:rPr>
      </w:pPr>
      <w:r w:rsidRPr="00E55E0F">
        <w:rPr>
          <w:rFonts w:cstheme="minorHAnsi"/>
          <w:color w:val="000000" w:themeColor="text1"/>
          <w:sz w:val="24"/>
          <w:szCs w:val="24"/>
        </w:rPr>
        <w:t>braku rejestru badań i pomiarów czynników szkodliwych oraz kart badań i pomiarów.</w:t>
      </w:r>
    </w:p>
    <w:p w14:paraId="2344001C" w14:textId="77777777" w:rsidR="00E55E0F" w:rsidRPr="008545D8" w:rsidRDefault="00E55E0F" w:rsidP="00597239">
      <w:pPr>
        <w:pStyle w:val="Akapitzlist"/>
        <w:spacing w:after="0"/>
        <w:ind w:left="360"/>
        <w:rPr>
          <w:rFonts w:cstheme="minorHAnsi"/>
          <w:color w:val="FF0000"/>
          <w:sz w:val="24"/>
          <w:szCs w:val="24"/>
        </w:rPr>
      </w:pPr>
    </w:p>
    <w:p w14:paraId="02C4F623" w14:textId="77777777" w:rsidR="00E55E0F" w:rsidRPr="008545D8" w:rsidRDefault="00E55E0F" w:rsidP="00597239">
      <w:pPr>
        <w:pStyle w:val="Nagwek2"/>
        <w:numPr>
          <w:ilvl w:val="0"/>
          <w:numId w:val="44"/>
        </w:numPr>
        <w:spacing w:before="0" w:after="0"/>
        <w:ind w:left="284" w:hanging="284"/>
        <w:jc w:val="left"/>
      </w:pPr>
      <w:bookmarkStart w:id="366" w:name="_Toc194059852"/>
      <w:r w:rsidRPr="008545D8">
        <w:t>Narażenie na czynniki szkodliwe i uciążliwe dla zdrowia w środowisku pracy</w:t>
      </w:r>
      <w:bookmarkEnd w:id="366"/>
    </w:p>
    <w:p w14:paraId="59234686" w14:textId="5DDECB19" w:rsidR="00E55E0F" w:rsidRPr="004245A4" w:rsidRDefault="00E55E0F" w:rsidP="00597239">
      <w:pPr>
        <w:spacing w:after="0" w:line="276" w:lineRule="auto"/>
        <w:rPr>
          <w:rFonts w:cstheme="minorHAnsi"/>
          <w:color w:val="000000" w:themeColor="text1"/>
          <w:sz w:val="24"/>
          <w:szCs w:val="24"/>
        </w:rPr>
      </w:pPr>
      <w:r w:rsidRPr="004245A4">
        <w:rPr>
          <w:rFonts w:cstheme="minorHAnsi"/>
          <w:color w:val="000000" w:themeColor="text1"/>
          <w:sz w:val="24"/>
          <w:szCs w:val="24"/>
        </w:rPr>
        <w:t xml:space="preserve">W zależności od charakteru pracy, produkcji czy technologii, w zakładach pracy mogą występować zagrożenia związane z czynnikami szkodliwymi dla zdrowia, których oddziaływanie może prowadzić do powstania schorzeń, w tym chorób zawodowych. W roku 2024 w 811 zakładach będących w ewidencji, występowały przekroczenia najwyższych dopuszczalnych stężeń i natężeń (NDS/NDN) czynników szkodliwych dla zdrowia. Narażonych na czynniki szkodliwe było blisko 16 tyś. pracowników (Wyk. </w:t>
      </w:r>
      <w:r w:rsidRPr="00235C1D">
        <w:rPr>
          <w:rFonts w:cstheme="minorHAnsi"/>
          <w:sz w:val="24"/>
          <w:szCs w:val="24"/>
        </w:rPr>
        <w:t>1</w:t>
      </w:r>
      <w:r w:rsidR="00C15BCD">
        <w:rPr>
          <w:rFonts w:cstheme="minorHAnsi"/>
          <w:sz w:val="24"/>
          <w:szCs w:val="24"/>
        </w:rPr>
        <w:t>3</w:t>
      </w:r>
      <w:r w:rsidRPr="004245A4">
        <w:rPr>
          <w:rFonts w:cstheme="minorHAnsi"/>
          <w:color w:val="000000" w:themeColor="text1"/>
          <w:sz w:val="24"/>
          <w:szCs w:val="24"/>
        </w:rPr>
        <w:t xml:space="preserve">). </w:t>
      </w:r>
    </w:p>
    <w:p w14:paraId="784E7376" w14:textId="77777777" w:rsidR="00E55E0F" w:rsidRDefault="00E55E0F" w:rsidP="00597239">
      <w:pPr>
        <w:spacing w:after="0" w:line="276" w:lineRule="auto"/>
        <w:rPr>
          <w:rFonts w:cstheme="minorHAnsi"/>
          <w:color w:val="FF0000"/>
        </w:rPr>
      </w:pPr>
    </w:p>
    <w:p w14:paraId="3226F16C" w14:textId="77777777" w:rsidR="00E55E0F" w:rsidRDefault="00E55E0F" w:rsidP="00597239">
      <w:pPr>
        <w:spacing w:after="0" w:line="276" w:lineRule="auto"/>
        <w:ind w:firstLine="426"/>
        <w:rPr>
          <w:rFonts w:cstheme="minorHAnsi"/>
          <w:color w:val="FF0000"/>
        </w:rPr>
      </w:pPr>
    </w:p>
    <w:p w14:paraId="2F50582B" w14:textId="487E6EB3" w:rsidR="00E55E0F" w:rsidRPr="00C52E14" w:rsidRDefault="00E55E0F" w:rsidP="00597239">
      <w:pPr>
        <w:pStyle w:val="Legenda"/>
        <w:spacing w:after="0"/>
        <w:rPr>
          <w:rFonts w:cstheme="minorHAnsi"/>
          <w:i w:val="0"/>
          <w:iCs w:val="0"/>
          <w:color w:val="auto"/>
        </w:rPr>
      </w:pPr>
      <w:bookmarkStart w:id="367" w:name="_Toc193969470"/>
      <w:bookmarkStart w:id="368" w:name="_Toc194059930"/>
      <w:r w:rsidRPr="00C52E14">
        <w:rPr>
          <w:i w:val="0"/>
          <w:iCs w:val="0"/>
          <w:color w:val="auto"/>
        </w:rPr>
        <w:t xml:space="preserve">Wykres </w:t>
      </w:r>
      <w:r w:rsidRPr="00C52E14">
        <w:rPr>
          <w:i w:val="0"/>
          <w:iCs w:val="0"/>
          <w:color w:val="auto"/>
        </w:rPr>
        <w:fldChar w:fldCharType="begin"/>
      </w:r>
      <w:r w:rsidRPr="00C52E14">
        <w:rPr>
          <w:i w:val="0"/>
          <w:iCs w:val="0"/>
          <w:color w:val="auto"/>
        </w:rPr>
        <w:instrText xml:space="preserve"> SEQ Wykres \* ARABIC </w:instrText>
      </w:r>
      <w:r w:rsidRPr="00C52E14">
        <w:rPr>
          <w:i w:val="0"/>
          <w:iCs w:val="0"/>
          <w:color w:val="auto"/>
        </w:rPr>
        <w:fldChar w:fldCharType="separate"/>
      </w:r>
      <w:r w:rsidR="00FB6F6A">
        <w:rPr>
          <w:i w:val="0"/>
          <w:iCs w:val="0"/>
          <w:noProof/>
          <w:color w:val="auto"/>
        </w:rPr>
        <w:t>13</w:t>
      </w:r>
      <w:r w:rsidRPr="00C52E14">
        <w:rPr>
          <w:i w:val="0"/>
          <w:iCs w:val="0"/>
          <w:color w:val="auto"/>
        </w:rPr>
        <w:fldChar w:fldCharType="end"/>
      </w:r>
      <w:r w:rsidRPr="00C52E14">
        <w:rPr>
          <w:i w:val="0"/>
          <w:iCs w:val="0"/>
          <w:color w:val="auto"/>
        </w:rPr>
        <w:t xml:space="preserve"> Liczba pracowników pracujący</w:t>
      </w:r>
      <w:r w:rsidR="00306C3C">
        <w:rPr>
          <w:i w:val="0"/>
          <w:iCs w:val="0"/>
          <w:color w:val="auto"/>
        </w:rPr>
        <w:t>ch</w:t>
      </w:r>
      <w:r w:rsidRPr="00C52E14">
        <w:rPr>
          <w:i w:val="0"/>
          <w:iCs w:val="0"/>
          <w:color w:val="auto"/>
        </w:rPr>
        <w:t xml:space="preserve"> w przekroczeniach NDS/NDN czynników szkodliwych w środowisku pracy w roku 2024</w:t>
      </w:r>
      <w:bookmarkEnd w:id="367"/>
      <w:bookmarkEnd w:id="368"/>
    </w:p>
    <w:p w14:paraId="39556A29" w14:textId="45B44753" w:rsidR="00E55E0F" w:rsidRPr="008545D8" w:rsidRDefault="00E55E0F" w:rsidP="00597239">
      <w:pPr>
        <w:spacing w:after="0" w:line="276" w:lineRule="auto"/>
        <w:rPr>
          <w:rFonts w:cstheme="minorHAnsi"/>
          <w:color w:val="FF0000"/>
        </w:rPr>
      </w:pPr>
    </w:p>
    <w:p w14:paraId="1CD66B75" w14:textId="30210568" w:rsidR="00E55E0F" w:rsidRPr="008545D8" w:rsidRDefault="00464C1D" w:rsidP="00597239">
      <w:pPr>
        <w:spacing w:after="0" w:line="276" w:lineRule="auto"/>
        <w:rPr>
          <w:rFonts w:cstheme="minorHAnsi"/>
          <w:color w:val="FF0000"/>
        </w:rPr>
      </w:pPr>
      <w:r w:rsidRPr="008545D8">
        <w:rPr>
          <w:rFonts w:cstheme="minorHAnsi"/>
          <w:noProof/>
          <w:color w:val="FF0000"/>
        </w:rPr>
        <w:drawing>
          <wp:anchor distT="0" distB="0" distL="114300" distR="114300" simplePos="0" relativeHeight="251662336" behindDoc="0" locked="0" layoutInCell="1" allowOverlap="1" wp14:anchorId="644CE322" wp14:editId="7347537A">
            <wp:simplePos x="0" y="0"/>
            <wp:positionH relativeFrom="margin">
              <wp:align>center</wp:align>
            </wp:positionH>
            <wp:positionV relativeFrom="paragraph">
              <wp:posOffset>-1723</wp:posOffset>
            </wp:positionV>
            <wp:extent cx="2590800" cy="1632585"/>
            <wp:effectExtent l="0" t="0" r="0" b="5715"/>
            <wp:wrapSquare wrapText="bothSides"/>
            <wp:docPr id="1" name="Wykres 1" descr="Wykres kołowy. Liczba pracowników pracujących w przekroczeniach najwyższych dopuszczalnych stężeń i natężeń czynników szkodliwych dla zdrowia w środowisku pracy w roku 2024. Czynniki fizyczne 15699 pracowników, czynniki chemiczne 695 pracowników, pyły 379 pracowników.">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68E522B2" w14:textId="77777777" w:rsidR="00E55E0F" w:rsidRPr="008545D8" w:rsidRDefault="00E55E0F" w:rsidP="00597239">
      <w:pPr>
        <w:spacing w:after="0" w:line="276" w:lineRule="auto"/>
        <w:rPr>
          <w:rFonts w:cstheme="minorHAnsi"/>
          <w:color w:val="FF0000"/>
        </w:rPr>
      </w:pPr>
    </w:p>
    <w:p w14:paraId="3970F389" w14:textId="77777777" w:rsidR="00E55E0F" w:rsidRPr="008545D8" w:rsidRDefault="00E55E0F" w:rsidP="00597239">
      <w:pPr>
        <w:spacing w:after="0" w:line="276" w:lineRule="auto"/>
        <w:rPr>
          <w:rFonts w:cstheme="minorHAnsi"/>
          <w:color w:val="FF0000"/>
        </w:rPr>
      </w:pPr>
    </w:p>
    <w:p w14:paraId="3D3BA5B0" w14:textId="361D20FA" w:rsidR="00E55E0F" w:rsidRPr="008545D8" w:rsidRDefault="00E55E0F" w:rsidP="00597239">
      <w:pPr>
        <w:spacing w:after="0" w:line="276" w:lineRule="auto"/>
        <w:rPr>
          <w:rFonts w:cstheme="minorHAnsi"/>
          <w:color w:val="FF0000"/>
        </w:rPr>
      </w:pPr>
    </w:p>
    <w:p w14:paraId="34501F63" w14:textId="73A3D69B" w:rsidR="00E55E0F" w:rsidRPr="008545D8" w:rsidRDefault="00E55E0F" w:rsidP="00597239">
      <w:pPr>
        <w:spacing w:after="0" w:line="276" w:lineRule="auto"/>
        <w:rPr>
          <w:rFonts w:cstheme="minorHAnsi"/>
          <w:color w:val="FF0000"/>
        </w:rPr>
      </w:pPr>
    </w:p>
    <w:p w14:paraId="4A42A58A" w14:textId="52A84F6C" w:rsidR="00E55E0F" w:rsidRPr="008545D8" w:rsidRDefault="00E55E0F" w:rsidP="00597239">
      <w:pPr>
        <w:spacing w:after="0" w:line="276" w:lineRule="auto"/>
        <w:rPr>
          <w:rFonts w:cstheme="minorHAnsi"/>
          <w:color w:val="FF0000"/>
        </w:rPr>
      </w:pPr>
    </w:p>
    <w:p w14:paraId="6BCE5CDD" w14:textId="77777777" w:rsidR="00701CCE" w:rsidRDefault="00701CCE" w:rsidP="00597239">
      <w:pPr>
        <w:spacing w:after="0" w:line="276" w:lineRule="auto"/>
        <w:rPr>
          <w:rFonts w:cstheme="minorHAnsi"/>
          <w:color w:val="000000" w:themeColor="text1"/>
          <w:sz w:val="24"/>
          <w:szCs w:val="24"/>
        </w:rPr>
      </w:pPr>
    </w:p>
    <w:p w14:paraId="20F4167D" w14:textId="77777777" w:rsidR="00777D94" w:rsidRDefault="00777D94" w:rsidP="00597239">
      <w:pPr>
        <w:spacing w:after="0" w:line="276" w:lineRule="auto"/>
        <w:rPr>
          <w:rFonts w:cstheme="minorHAnsi"/>
          <w:color w:val="000000" w:themeColor="text1"/>
          <w:sz w:val="24"/>
          <w:szCs w:val="24"/>
        </w:rPr>
      </w:pPr>
    </w:p>
    <w:p w14:paraId="0ED0ABA6" w14:textId="2F67F12D" w:rsidR="00E55E0F" w:rsidRPr="004245A4" w:rsidRDefault="00E55E0F" w:rsidP="00597239">
      <w:pPr>
        <w:spacing w:after="0" w:line="276" w:lineRule="auto"/>
        <w:rPr>
          <w:rFonts w:cstheme="minorHAnsi"/>
          <w:color w:val="000000" w:themeColor="text1"/>
          <w:sz w:val="24"/>
          <w:szCs w:val="24"/>
        </w:rPr>
      </w:pPr>
      <w:r w:rsidRPr="004245A4">
        <w:rPr>
          <w:rFonts w:cstheme="minorHAnsi"/>
          <w:color w:val="000000" w:themeColor="text1"/>
          <w:sz w:val="24"/>
          <w:szCs w:val="24"/>
        </w:rPr>
        <w:lastRenderedPageBreak/>
        <w:t>Do grupy czynników szkodliwych, na które narażona była największa liczba osób pracujących, tak jak w ostatnich latach, należały czynniki fizyczne (</w:t>
      </w:r>
      <w:r w:rsidR="004245A4">
        <w:rPr>
          <w:rFonts w:cstheme="minorHAnsi"/>
          <w:color w:val="000000" w:themeColor="text1"/>
          <w:sz w:val="24"/>
          <w:szCs w:val="24"/>
        </w:rPr>
        <w:t>Wyk</w:t>
      </w:r>
      <w:r w:rsidRPr="00645250">
        <w:rPr>
          <w:rFonts w:cstheme="minorHAnsi"/>
          <w:sz w:val="24"/>
          <w:szCs w:val="24"/>
        </w:rPr>
        <w:t>. 1</w:t>
      </w:r>
      <w:r w:rsidR="00C15BCD">
        <w:rPr>
          <w:rFonts w:cstheme="minorHAnsi"/>
          <w:sz w:val="24"/>
          <w:szCs w:val="24"/>
        </w:rPr>
        <w:t>3</w:t>
      </w:r>
      <w:r w:rsidRPr="00645250">
        <w:rPr>
          <w:rFonts w:cstheme="minorHAnsi"/>
          <w:sz w:val="24"/>
          <w:szCs w:val="24"/>
        </w:rPr>
        <w:t xml:space="preserve">), </w:t>
      </w:r>
      <w:r w:rsidRPr="004245A4">
        <w:rPr>
          <w:rFonts w:cstheme="minorHAnsi"/>
          <w:color w:val="000000" w:themeColor="text1"/>
          <w:sz w:val="24"/>
          <w:szCs w:val="24"/>
        </w:rPr>
        <w:t>w tym głównie hałas.</w:t>
      </w:r>
    </w:p>
    <w:p w14:paraId="7655B147" w14:textId="580989C0" w:rsidR="00E55E0F" w:rsidRDefault="00E55E0F" w:rsidP="00597239">
      <w:pPr>
        <w:spacing w:after="0" w:line="276" w:lineRule="auto"/>
        <w:rPr>
          <w:rFonts w:cstheme="minorHAnsi"/>
          <w:sz w:val="24"/>
          <w:szCs w:val="24"/>
        </w:rPr>
      </w:pPr>
      <w:r w:rsidRPr="004245A4">
        <w:rPr>
          <w:rFonts w:cstheme="minorHAnsi"/>
          <w:sz w:val="24"/>
          <w:szCs w:val="24"/>
        </w:rPr>
        <w:t xml:space="preserve">Charakterystykę podmiotów, w których stwierdzono przekroczenia NDS i NDN czynników szkodliwych dla zdrowia przedstawiono na </w:t>
      </w:r>
      <w:r w:rsidR="004245A4" w:rsidRPr="00645250">
        <w:rPr>
          <w:rFonts w:cstheme="minorHAnsi"/>
          <w:sz w:val="24"/>
          <w:szCs w:val="24"/>
        </w:rPr>
        <w:t xml:space="preserve">wykresie </w:t>
      </w:r>
      <w:r w:rsidR="00645250" w:rsidRPr="00645250">
        <w:rPr>
          <w:rFonts w:cstheme="minorHAnsi"/>
          <w:sz w:val="24"/>
          <w:szCs w:val="24"/>
        </w:rPr>
        <w:t>1</w:t>
      </w:r>
      <w:r w:rsidR="00C15BCD">
        <w:rPr>
          <w:rFonts w:cstheme="minorHAnsi"/>
          <w:sz w:val="24"/>
          <w:szCs w:val="24"/>
        </w:rPr>
        <w:t>4</w:t>
      </w:r>
      <w:r w:rsidRPr="00645250">
        <w:rPr>
          <w:rFonts w:cstheme="minorHAnsi"/>
          <w:sz w:val="24"/>
          <w:szCs w:val="24"/>
        </w:rPr>
        <w:t>.</w:t>
      </w:r>
    </w:p>
    <w:p w14:paraId="0DF0B0A1" w14:textId="77777777" w:rsidR="00777D94" w:rsidRPr="004245A4" w:rsidRDefault="00777D94" w:rsidP="00597239">
      <w:pPr>
        <w:spacing w:after="0" w:line="276" w:lineRule="auto"/>
        <w:rPr>
          <w:rFonts w:cstheme="minorHAnsi"/>
          <w:sz w:val="24"/>
          <w:szCs w:val="24"/>
        </w:rPr>
      </w:pPr>
    </w:p>
    <w:p w14:paraId="6695F800" w14:textId="6D1F2E4A" w:rsidR="00C52E14" w:rsidRPr="00C52E14" w:rsidRDefault="00C52E14" w:rsidP="00597239">
      <w:pPr>
        <w:pStyle w:val="Legenda"/>
        <w:spacing w:after="0"/>
        <w:rPr>
          <w:rFonts w:cstheme="minorHAnsi"/>
          <w:i w:val="0"/>
          <w:iCs w:val="0"/>
          <w:color w:val="auto"/>
        </w:rPr>
      </w:pPr>
      <w:bookmarkStart w:id="369" w:name="_Toc193969471"/>
      <w:bookmarkStart w:id="370" w:name="_Toc194059931"/>
      <w:r w:rsidRPr="00C52E14">
        <w:rPr>
          <w:i w:val="0"/>
          <w:iCs w:val="0"/>
          <w:color w:val="auto"/>
        </w:rPr>
        <w:t xml:space="preserve">Wykres </w:t>
      </w:r>
      <w:r w:rsidRPr="00C52E14">
        <w:rPr>
          <w:i w:val="0"/>
          <w:iCs w:val="0"/>
          <w:color w:val="auto"/>
        </w:rPr>
        <w:fldChar w:fldCharType="begin"/>
      </w:r>
      <w:r w:rsidRPr="00C52E14">
        <w:rPr>
          <w:i w:val="0"/>
          <w:iCs w:val="0"/>
          <w:color w:val="auto"/>
        </w:rPr>
        <w:instrText xml:space="preserve"> SEQ Wykres \* ARABIC </w:instrText>
      </w:r>
      <w:r w:rsidRPr="00C52E14">
        <w:rPr>
          <w:i w:val="0"/>
          <w:iCs w:val="0"/>
          <w:color w:val="auto"/>
        </w:rPr>
        <w:fldChar w:fldCharType="separate"/>
      </w:r>
      <w:r w:rsidR="00FB6F6A">
        <w:rPr>
          <w:i w:val="0"/>
          <w:iCs w:val="0"/>
          <w:noProof/>
          <w:color w:val="auto"/>
        </w:rPr>
        <w:t>14</w:t>
      </w:r>
      <w:r w:rsidRPr="00C52E14">
        <w:rPr>
          <w:i w:val="0"/>
          <w:iCs w:val="0"/>
          <w:color w:val="auto"/>
        </w:rPr>
        <w:fldChar w:fldCharType="end"/>
      </w:r>
      <w:r w:rsidR="00B60EBD">
        <w:rPr>
          <w:i w:val="0"/>
          <w:iCs w:val="0"/>
          <w:color w:val="auto"/>
        </w:rPr>
        <w:t>.</w:t>
      </w:r>
      <w:r w:rsidRPr="00C52E14">
        <w:rPr>
          <w:i w:val="0"/>
          <w:iCs w:val="0"/>
          <w:color w:val="auto"/>
        </w:rPr>
        <w:t xml:space="preserve"> Zakłady, w których największa liczba pracowników zatrudnionych była w warunkach przekroczenia NDS/NDN wg PKD w latach 2014 – 2024</w:t>
      </w:r>
      <w:bookmarkEnd w:id="369"/>
      <w:bookmarkEnd w:id="370"/>
    </w:p>
    <w:p w14:paraId="0C35BC62" w14:textId="06867C65" w:rsidR="00E55E0F" w:rsidRPr="008545D8" w:rsidRDefault="00E55E0F" w:rsidP="00597239">
      <w:pPr>
        <w:spacing w:line="276" w:lineRule="auto"/>
        <w:rPr>
          <w:rFonts w:cstheme="minorHAnsi"/>
          <w:color w:val="FF0000"/>
        </w:rPr>
      </w:pPr>
      <w:r>
        <w:rPr>
          <w:noProof/>
        </w:rPr>
        <w:drawing>
          <wp:inline distT="0" distB="0" distL="0" distR="0" wp14:anchorId="173DA157" wp14:editId="781E6ACF">
            <wp:extent cx="5775352" cy="4079019"/>
            <wp:effectExtent l="0" t="0" r="0" b="0"/>
            <wp:docPr id="2053082428" name="Wykres 1" descr="Wykres liniowy. Zakłady, w których największa liczba pracowników zatrudnionych była w warunkach przekroczenia najwyższych dopuszczalnych stężeń i natężeń czynników szkodliwych dla zdrowia w środowisku pracy według Polskiej Klasyfikacji Działalności (dalej PKD) w latach 2014 – 2024. Dane za rok 2024: PKD 16 Produkcja wyrobów z drewna oraz korka, z wyłączeniem mebli; produkcja wyrobów ze słomy i materiałów używanych do wyplatania 2614 zatrudnionych pracowników; PKD 31 Produkcja mebli 924 zatrudnionych pracowników; PKD 25 Produkcja metalowych wyrobów gotowych z wyłączeniem maszyn i urządzeń 2258 zatrudnionych pracowników; PKD 10 Produkcja artykułów spożywczych 3966 zatrudnionych pracowników; PKD 22 Produkcja wyrobów z gumy i tworzyw sztucznych 1059 zatrudnionych pracowników.">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CFEA96E" w14:textId="7ABB0F9A" w:rsidR="00E55E0F" w:rsidRDefault="00E55E0F" w:rsidP="00597239">
      <w:pPr>
        <w:spacing w:after="0" w:line="276" w:lineRule="auto"/>
        <w:rPr>
          <w:rFonts w:cstheme="minorHAnsi"/>
          <w:color w:val="000000" w:themeColor="text1"/>
          <w:sz w:val="24"/>
          <w:szCs w:val="24"/>
        </w:rPr>
      </w:pPr>
      <w:r w:rsidRPr="00A82B3D">
        <w:rPr>
          <w:rFonts w:cstheme="minorHAnsi"/>
          <w:color w:val="000000" w:themeColor="text1"/>
          <w:sz w:val="24"/>
          <w:szCs w:val="24"/>
        </w:rPr>
        <w:t xml:space="preserve">W wyniku przeprowadzonych działań nadzorowych poprawiono warunki pracy pracowników, przede wszystkim w wyniku sukcesywnego wdrażania długofalowych programów działań technicznych i organizacyjnych zmierzających do zmniejszenia narażenia na działanie czynników szkodliwych na stanowiskach pracy, obniżenia stężeń i natężeń czynników szkodliwych oraz doprowadzenia do właściwego stanu higienicznosanitarnego pomieszczeń pracy i pomieszczeń higienicznosanitarnych. </w:t>
      </w:r>
    </w:p>
    <w:p w14:paraId="7779762E" w14:textId="77777777" w:rsidR="00777D94" w:rsidRPr="00A82B3D" w:rsidRDefault="00777D94" w:rsidP="00597239">
      <w:pPr>
        <w:spacing w:after="0" w:line="276" w:lineRule="auto"/>
        <w:rPr>
          <w:rFonts w:cstheme="minorHAnsi"/>
          <w:color w:val="000000" w:themeColor="text1"/>
          <w:sz w:val="24"/>
          <w:szCs w:val="24"/>
        </w:rPr>
      </w:pPr>
    </w:p>
    <w:p w14:paraId="17388090" w14:textId="325DA6DB" w:rsidR="00E55E0F" w:rsidRPr="00F97F93" w:rsidRDefault="00E55E0F" w:rsidP="00597239">
      <w:pPr>
        <w:pStyle w:val="Nagwek2"/>
        <w:numPr>
          <w:ilvl w:val="0"/>
          <w:numId w:val="45"/>
        </w:numPr>
        <w:spacing w:before="0" w:after="0"/>
        <w:ind w:left="284" w:hanging="284"/>
        <w:jc w:val="left"/>
      </w:pPr>
      <w:bookmarkStart w:id="371" w:name="_Toc194059853"/>
      <w:r w:rsidRPr="00A52944">
        <w:t>Narażenie na czynniki rakotwórcze i mutagenne w środowisku pracy</w:t>
      </w:r>
      <w:bookmarkEnd w:id="371"/>
    </w:p>
    <w:p w14:paraId="7DF44E56" w14:textId="4DD6E95D" w:rsidR="00E55E0F" w:rsidRPr="00A82B3D" w:rsidRDefault="00E55E0F" w:rsidP="00597239">
      <w:pPr>
        <w:spacing w:after="0"/>
        <w:rPr>
          <w:rFonts w:cstheme="minorHAnsi"/>
          <w:b/>
          <w:color w:val="000000" w:themeColor="text1"/>
          <w:sz w:val="24"/>
          <w:szCs w:val="24"/>
        </w:rPr>
      </w:pPr>
      <w:r w:rsidRPr="00A82B3D">
        <w:rPr>
          <w:rFonts w:cstheme="minorHAnsi"/>
          <w:color w:val="000000" w:themeColor="text1"/>
          <w:sz w:val="24"/>
          <w:szCs w:val="24"/>
        </w:rPr>
        <w:t xml:space="preserve">Czynniki rakotwórcze lub mutagenne występujące w środowisku pracy stanowią ważne zagadnienie z punktu widzenia zdrowia publicznego. Długotrwałe narażenie na te czynniki może prowadzić do rozwoju zmian nowotworowych, które mogą ujawnić się wiele lat od chwili ustania narażenia. Na terenie województwa zachodniopomorskiego w roku 2024, w ewidencji znajdowało się 790 zakładów, w których na stanowiskach pracy występowały substancje, ich mieszaniny, czynniki lub procesy technologiczne o działaniu rakotwórczym lub mutagennym. </w:t>
      </w:r>
    </w:p>
    <w:p w14:paraId="0DEF0849" w14:textId="0BF5D30F" w:rsidR="00F97F93" w:rsidRPr="00A82B3D" w:rsidRDefault="00E55E0F" w:rsidP="00597239">
      <w:pPr>
        <w:spacing w:after="0" w:line="276" w:lineRule="auto"/>
        <w:rPr>
          <w:rFonts w:cstheme="minorHAnsi"/>
          <w:color w:val="000000" w:themeColor="text1"/>
          <w:sz w:val="24"/>
          <w:szCs w:val="24"/>
        </w:rPr>
      </w:pPr>
      <w:r w:rsidRPr="00A82B3D">
        <w:rPr>
          <w:rFonts w:cstheme="minorHAnsi"/>
          <w:color w:val="000000" w:themeColor="text1"/>
          <w:sz w:val="24"/>
          <w:szCs w:val="24"/>
        </w:rPr>
        <w:lastRenderedPageBreak/>
        <w:t>Liczba narażonych pracowników w zakładach skontrolowanych w roku 2024 wynosiła prawie 6 tys. (tj. około 3 % ogólnej liczby pracowników zakładów objętych ewidencją), w tym prawie 2 tys. kobiet (</w:t>
      </w:r>
      <w:r w:rsidR="00F97F93" w:rsidRPr="00645250">
        <w:rPr>
          <w:rFonts w:cstheme="minorHAnsi"/>
          <w:color w:val="000000" w:themeColor="text1"/>
          <w:sz w:val="24"/>
          <w:szCs w:val="24"/>
        </w:rPr>
        <w:t>Wyk</w:t>
      </w:r>
      <w:r w:rsidRPr="00645250">
        <w:rPr>
          <w:rFonts w:cstheme="minorHAnsi"/>
          <w:color w:val="000000" w:themeColor="text1"/>
          <w:sz w:val="24"/>
          <w:szCs w:val="24"/>
        </w:rPr>
        <w:t xml:space="preserve">. </w:t>
      </w:r>
      <w:r w:rsidR="00645250">
        <w:rPr>
          <w:rFonts w:cstheme="minorHAnsi"/>
          <w:color w:val="000000" w:themeColor="text1"/>
          <w:sz w:val="24"/>
          <w:szCs w:val="24"/>
        </w:rPr>
        <w:t>1</w:t>
      </w:r>
      <w:r w:rsidR="00C15BCD">
        <w:rPr>
          <w:rFonts w:cstheme="minorHAnsi"/>
          <w:color w:val="000000" w:themeColor="text1"/>
          <w:sz w:val="24"/>
          <w:szCs w:val="24"/>
        </w:rPr>
        <w:t>5</w:t>
      </w:r>
      <w:r w:rsidRPr="00A82B3D">
        <w:rPr>
          <w:rFonts w:cstheme="minorHAnsi"/>
          <w:color w:val="000000" w:themeColor="text1"/>
          <w:sz w:val="24"/>
          <w:szCs w:val="24"/>
        </w:rPr>
        <w:t xml:space="preserve">). </w:t>
      </w:r>
    </w:p>
    <w:p w14:paraId="567C95C7" w14:textId="77777777" w:rsidR="00F5377D" w:rsidRDefault="00F5377D" w:rsidP="00597239">
      <w:pPr>
        <w:pStyle w:val="Legenda"/>
        <w:spacing w:after="0"/>
        <w:rPr>
          <w:i w:val="0"/>
          <w:iCs w:val="0"/>
          <w:color w:val="auto"/>
        </w:rPr>
      </w:pPr>
    </w:p>
    <w:p w14:paraId="5728E074" w14:textId="603FC8F6" w:rsidR="00F97F93" w:rsidRPr="00F97F93" w:rsidRDefault="00F97F93" w:rsidP="00597239">
      <w:pPr>
        <w:pStyle w:val="Legenda"/>
        <w:spacing w:after="0"/>
        <w:rPr>
          <w:rFonts w:cstheme="minorHAnsi"/>
          <w:i w:val="0"/>
          <w:iCs w:val="0"/>
          <w:color w:val="auto"/>
        </w:rPr>
      </w:pPr>
      <w:bookmarkStart w:id="372" w:name="_Toc193969472"/>
      <w:bookmarkStart w:id="373" w:name="_Toc194059932"/>
      <w:r w:rsidRPr="00F97F93">
        <w:rPr>
          <w:i w:val="0"/>
          <w:iCs w:val="0"/>
          <w:color w:val="auto"/>
        </w:rPr>
        <w:t xml:space="preserve">Wykres </w:t>
      </w:r>
      <w:r w:rsidRPr="00F97F93">
        <w:rPr>
          <w:i w:val="0"/>
          <w:iCs w:val="0"/>
          <w:color w:val="auto"/>
        </w:rPr>
        <w:fldChar w:fldCharType="begin"/>
      </w:r>
      <w:r w:rsidRPr="00F97F93">
        <w:rPr>
          <w:i w:val="0"/>
          <w:iCs w:val="0"/>
          <w:color w:val="auto"/>
        </w:rPr>
        <w:instrText xml:space="preserve"> SEQ Wykres \* ARABIC </w:instrText>
      </w:r>
      <w:r w:rsidRPr="00F97F93">
        <w:rPr>
          <w:i w:val="0"/>
          <w:iCs w:val="0"/>
          <w:color w:val="auto"/>
        </w:rPr>
        <w:fldChar w:fldCharType="separate"/>
      </w:r>
      <w:r w:rsidR="00FB6F6A">
        <w:rPr>
          <w:i w:val="0"/>
          <w:iCs w:val="0"/>
          <w:noProof/>
          <w:color w:val="auto"/>
        </w:rPr>
        <w:t>15</w:t>
      </w:r>
      <w:r w:rsidRPr="00F97F93">
        <w:rPr>
          <w:i w:val="0"/>
          <w:iCs w:val="0"/>
          <w:color w:val="auto"/>
        </w:rPr>
        <w:fldChar w:fldCharType="end"/>
      </w:r>
      <w:r w:rsidR="00B60EBD">
        <w:rPr>
          <w:i w:val="0"/>
          <w:iCs w:val="0"/>
          <w:color w:val="auto"/>
        </w:rPr>
        <w:t>.</w:t>
      </w:r>
      <w:r w:rsidRPr="00F97F93">
        <w:rPr>
          <w:i w:val="0"/>
          <w:iCs w:val="0"/>
          <w:color w:val="auto"/>
        </w:rPr>
        <w:t xml:space="preserve"> Liczba osób narażonych na czynniki rakotwórcze z podziałem na kobiety i mężczyzn w latach 2014 – 2024</w:t>
      </w:r>
      <w:bookmarkEnd w:id="372"/>
      <w:bookmarkEnd w:id="373"/>
    </w:p>
    <w:p w14:paraId="565B0E51" w14:textId="35806530" w:rsidR="00E55E0F" w:rsidRPr="00F97F93" w:rsidRDefault="00E55E0F" w:rsidP="00597239">
      <w:pPr>
        <w:spacing w:after="0" w:line="276" w:lineRule="auto"/>
        <w:rPr>
          <w:rFonts w:cstheme="minorHAnsi"/>
          <w:color w:val="000000" w:themeColor="text1"/>
        </w:rPr>
      </w:pPr>
      <w:r>
        <w:rPr>
          <w:noProof/>
        </w:rPr>
        <w:drawing>
          <wp:inline distT="0" distB="0" distL="0" distR="0" wp14:anchorId="260B0E88" wp14:editId="78BAEC69">
            <wp:extent cx="6011186" cy="3625794"/>
            <wp:effectExtent l="0" t="0" r="8890" b="0"/>
            <wp:docPr id="836023183" name="Wykres 1" descr="Wykres liniowy. Liczba osób narażonych na czynniki rakotwórcze z podziałem na kobiety i mężczyzn w zakładach skontrolowanych w latach 2014-2024. Dane za rok 2024: Ogółem 5946 osób narażonych na czynniki rakotwórcze, w tym 3998 mężczyzn, 1948 kobiet.">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4CE83DF" w14:textId="0FBCA4A1" w:rsidR="00E55E0F" w:rsidRPr="002B568E" w:rsidRDefault="00E55E0F" w:rsidP="00597239">
      <w:pPr>
        <w:spacing w:after="0" w:line="276" w:lineRule="auto"/>
        <w:rPr>
          <w:rFonts w:cstheme="minorHAnsi"/>
          <w:color w:val="000000" w:themeColor="text1"/>
          <w:sz w:val="24"/>
          <w:szCs w:val="24"/>
        </w:rPr>
      </w:pPr>
      <w:r w:rsidRPr="002B568E">
        <w:rPr>
          <w:rFonts w:cstheme="minorHAnsi"/>
          <w:color w:val="000000" w:themeColor="text1"/>
          <w:sz w:val="24"/>
          <w:szCs w:val="24"/>
        </w:rPr>
        <w:t>W wyniku przeprowadzonych 324 kontroli z zakresu nadzoru nad czynnikami rakotwórczymi lub mutagennymi, wydano 87 decyzji zobowiązujących pracodawców m.in. do wykonania badań i pomiarów czynników rakotwórczych występujących na stanowiskach pracy, zapewnienia właściwej dokumentacji, tj.: rejestrów prac oraz pracowników narażonych na</w:t>
      </w:r>
      <w:r w:rsidR="002E1F9D">
        <w:rPr>
          <w:rFonts w:cstheme="minorHAnsi"/>
          <w:color w:val="000000" w:themeColor="text1"/>
          <w:sz w:val="24"/>
          <w:szCs w:val="24"/>
        </w:rPr>
        <w:t> </w:t>
      </w:r>
      <w:r w:rsidRPr="002B568E">
        <w:rPr>
          <w:rFonts w:cstheme="minorHAnsi"/>
          <w:color w:val="000000" w:themeColor="text1"/>
          <w:sz w:val="24"/>
          <w:szCs w:val="24"/>
        </w:rPr>
        <w:t>działanie substancji chemicznych, ich mieszanin, czynników lub procesów technologicznych o</w:t>
      </w:r>
      <w:r w:rsidR="002E1F9D">
        <w:rPr>
          <w:rFonts w:cstheme="minorHAnsi"/>
          <w:color w:val="000000" w:themeColor="text1"/>
          <w:sz w:val="24"/>
          <w:szCs w:val="24"/>
        </w:rPr>
        <w:t> </w:t>
      </w:r>
      <w:r w:rsidRPr="002B568E">
        <w:rPr>
          <w:rFonts w:cstheme="minorHAnsi"/>
          <w:color w:val="000000" w:themeColor="text1"/>
          <w:sz w:val="24"/>
          <w:szCs w:val="24"/>
        </w:rPr>
        <w:t>działaniu rakotwórczym lub mutagennym</w:t>
      </w:r>
      <w:r w:rsidRPr="00A52944">
        <w:rPr>
          <w:rFonts w:cstheme="minorHAnsi"/>
          <w:color w:val="000000" w:themeColor="text1"/>
        </w:rPr>
        <w:t xml:space="preserve"> </w:t>
      </w:r>
      <w:r w:rsidRPr="002B568E">
        <w:rPr>
          <w:rFonts w:cstheme="minorHAnsi"/>
          <w:color w:val="000000" w:themeColor="text1"/>
          <w:sz w:val="24"/>
          <w:szCs w:val="24"/>
        </w:rPr>
        <w:t>oraz oceny ryzyka zawodowego, a także przekazania do Zachodniopomorskiego Państwowego Wojewódzkiego Inspektora Sanitarnego w Szczecinie informacji o substancjach chemicznych, ich mieszaninach, czynnikach lub procesach technologicznych o działaniu rakotwórczym lub mutagennym.</w:t>
      </w:r>
    </w:p>
    <w:p w14:paraId="71FE96BA" w14:textId="76A1BA99" w:rsidR="00E55E0F" w:rsidRDefault="00E55E0F" w:rsidP="00597239">
      <w:pPr>
        <w:spacing w:after="0" w:line="276" w:lineRule="auto"/>
        <w:rPr>
          <w:rFonts w:cstheme="minorHAnsi"/>
          <w:color w:val="000000" w:themeColor="text1"/>
          <w:sz w:val="24"/>
          <w:szCs w:val="24"/>
        </w:rPr>
      </w:pPr>
      <w:r w:rsidRPr="002B568E">
        <w:rPr>
          <w:rFonts w:cstheme="minorHAnsi"/>
          <w:color w:val="000000" w:themeColor="text1"/>
          <w:sz w:val="24"/>
          <w:szCs w:val="24"/>
        </w:rPr>
        <w:t xml:space="preserve">W czasie czynności kontrolnych prowadzono działania </w:t>
      </w:r>
      <w:proofErr w:type="spellStart"/>
      <w:r w:rsidRPr="002B568E">
        <w:rPr>
          <w:rFonts w:cstheme="minorHAnsi"/>
          <w:color w:val="000000" w:themeColor="text1"/>
          <w:sz w:val="24"/>
          <w:szCs w:val="24"/>
        </w:rPr>
        <w:t>edukacyjno</w:t>
      </w:r>
      <w:proofErr w:type="spellEnd"/>
      <w:r w:rsidRPr="002B568E">
        <w:rPr>
          <w:rFonts w:cstheme="minorHAnsi"/>
          <w:color w:val="000000" w:themeColor="text1"/>
          <w:sz w:val="24"/>
          <w:szCs w:val="24"/>
        </w:rPr>
        <w:t xml:space="preserve"> – informacyjne dotyczące nowych obowiązków wynikających z wejścia w życie w dniu 28.07.2024 r. rozporządzenia Ministra Zdrowia w sprawie substancji chemicznych, ich mieszanin, czynników lub procesów o działaniu rakotwórczym, mutagennym lub </w:t>
      </w:r>
      <w:proofErr w:type="spellStart"/>
      <w:r w:rsidRPr="002B568E">
        <w:rPr>
          <w:rFonts w:cstheme="minorHAnsi"/>
          <w:color w:val="000000" w:themeColor="text1"/>
          <w:sz w:val="24"/>
          <w:szCs w:val="24"/>
        </w:rPr>
        <w:t>reprotoksycznym</w:t>
      </w:r>
      <w:proofErr w:type="spellEnd"/>
      <w:r w:rsidRPr="002B568E">
        <w:rPr>
          <w:rFonts w:cstheme="minorHAnsi"/>
          <w:color w:val="000000" w:themeColor="text1"/>
          <w:sz w:val="24"/>
          <w:szCs w:val="24"/>
        </w:rPr>
        <w:t xml:space="preserve"> w środowisku pracy.</w:t>
      </w:r>
    </w:p>
    <w:p w14:paraId="0B2BBA11" w14:textId="77777777" w:rsidR="00777D94" w:rsidRPr="002B568E" w:rsidRDefault="00777D94" w:rsidP="00597239">
      <w:pPr>
        <w:spacing w:after="0" w:line="276" w:lineRule="auto"/>
        <w:rPr>
          <w:rFonts w:cstheme="minorHAnsi"/>
          <w:color w:val="000000" w:themeColor="text1"/>
          <w:sz w:val="24"/>
          <w:szCs w:val="24"/>
        </w:rPr>
      </w:pPr>
    </w:p>
    <w:p w14:paraId="4EE95E39" w14:textId="77777777" w:rsidR="00E55E0F" w:rsidRPr="00A3062D" w:rsidRDefault="00E55E0F" w:rsidP="00597239">
      <w:pPr>
        <w:pStyle w:val="Nagwek2"/>
        <w:numPr>
          <w:ilvl w:val="0"/>
          <w:numId w:val="46"/>
        </w:numPr>
        <w:spacing w:before="0" w:after="0"/>
        <w:ind w:left="284" w:hanging="284"/>
        <w:jc w:val="left"/>
      </w:pPr>
      <w:bookmarkStart w:id="374" w:name="_Toc194059854"/>
      <w:r w:rsidRPr="00A3062D">
        <w:t>Narażenie na szkodliwe czynniki biologiczne w środowisku pracy</w:t>
      </w:r>
      <w:bookmarkEnd w:id="374"/>
    </w:p>
    <w:p w14:paraId="7FADB68C" w14:textId="01691C45" w:rsidR="00E55E0F" w:rsidRPr="002B568E" w:rsidRDefault="00E55E0F" w:rsidP="00597239">
      <w:pPr>
        <w:spacing w:after="0" w:line="276" w:lineRule="auto"/>
        <w:rPr>
          <w:rFonts w:cstheme="minorHAnsi"/>
          <w:color w:val="000000" w:themeColor="text1"/>
          <w:sz w:val="24"/>
          <w:szCs w:val="24"/>
        </w:rPr>
      </w:pPr>
      <w:r w:rsidRPr="002B568E">
        <w:rPr>
          <w:rFonts w:cstheme="minorHAnsi"/>
          <w:color w:val="000000" w:themeColor="text1"/>
          <w:sz w:val="24"/>
          <w:szCs w:val="24"/>
        </w:rPr>
        <w:t xml:space="preserve">Obecność szkodliwych czynników biologicznych na stanowiskach pracy, a co za tym idzie zagrożenie dla zdrowia pracowników, stanowi bardzo istotny problem z zakresu bezpieczeństwa i higieny pracy. </w:t>
      </w:r>
    </w:p>
    <w:p w14:paraId="1B28D8D7" w14:textId="278DD77F" w:rsidR="003F4356" w:rsidRPr="00777D94" w:rsidRDefault="00E55E0F" w:rsidP="00597239">
      <w:pPr>
        <w:spacing w:line="276" w:lineRule="auto"/>
        <w:rPr>
          <w:rFonts w:cstheme="minorHAnsi"/>
          <w:color w:val="000000" w:themeColor="text1"/>
          <w:sz w:val="24"/>
          <w:szCs w:val="24"/>
        </w:rPr>
      </w:pPr>
      <w:r w:rsidRPr="002B568E">
        <w:rPr>
          <w:rFonts w:cstheme="minorHAnsi"/>
          <w:color w:val="000000" w:themeColor="text1"/>
          <w:sz w:val="24"/>
          <w:szCs w:val="24"/>
        </w:rPr>
        <w:lastRenderedPageBreak/>
        <w:t>W narażeniu na szkodliwe czynniki biologiczne w zakładach skontrolowanych w roku 2024 (m.in. podmiotach leczniczych, zakładach gospodarki odpadami oraz podmiotach zajmujących się uprawą roli, chowem i hodowla zwierząt, jak również leśnictwem i pozyskiwaniem drewna) zatrudnionych było ponad 25 tys. pracowników. Największa liczba pracowników ponad 22 tys., zatrudniona była w narażeniu na szkodliwe czynniki biologiczne z grupy 2, czyli czynniki, które mogą wywoływać choroby u ludzi, i tym samym mogą być niebezpieczne dla pracowników, ale</w:t>
      </w:r>
      <w:bookmarkStart w:id="375" w:name="_Hlk98409524"/>
      <w:r w:rsidRPr="002B568E">
        <w:rPr>
          <w:rFonts w:cstheme="minorHAnsi"/>
          <w:color w:val="000000" w:themeColor="text1"/>
          <w:sz w:val="24"/>
          <w:szCs w:val="24"/>
        </w:rPr>
        <w:t xml:space="preserve"> rozprzestrzenienie ich w populacji ludzkiej jest mało prawdopodobne (</w:t>
      </w:r>
      <w:r w:rsidR="00436452" w:rsidRPr="00F82ED9">
        <w:rPr>
          <w:rFonts w:cstheme="minorHAnsi"/>
          <w:color w:val="000000" w:themeColor="text1"/>
          <w:sz w:val="24"/>
          <w:szCs w:val="24"/>
        </w:rPr>
        <w:t>Wyk</w:t>
      </w:r>
      <w:r w:rsidRPr="00F82ED9">
        <w:rPr>
          <w:rFonts w:cstheme="minorHAnsi"/>
          <w:color w:val="000000" w:themeColor="text1"/>
          <w:sz w:val="24"/>
          <w:szCs w:val="24"/>
        </w:rPr>
        <w:t xml:space="preserve">. </w:t>
      </w:r>
      <w:r w:rsidR="00F82ED9">
        <w:rPr>
          <w:rFonts w:cstheme="minorHAnsi"/>
          <w:color w:val="000000" w:themeColor="text1"/>
          <w:sz w:val="24"/>
          <w:szCs w:val="24"/>
        </w:rPr>
        <w:t>1</w:t>
      </w:r>
      <w:r w:rsidR="00C15BCD">
        <w:rPr>
          <w:rFonts w:cstheme="minorHAnsi"/>
          <w:color w:val="000000" w:themeColor="text1"/>
          <w:sz w:val="24"/>
          <w:szCs w:val="24"/>
        </w:rPr>
        <w:t>6</w:t>
      </w:r>
      <w:r w:rsidRPr="002B568E">
        <w:rPr>
          <w:rFonts w:cstheme="minorHAnsi"/>
          <w:color w:val="000000" w:themeColor="text1"/>
          <w:sz w:val="24"/>
          <w:szCs w:val="24"/>
        </w:rPr>
        <w:t>). Zazwyczaj istnieją w stosunku do nich skuteczne metody profilaktyki lub leczenia. Na s</w:t>
      </w:r>
      <w:r w:rsidRPr="002B568E">
        <w:rPr>
          <w:rFonts w:ascii="Calibri" w:hAnsi="Calibri" w:cs="Calibri"/>
          <w:sz w:val="24"/>
          <w:szCs w:val="24"/>
        </w:rPr>
        <w:t>tanowiskach pracy nie występuje zagrożenie czynnikami biologicznymi z grupy 4, czyli czynnikami,</w:t>
      </w:r>
      <w:r w:rsidRPr="002B568E">
        <w:rPr>
          <w:sz w:val="24"/>
          <w:szCs w:val="24"/>
        </w:rPr>
        <w:t xml:space="preserve"> </w:t>
      </w:r>
      <w:r w:rsidRPr="002B568E">
        <w:rPr>
          <w:rFonts w:cstheme="minorHAnsi"/>
          <w:sz w:val="24"/>
          <w:szCs w:val="24"/>
        </w:rPr>
        <w:t>które wywołują u ludzi ciężkie choroby, są niebezpieczne dla pracowników, a rozprzestrzenienie ich w</w:t>
      </w:r>
      <w:r w:rsidR="002E1F9D">
        <w:rPr>
          <w:rFonts w:cstheme="minorHAnsi"/>
          <w:sz w:val="24"/>
          <w:szCs w:val="24"/>
        </w:rPr>
        <w:t> </w:t>
      </w:r>
      <w:r w:rsidRPr="002B568E">
        <w:rPr>
          <w:rFonts w:cstheme="minorHAnsi"/>
          <w:sz w:val="24"/>
          <w:szCs w:val="24"/>
        </w:rPr>
        <w:t>populacji ludzkiej jest bardzo prawdopodobne. Zazwyczaj nie istnieją w stosunku do nich skuteczne metody profilaktyki lub leczenia.</w:t>
      </w:r>
    </w:p>
    <w:p w14:paraId="4865E3D6" w14:textId="0A0D7DC8" w:rsidR="00E55E0F" w:rsidRPr="005F3A32" w:rsidRDefault="005F3A32" w:rsidP="00597239">
      <w:pPr>
        <w:pStyle w:val="Legenda"/>
        <w:rPr>
          <w:rFonts w:cstheme="minorHAnsi"/>
          <w:i w:val="0"/>
          <w:iCs w:val="0"/>
          <w:color w:val="auto"/>
        </w:rPr>
      </w:pPr>
      <w:bookmarkStart w:id="376" w:name="_Toc193969473"/>
      <w:bookmarkStart w:id="377" w:name="_Toc194059933"/>
      <w:r w:rsidRPr="005F3A32">
        <w:rPr>
          <w:i w:val="0"/>
          <w:iCs w:val="0"/>
          <w:color w:val="auto"/>
        </w:rPr>
        <w:t xml:space="preserve">Wykres </w:t>
      </w:r>
      <w:r w:rsidRPr="005F3A32">
        <w:rPr>
          <w:i w:val="0"/>
          <w:iCs w:val="0"/>
          <w:color w:val="auto"/>
        </w:rPr>
        <w:fldChar w:fldCharType="begin"/>
      </w:r>
      <w:r w:rsidRPr="005F3A32">
        <w:rPr>
          <w:i w:val="0"/>
          <w:iCs w:val="0"/>
          <w:color w:val="auto"/>
        </w:rPr>
        <w:instrText xml:space="preserve"> SEQ Wykres \* ARABIC </w:instrText>
      </w:r>
      <w:r w:rsidRPr="005F3A32">
        <w:rPr>
          <w:i w:val="0"/>
          <w:iCs w:val="0"/>
          <w:color w:val="auto"/>
        </w:rPr>
        <w:fldChar w:fldCharType="separate"/>
      </w:r>
      <w:r w:rsidR="00FB6F6A">
        <w:rPr>
          <w:i w:val="0"/>
          <w:iCs w:val="0"/>
          <w:noProof/>
          <w:color w:val="auto"/>
        </w:rPr>
        <w:t>16</w:t>
      </w:r>
      <w:r w:rsidRPr="005F3A32">
        <w:rPr>
          <w:i w:val="0"/>
          <w:iCs w:val="0"/>
          <w:color w:val="auto"/>
        </w:rPr>
        <w:fldChar w:fldCharType="end"/>
      </w:r>
      <w:r w:rsidR="00B60EBD">
        <w:rPr>
          <w:i w:val="0"/>
          <w:iCs w:val="0"/>
          <w:color w:val="auto"/>
        </w:rPr>
        <w:t>.</w:t>
      </w:r>
      <w:r w:rsidRPr="005F3A32">
        <w:rPr>
          <w:i w:val="0"/>
          <w:iCs w:val="0"/>
          <w:color w:val="auto"/>
        </w:rPr>
        <w:t xml:space="preserve"> Liczba osób narażonych na czynniki biologiczne, z podziałem na grupy czynników biologicznych w</w:t>
      </w:r>
      <w:r>
        <w:rPr>
          <w:i w:val="0"/>
          <w:iCs w:val="0"/>
          <w:color w:val="auto"/>
        </w:rPr>
        <w:t> </w:t>
      </w:r>
      <w:r w:rsidRPr="005F3A32">
        <w:rPr>
          <w:i w:val="0"/>
          <w:iCs w:val="0"/>
          <w:color w:val="auto"/>
        </w:rPr>
        <w:t>skontrolowanych zakładach, w latach 2014 - 2024</w:t>
      </w:r>
      <w:bookmarkEnd w:id="376"/>
      <w:bookmarkEnd w:id="377"/>
    </w:p>
    <w:p w14:paraId="30C4168C" w14:textId="0790FB42" w:rsidR="00E55E0F" w:rsidRPr="008545D8" w:rsidRDefault="00E55E0F" w:rsidP="00597239">
      <w:pPr>
        <w:spacing w:line="276" w:lineRule="auto"/>
        <w:rPr>
          <w:rFonts w:cstheme="minorHAnsi"/>
          <w:color w:val="FF0000"/>
        </w:rPr>
      </w:pPr>
      <w:r>
        <w:rPr>
          <w:noProof/>
        </w:rPr>
        <w:drawing>
          <wp:inline distT="0" distB="0" distL="0" distR="0" wp14:anchorId="5D819FFB" wp14:editId="0B47EF18">
            <wp:extent cx="6141112" cy="3342226"/>
            <wp:effectExtent l="0" t="0" r="0" b="0"/>
            <wp:docPr id="1169396136" name="Wykres 1" descr="Wykres słupkowy. Liczba osób narażonych na czynniki biologiczne, z podziałem na grupy czynników biologicznych w skontrolowanych zakładach, w latach 2014 – 2024. Dane za rok 2024: ogółem narażonych pracowników na czynniki biologiczne 24929, liczba pracowników narażonych na czynniki biologiczne z grupy 2 zagrożenia 22429, liczba pracowników narażonych na czynniki biologiczne z grupy 3 zagrożenia 12723.">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End w:id="375"/>
    </w:p>
    <w:p w14:paraId="6DA1B506" w14:textId="1606EA65" w:rsidR="00E55E0F" w:rsidRPr="002B568E" w:rsidRDefault="00E55E0F" w:rsidP="00597239">
      <w:pPr>
        <w:spacing w:line="276" w:lineRule="auto"/>
        <w:rPr>
          <w:rFonts w:cstheme="minorHAnsi"/>
          <w:bCs/>
          <w:sz w:val="24"/>
          <w:szCs w:val="24"/>
        </w:rPr>
      </w:pPr>
      <w:r w:rsidRPr="002B568E">
        <w:rPr>
          <w:rFonts w:cstheme="minorHAnsi"/>
          <w:bCs/>
          <w:sz w:val="24"/>
          <w:szCs w:val="24"/>
        </w:rPr>
        <w:t>W ramach prowadzonego nadzoru w powyższym zakresie przeprowadzono 689 kontroli i</w:t>
      </w:r>
      <w:r w:rsidR="002E1F9D">
        <w:rPr>
          <w:rFonts w:cstheme="minorHAnsi"/>
          <w:bCs/>
          <w:sz w:val="24"/>
          <w:szCs w:val="24"/>
        </w:rPr>
        <w:t> </w:t>
      </w:r>
      <w:r w:rsidRPr="002B568E">
        <w:rPr>
          <w:rFonts w:cstheme="minorHAnsi"/>
          <w:bCs/>
          <w:sz w:val="24"/>
          <w:szCs w:val="24"/>
        </w:rPr>
        <w:t xml:space="preserve">wydano 46 decyzji. </w:t>
      </w:r>
    </w:p>
    <w:p w14:paraId="6FAAA1E9" w14:textId="77777777" w:rsidR="00E55E0F" w:rsidRPr="002B568E" w:rsidRDefault="00E55E0F" w:rsidP="00597239">
      <w:pPr>
        <w:spacing w:after="0" w:line="276" w:lineRule="auto"/>
        <w:rPr>
          <w:rFonts w:cstheme="minorHAnsi"/>
          <w:bCs/>
          <w:sz w:val="24"/>
          <w:szCs w:val="24"/>
        </w:rPr>
      </w:pPr>
      <w:r w:rsidRPr="002B568E">
        <w:rPr>
          <w:rFonts w:cstheme="minorHAnsi"/>
          <w:bCs/>
          <w:sz w:val="24"/>
          <w:szCs w:val="24"/>
        </w:rPr>
        <w:t>Podczas kontroli do najczęściej stwierdzanych uchybień należało:</w:t>
      </w:r>
    </w:p>
    <w:p w14:paraId="001255DE" w14:textId="2DF38A8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nieprawidłowa/nieaktualna/brak oceny ryzyka zawodowego dla pracowników w</w:t>
      </w:r>
      <w:r w:rsidR="00C719C9">
        <w:rPr>
          <w:rFonts w:cstheme="minorHAnsi"/>
          <w:sz w:val="24"/>
          <w:szCs w:val="24"/>
        </w:rPr>
        <w:t> </w:t>
      </w:r>
      <w:r w:rsidRPr="002B568E">
        <w:rPr>
          <w:rFonts w:cstheme="minorHAnsi"/>
          <w:sz w:val="24"/>
          <w:szCs w:val="24"/>
        </w:rPr>
        <w:t>zakresie narażenia na działanie szkodliwych czynników biologicznych;</w:t>
      </w:r>
    </w:p>
    <w:p w14:paraId="5A74E09E" w14:textId="7777777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 xml:space="preserve">brak wykazu i klasyfikacji szkodliwych czynników biologicznych występujących </w:t>
      </w:r>
      <w:r w:rsidRPr="002B568E">
        <w:rPr>
          <w:rFonts w:cstheme="minorHAnsi"/>
          <w:sz w:val="24"/>
          <w:szCs w:val="24"/>
        </w:rPr>
        <w:br/>
        <w:t>w środowisku pracy;</w:t>
      </w:r>
    </w:p>
    <w:p w14:paraId="50D9E55D" w14:textId="7777777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brak ustalenia szkodliwych czynników biologicznych występujących w środowisku pracy;</w:t>
      </w:r>
    </w:p>
    <w:p w14:paraId="524111B4" w14:textId="03EE9B68" w:rsidR="00E55E0F" w:rsidRPr="002B568E" w:rsidRDefault="00FD3723"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lastRenderedPageBreak/>
        <w:t>niezastosowanie</w:t>
      </w:r>
      <w:r w:rsidR="00E55E0F" w:rsidRPr="002B568E">
        <w:rPr>
          <w:rFonts w:cstheme="minorHAnsi"/>
          <w:sz w:val="24"/>
          <w:szCs w:val="24"/>
        </w:rPr>
        <w:t xml:space="preserve"> znaku ostrzegającego przed zagrożeniem biologicznym;</w:t>
      </w:r>
    </w:p>
    <w:p w14:paraId="2550F5F7" w14:textId="7777777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brak/nieaktualny rejestr prac narażających pracowników na działanie szkodliwych czynników biologicznych zaklasyfikowanych do 3 lub 4 grupy zagrożeń;</w:t>
      </w:r>
    </w:p>
    <w:p w14:paraId="2DF8DAD3" w14:textId="7777777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brak rejestru pracowników narażonych na działanie szkodliwych czynników biologicznych zaklasyfikowanych do grupy 3 lub 4 zagrożenia;</w:t>
      </w:r>
    </w:p>
    <w:p w14:paraId="3EEF9F2D" w14:textId="7777777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 xml:space="preserve">brak przeprowadzonych szkoleń dla pracowników mających kontakt ze szkodliwym czynnikiem biologicznym; </w:t>
      </w:r>
    </w:p>
    <w:p w14:paraId="09BA68FA" w14:textId="77777777" w:rsidR="00E55E0F" w:rsidRPr="002B568E"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brak sporządzonego planu postępowania na wypadek awarii z udziałem czynnika biologicznego zakwalifikowanego do grupy 3 zagrożenia;</w:t>
      </w:r>
    </w:p>
    <w:p w14:paraId="49E4B171" w14:textId="6B472909" w:rsidR="00E55E0F" w:rsidRDefault="00E55E0F" w:rsidP="00597239">
      <w:pPr>
        <w:pStyle w:val="Akapitzlist"/>
        <w:numPr>
          <w:ilvl w:val="0"/>
          <w:numId w:val="40"/>
        </w:numPr>
        <w:spacing w:after="0" w:line="276" w:lineRule="auto"/>
        <w:ind w:left="714" w:hanging="357"/>
        <w:rPr>
          <w:rFonts w:cstheme="minorHAnsi"/>
          <w:sz w:val="24"/>
          <w:szCs w:val="24"/>
        </w:rPr>
      </w:pPr>
      <w:r w:rsidRPr="002B568E">
        <w:rPr>
          <w:rFonts w:cstheme="minorHAnsi"/>
          <w:sz w:val="24"/>
          <w:szCs w:val="24"/>
        </w:rPr>
        <w:t>brak opracowanych procedur bezpiecznego postępowania ze szkodliwymi czynnikami biologicznymi dotyczących: transportu, dezynfekcji, usuwania i postępowania z</w:t>
      </w:r>
      <w:r w:rsidR="00C719C9">
        <w:rPr>
          <w:rFonts w:cstheme="minorHAnsi"/>
          <w:sz w:val="24"/>
          <w:szCs w:val="24"/>
        </w:rPr>
        <w:t> </w:t>
      </w:r>
      <w:r w:rsidRPr="002B568E">
        <w:rPr>
          <w:rFonts w:cstheme="minorHAnsi"/>
          <w:sz w:val="24"/>
          <w:szCs w:val="24"/>
        </w:rPr>
        <w:t>odpadami, instrukcji postępowania w razie awarii lub wypadku związanych z</w:t>
      </w:r>
      <w:r w:rsidR="00C719C9">
        <w:rPr>
          <w:rFonts w:cstheme="minorHAnsi"/>
          <w:sz w:val="24"/>
          <w:szCs w:val="24"/>
        </w:rPr>
        <w:t> </w:t>
      </w:r>
      <w:r w:rsidRPr="002B568E">
        <w:rPr>
          <w:rFonts w:cstheme="minorHAnsi"/>
          <w:sz w:val="24"/>
          <w:szCs w:val="24"/>
        </w:rPr>
        <w:t>uwolnieniem się szkodliwego czynnika biologicznego, instrukcji postępowania w razie narażenia na</w:t>
      </w:r>
      <w:r w:rsidR="002E1F9D">
        <w:rPr>
          <w:rFonts w:cstheme="minorHAnsi"/>
          <w:sz w:val="24"/>
          <w:szCs w:val="24"/>
        </w:rPr>
        <w:t> </w:t>
      </w:r>
      <w:r w:rsidRPr="002B568E">
        <w:rPr>
          <w:rFonts w:cstheme="minorHAnsi"/>
          <w:sz w:val="24"/>
          <w:szCs w:val="24"/>
        </w:rPr>
        <w:t>szkodliwy czynnik biologiczny zakwalifikowany do 3 grupy zagrożenia.</w:t>
      </w:r>
    </w:p>
    <w:p w14:paraId="1B2F1047" w14:textId="77777777" w:rsidR="00777D94" w:rsidRPr="002B568E" w:rsidRDefault="00777D94" w:rsidP="00597239">
      <w:pPr>
        <w:pStyle w:val="Akapitzlist"/>
        <w:spacing w:after="0" w:line="276" w:lineRule="auto"/>
        <w:ind w:left="714"/>
        <w:rPr>
          <w:rFonts w:cstheme="minorHAnsi"/>
          <w:sz w:val="24"/>
          <w:szCs w:val="24"/>
        </w:rPr>
      </w:pPr>
    </w:p>
    <w:p w14:paraId="4DC3DCC8" w14:textId="683E4504" w:rsidR="00E55E0F" w:rsidRPr="00656641" w:rsidRDefault="00E55E0F" w:rsidP="00597239">
      <w:pPr>
        <w:pStyle w:val="Nagwek2"/>
        <w:numPr>
          <w:ilvl w:val="0"/>
          <w:numId w:val="47"/>
        </w:numPr>
        <w:spacing w:before="0" w:after="0"/>
        <w:ind w:left="284" w:hanging="284"/>
        <w:jc w:val="left"/>
      </w:pPr>
      <w:bookmarkStart w:id="378" w:name="_Toc194059855"/>
      <w:r w:rsidRPr="003E11EB">
        <w:t>Stosowanie w działalności zawodowej chemikaliów</w:t>
      </w:r>
      <w:bookmarkEnd w:id="378"/>
    </w:p>
    <w:p w14:paraId="1FF70C5B" w14:textId="6CB6D166" w:rsidR="00E55E0F" w:rsidRPr="002B568E" w:rsidRDefault="00E55E0F" w:rsidP="00597239">
      <w:pPr>
        <w:spacing w:after="0" w:line="276" w:lineRule="auto"/>
        <w:rPr>
          <w:rFonts w:cstheme="minorHAnsi"/>
          <w:sz w:val="24"/>
          <w:szCs w:val="24"/>
        </w:rPr>
      </w:pPr>
      <w:r w:rsidRPr="002B568E">
        <w:rPr>
          <w:rFonts w:cstheme="minorHAnsi"/>
          <w:sz w:val="24"/>
          <w:szCs w:val="24"/>
        </w:rPr>
        <w:t xml:space="preserve">W zakresie stosowania substancji chemicznych i ich mieszanin przeprowadzono łącznie 561 kontroli. </w:t>
      </w:r>
    </w:p>
    <w:p w14:paraId="63A1C244" w14:textId="77777777" w:rsidR="00E55E0F" w:rsidRPr="002B568E" w:rsidRDefault="00E55E0F" w:rsidP="00597239">
      <w:pPr>
        <w:spacing w:after="0" w:line="276" w:lineRule="auto"/>
        <w:rPr>
          <w:rFonts w:cstheme="minorHAnsi"/>
          <w:color w:val="000000" w:themeColor="text1"/>
          <w:sz w:val="24"/>
          <w:szCs w:val="24"/>
        </w:rPr>
      </w:pPr>
      <w:r w:rsidRPr="002B568E">
        <w:rPr>
          <w:rFonts w:cstheme="minorHAnsi"/>
          <w:color w:val="000000" w:themeColor="text1"/>
          <w:sz w:val="24"/>
          <w:szCs w:val="24"/>
        </w:rPr>
        <w:t>W wyniku kontroli do najczęściej stwierdzanych nieprawidłowości należało:</w:t>
      </w:r>
    </w:p>
    <w:p w14:paraId="4FA6A848" w14:textId="77777777" w:rsidR="00E55E0F" w:rsidRPr="002B568E" w:rsidRDefault="00E55E0F" w:rsidP="00597239">
      <w:pPr>
        <w:pStyle w:val="Akapitzlist"/>
        <w:numPr>
          <w:ilvl w:val="0"/>
          <w:numId w:val="41"/>
        </w:numPr>
        <w:spacing w:after="0" w:line="276" w:lineRule="auto"/>
        <w:ind w:left="714" w:hanging="357"/>
        <w:rPr>
          <w:rFonts w:cstheme="minorHAnsi"/>
          <w:color w:val="000000" w:themeColor="text1"/>
          <w:sz w:val="24"/>
          <w:szCs w:val="24"/>
        </w:rPr>
      </w:pPr>
      <w:r w:rsidRPr="002B568E">
        <w:rPr>
          <w:rFonts w:cstheme="minorHAnsi"/>
          <w:color w:val="000000" w:themeColor="text1"/>
          <w:sz w:val="24"/>
          <w:szCs w:val="24"/>
        </w:rPr>
        <w:t>brak spisu stosowanych substancji chemicznych i ich mieszanin,</w:t>
      </w:r>
    </w:p>
    <w:p w14:paraId="4792BC7B" w14:textId="77777777" w:rsidR="00E55E0F" w:rsidRPr="002B568E" w:rsidRDefault="00E55E0F" w:rsidP="00597239">
      <w:pPr>
        <w:pStyle w:val="Akapitzlist"/>
        <w:numPr>
          <w:ilvl w:val="0"/>
          <w:numId w:val="41"/>
        </w:numPr>
        <w:spacing w:after="0" w:line="276" w:lineRule="auto"/>
        <w:ind w:left="714" w:hanging="357"/>
        <w:rPr>
          <w:rFonts w:cstheme="minorHAnsi"/>
          <w:color w:val="000000" w:themeColor="text1"/>
          <w:sz w:val="24"/>
          <w:szCs w:val="24"/>
        </w:rPr>
      </w:pPr>
      <w:r w:rsidRPr="002B568E">
        <w:rPr>
          <w:rFonts w:cstheme="minorHAnsi"/>
          <w:color w:val="000000" w:themeColor="text1"/>
          <w:sz w:val="24"/>
          <w:szCs w:val="24"/>
        </w:rPr>
        <w:t>brak kart charakterystyki stosowanych substancji chemicznych i ich mieszanin,</w:t>
      </w:r>
    </w:p>
    <w:p w14:paraId="63BCDB08" w14:textId="1F81C6D0" w:rsidR="00E55E0F" w:rsidRDefault="00E55E0F" w:rsidP="00597239">
      <w:pPr>
        <w:pStyle w:val="Akapitzlist"/>
        <w:numPr>
          <w:ilvl w:val="0"/>
          <w:numId w:val="41"/>
        </w:numPr>
        <w:spacing w:after="0" w:line="276" w:lineRule="auto"/>
        <w:ind w:left="714" w:hanging="357"/>
        <w:rPr>
          <w:rFonts w:cstheme="minorHAnsi"/>
          <w:color w:val="000000" w:themeColor="text1"/>
          <w:sz w:val="24"/>
          <w:szCs w:val="24"/>
        </w:rPr>
      </w:pPr>
      <w:r w:rsidRPr="002B568E">
        <w:rPr>
          <w:rFonts w:cstheme="minorHAnsi"/>
          <w:color w:val="000000" w:themeColor="text1"/>
          <w:sz w:val="24"/>
          <w:szCs w:val="24"/>
        </w:rPr>
        <w:t xml:space="preserve">niewłaściwe oznakowanie pojemników, zbiorników służących do przechowywania substancji i ich mieszanin stwarzających zagrożenie. </w:t>
      </w:r>
    </w:p>
    <w:p w14:paraId="1FE1FF33" w14:textId="77777777" w:rsidR="00777D94" w:rsidRPr="00777D94" w:rsidRDefault="00777D94" w:rsidP="00597239">
      <w:pPr>
        <w:spacing w:after="0" w:line="276" w:lineRule="auto"/>
        <w:rPr>
          <w:rFonts w:cstheme="minorHAnsi"/>
          <w:color w:val="000000" w:themeColor="text1"/>
          <w:sz w:val="24"/>
          <w:szCs w:val="24"/>
        </w:rPr>
      </w:pPr>
    </w:p>
    <w:p w14:paraId="2BDF6810" w14:textId="528BCFE4" w:rsidR="00E55E0F" w:rsidRPr="00656641" w:rsidRDefault="00E55E0F" w:rsidP="00597239">
      <w:pPr>
        <w:pStyle w:val="Nagwek2"/>
        <w:numPr>
          <w:ilvl w:val="0"/>
          <w:numId w:val="47"/>
        </w:numPr>
        <w:spacing w:before="0" w:after="0"/>
        <w:ind w:left="284" w:hanging="284"/>
        <w:jc w:val="left"/>
      </w:pPr>
      <w:bookmarkStart w:id="379" w:name="_Toc194059856"/>
      <w:r w:rsidRPr="007F5340">
        <w:t>Choroby zawodowe</w:t>
      </w:r>
      <w:bookmarkEnd w:id="379"/>
    </w:p>
    <w:p w14:paraId="2A352621" w14:textId="2EA9FE43" w:rsidR="00E55E0F" w:rsidRPr="002B568E" w:rsidRDefault="00E55E0F" w:rsidP="00597239">
      <w:pPr>
        <w:spacing w:after="0" w:line="276" w:lineRule="auto"/>
        <w:rPr>
          <w:rFonts w:cstheme="minorHAnsi"/>
          <w:bCs/>
          <w:sz w:val="24"/>
          <w:szCs w:val="24"/>
        </w:rPr>
      </w:pPr>
      <w:r w:rsidRPr="002B568E">
        <w:rPr>
          <w:rFonts w:cstheme="minorHAnsi"/>
          <w:bCs/>
          <w:sz w:val="24"/>
          <w:szCs w:val="24"/>
        </w:rPr>
        <w:t>Definicję choroby zawodowej podano w art. 235</w:t>
      </w:r>
      <w:r w:rsidRPr="002B568E">
        <w:rPr>
          <w:rFonts w:cstheme="minorHAnsi"/>
          <w:bCs/>
          <w:sz w:val="24"/>
          <w:szCs w:val="24"/>
          <w:vertAlign w:val="superscript"/>
        </w:rPr>
        <w:t>1</w:t>
      </w:r>
      <w:r w:rsidRPr="002B568E">
        <w:rPr>
          <w:rFonts w:cstheme="minorHAnsi"/>
          <w:bCs/>
          <w:sz w:val="24"/>
          <w:szCs w:val="24"/>
        </w:rPr>
        <w:t xml:space="preserve"> ustawy z dnia z dnia 26.06.1974 r. Kodeks Pracy (</w:t>
      </w:r>
      <w:proofErr w:type="spellStart"/>
      <w:r w:rsidRPr="002B568E">
        <w:rPr>
          <w:rFonts w:cstheme="minorHAnsi"/>
          <w:bCs/>
          <w:sz w:val="24"/>
          <w:szCs w:val="24"/>
        </w:rPr>
        <w:t>t.j</w:t>
      </w:r>
      <w:proofErr w:type="spellEnd"/>
      <w:r w:rsidRPr="002B568E">
        <w:rPr>
          <w:rFonts w:cstheme="minorHAnsi"/>
          <w:bCs/>
          <w:sz w:val="24"/>
          <w:szCs w:val="24"/>
        </w:rPr>
        <w:t xml:space="preserve">. Dz. U. z 2023, poz. 1465 z </w:t>
      </w:r>
      <w:proofErr w:type="spellStart"/>
      <w:r w:rsidRPr="002B568E">
        <w:rPr>
          <w:rFonts w:cstheme="minorHAnsi"/>
          <w:bCs/>
          <w:sz w:val="24"/>
          <w:szCs w:val="24"/>
        </w:rPr>
        <w:t>późn</w:t>
      </w:r>
      <w:proofErr w:type="spellEnd"/>
      <w:r w:rsidRPr="002B568E">
        <w:rPr>
          <w:rFonts w:cstheme="minorHAnsi"/>
          <w:bCs/>
          <w:sz w:val="24"/>
          <w:szCs w:val="24"/>
        </w:rPr>
        <w:t>. zm.), zgodnie z którą za chorobę zawodową uważa się chorobę, wymienioną w wykazie chorób zawodowych, jeżeli w wyniku oceny warunków pracy można stwierdzić bezspornie lub z wysokim prawdopodobieństwem, że została ona spowodowana działaniem czynników szkodliwych dla zdrowia występujących w środowisku pracy albo w związku ze sposobem wykonywania pracy, zwanych „narażeniem zawodowym”.</w:t>
      </w:r>
    </w:p>
    <w:p w14:paraId="4988F8E4" w14:textId="77777777" w:rsidR="0025188C" w:rsidRDefault="0025188C" w:rsidP="00597239">
      <w:pPr>
        <w:spacing w:after="0" w:line="276" w:lineRule="auto"/>
        <w:rPr>
          <w:rFonts w:cstheme="minorHAnsi"/>
          <w:bCs/>
          <w:sz w:val="24"/>
          <w:szCs w:val="24"/>
        </w:rPr>
      </w:pPr>
    </w:p>
    <w:p w14:paraId="4EE49351" w14:textId="70F386D8" w:rsidR="00E55E0F" w:rsidRPr="002B568E" w:rsidRDefault="00E55E0F" w:rsidP="00597239">
      <w:pPr>
        <w:spacing w:after="0" w:line="276" w:lineRule="auto"/>
        <w:rPr>
          <w:rFonts w:cstheme="minorHAnsi"/>
          <w:bCs/>
          <w:sz w:val="24"/>
          <w:szCs w:val="24"/>
        </w:rPr>
      </w:pPr>
      <w:r w:rsidRPr="002B568E">
        <w:rPr>
          <w:rFonts w:cstheme="minorHAnsi"/>
          <w:bCs/>
          <w:sz w:val="24"/>
          <w:szCs w:val="24"/>
        </w:rPr>
        <w:t>Rozpoznanie choroby zawodowej u pracownika lub byłego pracownika może nastąpić w</w:t>
      </w:r>
      <w:r w:rsidR="000A6B64">
        <w:rPr>
          <w:rFonts w:cstheme="minorHAnsi"/>
          <w:bCs/>
          <w:sz w:val="24"/>
          <w:szCs w:val="24"/>
        </w:rPr>
        <w:t> </w:t>
      </w:r>
      <w:r w:rsidRPr="002B568E">
        <w:rPr>
          <w:rFonts w:cstheme="minorHAnsi"/>
          <w:bCs/>
          <w:sz w:val="24"/>
          <w:szCs w:val="24"/>
        </w:rPr>
        <w:t>okresie jego zatrudnienia w narażeniu zawodowym albo po zakończeniu pracy w takim narażeniu, pod warunkiem wystąpienia udokumentowanych objawów chorobowych w</w:t>
      </w:r>
      <w:r w:rsidR="002E1F9D">
        <w:rPr>
          <w:rFonts w:cstheme="minorHAnsi"/>
          <w:bCs/>
          <w:sz w:val="24"/>
          <w:szCs w:val="24"/>
        </w:rPr>
        <w:t> </w:t>
      </w:r>
      <w:r w:rsidRPr="002B568E">
        <w:rPr>
          <w:rFonts w:cstheme="minorHAnsi"/>
          <w:bCs/>
          <w:sz w:val="24"/>
          <w:szCs w:val="24"/>
        </w:rPr>
        <w:t>okresie ustalonym w wykazie chorób zawodowych.</w:t>
      </w:r>
    </w:p>
    <w:p w14:paraId="099760C8" w14:textId="5EEEAE76" w:rsidR="00E55E0F" w:rsidRDefault="00E55E0F" w:rsidP="00597239">
      <w:pPr>
        <w:spacing w:after="0" w:line="276" w:lineRule="auto"/>
        <w:rPr>
          <w:rFonts w:cstheme="minorHAnsi"/>
          <w:bCs/>
          <w:sz w:val="24"/>
          <w:szCs w:val="24"/>
        </w:rPr>
      </w:pPr>
      <w:r w:rsidRPr="002B568E">
        <w:rPr>
          <w:rFonts w:cstheme="minorHAnsi"/>
          <w:bCs/>
          <w:sz w:val="24"/>
          <w:szCs w:val="24"/>
        </w:rPr>
        <w:t xml:space="preserve">Analiza danych dotyczących zapadalności na choroby zawodowe pozwala identyfikować stanowiska pracy, zakłady, sektory gospodarki, w których występują warunki pracy przyczyniające się do powstania patologii zawodowych, pozostających w nierozerwalnym </w:t>
      </w:r>
      <w:r w:rsidRPr="002B568E">
        <w:rPr>
          <w:rFonts w:cstheme="minorHAnsi"/>
          <w:bCs/>
          <w:sz w:val="24"/>
          <w:szCs w:val="24"/>
        </w:rPr>
        <w:lastRenderedPageBreak/>
        <w:t xml:space="preserve">związku z rozwojem przemysłu i stosowanymi technologiami, warunkami pracy oraz jej organizacją. </w:t>
      </w:r>
    </w:p>
    <w:p w14:paraId="6526A4B5" w14:textId="77777777" w:rsidR="0025188C" w:rsidRPr="0025188C" w:rsidRDefault="0025188C" w:rsidP="00597239">
      <w:pPr>
        <w:spacing w:after="0" w:line="276" w:lineRule="auto"/>
        <w:rPr>
          <w:rFonts w:cstheme="minorHAnsi"/>
          <w:bCs/>
          <w:sz w:val="24"/>
          <w:szCs w:val="24"/>
        </w:rPr>
      </w:pPr>
    </w:p>
    <w:p w14:paraId="4D336B6F" w14:textId="172DEBCA" w:rsidR="002B568E" w:rsidRPr="00F5377D" w:rsidRDefault="00E55E0F" w:rsidP="00597239">
      <w:pPr>
        <w:spacing w:after="0" w:line="276" w:lineRule="auto"/>
        <w:rPr>
          <w:rFonts w:cstheme="minorHAnsi"/>
          <w:sz w:val="24"/>
          <w:szCs w:val="24"/>
        </w:rPr>
      </w:pPr>
      <w:r w:rsidRPr="002B568E">
        <w:rPr>
          <w:rFonts w:cstheme="minorHAnsi"/>
          <w:sz w:val="24"/>
          <w:szCs w:val="24"/>
        </w:rPr>
        <w:t>W województwie zachodniopomorskim, w 2024 roku stwierdzono 60 chorób pochodzenia zawodowego (</w:t>
      </w:r>
      <w:r w:rsidR="00656641" w:rsidRPr="002B568E">
        <w:rPr>
          <w:rFonts w:cstheme="minorHAnsi"/>
          <w:sz w:val="24"/>
          <w:szCs w:val="24"/>
        </w:rPr>
        <w:t>Wyk</w:t>
      </w:r>
      <w:r w:rsidRPr="002B568E">
        <w:rPr>
          <w:rFonts w:cstheme="minorHAnsi"/>
          <w:sz w:val="24"/>
          <w:szCs w:val="24"/>
        </w:rPr>
        <w:t xml:space="preserve">. </w:t>
      </w:r>
      <w:r w:rsidR="00F82ED9">
        <w:rPr>
          <w:rFonts w:cstheme="minorHAnsi"/>
          <w:sz w:val="24"/>
          <w:szCs w:val="24"/>
        </w:rPr>
        <w:t>1</w:t>
      </w:r>
      <w:r w:rsidR="00C15BCD">
        <w:rPr>
          <w:rFonts w:cstheme="minorHAnsi"/>
          <w:sz w:val="24"/>
          <w:szCs w:val="24"/>
        </w:rPr>
        <w:t>7</w:t>
      </w:r>
      <w:r w:rsidRPr="002B568E">
        <w:rPr>
          <w:rFonts w:cstheme="minorHAnsi"/>
          <w:sz w:val="24"/>
          <w:szCs w:val="24"/>
        </w:rPr>
        <w:t xml:space="preserve">). </w:t>
      </w:r>
    </w:p>
    <w:p w14:paraId="717389DF" w14:textId="429F1129" w:rsidR="00656641" w:rsidRPr="00656641" w:rsidRDefault="00656641" w:rsidP="00597239">
      <w:pPr>
        <w:pStyle w:val="Legenda"/>
        <w:spacing w:after="0"/>
        <w:rPr>
          <w:rFonts w:cstheme="minorHAnsi"/>
          <w:bCs/>
          <w:i w:val="0"/>
          <w:iCs w:val="0"/>
          <w:color w:val="auto"/>
        </w:rPr>
      </w:pPr>
      <w:bookmarkStart w:id="380" w:name="_Toc193969474"/>
      <w:bookmarkStart w:id="381" w:name="_Toc194059934"/>
      <w:r w:rsidRPr="00656641">
        <w:rPr>
          <w:i w:val="0"/>
          <w:iCs w:val="0"/>
          <w:color w:val="auto"/>
        </w:rPr>
        <w:t xml:space="preserve">Wykres </w:t>
      </w:r>
      <w:r w:rsidRPr="00656641">
        <w:rPr>
          <w:i w:val="0"/>
          <w:iCs w:val="0"/>
          <w:color w:val="auto"/>
        </w:rPr>
        <w:fldChar w:fldCharType="begin"/>
      </w:r>
      <w:r w:rsidRPr="00656641">
        <w:rPr>
          <w:i w:val="0"/>
          <w:iCs w:val="0"/>
          <w:color w:val="auto"/>
        </w:rPr>
        <w:instrText xml:space="preserve"> SEQ Wykres \* ARABIC </w:instrText>
      </w:r>
      <w:r w:rsidRPr="00656641">
        <w:rPr>
          <w:i w:val="0"/>
          <w:iCs w:val="0"/>
          <w:color w:val="auto"/>
        </w:rPr>
        <w:fldChar w:fldCharType="separate"/>
      </w:r>
      <w:r w:rsidR="00FB6F6A">
        <w:rPr>
          <w:i w:val="0"/>
          <w:iCs w:val="0"/>
          <w:noProof/>
          <w:color w:val="auto"/>
        </w:rPr>
        <w:t>17</w:t>
      </w:r>
      <w:r w:rsidRPr="00656641">
        <w:rPr>
          <w:i w:val="0"/>
          <w:iCs w:val="0"/>
          <w:color w:val="auto"/>
        </w:rPr>
        <w:fldChar w:fldCharType="end"/>
      </w:r>
      <w:r w:rsidR="00B60EBD">
        <w:rPr>
          <w:i w:val="0"/>
          <w:iCs w:val="0"/>
          <w:color w:val="auto"/>
        </w:rPr>
        <w:t>.</w:t>
      </w:r>
      <w:r w:rsidRPr="00656641">
        <w:rPr>
          <w:i w:val="0"/>
          <w:iCs w:val="0"/>
          <w:color w:val="auto"/>
        </w:rPr>
        <w:t xml:space="preserve"> Liczba stwierdzonych chorób zawodowych w stosunku do liczby zgłoszonych podejrzeń w latach 2014 – 2024</w:t>
      </w:r>
      <w:bookmarkEnd w:id="380"/>
      <w:bookmarkEnd w:id="381"/>
    </w:p>
    <w:p w14:paraId="391CA2CA" w14:textId="77777777" w:rsidR="00E55E0F" w:rsidRPr="008545D8" w:rsidRDefault="00E55E0F" w:rsidP="00597239">
      <w:pPr>
        <w:spacing w:after="0" w:line="276" w:lineRule="auto"/>
        <w:ind w:firstLine="397"/>
        <w:rPr>
          <w:rFonts w:cstheme="minorHAnsi"/>
          <w:color w:val="FF0000"/>
        </w:rPr>
      </w:pPr>
    </w:p>
    <w:p w14:paraId="1A9E04D7" w14:textId="77777777" w:rsidR="00E55E0F" w:rsidRPr="008545D8" w:rsidRDefault="00E55E0F" w:rsidP="00597239">
      <w:pPr>
        <w:spacing w:after="0" w:line="276" w:lineRule="auto"/>
        <w:rPr>
          <w:rFonts w:cstheme="minorHAnsi"/>
          <w:color w:val="FF0000"/>
        </w:rPr>
      </w:pPr>
      <w:r>
        <w:rPr>
          <w:noProof/>
        </w:rPr>
        <w:drawing>
          <wp:inline distT="0" distB="0" distL="0" distR="0" wp14:anchorId="3BD64014" wp14:editId="0BCD2451">
            <wp:extent cx="5759450" cy="3439795"/>
            <wp:effectExtent l="0" t="0" r="0" b="8255"/>
            <wp:docPr id="1547137813" name="Wykres 1" descr="Wykres słupkowy. Liczba stwierdzonych chorób zawodowych w stosunku do liczby zgłoszonych podejrzeń chorób zawodowych w latach 2014 – 2024. Dane za rok 2024: liczba zgłoszeń podejrzeń chorób zawodowych 153, liczba stwierdzonych chorób zawodowych 60.">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056CAF" w14:textId="77777777" w:rsidR="00E55E0F" w:rsidRPr="008545D8" w:rsidRDefault="00E55E0F" w:rsidP="00597239">
      <w:pPr>
        <w:pStyle w:val="Akapitzlist"/>
        <w:spacing w:after="0"/>
        <w:ind w:left="0"/>
        <w:rPr>
          <w:rFonts w:cstheme="minorHAnsi"/>
          <w:color w:val="FF0000"/>
          <w:sz w:val="24"/>
          <w:szCs w:val="24"/>
        </w:rPr>
      </w:pPr>
    </w:p>
    <w:p w14:paraId="5B273124" w14:textId="030CAF45" w:rsidR="00E55E0F" w:rsidRPr="002B568E" w:rsidRDefault="00E55E0F" w:rsidP="00597239">
      <w:pPr>
        <w:pStyle w:val="Akapitzlist"/>
        <w:spacing w:after="0"/>
        <w:ind w:left="0"/>
        <w:rPr>
          <w:rFonts w:cstheme="minorHAnsi"/>
          <w:sz w:val="24"/>
          <w:szCs w:val="24"/>
        </w:rPr>
      </w:pPr>
      <w:r w:rsidRPr="002B568E">
        <w:rPr>
          <w:rFonts w:cstheme="minorHAnsi"/>
          <w:sz w:val="24"/>
          <w:szCs w:val="24"/>
        </w:rPr>
        <w:t xml:space="preserve">Do najczęściej stwierdzanych chorób zawodowych, tak jak w latach poprzednich, należały choroby zakaźne lub pasożytnicze – 26 przypadków, tj. 43% ogólnej liczby stwierdzonych chorób zawodowych. </w:t>
      </w:r>
    </w:p>
    <w:p w14:paraId="09951B6E" w14:textId="77777777" w:rsidR="00E55E0F" w:rsidRPr="002B568E" w:rsidRDefault="00E55E0F" w:rsidP="00597239">
      <w:pPr>
        <w:pStyle w:val="Akapitzlist"/>
        <w:spacing w:after="0"/>
        <w:ind w:left="0"/>
        <w:rPr>
          <w:rFonts w:cstheme="minorHAnsi"/>
          <w:sz w:val="24"/>
          <w:szCs w:val="24"/>
        </w:rPr>
      </w:pPr>
    </w:p>
    <w:p w14:paraId="0BEC06C2" w14:textId="7747BEE0" w:rsidR="00E55E0F" w:rsidRDefault="00E55E0F" w:rsidP="00597239">
      <w:pPr>
        <w:pStyle w:val="Akapitzlist"/>
        <w:spacing w:after="0"/>
        <w:ind w:left="0"/>
        <w:rPr>
          <w:sz w:val="24"/>
          <w:szCs w:val="24"/>
        </w:rPr>
      </w:pPr>
      <w:r w:rsidRPr="002B568E">
        <w:rPr>
          <w:rFonts w:cstheme="minorHAnsi"/>
          <w:sz w:val="24"/>
          <w:szCs w:val="24"/>
        </w:rPr>
        <w:t>Wśród chorób zakaźnych lub pasożytniczych podobnie jak w latach ubiegłych, dominowała borelioza – stwierdzono 25 przypadki zachorowań (96% ogółu stwierdzonych chorób zakaźnych lub pasożytniczych (</w:t>
      </w:r>
      <w:r w:rsidR="003A1904" w:rsidRPr="002B568E">
        <w:rPr>
          <w:rFonts w:cstheme="minorHAnsi"/>
          <w:sz w:val="24"/>
          <w:szCs w:val="24"/>
        </w:rPr>
        <w:t>Wyk</w:t>
      </w:r>
      <w:r w:rsidRPr="002B568E">
        <w:rPr>
          <w:rFonts w:cstheme="minorHAnsi"/>
          <w:sz w:val="24"/>
          <w:szCs w:val="24"/>
        </w:rPr>
        <w:t xml:space="preserve">. </w:t>
      </w:r>
      <w:r w:rsidR="00F82ED9">
        <w:rPr>
          <w:rFonts w:cstheme="minorHAnsi"/>
          <w:sz w:val="24"/>
          <w:szCs w:val="24"/>
        </w:rPr>
        <w:t>1</w:t>
      </w:r>
      <w:r w:rsidR="00C15BCD">
        <w:rPr>
          <w:rFonts w:cstheme="minorHAnsi"/>
          <w:sz w:val="24"/>
          <w:szCs w:val="24"/>
        </w:rPr>
        <w:t>8</w:t>
      </w:r>
      <w:r w:rsidRPr="002B568E">
        <w:rPr>
          <w:rFonts w:cstheme="minorHAnsi"/>
          <w:sz w:val="24"/>
          <w:szCs w:val="24"/>
        </w:rPr>
        <w:t>))</w:t>
      </w:r>
      <w:r w:rsidRPr="002B568E">
        <w:rPr>
          <w:sz w:val="24"/>
          <w:szCs w:val="24"/>
        </w:rPr>
        <w:t>. W roku 2024 nie stwierdzano chorób zawodowych COVID-19.</w:t>
      </w:r>
    </w:p>
    <w:p w14:paraId="392B9C6B" w14:textId="77777777" w:rsidR="0025188C" w:rsidRPr="0025188C" w:rsidRDefault="0025188C" w:rsidP="00597239">
      <w:pPr>
        <w:pStyle w:val="Akapitzlist"/>
        <w:spacing w:after="0"/>
        <w:ind w:left="0"/>
        <w:rPr>
          <w:rFonts w:cstheme="minorHAnsi"/>
          <w:sz w:val="24"/>
          <w:szCs w:val="24"/>
        </w:rPr>
      </w:pPr>
    </w:p>
    <w:p w14:paraId="78CBE929" w14:textId="77777777" w:rsidR="00E55E0F" w:rsidRPr="002B568E" w:rsidRDefault="00E55E0F" w:rsidP="00597239">
      <w:pPr>
        <w:spacing w:after="0"/>
        <w:rPr>
          <w:rFonts w:cstheme="minorHAnsi"/>
          <w:sz w:val="24"/>
          <w:szCs w:val="24"/>
        </w:rPr>
      </w:pPr>
      <w:r w:rsidRPr="002B568E">
        <w:rPr>
          <w:rFonts w:cstheme="minorHAnsi"/>
          <w:sz w:val="24"/>
          <w:szCs w:val="24"/>
        </w:rPr>
        <w:t>Kolejnymi z uwagi na częstość występowania chorobami zawodowymi były:</w:t>
      </w:r>
    </w:p>
    <w:p w14:paraId="41BCBBF0" w14:textId="1672A046" w:rsidR="00E55E0F" w:rsidRPr="002B568E" w:rsidRDefault="00E55E0F" w:rsidP="00597239">
      <w:pPr>
        <w:pStyle w:val="Akapitzlist"/>
        <w:numPr>
          <w:ilvl w:val="0"/>
          <w:numId w:val="43"/>
        </w:numPr>
        <w:spacing w:after="0" w:line="276" w:lineRule="auto"/>
        <w:ind w:left="714" w:hanging="357"/>
        <w:rPr>
          <w:rFonts w:eastAsia="Times New Roman" w:cstheme="minorHAnsi"/>
          <w:sz w:val="24"/>
          <w:szCs w:val="24"/>
          <w:lang w:eastAsia="pl-PL"/>
        </w:rPr>
      </w:pPr>
      <w:r w:rsidRPr="002B568E">
        <w:rPr>
          <w:rFonts w:cstheme="minorHAnsi"/>
          <w:sz w:val="24"/>
          <w:szCs w:val="24"/>
        </w:rPr>
        <w:t>przewlekłe choroby narządu głosu spowodowane nadmiernym wysiłkiem głosowym, trwającym co najmniej 15 lat (19 przypadków, tj. 31%);</w:t>
      </w:r>
    </w:p>
    <w:p w14:paraId="1F9F421E" w14:textId="42380749" w:rsidR="00701CCE" w:rsidRPr="00777D94" w:rsidRDefault="00E55E0F" w:rsidP="00597239">
      <w:pPr>
        <w:pStyle w:val="Akapitzlist"/>
        <w:numPr>
          <w:ilvl w:val="0"/>
          <w:numId w:val="43"/>
        </w:numPr>
        <w:spacing w:after="200" w:line="276" w:lineRule="auto"/>
        <w:ind w:left="714" w:hanging="357"/>
        <w:rPr>
          <w:rFonts w:eastAsia="Times New Roman" w:cstheme="minorHAnsi"/>
          <w:sz w:val="24"/>
          <w:szCs w:val="24"/>
          <w:lang w:eastAsia="pl-PL"/>
        </w:rPr>
      </w:pPr>
      <w:r w:rsidRPr="002B568E">
        <w:rPr>
          <w:rFonts w:cstheme="minorHAnsi"/>
          <w:sz w:val="24"/>
          <w:szCs w:val="24"/>
        </w:rPr>
        <w:t>przewlekłe choroby obwodowego układu nerwowego wywołane sposobem wykonywania pracy (5 przypadków, tj. 8%).</w:t>
      </w:r>
    </w:p>
    <w:p w14:paraId="0D932B3A" w14:textId="77777777" w:rsidR="00777D94" w:rsidRDefault="00777D94" w:rsidP="00597239">
      <w:pPr>
        <w:pStyle w:val="Legenda"/>
        <w:rPr>
          <w:i w:val="0"/>
          <w:iCs w:val="0"/>
          <w:color w:val="auto"/>
        </w:rPr>
      </w:pPr>
    </w:p>
    <w:p w14:paraId="0640FE8C" w14:textId="77777777" w:rsidR="00777D94" w:rsidRDefault="00777D94" w:rsidP="00597239">
      <w:pPr>
        <w:pStyle w:val="Legenda"/>
        <w:rPr>
          <w:i w:val="0"/>
          <w:iCs w:val="0"/>
          <w:color w:val="auto"/>
        </w:rPr>
      </w:pPr>
    </w:p>
    <w:p w14:paraId="5E3E4753" w14:textId="77777777" w:rsidR="00777D94" w:rsidRDefault="00777D94" w:rsidP="00597239">
      <w:pPr>
        <w:pStyle w:val="Legenda"/>
        <w:rPr>
          <w:i w:val="0"/>
          <w:iCs w:val="0"/>
          <w:color w:val="auto"/>
        </w:rPr>
      </w:pPr>
    </w:p>
    <w:p w14:paraId="28B6CCDC" w14:textId="77777777" w:rsidR="00777D94" w:rsidRDefault="00777D94" w:rsidP="00597239">
      <w:pPr>
        <w:pStyle w:val="Legenda"/>
        <w:rPr>
          <w:i w:val="0"/>
          <w:iCs w:val="0"/>
          <w:color w:val="auto"/>
        </w:rPr>
      </w:pPr>
    </w:p>
    <w:p w14:paraId="6311DBE5" w14:textId="77777777" w:rsidR="00777D94" w:rsidRDefault="00777D94" w:rsidP="00597239">
      <w:pPr>
        <w:pStyle w:val="Legenda"/>
        <w:rPr>
          <w:i w:val="0"/>
          <w:iCs w:val="0"/>
          <w:color w:val="auto"/>
        </w:rPr>
      </w:pPr>
    </w:p>
    <w:p w14:paraId="5D03A000" w14:textId="77777777" w:rsidR="00777D94" w:rsidRDefault="00777D94" w:rsidP="00597239">
      <w:pPr>
        <w:pStyle w:val="Legenda"/>
        <w:rPr>
          <w:i w:val="0"/>
          <w:iCs w:val="0"/>
          <w:color w:val="auto"/>
        </w:rPr>
      </w:pPr>
    </w:p>
    <w:p w14:paraId="6FCC5352" w14:textId="77777777" w:rsidR="00777D94" w:rsidRDefault="00777D94" w:rsidP="00597239">
      <w:pPr>
        <w:pStyle w:val="Legenda"/>
        <w:rPr>
          <w:i w:val="0"/>
          <w:iCs w:val="0"/>
          <w:color w:val="auto"/>
        </w:rPr>
      </w:pPr>
    </w:p>
    <w:p w14:paraId="2F19F242" w14:textId="6B6231E0" w:rsidR="001066E2" w:rsidRPr="001066E2" w:rsidRDefault="001066E2" w:rsidP="00597239">
      <w:pPr>
        <w:pStyle w:val="Legenda"/>
        <w:rPr>
          <w:rFonts w:eastAsia="Times New Roman" w:cstheme="minorHAnsi"/>
          <w:i w:val="0"/>
          <w:iCs w:val="0"/>
          <w:color w:val="auto"/>
          <w:sz w:val="24"/>
          <w:szCs w:val="24"/>
          <w:lang w:eastAsia="pl-PL"/>
        </w:rPr>
      </w:pPr>
      <w:bookmarkStart w:id="382" w:name="_Toc193969475"/>
      <w:bookmarkStart w:id="383" w:name="_Toc194059935"/>
      <w:r w:rsidRPr="001066E2">
        <w:rPr>
          <w:i w:val="0"/>
          <w:iCs w:val="0"/>
          <w:color w:val="auto"/>
        </w:rPr>
        <w:t xml:space="preserve">Wykres </w:t>
      </w:r>
      <w:r w:rsidRPr="001066E2">
        <w:rPr>
          <w:i w:val="0"/>
          <w:iCs w:val="0"/>
          <w:color w:val="auto"/>
        </w:rPr>
        <w:fldChar w:fldCharType="begin"/>
      </w:r>
      <w:r w:rsidRPr="001066E2">
        <w:rPr>
          <w:i w:val="0"/>
          <w:iCs w:val="0"/>
          <w:color w:val="auto"/>
        </w:rPr>
        <w:instrText xml:space="preserve"> SEQ Wykres \* ARABIC </w:instrText>
      </w:r>
      <w:r w:rsidRPr="001066E2">
        <w:rPr>
          <w:i w:val="0"/>
          <w:iCs w:val="0"/>
          <w:color w:val="auto"/>
        </w:rPr>
        <w:fldChar w:fldCharType="separate"/>
      </w:r>
      <w:r w:rsidR="00FB6F6A">
        <w:rPr>
          <w:i w:val="0"/>
          <w:iCs w:val="0"/>
          <w:noProof/>
          <w:color w:val="auto"/>
        </w:rPr>
        <w:t>18</w:t>
      </w:r>
      <w:r w:rsidRPr="001066E2">
        <w:rPr>
          <w:i w:val="0"/>
          <w:iCs w:val="0"/>
          <w:color w:val="auto"/>
        </w:rPr>
        <w:fldChar w:fldCharType="end"/>
      </w:r>
      <w:r w:rsidR="00B60EBD">
        <w:rPr>
          <w:i w:val="0"/>
          <w:iCs w:val="0"/>
          <w:color w:val="auto"/>
        </w:rPr>
        <w:t>.</w:t>
      </w:r>
      <w:r w:rsidRPr="001066E2">
        <w:rPr>
          <w:i w:val="0"/>
          <w:iCs w:val="0"/>
          <w:color w:val="auto"/>
        </w:rPr>
        <w:t xml:space="preserve"> Liczba stwierdzonych chorób zakaźnych lub pasożytniczych i boreliozy w latach 2014 – 2024</w:t>
      </w:r>
      <w:bookmarkEnd w:id="382"/>
      <w:bookmarkEnd w:id="383"/>
    </w:p>
    <w:p w14:paraId="0A3F0747" w14:textId="0CA56D19" w:rsidR="00E55E0F" w:rsidRPr="008545D8" w:rsidRDefault="00E55E0F" w:rsidP="00597239">
      <w:pPr>
        <w:keepNext/>
        <w:spacing w:line="276" w:lineRule="auto"/>
        <w:rPr>
          <w:rFonts w:cstheme="minorHAnsi"/>
          <w:color w:val="FF0000"/>
        </w:rPr>
      </w:pPr>
      <w:r>
        <w:rPr>
          <w:noProof/>
        </w:rPr>
        <w:drawing>
          <wp:inline distT="0" distB="0" distL="0" distR="0" wp14:anchorId="342D3F36" wp14:editId="3E2A4F04">
            <wp:extent cx="5759450" cy="3705860"/>
            <wp:effectExtent l="0" t="0" r="0" b="8890"/>
            <wp:docPr id="1123022147" name="Wykres 1" descr="Wykres słupkowy. Liczba stwierdzonych chorób zakaźnych lub pasożytniczych i boreliozy w latach 2014 – 2024. Dane za rok 2024: Stwierdzone choroby zawodowe ogółem 60, w tym ogółem choroby zakaźne lub pasożytnicze albo ich następstwa 26 przypadków, w tym borelioza 25 przypadków.">
              <a:extLst xmlns:a="http://schemas.openxmlformats.org/drawingml/2006/main">
                <a:ext uri="{FF2B5EF4-FFF2-40B4-BE49-F238E27FC236}">
                  <a16:creationId xmlns:a16="http://schemas.microsoft.com/office/drawing/2014/main" id="{00000000-0008-0000-0000-00002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825CB97" w14:textId="0670BC4D" w:rsidR="00E55E0F" w:rsidRPr="002B568E" w:rsidRDefault="00E55E0F" w:rsidP="00597239">
      <w:pPr>
        <w:spacing w:line="276" w:lineRule="auto"/>
        <w:rPr>
          <w:rFonts w:cstheme="minorHAnsi"/>
          <w:sz w:val="24"/>
          <w:szCs w:val="24"/>
        </w:rPr>
      </w:pPr>
      <w:r w:rsidRPr="002B568E">
        <w:rPr>
          <w:rFonts w:cstheme="minorHAnsi"/>
          <w:sz w:val="24"/>
          <w:szCs w:val="24"/>
        </w:rPr>
        <w:t xml:space="preserve">W roku 2024 na terenie województwa zachodniopomorskiego stwierdzono również choroby zawodowe niebędące chorobami nowotworowymi, ale powstałe w następstwie działania czynników występujących w środowisku pracy, uznanych za rakotwórcze u ludzi tj. pylice płuc – pylica azbestowa oraz pozostałe pylice krzemianowe (3 przypadki) oraz choroby opłucnej lub osierdzia wywołane pyłem azbestu - rozległe blaszki opłucnej lub osierdzia (1 przypadek). </w:t>
      </w:r>
    </w:p>
    <w:p w14:paraId="1D00307B" w14:textId="77777777" w:rsidR="00E55E0F" w:rsidRPr="002B568E" w:rsidRDefault="00E55E0F" w:rsidP="00597239">
      <w:pPr>
        <w:spacing w:after="0" w:line="276" w:lineRule="auto"/>
        <w:rPr>
          <w:rFonts w:cstheme="minorHAnsi"/>
          <w:sz w:val="24"/>
          <w:szCs w:val="24"/>
        </w:rPr>
      </w:pPr>
      <w:r w:rsidRPr="002B568E">
        <w:rPr>
          <w:rFonts w:cstheme="minorHAnsi"/>
          <w:sz w:val="24"/>
          <w:szCs w:val="24"/>
        </w:rPr>
        <w:t>Ponadto największą liczbę:</w:t>
      </w:r>
    </w:p>
    <w:p w14:paraId="2B50A33F" w14:textId="6C93A5AD" w:rsidR="00E55E0F" w:rsidRPr="002B568E" w:rsidRDefault="00E55E0F" w:rsidP="00597239">
      <w:pPr>
        <w:pStyle w:val="Akapitzlist"/>
        <w:numPr>
          <w:ilvl w:val="0"/>
          <w:numId w:val="42"/>
        </w:numPr>
        <w:spacing w:after="200" w:line="276" w:lineRule="auto"/>
        <w:ind w:left="714" w:hanging="357"/>
        <w:rPr>
          <w:rFonts w:cstheme="minorHAnsi"/>
          <w:sz w:val="24"/>
          <w:szCs w:val="24"/>
        </w:rPr>
      </w:pPr>
      <w:r w:rsidRPr="002B568E">
        <w:rPr>
          <w:rFonts w:cstheme="minorHAnsi"/>
          <w:sz w:val="24"/>
          <w:szCs w:val="24"/>
        </w:rPr>
        <w:t>przypadków stwierdzono wśród pracowników zajmujących się edukacją (PKD 85) – 19 przypadków, co stanowi 31% ogólnej liczby stwierdzonych przypadków chorób zawodowych;</w:t>
      </w:r>
    </w:p>
    <w:p w14:paraId="4F936314" w14:textId="77777777" w:rsidR="00E55E0F" w:rsidRPr="002B568E" w:rsidRDefault="00E55E0F" w:rsidP="00597239">
      <w:pPr>
        <w:pStyle w:val="Akapitzlist"/>
        <w:numPr>
          <w:ilvl w:val="0"/>
          <w:numId w:val="42"/>
        </w:numPr>
        <w:spacing w:after="200" w:line="276" w:lineRule="auto"/>
        <w:ind w:left="714" w:hanging="357"/>
        <w:rPr>
          <w:rFonts w:cstheme="minorHAnsi"/>
          <w:sz w:val="24"/>
          <w:szCs w:val="24"/>
        </w:rPr>
      </w:pPr>
      <w:r w:rsidRPr="002B568E">
        <w:rPr>
          <w:rFonts w:cstheme="minorHAnsi"/>
          <w:sz w:val="24"/>
          <w:szCs w:val="24"/>
        </w:rPr>
        <w:t>przypadków chorób zakaźnych lub pasożytniczych stwierdzono wśród pracowników zajmujących się leśnictwem i pozyskiwaniem drewna – 13 przypadków.</w:t>
      </w:r>
    </w:p>
    <w:p w14:paraId="75E65CE3" w14:textId="0319FE32" w:rsidR="00E55E0F" w:rsidRDefault="004245A4" w:rsidP="00597239">
      <w:pPr>
        <w:rPr>
          <w:i/>
          <w:iCs/>
          <w:color w:val="000000" w:themeColor="text1"/>
          <w:sz w:val="24"/>
          <w:szCs w:val="24"/>
        </w:rPr>
      </w:pPr>
      <w:r>
        <w:rPr>
          <w:i/>
          <w:iCs/>
          <w:color w:val="000000" w:themeColor="text1"/>
          <w:sz w:val="24"/>
          <w:szCs w:val="24"/>
        </w:rPr>
        <w:br w:type="page"/>
      </w:r>
    </w:p>
    <w:p w14:paraId="63EF7AA2" w14:textId="66149406" w:rsidR="00953978" w:rsidRDefault="00953978" w:rsidP="00597239">
      <w:pPr>
        <w:pStyle w:val="Nagwek1"/>
        <w:numPr>
          <w:ilvl w:val="0"/>
          <w:numId w:val="83"/>
        </w:numPr>
        <w:spacing w:before="0" w:after="0"/>
        <w:ind w:left="0" w:firstLine="0"/>
        <w:jc w:val="left"/>
        <w:rPr>
          <w:rFonts w:eastAsia="Times New Roman"/>
          <w:lang w:eastAsia="pl-PL"/>
        </w:rPr>
      </w:pPr>
      <w:bookmarkStart w:id="384" w:name="_Toc194059857"/>
      <w:r w:rsidRPr="000D1817">
        <w:rPr>
          <w:rFonts w:eastAsia="Times New Roman"/>
          <w:lang w:eastAsia="pl-PL"/>
        </w:rPr>
        <w:lastRenderedPageBreak/>
        <w:t>H</w:t>
      </w:r>
      <w:r w:rsidR="00811CFE">
        <w:rPr>
          <w:rFonts w:eastAsia="Times New Roman"/>
          <w:lang w:eastAsia="pl-PL"/>
        </w:rPr>
        <w:t>igiena Radiacyjna</w:t>
      </w:r>
      <w:bookmarkEnd w:id="384"/>
    </w:p>
    <w:p w14:paraId="314039C0" w14:textId="77777777" w:rsidR="00777D94" w:rsidRPr="00777D94" w:rsidRDefault="00777D94" w:rsidP="00597239">
      <w:pPr>
        <w:spacing w:after="0"/>
        <w:rPr>
          <w:lang w:eastAsia="pl-PL"/>
        </w:rPr>
      </w:pPr>
    </w:p>
    <w:p w14:paraId="4950CA5D" w14:textId="3BB84972" w:rsidR="00953978" w:rsidRDefault="00953978" w:rsidP="00597239">
      <w:pPr>
        <w:spacing w:after="0" w:line="276" w:lineRule="auto"/>
        <w:rPr>
          <w:rFonts w:ascii="Calibri" w:eastAsia="Times New Roman" w:hAnsi="Calibri" w:cs="Calibri"/>
          <w:sz w:val="24"/>
          <w:szCs w:val="24"/>
          <w:lang w:eastAsia="pl-PL"/>
        </w:rPr>
      </w:pPr>
      <w:r w:rsidRPr="00D52234">
        <w:rPr>
          <w:rFonts w:ascii="Calibri" w:eastAsia="Times New Roman" w:hAnsi="Calibri" w:cs="Calibri"/>
          <w:bCs/>
          <w:sz w:val="24"/>
          <w:szCs w:val="24"/>
          <w:lang w:eastAsia="pl-PL"/>
        </w:rPr>
        <w:t>Nadzór w zakresie ochrony radiologicznej na terenie województwa zachodniopomorskiego sprawowany jest przez Zachodniopomorskiego Państwowego Wojewódzkiego Inspektora Sanitarnego w Szczecinie, który jest organem I instancji</w:t>
      </w:r>
      <w:r>
        <w:rPr>
          <w:rFonts w:ascii="Calibri" w:eastAsia="Times New Roman" w:hAnsi="Calibri" w:cs="Calibri"/>
          <w:bCs/>
          <w:sz w:val="24"/>
          <w:szCs w:val="24"/>
          <w:lang w:eastAsia="pl-PL"/>
        </w:rPr>
        <w:t xml:space="preserve">. Działalność </w:t>
      </w:r>
      <w:r w:rsidRPr="00D52234">
        <w:rPr>
          <w:rFonts w:ascii="Calibri" w:eastAsia="Times New Roman" w:hAnsi="Calibri" w:cs="Calibri"/>
          <w:bCs/>
          <w:sz w:val="24"/>
          <w:szCs w:val="24"/>
          <w:lang w:eastAsia="pl-PL"/>
        </w:rPr>
        <w:t>w tym zakresie prowadzo</w:t>
      </w:r>
      <w:r>
        <w:rPr>
          <w:rFonts w:ascii="Calibri" w:eastAsia="Times New Roman" w:hAnsi="Calibri" w:cs="Calibri"/>
          <w:bCs/>
          <w:sz w:val="24"/>
          <w:szCs w:val="24"/>
          <w:lang w:eastAsia="pl-PL"/>
        </w:rPr>
        <w:t>na</w:t>
      </w:r>
      <w:r w:rsidRPr="00D52234">
        <w:rPr>
          <w:rFonts w:ascii="Calibri" w:eastAsia="Times New Roman" w:hAnsi="Calibri" w:cs="Calibri"/>
          <w:bCs/>
          <w:sz w:val="24"/>
          <w:szCs w:val="24"/>
          <w:lang w:eastAsia="pl-PL"/>
        </w:rPr>
        <w:t xml:space="preserve"> </w:t>
      </w:r>
      <w:r w:rsidRPr="00D52234">
        <w:rPr>
          <w:rFonts w:ascii="Calibri" w:eastAsia="Times New Roman" w:hAnsi="Calibri" w:cs="Calibri"/>
          <w:sz w:val="24"/>
          <w:szCs w:val="24"/>
          <w:lang w:eastAsia="pl-PL"/>
        </w:rPr>
        <w:t>jest wielotorowo</w:t>
      </w:r>
      <w:r>
        <w:rPr>
          <w:rFonts w:ascii="Calibri" w:eastAsia="Times New Roman" w:hAnsi="Calibri" w:cs="Calibri"/>
          <w:sz w:val="24"/>
          <w:szCs w:val="24"/>
          <w:lang w:eastAsia="pl-PL"/>
        </w:rPr>
        <w:t xml:space="preserve"> i dotyczy przestrzegania </w:t>
      </w:r>
      <w:r w:rsidRPr="00D52234">
        <w:rPr>
          <w:rFonts w:ascii="Calibri" w:eastAsia="Times New Roman" w:hAnsi="Calibri" w:cs="Calibri"/>
          <w:sz w:val="24"/>
          <w:szCs w:val="24"/>
          <w:lang w:eastAsia="pl-PL"/>
        </w:rPr>
        <w:t xml:space="preserve">przepisów określających wymagania higieniczne i zdrowotne </w:t>
      </w:r>
      <w:r>
        <w:rPr>
          <w:rFonts w:ascii="Calibri" w:eastAsia="Times New Roman" w:hAnsi="Calibri" w:cs="Calibri"/>
          <w:sz w:val="24"/>
          <w:szCs w:val="24"/>
          <w:lang w:eastAsia="pl-PL"/>
        </w:rPr>
        <w:t>związane ze</w:t>
      </w:r>
      <w:r w:rsidRPr="00D52234">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 xml:space="preserve">stosowaniem </w:t>
      </w:r>
      <w:r w:rsidRPr="00D52234">
        <w:rPr>
          <w:rFonts w:ascii="Calibri" w:eastAsia="Times New Roman" w:hAnsi="Calibri" w:cs="Calibri"/>
          <w:sz w:val="24"/>
          <w:szCs w:val="24"/>
          <w:lang w:eastAsia="pl-PL"/>
        </w:rPr>
        <w:t xml:space="preserve">aparatów rentgenowskich oraz urządzeń wytwarzających pola elektromagnetyczne o częstotliwości od 0 </w:t>
      </w:r>
      <w:proofErr w:type="spellStart"/>
      <w:r w:rsidRPr="00D52234">
        <w:rPr>
          <w:rFonts w:ascii="Calibri" w:eastAsia="Times New Roman" w:hAnsi="Calibri" w:cs="Calibri"/>
          <w:sz w:val="24"/>
          <w:szCs w:val="24"/>
          <w:lang w:eastAsia="pl-PL"/>
        </w:rPr>
        <w:t>Hz</w:t>
      </w:r>
      <w:proofErr w:type="spellEnd"/>
      <w:r w:rsidRPr="00D52234">
        <w:rPr>
          <w:rFonts w:ascii="Calibri" w:eastAsia="Times New Roman" w:hAnsi="Calibri" w:cs="Calibri"/>
          <w:sz w:val="24"/>
          <w:szCs w:val="24"/>
          <w:lang w:eastAsia="pl-PL"/>
        </w:rPr>
        <w:t xml:space="preserve"> do 300 GHz</w:t>
      </w:r>
      <w:r>
        <w:rPr>
          <w:rFonts w:ascii="Calibri" w:eastAsia="Times New Roman" w:hAnsi="Calibri" w:cs="Calibri"/>
          <w:sz w:val="24"/>
          <w:szCs w:val="24"/>
          <w:lang w:eastAsia="pl-PL"/>
        </w:rPr>
        <w:t>,</w:t>
      </w:r>
      <w:r w:rsidRPr="00D52234">
        <w:rPr>
          <w:rFonts w:ascii="Calibri" w:eastAsia="Times New Roman" w:hAnsi="Calibri" w:cs="Calibri"/>
          <w:sz w:val="24"/>
          <w:szCs w:val="24"/>
          <w:lang w:eastAsia="pl-PL"/>
        </w:rPr>
        <w:t xml:space="preserve"> w odniesieniu do pracowników, osób z ogółu </w:t>
      </w:r>
      <w:r w:rsidRPr="00463C38">
        <w:rPr>
          <w:rFonts w:ascii="Calibri" w:eastAsia="Times New Roman" w:hAnsi="Calibri" w:cs="Calibri"/>
          <w:sz w:val="24"/>
          <w:szCs w:val="24"/>
          <w:lang w:eastAsia="pl-PL"/>
        </w:rPr>
        <w:t xml:space="preserve">ludności, jak i pacjenta. Nadzór dotyczy również pracowni radioterapii oraz pracowni medycyny nuklearnej. </w:t>
      </w:r>
    </w:p>
    <w:p w14:paraId="3FE2DE9E" w14:textId="77777777" w:rsidR="00777D94" w:rsidRPr="00701CCE" w:rsidRDefault="00777D94" w:rsidP="00597239">
      <w:pPr>
        <w:spacing w:after="0" w:line="276" w:lineRule="auto"/>
        <w:rPr>
          <w:rFonts w:ascii="Calibri" w:eastAsia="Times New Roman" w:hAnsi="Calibri" w:cs="Calibri"/>
          <w:sz w:val="24"/>
          <w:szCs w:val="24"/>
          <w:lang w:eastAsia="pl-PL"/>
        </w:rPr>
      </w:pPr>
    </w:p>
    <w:p w14:paraId="3B7023D5" w14:textId="77777777" w:rsidR="00953978" w:rsidRPr="00D52234" w:rsidRDefault="00953978" w:rsidP="00597239">
      <w:pPr>
        <w:pStyle w:val="Nagwek2"/>
        <w:numPr>
          <w:ilvl w:val="0"/>
          <w:numId w:val="57"/>
        </w:numPr>
        <w:spacing w:before="0" w:after="0"/>
        <w:ind w:left="284" w:hanging="284"/>
        <w:jc w:val="left"/>
        <w:rPr>
          <w:rFonts w:eastAsia="Times New Roman"/>
          <w:lang w:eastAsia="pl-PL"/>
        </w:rPr>
      </w:pPr>
      <w:bookmarkStart w:id="385" w:name="_Toc194059858"/>
      <w:r w:rsidRPr="00D52234">
        <w:rPr>
          <w:rFonts w:eastAsia="Times New Roman"/>
          <w:lang w:eastAsia="pl-PL"/>
        </w:rPr>
        <w:t>Promieniowanie jonizujące</w:t>
      </w:r>
      <w:bookmarkEnd w:id="385"/>
    </w:p>
    <w:p w14:paraId="30E0E8DF" w14:textId="40D55900" w:rsidR="00953978" w:rsidRPr="00D52234" w:rsidRDefault="00953978" w:rsidP="00597239">
      <w:pPr>
        <w:spacing w:after="0" w:line="276" w:lineRule="auto"/>
        <w:rPr>
          <w:rFonts w:ascii="Calibri" w:eastAsia="Times New Roman" w:hAnsi="Calibri" w:cs="Calibri"/>
          <w:sz w:val="24"/>
          <w:szCs w:val="24"/>
          <w:lang w:eastAsia="pl-PL"/>
        </w:rPr>
      </w:pPr>
      <w:bookmarkStart w:id="386" w:name="_Hlk193714477"/>
      <w:r w:rsidRPr="00D52234">
        <w:rPr>
          <w:rFonts w:ascii="Calibri" w:eastAsia="Times New Roman" w:hAnsi="Calibri" w:cs="Calibri"/>
          <w:sz w:val="24"/>
          <w:szCs w:val="24"/>
          <w:lang w:eastAsia="pl-PL"/>
        </w:rPr>
        <w:t>Pod nadzorem ZPWIS, na dzień 31 grudnia 2024 roku znajdowało się</w:t>
      </w:r>
      <w:bookmarkEnd w:id="386"/>
      <w:r>
        <w:rPr>
          <w:rFonts w:ascii="Calibri" w:eastAsia="Times New Roman" w:hAnsi="Calibri" w:cs="Calibri"/>
          <w:sz w:val="24"/>
          <w:szCs w:val="24"/>
          <w:lang w:eastAsia="pl-PL"/>
        </w:rPr>
        <w:t xml:space="preserve"> </w:t>
      </w:r>
      <w:r w:rsidRPr="00D52234">
        <w:rPr>
          <w:rFonts w:ascii="Calibri" w:eastAsia="Times New Roman" w:hAnsi="Calibri" w:cs="Calibri"/>
          <w:sz w:val="24"/>
          <w:szCs w:val="24"/>
          <w:lang w:eastAsia="pl-PL"/>
        </w:rPr>
        <w:t>1150 aparatów rentgenowskich w jednostkach stosujących promieniowanie jonizujące do celów medycznych, w tym najwięcej rentgenowskich aparatów stomatologicznych – 834</w:t>
      </w:r>
      <w:r>
        <w:rPr>
          <w:rFonts w:ascii="Calibri" w:eastAsia="Times New Roman" w:hAnsi="Calibri" w:cs="Calibri"/>
          <w:sz w:val="24"/>
          <w:szCs w:val="24"/>
          <w:lang w:eastAsia="pl-PL"/>
        </w:rPr>
        <w:t xml:space="preserve"> (Tabela nr </w:t>
      </w:r>
      <w:r w:rsidR="00C15BCD">
        <w:rPr>
          <w:rFonts w:ascii="Calibri" w:eastAsia="Times New Roman" w:hAnsi="Calibri" w:cs="Calibri"/>
          <w:sz w:val="24"/>
          <w:szCs w:val="24"/>
          <w:lang w:eastAsia="pl-PL"/>
        </w:rPr>
        <w:t>4</w:t>
      </w:r>
      <w:r w:rsidR="00E05979">
        <w:rPr>
          <w:rFonts w:ascii="Calibri" w:eastAsia="Times New Roman" w:hAnsi="Calibri" w:cs="Calibri"/>
          <w:sz w:val="24"/>
          <w:szCs w:val="24"/>
          <w:lang w:eastAsia="pl-PL"/>
        </w:rPr>
        <w:t>0</w:t>
      </w:r>
      <w:r>
        <w:rPr>
          <w:rFonts w:ascii="Calibri" w:eastAsia="Times New Roman" w:hAnsi="Calibri" w:cs="Calibri"/>
          <w:sz w:val="24"/>
          <w:szCs w:val="24"/>
          <w:lang w:eastAsia="pl-PL"/>
        </w:rPr>
        <w:t>)</w:t>
      </w:r>
      <w:r w:rsidRPr="00D52234">
        <w:rPr>
          <w:rFonts w:ascii="Calibri" w:eastAsia="Times New Roman" w:hAnsi="Calibri" w:cs="Calibri"/>
          <w:sz w:val="24"/>
          <w:szCs w:val="24"/>
          <w:lang w:eastAsia="pl-PL"/>
        </w:rPr>
        <w:t xml:space="preserve">. </w:t>
      </w:r>
    </w:p>
    <w:p w14:paraId="3F5280A3" w14:textId="77777777" w:rsidR="00953978" w:rsidRPr="00D52234" w:rsidRDefault="00953978" w:rsidP="00597239">
      <w:pPr>
        <w:spacing w:after="0" w:line="240" w:lineRule="auto"/>
        <w:rPr>
          <w:rFonts w:ascii="Calibri" w:eastAsia="Times New Roman" w:hAnsi="Calibri" w:cs="Calibri"/>
          <w:sz w:val="24"/>
          <w:szCs w:val="24"/>
          <w:lang w:eastAsia="pl-PL"/>
        </w:rPr>
      </w:pPr>
    </w:p>
    <w:p w14:paraId="2172A9DD" w14:textId="3120525D" w:rsidR="00953978" w:rsidRPr="00EF2875" w:rsidRDefault="00EF2875" w:rsidP="00597239">
      <w:pPr>
        <w:pStyle w:val="Legenda"/>
        <w:spacing w:after="0"/>
        <w:rPr>
          <w:rFonts w:ascii="Calibri" w:eastAsia="Times New Roman" w:hAnsi="Calibri" w:cs="Calibri"/>
          <w:i w:val="0"/>
          <w:iCs w:val="0"/>
          <w:color w:val="auto"/>
          <w:sz w:val="24"/>
          <w:szCs w:val="24"/>
          <w:lang w:eastAsia="pl-PL"/>
        </w:rPr>
      </w:pPr>
      <w:bookmarkStart w:id="387" w:name="_Toc193806010"/>
      <w:bookmarkStart w:id="388" w:name="_Toc193969558"/>
      <w:bookmarkStart w:id="389" w:name="_Toc194060018"/>
      <w:r w:rsidRPr="00EF2875">
        <w:rPr>
          <w:i w:val="0"/>
          <w:iCs w:val="0"/>
          <w:color w:val="auto"/>
        </w:rPr>
        <w:t xml:space="preserve">Tabela </w:t>
      </w:r>
      <w:r w:rsidRPr="00EF2875">
        <w:rPr>
          <w:i w:val="0"/>
          <w:iCs w:val="0"/>
          <w:color w:val="auto"/>
        </w:rPr>
        <w:fldChar w:fldCharType="begin"/>
      </w:r>
      <w:r w:rsidRPr="00EF2875">
        <w:rPr>
          <w:i w:val="0"/>
          <w:iCs w:val="0"/>
          <w:color w:val="auto"/>
        </w:rPr>
        <w:instrText xml:space="preserve"> SEQ Tabela \* ARABIC </w:instrText>
      </w:r>
      <w:r w:rsidRPr="00EF2875">
        <w:rPr>
          <w:i w:val="0"/>
          <w:iCs w:val="0"/>
          <w:color w:val="auto"/>
        </w:rPr>
        <w:fldChar w:fldCharType="separate"/>
      </w:r>
      <w:r w:rsidR="00FB6F6A">
        <w:rPr>
          <w:i w:val="0"/>
          <w:iCs w:val="0"/>
          <w:noProof/>
          <w:color w:val="auto"/>
        </w:rPr>
        <w:t>40</w:t>
      </w:r>
      <w:r w:rsidRPr="00EF2875">
        <w:rPr>
          <w:i w:val="0"/>
          <w:iCs w:val="0"/>
          <w:color w:val="auto"/>
        </w:rPr>
        <w:fldChar w:fldCharType="end"/>
      </w:r>
      <w:r w:rsidR="00B60EBD">
        <w:rPr>
          <w:i w:val="0"/>
          <w:iCs w:val="0"/>
          <w:color w:val="auto"/>
        </w:rPr>
        <w:t>.</w:t>
      </w:r>
      <w:r w:rsidRPr="00EF2875">
        <w:rPr>
          <w:i w:val="0"/>
          <w:iCs w:val="0"/>
          <w:color w:val="auto"/>
        </w:rPr>
        <w:t xml:space="preserve"> Liczba aparatów rentgenowskich w województwie zachodniopomorskim (stan na 31 grudnia 2024 roku).</w:t>
      </w:r>
      <w:bookmarkEnd w:id="387"/>
      <w:bookmarkEnd w:id="388"/>
      <w:bookmarkEnd w:id="389"/>
    </w:p>
    <w:tbl>
      <w:tblPr>
        <w:tblStyle w:val="Tabelasiatki4akcent1"/>
        <w:tblW w:w="5000" w:type="pct"/>
        <w:tblLook w:val="04A0" w:firstRow="1" w:lastRow="0" w:firstColumn="1" w:lastColumn="0" w:noHBand="0" w:noVBand="1"/>
        <w:tblCaption w:val="Liczba aparatów rentgenowskich w województwie zachodniopomorskim (stan na 31 grudnia 2024 roku)."/>
        <w:tblDescription w:val="w tabeli 40 przedstawiono 1150 aparatów rentgenowskich województwa zachodniopomorskiego znajdujących się pod nadzorem ZPWIS, wskazując jednocześnie 127 aparatów rentgenowskich, na które w 2024 roku wydano zezwolenia, a są to aparaty do: radiologii zabiegowej, zdjęć, zdjęć i prześwietleń, mammografii, stomatologii, densytometrii, tomografii komputerowej."/>
      </w:tblPr>
      <w:tblGrid>
        <w:gridCol w:w="3470"/>
        <w:gridCol w:w="2950"/>
        <w:gridCol w:w="2642"/>
      </w:tblGrid>
      <w:tr w:rsidR="00953978" w:rsidRPr="00FF50CD" w14:paraId="745F905B" w14:textId="77777777" w:rsidTr="00F36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46EB3ACF"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Przeznaczenie aparatów rentgenowskich</w:t>
            </w:r>
          </w:p>
        </w:tc>
        <w:tc>
          <w:tcPr>
            <w:tcW w:w="2983" w:type="dxa"/>
            <w:vAlign w:val="center"/>
          </w:tcPr>
          <w:p w14:paraId="493BE187" w14:textId="77777777" w:rsidR="00953978" w:rsidRPr="00FF50CD" w:rsidRDefault="00953978"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 xml:space="preserve">Liczba aparatów </w:t>
            </w:r>
            <w:proofErr w:type="spellStart"/>
            <w:r w:rsidRPr="00FF50CD">
              <w:rPr>
                <w:rFonts w:ascii="Calibri" w:eastAsia="Times New Roman" w:hAnsi="Calibri" w:cs="Calibri"/>
                <w:b w:val="0"/>
                <w:bCs w:val="0"/>
                <w:sz w:val="24"/>
                <w:szCs w:val="24"/>
                <w:lang w:eastAsia="pl-PL"/>
              </w:rPr>
              <w:t>rtg</w:t>
            </w:r>
            <w:proofErr w:type="spellEnd"/>
            <w:r w:rsidRPr="00FF50CD">
              <w:rPr>
                <w:rFonts w:ascii="Calibri" w:eastAsia="Times New Roman" w:hAnsi="Calibri" w:cs="Calibri"/>
                <w:b w:val="0"/>
                <w:bCs w:val="0"/>
                <w:sz w:val="24"/>
                <w:szCs w:val="24"/>
                <w:lang w:eastAsia="pl-PL"/>
              </w:rPr>
              <w:t xml:space="preserve"> w województwie zachodniopomorskim pod nadzorem ZPWIS</w:t>
            </w:r>
          </w:p>
        </w:tc>
        <w:tc>
          <w:tcPr>
            <w:tcW w:w="2713" w:type="dxa"/>
            <w:vAlign w:val="center"/>
          </w:tcPr>
          <w:p w14:paraId="1947D914" w14:textId="77777777" w:rsidR="00953978" w:rsidRPr="00FF50CD" w:rsidRDefault="00953978" w:rsidP="0059723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 xml:space="preserve">Liczba aparatów </w:t>
            </w:r>
            <w:proofErr w:type="spellStart"/>
            <w:r w:rsidRPr="00FF50CD">
              <w:rPr>
                <w:rFonts w:ascii="Calibri" w:eastAsia="Times New Roman" w:hAnsi="Calibri" w:cs="Calibri"/>
                <w:b w:val="0"/>
                <w:bCs w:val="0"/>
                <w:sz w:val="24"/>
                <w:szCs w:val="24"/>
                <w:lang w:eastAsia="pl-PL"/>
              </w:rPr>
              <w:t>rtg</w:t>
            </w:r>
            <w:proofErr w:type="spellEnd"/>
            <w:r w:rsidRPr="00FF50CD">
              <w:rPr>
                <w:rFonts w:ascii="Calibri" w:eastAsia="Times New Roman" w:hAnsi="Calibri" w:cs="Calibri"/>
                <w:b w:val="0"/>
                <w:bCs w:val="0"/>
                <w:sz w:val="24"/>
                <w:szCs w:val="24"/>
                <w:lang w:eastAsia="pl-PL"/>
              </w:rPr>
              <w:t xml:space="preserve"> na które wydano zezwolenia w 2024 roku</w:t>
            </w:r>
          </w:p>
        </w:tc>
      </w:tr>
      <w:tr w:rsidR="00953978" w:rsidRPr="00FF50CD" w14:paraId="2136BC24"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1131E6D3"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radiologia zabiegowa</w:t>
            </w:r>
          </w:p>
        </w:tc>
        <w:tc>
          <w:tcPr>
            <w:tcW w:w="2983" w:type="dxa"/>
            <w:vAlign w:val="center"/>
          </w:tcPr>
          <w:p w14:paraId="4270F88E"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102</w:t>
            </w:r>
          </w:p>
        </w:tc>
        <w:tc>
          <w:tcPr>
            <w:tcW w:w="2713" w:type="dxa"/>
            <w:vAlign w:val="center"/>
          </w:tcPr>
          <w:p w14:paraId="02FC3981"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14</w:t>
            </w:r>
          </w:p>
        </w:tc>
      </w:tr>
      <w:tr w:rsidR="00953978" w:rsidRPr="00FF50CD" w14:paraId="16F66A42" w14:textId="77777777" w:rsidTr="00F36FBD">
        <w:tc>
          <w:tcPr>
            <w:cnfStyle w:val="001000000000" w:firstRow="0" w:lastRow="0" w:firstColumn="1" w:lastColumn="0" w:oddVBand="0" w:evenVBand="0" w:oddHBand="0" w:evenHBand="0" w:firstRowFirstColumn="0" w:firstRowLastColumn="0" w:lastRowFirstColumn="0" w:lastRowLastColumn="0"/>
            <w:tcW w:w="3552" w:type="dxa"/>
            <w:vAlign w:val="center"/>
          </w:tcPr>
          <w:p w14:paraId="4BDC8659"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tylko do zdjęć</w:t>
            </w:r>
          </w:p>
        </w:tc>
        <w:tc>
          <w:tcPr>
            <w:tcW w:w="2983" w:type="dxa"/>
            <w:vAlign w:val="center"/>
          </w:tcPr>
          <w:p w14:paraId="661AE9EF"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127</w:t>
            </w:r>
          </w:p>
        </w:tc>
        <w:tc>
          <w:tcPr>
            <w:tcW w:w="2713" w:type="dxa"/>
            <w:vAlign w:val="center"/>
          </w:tcPr>
          <w:p w14:paraId="318D5B5A"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10</w:t>
            </w:r>
          </w:p>
        </w:tc>
      </w:tr>
      <w:tr w:rsidR="00953978" w:rsidRPr="00FF50CD" w14:paraId="718C52CA"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0657224C"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 xml:space="preserve">do prześwietleń oraz do zdjęć </w:t>
            </w:r>
            <w:r w:rsidRPr="00FF50CD">
              <w:rPr>
                <w:rFonts w:ascii="Calibri" w:eastAsia="Times New Roman" w:hAnsi="Calibri" w:cs="Calibri"/>
                <w:b w:val="0"/>
                <w:bCs w:val="0"/>
                <w:sz w:val="24"/>
                <w:szCs w:val="24"/>
                <w:lang w:eastAsia="pl-PL"/>
              </w:rPr>
              <w:br/>
              <w:t>i prześwietleń</w:t>
            </w:r>
          </w:p>
        </w:tc>
        <w:tc>
          <w:tcPr>
            <w:tcW w:w="2983" w:type="dxa"/>
            <w:vAlign w:val="center"/>
          </w:tcPr>
          <w:p w14:paraId="57CB798D"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16</w:t>
            </w:r>
          </w:p>
        </w:tc>
        <w:tc>
          <w:tcPr>
            <w:tcW w:w="2713" w:type="dxa"/>
            <w:vAlign w:val="center"/>
          </w:tcPr>
          <w:p w14:paraId="3402FC0D"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w:t>
            </w:r>
          </w:p>
        </w:tc>
      </w:tr>
      <w:tr w:rsidR="00953978" w:rsidRPr="00FF50CD" w14:paraId="15702EBE" w14:textId="77777777" w:rsidTr="00F36FBD">
        <w:tc>
          <w:tcPr>
            <w:cnfStyle w:val="001000000000" w:firstRow="0" w:lastRow="0" w:firstColumn="1" w:lastColumn="0" w:oddVBand="0" w:evenVBand="0" w:oddHBand="0" w:evenHBand="0" w:firstRowFirstColumn="0" w:firstRowLastColumn="0" w:lastRowFirstColumn="0" w:lastRowLastColumn="0"/>
            <w:tcW w:w="3552" w:type="dxa"/>
            <w:vAlign w:val="center"/>
          </w:tcPr>
          <w:p w14:paraId="2F5107F2"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mammografy</w:t>
            </w:r>
          </w:p>
        </w:tc>
        <w:tc>
          <w:tcPr>
            <w:tcW w:w="2983" w:type="dxa"/>
            <w:vAlign w:val="center"/>
          </w:tcPr>
          <w:p w14:paraId="52AA8C6E"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15</w:t>
            </w:r>
          </w:p>
        </w:tc>
        <w:tc>
          <w:tcPr>
            <w:tcW w:w="2713" w:type="dxa"/>
            <w:vAlign w:val="center"/>
          </w:tcPr>
          <w:p w14:paraId="73DA36AB"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w:t>
            </w:r>
          </w:p>
        </w:tc>
      </w:tr>
      <w:tr w:rsidR="00953978" w:rsidRPr="00FF50CD" w14:paraId="2687E8EA"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0BBDE2CD"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 xml:space="preserve">stomatologiczne </w:t>
            </w:r>
            <w:proofErr w:type="spellStart"/>
            <w:r w:rsidRPr="00FF50CD">
              <w:rPr>
                <w:rFonts w:ascii="Calibri" w:eastAsia="Times New Roman" w:hAnsi="Calibri" w:cs="Calibri"/>
                <w:b w:val="0"/>
                <w:bCs w:val="0"/>
                <w:sz w:val="24"/>
                <w:szCs w:val="24"/>
                <w:lang w:eastAsia="pl-PL"/>
              </w:rPr>
              <w:t>wewnątrzustne</w:t>
            </w:r>
            <w:proofErr w:type="spellEnd"/>
          </w:p>
        </w:tc>
        <w:tc>
          <w:tcPr>
            <w:tcW w:w="2983" w:type="dxa"/>
            <w:vAlign w:val="center"/>
          </w:tcPr>
          <w:p w14:paraId="0EB299A8"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619</w:t>
            </w:r>
          </w:p>
        </w:tc>
        <w:tc>
          <w:tcPr>
            <w:tcW w:w="2713" w:type="dxa"/>
            <w:vAlign w:val="center"/>
          </w:tcPr>
          <w:p w14:paraId="74BD8AEF"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52</w:t>
            </w:r>
          </w:p>
        </w:tc>
      </w:tr>
      <w:tr w:rsidR="00953978" w:rsidRPr="00FF50CD" w14:paraId="2785CE1E" w14:textId="77777777" w:rsidTr="00F36FBD">
        <w:trPr>
          <w:trHeight w:val="417"/>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46FF16AC"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stomatologiczne panoramiczne</w:t>
            </w:r>
          </w:p>
          <w:p w14:paraId="4315B121"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 xml:space="preserve">(w tym z funkcją stomatologicznej tomografii komputerowej wiązki stożkowej oraz przystawką </w:t>
            </w:r>
            <w:proofErr w:type="spellStart"/>
            <w:r w:rsidRPr="00FF50CD">
              <w:rPr>
                <w:rFonts w:ascii="Calibri" w:eastAsia="Times New Roman" w:hAnsi="Calibri" w:cs="Calibri"/>
                <w:b w:val="0"/>
                <w:bCs w:val="0"/>
                <w:sz w:val="24"/>
                <w:szCs w:val="24"/>
                <w:lang w:eastAsia="pl-PL"/>
              </w:rPr>
              <w:t>cefalometryczną</w:t>
            </w:r>
            <w:proofErr w:type="spellEnd"/>
            <w:r w:rsidRPr="00FF50CD">
              <w:rPr>
                <w:rFonts w:ascii="Calibri" w:eastAsia="Times New Roman" w:hAnsi="Calibri" w:cs="Calibri"/>
                <w:b w:val="0"/>
                <w:bCs w:val="0"/>
                <w:sz w:val="24"/>
                <w:szCs w:val="24"/>
                <w:lang w:eastAsia="pl-PL"/>
              </w:rPr>
              <w:t>)</w:t>
            </w:r>
          </w:p>
        </w:tc>
        <w:tc>
          <w:tcPr>
            <w:tcW w:w="2983" w:type="dxa"/>
            <w:vAlign w:val="center"/>
          </w:tcPr>
          <w:p w14:paraId="3239275D"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215</w:t>
            </w:r>
          </w:p>
        </w:tc>
        <w:tc>
          <w:tcPr>
            <w:tcW w:w="2713" w:type="dxa"/>
            <w:vAlign w:val="center"/>
          </w:tcPr>
          <w:p w14:paraId="55A7F599"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42</w:t>
            </w:r>
          </w:p>
        </w:tc>
      </w:tr>
      <w:tr w:rsidR="00953978" w:rsidRPr="00FF50CD" w14:paraId="137052EB"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53411F14"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densytometry</w:t>
            </w:r>
          </w:p>
        </w:tc>
        <w:tc>
          <w:tcPr>
            <w:tcW w:w="2983" w:type="dxa"/>
            <w:vAlign w:val="center"/>
          </w:tcPr>
          <w:p w14:paraId="0452155D"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13</w:t>
            </w:r>
          </w:p>
        </w:tc>
        <w:tc>
          <w:tcPr>
            <w:tcW w:w="2713" w:type="dxa"/>
            <w:vAlign w:val="center"/>
          </w:tcPr>
          <w:p w14:paraId="5C0A551E"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w:t>
            </w:r>
          </w:p>
        </w:tc>
      </w:tr>
      <w:tr w:rsidR="00953978" w:rsidRPr="00FF50CD" w14:paraId="276928FC" w14:textId="77777777" w:rsidTr="00F36FBD">
        <w:tc>
          <w:tcPr>
            <w:cnfStyle w:val="001000000000" w:firstRow="0" w:lastRow="0" w:firstColumn="1" w:lastColumn="0" w:oddVBand="0" w:evenVBand="0" w:oddHBand="0" w:evenHBand="0" w:firstRowFirstColumn="0" w:firstRowLastColumn="0" w:lastRowFirstColumn="0" w:lastRowLastColumn="0"/>
            <w:tcW w:w="3552" w:type="dxa"/>
            <w:vAlign w:val="center"/>
          </w:tcPr>
          <w:p w14:paraId="5729ADE1"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tomografy komputerowe</w:t>
            </w:r>
          </w:p>
        </w:tc>
        <w:tc>
          <w:tcPr>
            <w:tcW w:w="2983" w:type="dxa"/>
            <w:vAlign w:val="center"/>
          </w:tcPr>
          <w:p w14:paraId="75006687"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43</w:t>
            </w:r>
          </w:p>
        </w:tc>
        <w:tc>
          <w:tcPr>
            <w:tcW w:w="2713" w:type="dxa"/>
            <w:vAlign w:val="center"/>
          </w:tcPr>
          <w:p w14:paraId="2B6A486C" w14:textId="77777777" w:rsidR="00953978" w:rsidRPr="00FF50CD" w:rsidRDefault="00953978" w:rsidP="00597239">
            <w:pPr>
              <w:spacing w:line="380"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6</w:t>
            </w:r>
          </w:p>
        </w:tc>
      </w:tr>
      <w:tr w:rsidR="00953978" w:rsidRPr="00FF50CD" w14:paraId="47F9285C"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2" w:type="dxa"/>
            <w:vAlign w:val="center"/>
          </w:tcPr>
          <w:p w14:paraId="0856058C" w14:textId="77777777" w:rsidR="00953978" w:rsidRPr="00FF50CD" w:rsidRDefault="00953978" w:rsidP="00597239">
            <w:pPr>
              <w:rPr>
                <w:rFonts w:ascii="Calibri" w:eastAsia="Times New Roman" w:hAnsi="Calibri" w:cs="Calibri"/>
                <w:b w:val="0"/>
                <w:bCs w:val="0"/>
                <w:sz w:val="24"/>
                <w:szCs w:val="24"/>
                <w:lang w:eastAsia="pl-PL"/>
              </w:rPr>
            </w:pPr>
            <w:r w:rsidRPr="00FF50CD">
              <w:rPr>
                <w:rFonts w:ascii="Calibri" w:eastAsia="Times New Roman" w:hAnsi="Calibri" w:cs="Calibri"/>
                <w:b w:val="0"/>
                <w:bCs w:val="0"/>
                <w:sz w:val="24"/>
                <w:szCs w:val="24"/>
                <w:lang w:eastAsia="pl-PL"/>
              </w:rPr>
              <w:t>Suma</w:t>
            </w:r>
          </w:p>
        </w:tc>
        <w:tc>
          <w:tcPr>
            <w:tcW w:w="2983" w:type="dxa"/>
            <w:vAlign w:val="center"/>
          </w:tcPr>
          <w:p w14:paraId="671F6F99"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1150</w:t>
            </w:r>
          </w:p>
        </w:tc>
        <w:tc>
          <w:tcPr>
            <w:tcW w:w="2713" w:type="dxa"/>
            <w:vAlign w:val="center"/>
          </w:tcPr>
          <w:p w14:paraId="3C093313" w14:textId="77777777" w:rsidR="00953978" w:rsidRPr="00FF50CD" w:rsidRDefault="00953978" w:rsidP="00597239">
            <w:pPr>
              <w:spacing w:line="380"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pl-PL"/>
              </w:rPr>
            </w:pPr>
            <w:r w:rsidRPr="00FF50CD">
              <w:rPr>
                <w:rFonts w:ascii="Calibri" w:eastAsia="Times New Roman" w:hAnsi="Calibri" w:cs="Calibri"/>
                <w:sz w:val="24"/>
                <w:szCs w:val="24"/>
                <w:lang w:eastAsia="pl-PL"/>
              </w:rPr>
              <w:t>127</w:t>
            </w:r>
          </w:p>
        </w:tc>
      </w:tr>
    </w:tbl>
    <w:p w14:paraId="3C8E1DB3" w14:textId="77777777" w:rsidR="00953978" w:rsidRPr="00D52234" w:rsidRDefault="00953978" w:rsidP="00597239">
      <w:pPr>
        <w:spacing w:after="0" w:line="23" w:lineRule="atLeast"/>
        <w:rPr>
          <w:rFonts w:ascii="Calibri" w:eastAsia="Times New Roman" w:hAnsi="Calibri" w:cs="Calibri"/>
          <w:color w:val="FF0000"/>
          <w:sz w:val="24"/>
          <w:szCs w:val="24"/>
          <w:lang w:eastAsia="pl-PL"/>
        </w:rPr>
      </w:pPr>
    </w:p>
    <w:p w14:paraId="3316326C" w14:textId="77777777" w:rsidR="00953978" w:rsidRPr="00D52234" w:rsidRDefault="00953978" w:rsidP="00597239">
      <w:pPr>
        <w:spacing w:after="0" w:line="276" w:lineRule="auto"/>
        <w:rPr>
          <w:rFonts w:ascii="Calibri" w:eastAsia="Times New Roman" w:hAnsi="Calibri" w:cs="Calibri"/>
          <w:color w:val="FF0000"/>
          <w:sz w:val="24"/>
          <w:szCs w:val="24"/>
          <w:lang w:eastAsia="pl-PL"/>
        </w:rPr>
      </w:pPr>
    </w:p>
    <w:p w14:paraId="75991D44" w14:textId="77777777" w:rsidR="00953978" w:rsidRPr="00D52234" w:rsidRDefault="00953978" w:rsidP="00597239">
      <w:pPr>
        <w:spacing w:after="0" w:line="276" w:lineRule="auto"/>
        <w:rPr>
          <w:rFonts w:ascii="Calibri" w:eastAsia="Times New Roman" w:hAnsi="Calibri" w:cs="Calibri"/>
          <w:sz w:val="24"/>
          <w:szCs w:val="24"/>
          <w:lang w:eastAsia="pl-PL"/>
        </w:rPr>
      </w:pPr>
      <w:r w:rsidRPr="00D52234">
        <w:rPr>
          <w:rFonts w:ascii="Calibri" w:eastAsia="Times New Roman" w:hAnsi="Calibri" w:cs="Calibri"/>
          <w:sz w:val="24"/>
          <w:szCs w:val="24"/>
          <w:lang w:eastAsia="pl-PL"/>
        </w:rPr>
        <w:t xml:space="preserve">Niezmiernie istotnym elementem dla prowadzonego postępowania diagnostycznego jest zapewnienie nowoczesnej aparatury rentgenowskiej. Wyeksploatowana aparatura utrudnia, a niekiedy wręcz uniemożliwia postawienie właściwej diagnozy medycznej i może </w:t>
      </w:r>
      <w:r w:rsidRPr="00D52234">
        <w:rPr>
          <w:rFonts w:ascii="Calibri" w:eastAsia="Times New Roman" w:hAnsi="Calibri" w:cs="Calibri"/>
          <w:sz w:val="24"/>
          <w:szCs w:val="24"/>
          <w:lang w:eastAsia="pl-PL"/>
        </w:rPr>
        <w:lastRenderedPageBreak/>
        <w:t xml:space="preserve">powodować otrzymywanie zwiększonych dawek promieniowania, dlatego też jednym z zadań Państwowej Inspekcji Sanitarnej jest ocena jakości aparatury </w:t>
      </w:r>
      <w:proofErr w:type="spellStart"/>
      <w:r w:rsidRPr="00D52234">
        <w:rPr>
          <w:rFonts w:ascii="Calibri" w:eastAsia="Times New Roman" w:hAnsi="Calibri" w:cs="Calibri"/>
          <w:sz w:val="24"/>
          <w:szCs w:val="24"/>
          <w:lang w:eastAsia="pl-PL"/>
        </w:rPr>
        <w:t>rtg</w:t>
      </w:r>
      <w:proofErr w:type="spellEnd"/>
      <w:r w:rsidRPr="00D52234">
        <w:rPr>
          <w:rFonts w:ascii="Calibri" w:eastAsia="Times New Roman" w:hAnsi="Calibri" w:cs="Calibri"/>
          <w:sz w:val="24"/>
          <w:szCs w:val="24"/>
          <w:lang w:eastAsia="pl-PL"/>
        </w:rPr>
        <w:t xml:space="preserve"> w kontekście ochrony pacjenta. </w:t>
      </w:r>
    </w:p>
    <w:p w14:paraId="0E04B736" w14:textId="77777777" w:rsidR="00953978" w:rsidRPr="00D52234" w:rsidRDefault="00953978" w:rsidP="00597239">
      <w:pPr>
        <w:spacing w:after="0" w:line="276" w:lineRule="auto"/>
        <w:rPr>
          <w:rFonts w:ascii="Calibri" w:eastAsia="Times New Roman" w:hAnsi="Calibri" w:cs="Calibri"/>
          <w:color w:val="FF0000"/>
          <w:sz w:val="24"/>
          <w:szCs w:val="24"/>
          <w:lang w:eastAsia="pl-PL"/>
        </w:rPr>
      </w:pPr>
      <w:r w:rsidRPr="00D52234">
        <w:rPr>
          <w:rFonts w:ascii="Calibri" w:eastAsia="Times New Roman" w:hAnsi="Calibri" w:cs="Calibri"/>
          <w:sz w:val="24"/>
          <w:szCs w:val="24"/>
          <w:lang w:eastAsia="pl-PL"/>
        </w:rPr>
        <w:t>W 2024 roku przeprowadzono 186 kontroli w zakresie higieny radia</w:t>
      </w:r>
      <w:r w:rsidRPr="002800C6">
        <w:rPr>
          <w:rFonts w:ascii="Calibri" w:eastAsia="Times New Roman" w:hAnsi="Calibri" w:cs="Calibri"/>
          <w:sz w:val="24"/>
          <w:szCs w:val="24"/>
          <w:lang w:eastAsia="pl-PL"/>
        </w:rPr>
        <w:t xml:space="preserve">cyjnej. W </w:t>
      </w:r>
      <w:r>
        <w:rPr>
          <w:rFonts w:ascii="Calibri" w:eastAsia="Times New Roman" w:hAnsi="Calibri" w:cs="Calibri"/>
          <w:sz w:val="24"/>
          <w:szCs w:val="24"/>
          <w:lang w:eastAsia="pl-PL"/>
        </w:rPr>
        <w:t>53</w:t>
      </w:r>
      <w:r w:rsidRPr="002800C6">
        <w:rPr>
          <w:rFonts w:ascii="Calibri" w:eastAsia="Times New Roman" w:hAnsi="Calibri" w:cs="Calibri"/>
          <w:sz w:val="24"/>
          <w:szCs w:val="24"/>
          <w:lang w:eastAsia="pl-PL"/>
        </w:rPr>
        <w:t xml:space="preserve"> podmiotach stwierdzono nieprawidłowości dotyczące m.in.:</w:t>
      </w:r>
    </w:p>
    <w:p w14:paraId="65F54FAF" w14:textId="77777777" w:rsidR="00953978" w:rsidRPr="00291912" w:rsidRDefault="00953978" w:rsidP="00597239">
      <w:pPr>
        <w:pStyle w:val="Akapitzlist"/>
        <w:numPr>
          <w:ilvl w:val="0"/>
          <w:numId w:val="56"/>
        </w:numPr>
        <w:spacing w:after="0" w:line="276" w:lineRule="auto"/>
        <w:rPr>
          <w:rFonts w:ascii="Calibri" w:eastAsia="Times New Roman" w:hAnsi="Calibri" w:cs="Calibri"/>
          <w:sz w:val="24"/>
          <w:szCs w:val="24"/>
          <w:lang w:eastAsia="pl-PL"/>
        </w:rPr>
      </w:pPr>
      <w:r w:rsidRPr="00291912">
        <w:rPr>
          <w:rFonts w:ascii="Calibri" w:eastAsia="Times New Roman" w:hAnsi="Calibri" w:cs="Calibri"/>
          <w:sz w:val="24"/>
          <w:szCs w:val="24"/>
          <w:lang w:eastAsia="pl-PL"/>
        </w:rPr>
        <w:t>braku dokumentów potwierdzających, że osoby pracujące w narażeniu na działanie promieniowania jonizującego były objęte pomiarami dawek indywidualnych lub pomiarami dozymetrycznymi w środowisku pracy oraz braku ewidencjonowania tych pomiarów,</w:t>
      </w:r>
    </w:p>
    <w:p w14:paraId="0EFEC7D7" w14:textId="77777777" w:rsidR="00953978" w:rsidRPr="002800C6" w:rsidRDefault="00953978" w:rsidP="00597239">
      <w:pPr>
        <w:pStyle w:val="Akapitzlist"/>
        <w:numPr>
          <w:ilvl w:val="0"/>
          <w:numId w:val="56"/>
        </w:numPr>
        <w:spacing w:after="0" w:line="276" w:lineRule="auto"/>
        <w:rPr>
          <w:rFonts w:ascii="Calibri" w:eastAsia="Times New Roman" w:hAnsi="Calibri" w:cs="Calibri"/>
          <w:sz w:val="24"/>
          <w:szCs w:val="24"/>
          <w:lang w:eastAsia="pl-PL"/>
        </w:rPr>
      </w:pPr>
      <w:r w:rsidRPr="002800C6">
        <w:rPr>
          <w:rFonts w:ascii="Calibri" w:eastAsia="Times New Roman" w:hAnsi="Calibri" w:cs="Calibri"/>
          <w:sz w:val="24"/>
          <w:szCs w:val="24"/>
          <w:lang w:eastAsia="pl-PL"/>
        </w:rPr>
        <w:t xml:space="preserve">braku wykonywania z właściwą częstotliwością testów podstawowych oraz testów specjalistycznych aparatury rentgenowskiej,  </w:t>
      </w:r>
    </w:p>
    <w:p w14:paraId="5F453FB9" w14:textId="77777777" w:rsidR="00953978" w:rsidRDefault="00953978" w:rsidP="00597239">
      <w:pPr>
        <w:pStyle w:val="Akapitzlist"/>
        <w:numPr>
          <w:ilvl w:val="0"/>
          <w:numId w:val="56"/>
        </w:numPr>
        <w:spacing w:after="0" w:line="276" w:lineRule="auto"/>
        <w:rPr>
          <w:rFonts w:ascii="Calibri" w:eastAsia="Times New Roman" w:hAnsi="Calibri" w:cs="Calibri"/>
          <w:sz w:val="24"/>
          <w:szCs w:val="24"/>
          <w:lang w:eastAsia="pl-PL"/>
        </w:rPr>
      </w:pPr>
      <w:r w:rsidRPr="002800C6">
        <w:rPr>
          <w:rFonts w:ascii="Calibri" w:eastAsia="Times New Roman" w:hAnsi="Calibri" w:cs="Calibri"/>
          <w:sz w:val="24"/>
          <w:szCs w:val="24"/>
          <w:lang w:eastAsia="pl-PL"/>
        </w:rPr>
        <w:t>braku posiadania dokumentów dotyczących przeprowadzania audytów wewnętrznych</w:t>
      </w:r>
      <w:r>
        <w:rPr>
          <w:rFonts w:ascii="Calibri" w:eastAsia="Times New Roman" w:hAnsi="Calibri" w:cs="Calibri"/>
          <w:sz w:val="24"/>
          <w:szCs w:val="24"/>
          <w:lang w:eastAsia="pl-PL"/>
        </w:rPr>
        <w:t>.</w:t>
      </w:r>
    </w:p>
    <w:p w14:paraId="6D96D5A1" w14:textId="77777777" w:rsidR="00F36FBD" w:rsidRPr="00F36FBD" w:rsidRDefault="00F36FBD" w:rsidP="00597239">
      <w:pPr>
        <w:spacing w:after="0" w:line="276" w:lineRule="auto"/>
        <w:rPr>
          <w:rFonts w:ascii="Calibri" w:eastAsia="Times New Roman" w:hAnsi="Calibri" w:cs="Calibri"/>
          <w:sz w:val="24"/>
          <w:szCs w:val="24"/>
          <w:lang w:eastAsia="pl-PL"/>
        </w:rPr>
      </w:pPr>
    </w:p>
    <w:p w14:paraId="7EAA7405" w14:textId="77777777" w:rsidR="00953978" w:rsidRDefault="00953978" w:rsidP="00597239">
      <w:pPr>
        <w:spacing w:after="0" w:line="276" w:lineRule="auto"/>
        <w:rPr>
          <w:rFonts w:ascii="Calibri" w:eastAsia="Times New Roman" w:hAnsi="Calibri" w:cs="Calibri"/>
          <w:sz w:val="24"/>
          <w:szCs w:val="24"/>
          <w:lang w:eastAsia="pl-PL"/>
        </w:rPr>
      </w:pPr>
      <w:r w:rsidRPr="00D52234">
        <w:rPr>
          <w:rFonts w:ascii="Calibri" w:eastAsia="Times New Roman" w:hAnsi="Calibri" w:cs="Calibri"/>
          <w:sz w:val="24"/>
          <w:szCs w:val="24"/>
          <w:lang w:eastAsia="pl-PL"/>
        </w:rPr>
        <w:t>W związku ze stwierdzonymi nieprawidłowościami wydano 30 decyzji administracyjnych.</w:t>
      </w:r>
    </w:p>
    <w:p w14:paraId="36D26F9E" w14:textId="77777777" w:rsidR="00F36FBD" w:rsidRPr="00D52234" w:rsidRDefault="00F36FBD" w:rsidP="00597239">
      <w:pPr>
        <w:spacing w:after="0" w:line="276" w:lineRule="auto"/>
        <w:rPr>
          <w:rFonts w:ascii="Calibri" w:eastAsia="Times New Roman" w:hAnsi="Calibri" w:cs="Calibri"/>
          <w:color w:val="FF0000"/>
          <w:sz w:val="24"/>
          <w:szCs w:val="24"/>
          <w:lang w:eastAsia="pl-PL"/>
        </w:rPr>
      </w:pPr>
    </w:p>
    <w:p w14:paraId="6C31DF85" w14:textId="77777777" w:rsidR="00953978" w:rsidRPr="00D52234" w:rsidRDefault="00953978" w:rsidP="00597239">
      <w:pPr>
        <w:spacing w:after="0" w:line="276" w:lineRule="auto"/>
        <w:rPr>
          <w:rFonts w:ascii="Calibri" w:eastAsia="Times New Roman" w:hAnsi="Calibri" w:cs="Calibri"/>
          <w:sz w:val="24"/>
          <w:szCs w:val="24"/>
          <w:lang w:eastAsia="pl-PL"/>
        </w:rPr>
      </w:pPr>
      <w:r w:rsidRPr="00D52234">
        <w:rPr>
          <w:rFonts w:ascii="Calibri" w:eastAsia="Times New Roman" w:hAnsi="Calibri" w:cs="Calibri"/>
          <w:sz w:val="24"/>
          <w:szCs w:val="24"/>
          <w:lang w:eastAsia="pl-PL"/>
        </w:rPr>
        <w:t xml:space="preserve">W 2024 roku wydano 558 decyzje, w tym: </w:t>
      </w:r>
    </w:p>
    <w:p w14:paraId="5058ED52" w14:textId="77777777" w:rsidR="00953978" w:rsidRPr="00D52234" w:rsidRDefault="00953978" w:rsidP="00597239">
      <w:pPr>
        <w:numPr>
          <w:ilvl w:val="0"/>
          <w:numId w:val="16"/>
        </w:numPr>
        <w:spacing w:after="0" w:line="276" w:lineRule="auto"/>
        <w:rPr>
          <w:rFonts w:ascii="Calibri" w:eastAsia="HG Mincho Light J" w:hAnsi="Calibri" w:cs="Calibri"/>
          <w:sz w:val="24"/>
          <w:szCs w:val="24"/>
          <w:lang w:eastAsia="ar-SA"/>
        </w:rPr>
      </w:pPr>
      <w:r w:rsidRPr="00D52234">
        <w:rPr>
          <w:rFonts w:ascii="Calibri" w:eastAsia="Times New Roman" w:hAnsi="Calibri" w:cs="Calibri"/>
          <w:sz w:val="24"/>
          <w:szCs w:val="24"/>
          <w:lang w:eastAsia="pl-PL"/>
        </w:rPr>
        <w:t xml:space="preserve">127 decyzji zezwalających na uruchamianie i stosowanie aparatów </w:t>
      </w:r>
      <w:proofErr w:type="spellStart"/>
      <w:r w:rsidRPr="00D52234">
        <w:rPr>
          <w:rFonts w:ascii="Calibri" w:eastAsia="Times New Roman" w:hAnsi="Calibri" w:cs="Calibri"/>
          <w:sz w:val="24"/>
          <w:szCs w:val="24"/>
          <w:lang w:eastAsia="pl-PL"/>
        </w:rPr>
        <w:t>rtg</w:t>
      </w:r>
      <w:proofErr w:type="spellEnd"/>
      <w:r w:rsidRPr="00D52234">
        <w:rPr>
          <w:rFonts w:ascii="Calibri" w:eastAsia="Times New Roman" w:hAnsi="Calibri" w:cs="Calibri"/>
          <w:sz w:val="24"/>
          <w:szCs w:val="24"/>
          <w:lang w:eastAsia="pl-PL"/>
        </w:rPr>
        <w:t>,</w:t>
      </w:r>
    </w:p>
    <w:p w14:paraId="7E95544D" w14:textId="77777777" w:rsidR="00953978" w:rsidRPr="00D52234" w:rsidRDefault="00953978" w:rsidP="00597239">
      <w:pPr>
        <w:numPr>
          <w:ilvl w:val="0"/>
          <w:numId w:val="16"/>
        </w:numPr>
        <w:spacing w:after="0" w:line="276" w:lineRule="auto"/>
        <w:rPr>
          <w:rFonts w:ascii="Calibri" w:eastAsia="HG Mincho Light J" w:hAnsi="Calibri" w:cs="Calibri"/>
          <w:sz w:val="24"/>
          <w:szCs w:val="24"/>
          <w:lang w:eastAsia="ar-SA"/>
        </w:rPr>
      </w:pPr>
      <w:r w:rsidRPr="00D52234">
        <w:rPr>
          <w:rFonts w:ascii="Calibri" w:eastAsia="Times New Roman" w:hAnsi="Calibri" w:cs="Calibri"/>
          <w:sz w:val="24"/>
          <w:szCs w:val="24"/>
          <w:lang w:eastAsia="pl-PL"/>
        </w:rPr>
        <w:t>73 decyzje zezwalające na uruchamianie medycznych pracowni rentgenowskich,</w:t>
      </w:r>
    </w:p>
    <w:p w14:paraId="41D0154B" w14:textId="77777777" w:rsidR="00953978" w:rsidRPr="00D52234" w:rsidRDefault="00953978" w:rsidP="00597239">
      <w:pPr>
        <w:numPr>
          <w:ilvl w:val="0"/>
          <w:numId w:val="16"/>
        </w:numPr>
        <w:spacing w:after="0" w:line="276" w:lineRule="auto"/>
        <w:rPr>
          <w:rFonts w:ascii="Calibri" w:eastAsia="HG Mincho Light J" w:hAnsi="Calibri" w:cs="Calibri"/>
          <w:sz w:val="24"/>
          <w:szCs w:val="24"/>
          <w:lang w:eastAsia="ar-SA"/>
        </w:rPr>
      </w:pPr>
      <w:r w:rsidRPr="00D52234">
        <w:rPr>
          <w:rFonts w:ascii="Calibri" w:eastAsia="Times New Roman" w:hAnsi="Calibri" w:cs="Calibri"/>
          <w:sz w:val="24"/>
          <w:szCs w:val="24"/>
          <w:lang w:eastAsia="pl-PL"/>
        </w:rPr>
        <w:t xml:space="preserve">50 decyzji - zgody </w:t>
      </w:r>
      <w:bookmarkStart w:id="390" w:name="_Hlk98162758"/>
      <w:r w:rsidRPr="00D52234">
        <w:rPr>
          <w:rFonts w:ascii="Calibri" w:eastAsia="HG Mincho Light J" w:hAnsi="Calibri" w:cs="Calibri"/>
          <w:sz w:val="24"/>
          <w:szCs w:val="24"/>
          <w:lang w:eastAsia="ar-SA"/>
        </w:rPr>
        <w:t>na prowadzenie działalności związanej z narażeniem w celach medycznych,</w:t>
      </w:r>
    </w:p>
    <w:bookmarkEnd w:id="390"/>
    <w:p w14:paraId="66CDB9E2" w14:textId="77777777" w:rsidR="00953978" w:rsidRPr="00D52234" w:rsidRDefault="00953978" w:rsidP="00597239">
      <w:pPr>
        <w:numPr>
          <w:ilvl w:val="0"/>
          <w:numId w:val="16"/>
        </w:numPr>
        <w:spacing w:after="0" w:line="276" w:lineRule="auto"/>
        <w:rPr>
          <w:rFonts w:ascii="Calibri" w:eastAsia="HG Mincho Light J" w:hAnsi="Calibri" w:cs="Calibri"/>
          <w:color w:val="FF0000"/>
          <w:sz w:val="24"/>
          <w:szCs w:val="24"/>
          <w:lang w:eastAsia="ar-SA"/>
        </w:rPr>
      </w:pPr>
      <w:r w:rsidRPr="00D52234">
        <w:rPr>
          <w:rFonts w:ascii="Calibri" w:eastAsia="Times New Roman" w:hAnsi="Calibri" w:cs="Calibri"/>
          <w:sz w:val="24"/>
          <w:szCs w:val="24"/>
          <w:lang w:eastAsia="pl-PL"/>
        </w:rPr>
        <w:t xml:space="preserve">67 decyzji wygaszających decyzje </w:t>
      </w:r>
      <w:r w:rsidRPr="009F0DBC">
        <w:rPr>
          <w:rFonts w:ascii="Calibri" w:eastAsia="Times New Roman" w:hAnsi="Calibri" w:cs="Calibri"/>
          <w:sz w:val="24"/>
          <w:szCs w:val="24"/>
          <w:lang w:eastAsia="pl-PL"/>
        </w:rPr>
        <w:t xml:space="preserve">- </w:t>
      </w:r>
      <w:r w:rsidRPr="00D52234">
        <w:rPr>
          <w:rFonts w:ascii="Calibri" w:eastAsia="Times New Roman" w:hAnsi="Calibri" w:cs="Calibri"/>
          <w:sz w:val="24"/>
          <w:szCs w:val="24"/>
          <w:lang w:eastAsia="pl-PL"/>
        </w:rPr>
        <w:t xml:space="preserve">zezwalające na uruchamianie i stosowanie aparatów </w:t>
      </w:r>
      <w:proofErr w:type="spellStart"/>
      <w:r w:rsidRPr="00D52234">
        <w:rPr>
          <w:rFonts w:ascii="Calibri" w:eastAsia="Times New Roman" w:hAnsi="Calibri" w:cs="Calibri"/>
          <w:sz w:val="24"/>
          <w:szCs w:val="24"/>
          <w:lang w:eastAsia="pl-PL"/>
        </w:rPr>
        <w:t>rtg</w:t>
      </w:r>
      <w:proofErr w:type="spellEnd"/>
      <w:r w:rsidRPr="00D52234">
        <w:rPr>
          <w:rFonts w:ascii="Calibri" w:eastAsia="Times New Roman" w:hAnsi="Calibri" w:cs="Calibri"/>
          <w:sz w:val="24"/>
          <w:szCs w:val="24"/>
          <w:lang w:eastAsia="pl-PL"/>
        </w:rPr>
        <w:t xml:space="preserve">, uruchamianie pracowni </w:t>
      </w:r>
      <w:proofErr w:type="spellStart"/>
      <w:r w:rsidRPr="00D52234">
        <w:rPr>
          <w:rFonts w:ascii="Calibri" w:eastAsia="Times New Roman" w:hAnsi="Calibri" w:cs="Calibri"/>
          <w:sz w:val="24"/>
          <w:szCs w:val="24"/>
          <w:lang w:eastAsia="pl-PL"/>
        </w:rPr>
        <w:t>rtg</w:t>
      </w:r>
      <w:proofErr w:type="spellEnd"/>
      <w:r w:rsidRPr="00D52234">
        <w:rPr>
          <w:rFonts w:ascii="Calibri" w:eastAsia="Times New Roman" w:hAnsi="Calibri" w:cs="Calibri"/>
          <w:sz w:val="24"/>
          <w:szCs w:val="24"/>
          <w:lang w:eastAsia="pl-PL"/>
        </w:rPr>
        <w:t xml:space="preserve"> oraz zgody na </w:t>
      </w:r>
      <w:r w:rsidRPr="00D52234">
        <w:rPr>
          <w:rFonts w:ascii="Calibri" w:eastAsia="HG Mincho Light J" w:hAnsi="Calibri" w:cs="Calibri"/>
          <w:sz w:val="24"/>
          <w:szCs w:val="24"/>
          <w:lang w:eastAsia="ar-SA"/>
        </w:rPr>
        <w:t>prowadzenie działalności związanej z narażeniem w celach medycznych,</w:t>
      </w:r>
    </w:p>
    <w:p w14:paraId="7D60F28F" w14:textId="77777777" w:rsidR="00953978" w:rsidRPr="00D52234" w:rsidRDefault="00953978" w:rsidP="00597239">
      <w:pPr>
        <w:numPr>
          <w:ilvl w:val="0"/>
          <w:numId w:val="16"/>
        </w:numPr>
        <w:spacing w:after="0" w:line="276" w:lineRule="auto"/>
        <w:rPr>
          <w:rFonts w:ascii="Calibri" w:eastAsia="HG Mincho Light J" w:hAnsi="Calibri" w:cs="Calibri"/>
          <w:color w:val="FF0000"/>
          <w:sz w:val="24"/>
          <w:szCs w:val="24"/>
          <w:lang w:eastAsia="ar-SA"/>
        </w:rPr>
      </w:pPr>
      <w:r w:rsidRPr="00D52234">
        <w:rPr>
          <w:rFonts w:ascii="Calibri" w:eastAsia="Times New Roman" w:hAnsi="Calibri" w:cs="Calibri"/>
          <w:sz w:val="24"/>
          <w:szCs w:val="24"/>
          <w:lang w:eastAsia="pl-PL"/>
        </w:rPr>
        <w:t>30 decyzji nakazujących usunięcie stwierdzonych nieprawidłowości,</w:t>
      </w:r>
    </w:p>
    <w:p w14:paraId="0B464187" w14:textId="77777777" w:rsidR="00953978" w:rsidRPr="00D52234" w:rsidRDefault="00953978" w:rsidP="00597239">
      <w:pPr>
        <w:numPr>
          <w:ilvl w:val="0"/>
          <w:numId w:val="16"/>
        </w:numPr>
        <w:spacing w:after="0" w:line="276" w:lineRule="auto"/>
        <w:rPr>
          <w:rFonts w:ascii="Calibri" w:eastAsia="HG Mincho Light J" w:hAnsi="Calibri" w:cs="Calibri"/>
          <w:color w:val="FF0000"/>
          <w:sz w:val="24"/>
          <w:szCs w:val="24"/>
          <w:lang w:eastAsia="ar-SA"/>
        </w:rPr>
      </w:pPr>
      <w:r w:rsidRPr="00D52234">
        <w:rPr>
          <w:rFonts w:ascii="Calibri" w:eastAsia="HG Mincho Light J" w:hAnsi="Calibri" w:cs="Calibri"/>
          <w:sz w:val="24"/>
          <w:szCs w:val="24"/>
          <w:lang w:eastAsia="ar-SA"/>
        </w:rPr>
        <w:t xml:space="preserve">2 decyzje kary za uruchamianie i stosowanie aparatu </w:t>
      </w:r>
      <w:proofErr w:type="spellStart"/>
      <w:r w:rsidRPr="00D52234">
        <w:rPr>
          <w:rFonts w:ascii="Calibri" w:eastAsia="HG Mincho Light J" w:hAnsi="Calibri" w:cs="Calibri"/>
          <w:sz w:val="24"/>
          <w:szCs w:val="24"/>
          <w:lang w:eastAsia="ar-SA"/>
        </w:rPr>
        <w:t>rtg</w:t>
      </w:r>
      <w:proofErr w:type="spellEnd"/>
      <w:r w:rsidRPr="00D52234">
        <w:rPr>
          <w:rFonts w:ascii="Calibri" w:eastAsia="HG Mincho Light J" w:hAnsi="Calibri" w:cs="Calibri"/>
          <w:sz w:val="24"/>
          <w:szCs w:val="24"/>
          <w:lang w:eastAsia="ar-SA"/>
        </w:rPr>
        <w:t xml:space="preserve"> bez zezwolenia oraz uruchamianie medycznej pracowni bez zezwolenia.</w:t>
      </w:r>
    </w:p>
    <w:p w14:paraId="214C88F9" w14:textId="77777777" w:rsidR="00953978" w:rsidRPr="00D52234" w:rsidRDefault="00953978" w:rsidP="00597239">
      <w:pPr>
        <w:spacing w:after="0" w:line="276" w:lineRule="auto"/>
        <w:rPr>
          <w:rFonts w:ascii="Calibri" w:eastAsia="Calibri" w:hAnsi="Calibri" w:cs="Calibri"/>
          <w:color w:val="FF0000"/>
          <w:sz w:val="24"/>
          <w:szCs w:val="24"/>
        </w:rPr>
      </w:pPr>
    </w:p>
    <w:p w14:paraId="102F8363" w14:textId="77777777" w:rsidR="00953978" w:rsidRPr="00D52234" w:rsidRDefault="00953978" w:rsidP="00597239">
      <w:pPr>
        <w:spacing w:after="0" w:line="276" w:lineRule="auto"/>
        <w:rPr>
          <w:rFonts w:ascii="Calibri" w:eastAsia="Calibri" w:hAnsi="Calibri" w:cs="Calibri"/>
          <w:sz w:val="24"/>
          <w:szCs w:val="24"/>
        </w:rPr>
      </w:pPr>
      <w:r w:rsidRPr="00D52234">
        <w:rPr>
          <w:rFonts w:ascii="Calibri" w:eastAsia="Calibri" w:hAnsi="Calibri" w:cs="Calibri"/>
          <w:sz w:val="24"/>
          <w:szCs w:val="24"/>
        </w:rPr>
        <w:t xml:space="preserve">W celu sprawdzenia stanu użytkowanej aparatury radiologicznej do celów diagnostyki medycznej, Laboratorium Badań Środowiskowych i Radiacyjnych </w:t>
      </w:r>
      <w:r>
        <w:rPr>
          <w:rFonts w:ascii="Calibri" w:eastAsia="Calibri" w:hAnsi="Calibri" w:cs="Calibri"/>
          <w:sz w:val="24"/>
          <w:szCs w:val="24"/>
        </w:rPr>
        <w:t>WSSE w Szczecinie wykonuje</w:t>
      </w:r>
      <w:r w:rsidRPr="00D52234">
        <w:rPr>
          <w:rFonts w:ascii="Calibri" w:eastAsia="Calibri" w:hAnsi="Calibri" w:cs="Calibri"/>
          <w:sz w:val="24"/>
          <w:szCs w:val="24"/>
        </w:rPr>
        <w:t>:</w:t>
      </w:r>
    </w:p>
    <w:p w14:paraId="09D03905" w14:textId="77777777" w:rsidR="00953978" w:rsidRPr="00D52234" w:rsidRDefault="00953978" w:rsidP="00597239">
      <w:pPr>
        <w:numPr>
          <w:ilvl w:val="0"/>
          <w:numId w:val="17"/>
        </w:numPr>
        <w:spacing w:after="0" w:line="276" w:lineRule="auto"/>
        <w:rPr>
          <w:rFonts w:ascii="Calibri" w:eastAsia="Calibri" w:hAnsi="Calibri" w:cs="Calibri"/>
          <w:sz w:val="24"/>
          <w:szCs w:val="24"/>
        </w:rPr>
      </w:pPr>
      <w:r w:rsidRPr="00D52234">
        <w:rPr>
          <w:rFonts w:ascii="Calibri" w:eastAsia="Calibri" w:hAnsi="Calibri" w:cs="Calibri"/>
          <w:sz w:val="24"/>
          <w:szCs w:val="24"/>
        </w:rPr>
        <w:t xml:space="preserve">specjalistyczne testy kontroli fizycznych parametrów przy aparatach rentgenowskich stomatologicznych </w:t>
      </w:r>
      <w:proofErr w:type="spellStart"/>
      <w:r w:rsidRPr="00D52234">
        <w:rPr>
          <w:rFonts w:ascii="Calibri" w:eastAsia="Calibri" w:hAnsi="Calibri" w:cs="Calibri"/>
          <w:sz w:val="24"/>
          <w:szCs w:val="24"/>
        </w:rPr>
        <w:t>wewnątrzustnych</w:t>
      </w:r>
      <w:proofErr w:type="spellEnd"/>
      <w:r w:rsidRPr="00D52234">
        <w:rPr>
          <w:rFonts w:ascii="Calibri" w:eastAsia="Calibri" w:hAnsi="Calibri" w:cs="Calibri"/>
          <w:sz w:val="24"/>
          <w:szCs w:val="24"/>
        </w:rPr>
        <w:t xml:space="preserve">, </w:t>
      </w:r>
    </w:p>
    <w:p w14:paraId="1428364F" w14:textId="77777777" w:rsidR="00953978" w:rsidRPr="00D52234" w:rsidRDefault="00953978" w:rsidP="00597239">
      <w:pPr>
        <w:numPr>
          <w:ilvl w:val="0"/>
          <w:numId w:val="17"/>
        </w:numPr>
        <w:spacing w:after="0" w:line="276" w:lineRule="auto"/>
        <w:rPr>
          <w:rFonts w:ascii="Calibri" w:eastAsia="Calibri" w:hAnsi="Calibri" w:cs="Calibri"/>
          <w:sz w:val="24"/>
          <w:szCs w:val="24"/>
        </w:rPr>
      </w:pPr>
      <w:r w:rsidRPr="00D52234">
        <w:rPr>
          <w:rFonts w:ascii="Calibri" w:eastAsia="Calibri" w:hAnsi="Calibri" w:cs="Calibri"/>
          <w:sz w:val="24"/>
          <w:szCs w:val="24"/>
        </w:rPr>
        <w:t>specjalistyczne testy kontroli fizycznych parametrów przy aparatach rentgenowskich do zdjęć cyfrowych,</w:t>
      </w:r>
    </w:p>
    <w:p w14:paraId="65B81EBB" w14:textId="3CF4C17B" w:rsidR="00953978" w:rsidRDefault="00953978" w:rsidP="00597239">
      <w:pPr>
        <w:numPr>
          <w:ilvl w:val="0"/>
          <w:numId w:val="17"/>
        </w:numPr>
        <w:spacing w:after="0" w:line="276" w:lineRule="auto"/>
        <w:rPr>
          <w:rFonts w:ascii="Calibri" w:eastAsia="Calibri" w:hAnsi="Calibri" w:cs="Calibri"/>
          <w:sz w:val="24"/>
          <w:szCs w:val="24"/>
        </w:rPr>
      </w:pPr>
      <w:r w:rsidRPr="00D52234">
        <w:rPr>
          <w:rFonts w:ascii="Calibri" w:eastAsia="Calibri" w:hAnsi="Calibri" w:cs="Calibri"/>
          <w:sz w:val="24"/>
          <w:szCs w:val="24"/>
        </w:rPr>
        <w:t>specjalistyczne testy kontroli fizycznych parametrów przy monitorach służących do</w:t>
      </w:r>
      <w:r w:rsidR="002E1F9D">
        <w:rPr>
          <w:rFonts w:ascii="Calibri" w:eastAsia="Calibri" w:hAnsi="Calibri" w:cs="Calibri"/>
          <w:sz w:val="24"/>
          <w:szCs w:val="24"/>
        </w:rPr>
        <w:t> </w:t>
      </w:r>
      <w:r w:rsidRPr="00D52234">
        <w:rPr>
          <w:rFonts w:ascii="Calibri" w:eastAsia="Calibri" w:hAnsi="Calibri" w:cs="Calibri"/>
          <w:sz w:val="24"/>
          <w:szCs w:val="24"/>
        </w:rPr>
        <w:t xml:space="preserve">oceny obrazów medycznych oraz sprzęcie pomocniczym. </w:t>
      </w:r>
    </w:p>
    <w:p w14:paraId="5DB762F5" w14:textId="77777777" w:rsidR="00F36FBD" w:rsidRPr="00D52234" w:rsidRDefault="00F36FBD" w:rsidP="00597239">
      <w:pPr>
        <w:spacing w:after="0" w:line="276" w:lineRule="auto"/>
        <w:ind w:left="360"/>
        <w:rPr>
          <w:rFonts w:ascii="Calibri" w:eastAsia="Calibri" w:hAnsi="Calibri" w:cs="Calibri"/>
          <w:sz w:val="24"/>
          <w:szCs w:val="24"/>
        </w:rPr>
      </w:pPr>
    </w:p>
    <w:p w14:paraId="637FE850" w14:textId="77777777" w:rsidR="00953978" w:rsidRDefault="00953978" w:rsidP="00597239">
      <w:pPr>
        <w:spacing w:after="0" w:line="276" w:lineRule="auto"/>
        <w:rPr>
          <w:rFonts w:ascii="Calibri" w:eastAsia="Calibri" w:hAnsi="Calibri" w:cs="Calibri"/>
          <w:sz w:val="24"/>
          <w:szCs w:val="24"/>
        </w:rPr>
      </w:pPr>
      <w:r w:rsidRPr="00D52234">
        <w:rPr>
          <w:rFonts w:ascii="Calibri" w:eastAsia="Calibri" w:hAnsi="Calibri" w:cs="Calibri"/>
          <w:sz w:val="24"/>
          <w:szCs w:val="24"/>
        </w:rPr>
        <w:t>W 2024 roku wykonano w ramach nadzoru testy specjalistyczne przy 46 aparatach rentgenowskich</w:t>
      </w:r>
      <w:r>
        <w:rPr>
          <w:rFonts w:ascii="Calibri" w:eastAsia="Calibri" w:hAnsi="Calibri" w:cs="Calibri"/>
          <w:sz w:val="24"/>
          <w:szCs w:val="24"/>
        </w:rPr>
        <w:t xml:space="preserve"> oraz </w:t>
      </w:r>
      <w:r w:rsidRPr="00D52234">
        <w:rPr>
          <w:rFonts w:ascii="Calibri" w:eastAsia="Calibri" w:hAnsi="Calibri" w:cs="Calibri"/>
          <w:sz w:val="24"/>
          <w:szCs w:val="24"/>
        </w:rPr>
        <w:t xml:space="preserve">8 monitorach przeznaczonych do oceny zdjęć </w:t>
      </w:r>
      <w:proofErr w:type="spellStart"/>
      <w:r w:rsidRPr="00D52234">
        <w:rPr>
          <w:rFonts w:ascii="Calibri" w:eastAsia="Calibri" w:hAnsi="Calibri" w:cs="Calibri"/>
          <w:sz w:val="24"/>
          <w:szCs w:val="24"/>
        </w:rPr>
        <w:t>pantomograficznych</w:t>
      </w:r>
      <w:proofErr w:type="spellEnd"/>
      <w:r w:rsidRPr="00D52234">
        <w:rPr>
          <w:rFonts w:ascii="Calibri" w:eastAsia="Calibri" w:hAnsi="Calibri" w:cs="Calibri"/>
          <w:sz w:val="24"/>
          <w:szCs w:val="24"/>
        </w:rPr>
        <w:t xml:space="preserve"> i</w:t>
      </w:r>
      <w:r>
        <w:rPr>
          <w:rFonts w:ascii="Calibri" w:eastAsia="Calibri" w:hAnsi="Calibri" w:cs="Calibri"/>
          <w:sz w:val="24"/>
          <w:szCs w:val="24"/>
        </w:rPr>
        <w:t> </w:t>
      </w:r>
      <w:proofErr w:type="spellStart"/>
      <w:r w:rsidRPr="00D52234">
        <w:rPr>
          <w:rFonts w:ascii="Calibri" w:eastAsia="Calibri" w:hAnsi="Calibri" w:cs="Calibri"/>
          <w:sz w:val="24"/>
          <w:szCs w:val="24"/>
        </w:rPr>
        <w:t>cefalometrycznych</w:t>
      </w:r>
      <w:proofErr w:type="spellEnd"/>
      <w:r w:rsidRPr="00D52234">
        <w:rPr>
          <w:rFonts w:ascii="Calibri" w:eastAsia="Calibri" w:hAnsi="Calibri" w:cs="Calibri"/>
          <w:sz w:val="24"/>
          <w:szCs w:val="24"/>
        </w:rPr>
        <w:t xml:space="preserve">. </w:t>
      </w:r>
    </w:p>
    <w:p w14:paraId="1A7B470C" w14:textId="77777777" w:rsidR="00F36FBD" w:rsidRPr="00D52234" w:rsidRDefault="00F36FBD" w:rsidP="00597239">
      <w:pPr>
        <w:spacing w:after="0" w:line="276" w:lineRule="auto"/>
        <w:rPr>
          <w:rFonts w:ascii="Calibri" w:eastAsia="Calibri" w:hAnsi="Calibri" w:cs="Calibri"/>
          <w:sz w:val="24"/>
          <w:szCs w:val="24"/>
        </w:rPr>
      </w:pPr>
    </w:p>
    <w:p w14:paraId="3D0032FC" w14:textId="77777777" w:rsidR="00953978" w:rsidRPr="006E7F21" w:rsidRDefault="00953978" w:rsidP="00597239">
      <w:pPr>
        <w:spacing w:after="0" w:line="276" w:lineRule="auto"/>
        <w:rPr>
          <w:rFonts w:ascii="Calibri" w:eastAsia="Calibri" w:hAnsi="Calibri" w:cs="Calibri"/>
          <w:sz w:val="24"/>
          <w:szCs w:val="24"/>
        </w:rPr>
      </w:pPr>
      <w:r w:rsidRPr="00D52234">
        <w:rPr>
          <w:rFonts w:ascii="Calibri" w:eastAsia="Calibri" w:hAnsi="Calibri" w:cs="Calibri"/>
          <w:sz w:val="24"/>
          <w:szCs w:val="24"/>
        </w:rPr>
        <w:t>Przeprowadzone testy specjalistyczne wykazały niedopuszczalne wartości fizycznych parametrów przy dwóch monitorach opisowych do prezentacji obrazów medycznych w pantomografii</w:t>
      </w:r>
      <w:r>
        <w:rPr>
          <w:rFonts w:ascii="Calibri" w:eastAsia="Calibri" w:hAnsi="Calibri" w:cs="Calibri"/>
          <w:sz w:val="24"/>
          <w:szCs w:val="24"/>
        </w:rPr>
        <w:t xml:space="preserve"> </w:t>
      </w:r>
      <w:r w:rsidRPr="006E7F21">
        <w:rPr>
          <w:rFonts w:ascii="Calibri" w:eastAsia="Calibri" w:hAnsi="Calibri" w:cs="Calibri"/>
          <w:sz w:val="24"/>
          <w:szCs w:val="24"/>
        </w:rPr>
        <w:t>z zakresu wyznaczania krzywej skali szarości</w:t>
      </w:r>
      <w:r>
        <w:rPr>
          <w:rFonts w:ascii="Calibri" w:eastAsia="Calibri" w:hAnsi="Calibri" w:cs="Calibri"/>
          <w:sz w:val="24"/>
          <w:szCs w:val="24"/>
        </w:rPr>
        <w:t xml:space="preserve"> </w:t>
      </w:r>
      <w:r w:rsidRPr="00D52234">
        <w:rPr>
          <w:rFonts w:ascii="Calibri" w:eastAsia="Calibri" w:hAnsi="Calibri" w:cs="Calibri"/>
          <w:bCs/>
          <w:sz w:val="24"/>
          <w:szCs w:val="24"/>
        </w:rPr>
        <w:t>oraz</w:t>
      </w:r>
      <w:r>
        <w:rPr>
          <w:rFonts w:ascii="Calibri" w:eastAsia="Calibri" w:hAnsi="Calibri" w:cs="Calibri"/>
          <w:bCs/>
          <w:sz w:val="24"/>
          <w:szCs w:val="24"/>
        </w:rPr>
        <w:t xml:space="preserve"> </w:t>
      </w:r>
      <w:r w:rsidRPr="00D52234">
        <w:rPr>
          <w:rFonts w:ascii="Calibri" w:eastAsia="Calibri" w:hAnsi="Calibri" w:cs="Calibri"/>
          <w:bCs/>
          <w:sz w:val="24"/>
          <w:szCs w:val="24"/>
        </w:rPr>
        <w:t>przy jednym monitorze opisowym do prezentacji obrazów medycznych w pantomografii</w:t>
      </w:r>
      <w:r>
        <w:rPr>
          <w:rFonts w:ascii="Calibri" w:eastAsia="Calibri" w:hAnsi="Calibri" w:cs="Calibri"/>
          <w:bCs/>
          <w:sz w:val="24"/>
          <w:szCs w:val="24"/>
        </w:rPr>
        <w:t xml:space="preserve"> </w:t>
      </w:r>
      <w:r w:rsidRPr="00D52234">
        <w:rPr>
          <w:rFonts w:ascii="Calibri" w:eastAsia="Calibri" w:hAnsi="Calibri" w:cs="Calibri"/>
          <w:sz w:val="24"/>
          <w:szCs w:val="24"/>
        </w:rPr>
        <w:t>z zakresu jednorodności.</w:t>
      </w:r>
    </w:p>
    <w:p w14:paraId="4BB0B2EE" w14:textId="77777777" w:rsidR="00953978" w:rsidRPr="00BB590D" w:rsidRDefault="00953978" w:rsidP="00597239">
      <w:pPr>
        <w:spacing w:after="0" w:line="276" w:lineRule="auto"/>
        <w:rPr>
          <w:rFonts w:ascii="Calibri" w:eastAsia="Calibri" w:hAnsi="Calibri" w:cs="Calibri"/>
          <w:sz w:val="24"/>
          <w:szCs w:val="24"/>
        </w:rPr>
      </w:pPr>
      <w:r w:rsidRPr="00D52234">
        <w:rPr>
          <w:rFonts w:ascii="Calibri" w:eastAsia="Calibri" w:hAnsi="Calibri" w:cs="Calibri"/>
          <w:sz w:val="24"/>
          <w:szCs w:val="24"/>
        </w:rPr>
        <w:t>W celu stwierdzenia skuteczności osłon stałych przed przenikaniem promieniowania rentgenowskiego wykonano pomiary w ramach planu nadzoru w 18 pracowniach rentgenowskich</w:t>
      </w:r>
      <w:r>
        <w:rPr>
          <w:rFonts w:ascii="Calibri" w:eastAsia="Calibri" w:hAnsi="Calibri" w:cs="Calibri"/>
          <w:sz w:val="24"/>
          <w:szCs w:val="24"/>
        </w:rPr>
        <w:t xml:space="preserve"> przy 15 aparatach do zdjęć </w:t>
      </w:r>
      <w:proofErr w:type="spellStart"/>
      <w:r>
        <w:rPr>
          <w:rFonts w:ascii="Calibri" w:eastAsia="Calibri" w:hAnsi="Calibri" w:cs="Calibri"/>
          <w:sz w:val="24"/>
          <w:szCs w:val="24"/>
        </w:rPr>
        <w:t>wewnątrzustnych</w:t>
      </w:r>
      <w:proofErr w:type="spellEnd"/>
      <w:r>
        <w:rPr>
          <w:rFonts w:ascii="Calibri" w:eastAsia="Calibri" w:hAnsi="Calibri" w:cs="Calibri"/>
          <w:sz w:val="24"/>
          <w:szCs w:val="24"/>
        </w:rPr>
        <w:t xml:space="preserve"> oraz 3 aparatach do zdjęć </w:t>
      </w:r>
      <w:proofErr w:type="spellStart"/>
      <w:r>
        <w:rPr>
          <w:rFonts w:ascii="Calibri" w:eastAsia="Calibri" w:hAnsi="Calibri" w:cs="Calibri"/>
          <w:sz w:val="24"/>
          <w:szCs w:val="24"/>
        </w:rPr>
        <w:t>pantomograficznych</w:t>
      </w:r>
      <w:proofErr w:type="spellEnd"/>
      <w:r>
        <w:rPr>
          <w:rFonts w:ascii="Calibri" w:eastAsia="Calibri" w:hAnsi="Calibri" w:cs="Calibri"/>
          <w:sz w:val="24"/>
          <w:szCs w:val="24"/>
        </w:rPr>
        <w:t>.</w:t>
      </w:r>
    </w:p>
    <w:p w14:paraId="39BFDA51" w14:textId="77777777" w:rsidR="00D6619C" w:rsidRDefault="00D6619C" w:rsidP="00597239">
      <w:pPr>
        <w:spacing w:after="0" w:line="276" w:lineRule="auto"/>
        <w:rPr>
          <w:rFonts w:ascii="Calibri" w:hAnsi="Calibri" w:cs="Calibri"/>
          <w:sz w:val="24"/>
          <w:szCs w:val="24"/>
        </w:rPr>
      </w:pPr>
    </w:p>
    <w:p w14:paraId="5F9B4474" w14:textId="2CB513A8" w:rsidR="00953978" w:rsidRDefault="00953978" w:rsidP="00597239">
      <w:pPr>
        <w:spacing w:after="0" w:line="276" w:lineRule="auto"/>
        <w:rPr>
          <w:rFonts w:ascii="Calibri" w:hAnsi="Calibri" w:cs="Calibri"/>
          <w:sz w:val="24"/>
          <w:szCs w:val="24"/>
        </w:rPr>
      </w:pPr>
      <w:r w:rsidRPr="00D52234">
        <w:rPr>
          <w:rFonts w:ascii="Calibri" w:hAnsi="Calibri" w:cs="Calibri"/>
          <w:sz w:val="24"/>
          <w:szCs w:val="24"/>
        </w:rPr>
        <w:t xml:space="preserve">W roku 2024 nie odnotowano zdarzeń radiacyjnych na terenie województwa zachodniopomorskiego. </w:t>
      </w:r>
    </w:p>
    <w:p w14:paraId="46BAFE80" w14:textId="77777777" w:rsidR="00D6619C" w:rsidRPr="003C28B7" w:rsidRDefault="00D6619C" w:rsidP="00597239">
      <w:pPr>
        <w:spacing w:after="0" w:line="276" w:lineRule="auto"/>
        <w:rPr>
          <w:rFonts w:ascii="Calibri" w:hAnsi="Calibri" w:cs="Calibri"/>
          <w:sz w:val="24"/>
          <w:szCs w:val="24"/>
        </w:rPr>
      </w:pPr>
    </w:p>
    <w:p w14:paraId="603A3FC9" w14:textId="5FC8468F" w:rsidR="00953978" w:rsidRPr="00701CCE" w:rsidRDefault="00953978" w:rsidP="00597239">
      <w:pPr>
        <w:pStyle w:val="Nagwek2"/>
        <w:numPr>
          <w:ilvl w:val="0"/>
          <w:numId w:val="57"/>
        </w:numPr>
        <w:spacing w:before="0" w:after="0"/>
        <w:ind w:left="284" w:hanging="284"/>
        <w:jc w:val="left"/>
      </w:pPr>
      <w:bookmarkStart w:id="391" w:name="_Toc194059859"/>
      <w:r w:rsidRPr="00704BEA">
        <w:t>Promieniowanie niejonizujące (Pole elektromagnetyczne)</w:t>
      </w:r>
      <w:bookmarkEnd w:id="391"/>
    </w:p>
    <w:p w14:paraId="28D9857F" w14:textId="272CFEFC" w:rsidR="003C28B7" w:rsidRDefault="003C28B7" w:rsidP="00597239">
      <w:pPr>
        <w:spacing w:after="0" w:line="276" w:lineRule="auto"/>
        <w:rPr>
          <w:sz w:val="24"/>
          <w:szCs w:val="24"/>
        </w:rPr>
      </w:pPr>
      <w:r w:rsidRPr="00704BEA">
        <w:rPr>
          <w:sz w:val="24"/>
          <w:szCs w:val="24"/>
        </w:rPr>
        <w:t xml:space="preserve">Pod nadzorem ZPWIS, na dzień 31 grudnia 2024 roku znajdowało się 886 urządzeń wytwarzających pola elektromagnetyczne o częstotliwości od 0 </w:t>
      </w:r>
      <w:proofErr w:type="spellStart"/>
      <w:r w:rsidRPr="00704BEA">
        <w:rPr>
          <w:sz w:val="24"/>
          <w:szCs w:val="24"/>
        </w:rPr>
        <w:t>Hz</w:t>
      </w:r>
      <w:proofErr w:type="spellEnd"/>
      <w:r w:rsidRPr="00704BEA">
        <w:rPr>
          <w:sz w:val="24"/>
          <w:szCs w:val="24"/>
        </w:rPr>
        <w:t xml:space="preserve"> do 300 GHz w zakładach stosujących promieniowanie elektromagnetyczne. W 2024 roku wykonano pomiary natężenia pola elektromagnetycznego dla potrzeb bezpieczeństwa i higieny pracy wokół 3 urządzeń do</w:t>
      </w:r>
      <w:r w:rsidR="002E1F9D">
        <w:rPr>
          <w:sz w:val="24"/>
          <w:szCs w:val="24"/>
        </w:rPr>
        <w:t> </w:t>
      </w:r>
      <w:r w:rsidRPr="00704BEA">
        <w:rPr>
          <w:sz w:val="24"/>
          <w:szCs w:val="24"/>
        </w:rPr>
        <w:t xml:space="preserve">elektrochirurgii. </w:t>
      </w:r>
    </w:p>
    <w:p w14:paraId="256542AF" w14:textId="77777777" w:rsidR="00F36FBD" w:rsidRPr="00704BEA" w:rsidRDefault="00F36FBD" w:rsidP="00597239">
      <w:pPr>
        <w:spacing w:after="0" w:line="276" w:lineRule="auto"/>
        <w:rPr>
          <w:sz w:val="24"/>
          <w:szCs w:val="24"/>
        </w:rPr>
      </w:pPr>
    </w:p>
    <w:p w14:paraId="12505EBA" w14:textId="1D37139C" w:rsidR="003C28B7" w:rsidRDefault="003C28B7" w:rsidP="00597239">
      <w:pPr>
        <w:spacing w:after="0" w:line="276" w:lineRule="auto"/>
        <w:rPr>
          <w:sz w:val="24"/>
          <w:szCs w:val="24"/>
        </w:rPr>
      </w:pPr>
      <w:r w:rsidRPr="00704BEA">
        <w:rPr>
          <w:sz w:val="24"/>
          <w:szCs w:val="24"/>
        </w:rPr>
        <w:t>Nie stwierdzono stanowisk pracy w strefie niebezpiecznej. Strefę zagrożenia stwierdzono na dwóch stanowiskach pracy lekarza operatora przy urządzeniu stosowanym do elektrochirurgii, strefę pośrednią na jednym stanowisku lekarza operatora i lekarza asystenta. Czas przebywania osób w ww. strefach wynosił do kilkudziesięciu minut na zmianę roboczą, zgodnie z zasadą optymalizacji.</w:t>
      </w:r>
    </w:p>
    <w:p w14:paraId="1F1F66EB" w14:textId="77777777" w:rsidR="00F36FBD" w:rsidRPr="00704BEA" w:rsidRDefault="00F36FBD" w:rsidP="00597239">
      <w:pPr>
        <w:spacing w:after="0" w:line="276" w:lineRule="auto"/>
        <w:rPr>
          <w:sz w:val="24"/>
          <w:szCs w:val="24"/>
        </w:rPr>
      </w:pPr>
    </w:p>
    <w:p w14:paraId="02F14A1A" w14:textId="7BF91211" w:rsidR="00953978" w:rsidRDefault="003C28B7" w:rsidP="00597239">
      <w:pPr>
        <w:spacing w:after="0" w:line="276" w:lineRule="auto"/>
        <w:rPr>
          <w:sz w:val="24"/>
          <w:szCs w:val="24"/>
        </w:rPr>
      </w:pPr>
      <w:r w:rsidRPr="00704BEA">
        <w:rPr>
          <w:sz w:val="24"/>
          <w:szCs w:val="24"/>
        </w:rPr>
        <w:t>W 2024 roku w ramach interwencji zostały wykonane pomiary dla celów środowiska w dwóch mieszkaniach dla instalacji stacji bazowej telefonii komórkowej sieci T-Mobile nr 33843 oraz sieci P4 nr STS0010, zlokalizowanych na Osiedlu Zachód B24/a34 w Stargardzie. W wyniku pomiarów pola elektromagnetycznego nie stwierdzono przekroczeń wartości dopuszczalnych określonych w rozporządzeniu Ministra Zdrowia z dnia 17 grudnia 2019 roku w sprawie dopuszczalnych poziomów pól elektromagnetycznych w środowisku.</w:t>
      </w:r>
    </w:p>
    <w:p w14:paraId="709B34C4" w14:textId="77777777" w:rsidR="00D6619C" w:rsidRPr="008D0D62" w:rsidRDefault="00D6619C" w:rsidP="00597239">
      <w:pPr>
        <w:spacing w:after="0" w:line="276" w:lineRule="auto"/>
        <w:rPr>
          <w:sz w:val="24"/>
          <w:szCs w:val="24"/>
        </w:rPr>
      </w:pPr>
    </w:p>
    <w:p w14:paraId="12382641" w14:textId="0D1DF973" w:rsidR="00953978" w:rsidRPr="00704BEA" w:rsidRDefault="00953978" w:rsidP="00597239">
      <w:pPr>
        <w:pStyle w:val="Nagwek2"/>
        <w:numPr>
          <w:ilvl w:val="0"/>
          <w:numId w:val="58"/>
        </w:numPr>
        <w:spacing w:before="0" w:after="0"/>
        <w:ind w:left="284" w:hanging="284"/>
        <w:jc w:val="left"/>
      </w:pPr>
      <w:bookmarkStart w:id="392" w:name="_Toc194059860"/>
      <w:r w:rsidRPr="00D52234">
        <w:t>Skażenia promieniotwórcze</w:t>
      </w:r>
      <w:bookmarkEnd w:id="392"/>
    </w:p>
    <w:p w14:paraId="0F20404B" w14:textId="77777777" w:rsidR="00953978" w:rsidRDefault="00953978" w:rsidP="00597239">
      <w:pPr>
        <w:spacing w:after="0" w:line="276" w:lineRule="auto"/>
        <w:rPr>
          <w:rFonts w:ascii="Calibri" w:hAnsi="Calibri" w:cs="Calibri"/>
          <w:sz w:val="24"/>
          <w:szCs w:val="24"/>
        </w:rPr>
      </w:pPr>
      <w:r w:rsidRPr="00D52234">
        <w:rPr>
          <w:rFonts w:ascii="Calibri" w:hAnsi="Calibri" w:cs="Calibri"/>
          <w:sz w:val="24"/>
          <w:szCs w:val="24"/>
        </w:rPr>
        <w:t>W 2024 roku nie odnotowano zdarzeń, w wyniku których mogło dojść do skażeń promieniotwórczych.</w:t>
      </w:r>
    </w:p>
    <w:p w14:paraId="634F24F5" w14:textId="77777777" w:rsidR="00953978" w:rsidRPr="00972F3D" w:rsidRDefault="00953978" w:rsidP="00597239">
      <w:pPr>
        <w:spacing w:after="0" w:line="276" w:lineRule="auto"/>
        <w:rPr>
          <w:rFonts w:ascii="Calibri" w:hAnsi="Calibri" w:cs="Calibri"/>
          <w:sz w:val="24"/>
          <w:szCs w:val="24"/>
        </w:rPr>
      </w:pPr>
    </w:p>
    <w:p w14:paraId="6E49AF2E" w14:textId="28797D74" w:rsidR="00953978" w:rsidRDefault="00953978" w:rsidP="00597239">
      <w:pPr>
        <w:spacing w:after="0" w:line="276" w:lineRule="auto"/>
        <w:rPr>
          <w:rFonts w:ascii="Calibri" w:hAnsi="Calibri" w:cs="Calibri"/>
          <w:sz w:val="24"/>
          <w:szCs w:val="24"/>
        </w:rPr>
      </w:pPr>
      <w:r w:rsidRPr="00D52234">
        <w:rPr>
          <w:rFonts w:ascii="Calibri" w:hAnsi="Calibri" w:cs="Calibri"/>
          <w:sz w:val="24"/>
          <w:szCs w:val="24"/>
        </w:rPr>
        <w:t xml:space="preserve">W 2024 roku Laboratorium Badań Środowiskowych i Radiacyjnych w Szczecinie przeprowadziło 95 badań w kierunku zawartości izotopu </w:t>
      </w:r>
      <w:r w:rsidRPr="00D52234">
        <w:rPr>
          <w:rFonts w:ascii="Calibri" w:hAnsi="Calibri" w:cs="Calibri"/>
          <w:sz w:val="24"/>
          <w:szCs w:val="24"/>
          <w:vertAlign w:val="superscript"/>
        </w:rPr>
        <w:t>137</w:t>
      </w:r>
      <w:r w:rsidRPr="00D52234">
        <w:rPr>
          <w:rFonts w:ascii="Calibri" w:hAnsi="Calibri" w:cs="Calibri"/>
          <w:sz w:val="24"/>
          <w:szCs w:val="24"/>
        </w:rPr>
        <w:t>Cs</w:t>
      </w:r>
      <w:r>
        <w:rPr>
          <w:rFonts w:ascii="Calibri" w:hAnsi="Calibri" w:cs="Calibri"/>
          <w:sz w:val="24"/>
          <w:szCs w:val="24"/>
        </w:rPr>
        <w:t>, w tym: 81 próbek żywności, produktów rolnych i pasz oraz 14 próbek wody.</w:t>
      </w:r>
      <w:r w:rsidRPr="00D52234">
        <w:rPr>
          <w:rFonts w:ascii="Calibri" w:hAnsi="Calibri" w:cs="Calibri"/>
          <w:sz w:val="24"/>
          <w:szCs w:val="24"/>
        </w:rPr>
        <w:t xml:space="preserve"> W przebadanych próbkach nie stwierdzono przekroczenia dopuszczalnych zawartości izotopu </w:t>
      </w:r>
      <w:r w:rsidRPr="00D52234">
        <w:rPr>
          <w:rFonts w:ascii="Calibri" w:hAnsi="Calibri" w:cs="Calibri"/>
          <w:sz w:val="24"/>
          <w:szCs w:val="24"/>
          <w:vertAlign w:val="superscript"/>
        </w:rPr>
        <w:t>137</w:t>
      </w:r>
      <w:r w:rsidRPr="00D52234">
        <w:rPr>
          <w:rFonts w:ascii="Calibri" w:hAnsi="Calibri" w:cs="Calibri"/>
          <w:sz w:val="24"/>
          <w:szCs w:val="24"/>
        </w:rPr>
        <w:t xml:space="preserve">Cs, określonych w rozporządzeniu Rady </w:t>
      </w:r>
      <w:r w:rsidRPr="00D52234">
        <w:rPr>
          <w:rFonts w:ascii="Calibri" w:hAnsi="Calibri" w:cs="Calibri"/>
          <w:sz w:val="24"/>
          <w:szCs w:val="24"/>
        </w:rPr>
        <w:lastRenderedPageBreak/>
        <w:t>Ministrów z dnia 27 kwietnia 2004 roku w sprawie wartości poziomów interwencyjnych dla poszczególnych rodzajów działań interwencyjnych oraz kryteriów odwołania tych działań</w:t>
      </w:r>
      <w:r>
        <w:rPr>
          <w:rFonts w:ascii="Calibri" w:hAnsi="Calibri" w:cs="Calibri"/>
          <w:sz w:val="24"/>
          <w:szCs w:val="24"/>
        </w:rPr>
        <w:t xml:space="preserve"> (Tabela </w:t>
      </w:r>
      <w:r w:rsidRPr="00F82ED9">
        <w:rPr>
          <w:rFonts w:ascii="Calibri" w:hAnsi="Calibri" w:cs="Calibri"/>
          <w:sz w:val="24"/>
          <w:szCs w:val="24"/>
        </w:rPr>
        <w:t xml:space="preserve">nr </w:t>
      </w:r>
      <w:r w:rsidR="00FF078B">
        <w:rPr>
          <w:rFonts w:ascii="Calibri" w:hAnsi="Calibri" w:cs="Calibri"/>
          <w:sz w:val="24"/>
          <w:szCs w:val="24"/>
        </w:rPr>
        <w:t>4</w:t>
      </w:r>
      <w:r w:rsidR="00E05979">
        <w:rPr>
          <w:rFonts w:ascii="Calibri" w:hAnsi="Calibri" w:cs="Calibri"/>
          <w:sz w:val="24"/>
          <w:szCs w:val="24"/>
        </w:rPr>
        <w:t>1</w:t>
      </w:r>
      <w:r w:rsidRPr="00F82ED9">
        <w:rPr>
          <w:rFonts w:ascii="Calibri" w:hAnsi="Calibri" w:cs="Calibri"/>
          <w:sz w:val="24"/>
          <w:szCs w:val="24"/>
        </w:rPr>
        <w:t>).</w:t>
      </w:r>
    </w:p>
    <w:p w14:paraId="1BD2724C" w14:textId="77777777" w:rsidR="00953978" w:rsidRPr="004731B1" w:rsidRDefault="00953978" w:rsidP="00597239">
      <w:pPr>
        <w:spacing w:after="0" w:line="276" w:lineRule="auto"/>
        <w:rPr>
          <w:rFonts w:ascii="Calibri" w:hAnsi="Calibri" w:cs="Calibri"/>
          <w:sz w:val="24"/>
          <w:szCs w:val="24"/>
        </w:rPr>
      </w:pPr>
    </w:p>
    <w:p w14:paraId="4B916FCD" w14:textId="22A1256D" w:rsidR="00953978" w:rsidRPr="004731B1" w:rsidRDefault="004731B1" w:rsidP="00597239">
      <w:pPr>
        <w:pStyle w:val="Legenda"/>
        <w:spacing w:after="0"/>
        <w:rPr>
          <w:rFonts w:ascii="Calibri" w:hAnsi="Calibri" w:cs="Calibri"/>
          <w:i w:val="0"/>
          <w:iCs w:val="0"/>
          <w:color w:val="auto"/>
          <w:sz w:val="24"/>
          <w:szCs w:val="24"/>
        </w:rPr>
      </w:pPr>
      <w:bookmarkStart w:id="393" w:name="_Toc193806011"/>
      <w:bookmarkStart w:id="394" w:name="_Toc193969559"/>
      <w:bookmarkStart w:id="395" w:name="_Toc194060019"/>
      <w:r w:rsidRPr="004731B1">
        <w:rPr>
          <w:i w:val="0"/>
          <w:iCs w:val="0"/>
          <w:color w:val="auto"/>
        </w:rPr>
        <w:t xml:space="preserve">Tabela </w:t>
      </w:r>
      <w:r w:rsidRPr="004731B1">
        <w:rPr>
          <w:i w:val="0"/>
          <w:iCs w:val="0"/>
          <w:color w:val="auto"/>
        </w:rPr>
        <w:fldChar w:fldCharType="begin"/>
      </w:r>
      <w:r w:rsidRPr="004731B1">
        <w:rPr>
          <w:i w:val="0"/>
          <w:iCs w:val="0"/>
          <w:color w:val="auto"/>
        </w:rPr>
        <w:instrText xml:space="preserve"> SEQ Tabela \* ARABIC </w:instrText>
      </w:r>
      <w:r w:rsidRPr="004731B1">
        <w:rPr>
          <w:i w:val="0"/>
          <w:iCs w:val="0"/>
          <w:color w:val="auto"/>
        </w:rPr>
        <w:fldChar w:fldCharType="separate"/>
      </w:r>
      <w:r w:rsidR="00FB6F6A">
        <w:rPr>
          <w:i w:val="0"/>
          <w:iCs w:val="0"/>
          <w:noProof/>
          <w:color w:val="auto"/>
        </w:rPr>
        <w:t>41</w:t>
      </w:r>
      <w:r w:rsidRPr="004731B1">
        <w:rPr>
          <w:i w:val="0"/>
          <w:iCs w:val="0"/>
          <w:color w:val="auto"/>
        </w:rPr>
        <w:fldChar w:fldCharType="end"/>
      </w:r>
      <w:r w:rsidR="00B60EBD">
        <w:rPr>
          <w:i w:val="0"/>
          <w:iCs w:val="0"/>
          <w:color w:val="auto"/>
        </w:rPr>
        <w:t>.</w:t>
      </w:r>
      <w:r w:rsidRPr="004731B1">
        <w:rPr>
          <w:i w:val="0"/>
          <w:iCs w:val="0"/>
          <w:color w:val="auto"/>
        </w:rPr>
        <w:t xml:space="preserve"> Produkty, w których stwierdzono stężenie promieniotwórczego izotopu 137Cs</w:t>
      </w:r>
      <w:bookmarkEnd w:id="393"/>
      <w:bookmarkEnd w:id="394"/>
      <w:bookmarkEnd w:id="395"/>
    </w:p>
    <w:tbl>
      <w:tblPr>
        <w:tblStyle w:val="Tabelasiatki4akcent1"/>
        <w:tblW w:w="0" w:type="auto"/>
        <w:tblLook w:val="04A0" w:firstRow="1" w:lastRow="0" w:firstColumn="1" w:lastColumn="0" w:noHBand="0" w:noVBand="1"/>
        <w:tblCaption w:val="Produkty, w których stwierdzono stężenie promieniotwórczego izotopu 137Cs"/>
        <w:tblDescription w:val="w tabeli 41 przedstawiono produkty, w których stwierdzono stężenie promieniotwórczego izotopu Cezu 137, a są nimi: dorsz kostka, kurki, borowik szlachetny, podgrzybek brunatny, podgrzybki."/>
      </w:tblPr>
      <w:tblGrid>
        <w:gridCol w:w="1826"/>
        <w:gridCol w:w="1817"/>
        <w:gridCol w:w="3210"/>
        <w:gridCol w:w="2209"/>
      </w:tblGrid>
      <w:tr w:rsidR="00953978" w:rsidRPr="00FF50CD" w14:paraId="64CB3B74" w14:textId="77777777" w:rsidTr="00F36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7AE41D" w14:textId="77777777" w:rsidR="00953978" w:rsidRPr="00FF50CD" w:rsidRDefault="00953978" w:rsidP="00597239">
            <w:pPr>
              <w:rPr>
                <w:rFonts w:ascii="Calibri" w:hAnsi="Calibri" w:cs="Calibri"/>
                <w:b w:val="0"/>
                <w:bCs w:val="0"/>
                <w:sz w:val="24"/>
                <w:szCs w:val="24"/>
              </w:rPr>
            </w:pPr>
            <w:r w:rsidRPr="00FF50CD">
              <w:rPr>
                <w:rFonts w:ascii="Calibri" w:hAnsi="Calibri" w:cs="Calibri"/>
                <w:b w:val="0"/>
                <w:bCs w:val="0"/>
                <w:sz w:val="24"/>
                <w:szCs w:val="24"/>
              </w:rPr>
              <w:t>Produkt</w:t>
            </w:r>
          </w:p>
        </w:tc>
        <w:tc>
          <w:tcPr>
            <w:tcW w:w="1817" w:type="dxa"/>
            <w:vAlign w:val="center"/>
            <w:hideMark/>
          </w:tcPr>
          <w:p w14:paraId="768E01CD" w14:textId="77777777" w:rsidR="00953978" w:rsidRPr="00FF50CD" w:rsidRDefault="00953978" w:rsidP="00597239">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FF50CD">
              <w:rPr>
                <w:rFonts w:ascii="Calibri" w:hAnsi="Calibri" w:cs="Calibri"/>
                <w:b w:val="0"/>
                <w:bCs w:val="0"/>
                <w:sz w:val="24"/>
                <w:szCs w:val="24"/>
              </w:rPr>
              <w:t>Numer próbki</w:t>
            </w:r>
          </w:p>
        </w:tc>
        <w:tc>
          <w:tcPr>
            <w:tcW w:w="3210" w:type="dxa"/>
            <w:vAlign w:val="center"/>
            <w:hideMark/>
          </w:tcPr>
          <w:p w14:paraId="40E80A70" w14:textId="77777777" w:rsidR="00953978" w:rsidRPr="00FF50CD" w:rsidRDefault="00953978" w:rsidP="00597239">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FF50CD">
              <w:rPr>
                <w:rFonts w:ascii="Calibri" w:hAnsi="Calibri" w:cs="Calibri"/>
                <w:b w:val="0"/>
                <w:bCs w:val="0"/>
                <w:sz w:val="24"/>
                <w:szCs w:val="24"/>
              </w:rPr>
              <w:t xml:space="preserve">Zmierzona wartość poziomu izotopu </w:t>
            </w:r>
            <w:r w:rsidRPr="00FF50CD">
              <w:rPr>
                <w:rFonts w:ascii="Calibri" w:hAnsi="Calibri" w:cs="Calibri"/>
                <w:b w:val="0"/>
                <w:bCs w:val="0"/>
                <w:sz w:val="24"/>
                <w:szCs w:val="24"/>
                <w:vertAlign w:val="superscript"/>
              </w:rPr>
              <w:t>137</w:t>
            </w:r>
            <w:r w:rsidRPr="00FF50CD">
              <w:rPr>
                <w:rFonts w:ascii="Calibri" w:hAnsi="Calibri" w:cs="Calibri"/>
                <w:b w:val="0"/>
                <w:bCs w:val="0"/>
                <w:sz w:val="24"/>
                <w:szCs w:val="24"/>
              </w:rPr>
              <w:t>Cs</w:t>
            </w:r>
          </w:p>
          <w:p w14:paraId="20E532FF" w14:textId="77777777" w:rsidR="00953978" w:rsidRPr="00FF50CD" w:rsidRDefault="00953978" w:rsidP="00597239">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FF50CD">
              <w:rPr>
                <w:rFonts w:ascii="Calibri" w:hAnsi="Calibri" w:cs="Calibri"/>
                <w:b w:val="0"/>
                <w:bCs w:val="0"/>
                <w:sz w:val="24"/>
                <w:szCs w:val="24"/>
              </w:rPr>
              <w:t>(</w:t>
            </w:r>
            <w:proofErr w:type="spellStart"/>
            <w:r w:rsidRPr="00FF50CD">
              <w:rPr>
                <w:rFonts w:ascii="Calibri" w:hAnsi="Calibri" w:cs="Calibri"/>
                <w:b w:val="0"/>
                <w:bCs w:val="0"/>
                <w:sz w:val="24"/>
                <w:szCs w:val="24"/>
              </w:rPr>
              <w:t>Bq</w:t>
            </w:r>
            <w:proofErr w:type="spellEnd"/>
            <w:r w:rsidRPr="00FF50CD">
              <w:rPr>
                <w:rFonts w:ascii="Calibri" w:hAnsi="Calibri" w:cs="Calibri"/>
                <w:b w:val="0"/>
                <w:bCs w:val="0"/>
                <w:sz w:val="24"/>
                <w:szCs w:val="24"/>
              </w:rPr>
              <w:t>/kg)</w:t>
            </w:r>
          </w:p>
        </w:tc>
        <w:tc>
          <w:tcPr>
            <w:tcW w:w="0" w:type="auto"/>
            <w:vAlign w:val="center"/>
            <w:hideMark/>
          </w:tcPr>
          <w:p w14:paraId="13E21EFB" w14:textId="77777777" w:rsidR="00953978" w:rsidRPr="00FF50CD" w:rsidRDefault="00953978" w:rsidP="00597239">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FF50CD">
              <w:rPr>
                <w:rFonts w:ascii="Calibri" w:hAnsi="Calibri" w:cs="Calibri"/>
                <w:b w:val="0"/>
                <w:bCs w:val="0"/>
                <w:sz w:val="24"/>
                <w:szCs w:val="24"/>
              </w:rPr>
              <w:t>Pochodzenie</w:t>
            </w:r>
          </w:p>
        </w:tc>
      </w:tr>
      <w:tr w:rsidR="00953978" w:rsidRPr="00FF50CD" w14:paraId="1310657A"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B4BACA" w14:textId="77777777" w:rsidR="00953978" w:rsidRPr="00FF50CD" w:rsidRDefault="00953978" w:rsidP="00597239">
            <w:pPr>
              <w:rPr>
                <w:rFonts w:ascii="Calibri" w:hAnsi="Calibri" w:cs="Calibri"/>
                <w:b w:val="0"/>
                <w:bCs w:val="0"/>
                <w:color w:val="FF0000"/>
                <w:sz w:val="24"/>
                <w:szCs w:val="24"/>
              </w:rPr>
            </w:pPr>
            <w:r w:rsidRPr="00FF50CD">
              <w:rPr>
                <w:rFonts w:ascii="Calibri" w:hAnsi="Calibri" w:cs="Calibri"/>
                <w:b w:val="0"/>
                <w:bCs w:val="0"/>
                <w:sz w:val="24"/>
                <w:szCs w:val="24"/>
              </w:rPr>
              <w:t>Dorsz kostka</w:t>
            </w:r>
          </w:p>
        </w:tc>
        <w:tc>
          <w:tcPr>
            <w:tcW w:w="1817" w:type="dxa"/>
            <w:vAlign w:val="center"/>
            <w:hideMark/>
          </w:tcPr>
          <w:p w14:paraId="276EB592"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ŚR/R/C/67/2024</w:t>
            </w:r>
          </w:p>
        </w:tc>
        <w:tc>
          <w:tcPr>
            <w:tcW w:w="3210" w:type="dxa"/>
            <w:vAlign w:val="center"/>
            <w:hideMark/>
          </w:tcPr>
          <w:p w14:paraId="5D3861E0"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90,31 ± 8,13</w:t>
            </w:r>
          </w:p>
        </w:tc>
        <w:tc>
          <w:tcPr>
            <w:tcW w:w="0" w:type="auto"/>
            <w:vAlign w:val="center"/>
            <w:hideMark/>
          </w:tcPr>
          <w:p w14:paraId="570FC549"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(Polska) powiat Świnoujście</w:t>
            </w:r>
          </w:p>
        </w:tc>
      </w:tr>
      <w:tr w:rsidR="00953978" w:rsidRPr="00FF50CD" w14:paraId="2910416B" w14:textId="77777777" w:rsidTr="00F36FB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11B8A2" w14:textId="77777777" w:rsidR="00953978" w:rsidRPr="00FF50CD" w:rsidRDefault="00953978" w:rsidP="00597239">
            <w:pPr>
              <w:rPr>
                <w:rFonts w:ascii="Calibri" w:hAnsi="Calibri" w:cs="Calibri"/>
                <w:b w:val="0"/>
                <w:bCs w:val="0"/>
                <w:color w:val="FF0000"/>
                <w:sz w:val="24"/>
                <w:szCs w:val="24"/>
              </w:rPr>
            </w:pPr>
            <w:r w:rsidRPr="00FF50CD">
              <w:rPr>
                <w:rFonts w:ascii="Calibri" w:hAnsi="Calibri" w:cs="Calibri"/>
                <w:b w:val="0"/>
                <w:bCs w:val="0"/>
                <w:sz w:val="24"/>
                <w:szCs w:val="24"/>
              </w:rPr>
              <w:t>Kurki</w:t>
            </w:r>
          </w:p>
        </w:tc>
        <w:tc>
          <w:tcPr>
            <w:tcW w:w="1817" w:type="dxa"/>
            <w:vAlign w:val="center"/>
            <w:hideMark/>
          </w:tcPr>
          <w:p w14:paraId="7DE50B58" w14:textId="77777777" w:rsidR="00953978" w:rsidRPr="00FF50CD" w:rsidRDefault="00953978"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ŚR/R/C/71/2024</w:t>
            </w:r>
          </w:p>
        </w:tc>
        <w:tc>
          <w:tcPr>
            <w:tcW w:w="3210" w:type="dxa"/>
            <w:vAlign w:val="center"/>
            <w:hideMark/>
          </w:tcPr>
          <w:p w14:paraId="56F12FC5" w14:textId="77777777" w:rsidR="00953978" w:rsidRPr="00FF50CD" w:rsidRDefault="00953978"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48,73 ± 4,38</w:t>
            </w:r>
          </w:p>
        </w:tc>
        <w:tc>
          <w:tcPr>
            <w:tcW w:w="0" w:type="auto"/>
            <w:vAlign w:val="center"/>
            <w:hideMark/>
          </w:tcPr>
          <w:p w14:paraId="7DC27BB1" w14:textId="77777777" w:rsidR="00953978" w:rsidRPr="00FF50CD" w:rsidRDefault="00953978"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(Polska) powiat drawski</w:t>
            </w:r>
          </w:p>
        </w:tc>
      </w:tr>
      <w:tr w:rsidR="00953978" w:rsidRPr="00FF50CD" w14:paraId="48AB29F2"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AA731F" w14:textId="77777777" w:rsidR="00953978" w:rsidRPr="00FF50CD" w:rsidRDefault="00953978" w:rsidP="00597239">
            <w:pPr>
              <w:rPr>
                <w:rFonts w:ascii="Calibri" w:hAnsi="Calibri" w:cs="Calibri"/>
                <w:b w:val="0"/>
                <w:bCs w:val="0"/>
                <w:color w:val="FF0000"/>
                <w:sz w:val="24"/>
                <w:szCs w:val="24"/>
              </w:rPr>
            </w:pPr>
            <w:r w:rsidRPr="00FF50CD">
              <w:rPr>
                <w:rFonts w:ascii="Calibri" w:hAnsi="Calibri" w:cs="Calibri"/>
                <w:b w:val="0"/>
                <w:bCs w:val="0"/>
                <w:sz w:val="24"/>
                <w:szCs w:val="24"/>
              </w:rPr>
              <w:t>Borowik szlachetny</w:t>
            </w:r>
          </w:p>
        </w:tc>
        <w:tc>
          <w:tcPr>
            <w:tcW w:w="1817" w:type="dxa"/>
            <w:vAlign w:val="center"/>
            <w:hideMark/>
          </w:tcPr>
          <w:p w14:paraId="790F5083"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ŚR/R/C/83/2024</w:t>
            </w:r>
          </w:p>
        </w:tc>
        <w:tc>
          <w:tcPr>
            <w:tcW w:w="3210" w:type="dxa"/>
            <w:vAlign w:val="center"/>
            <w:hideMark/>
          </w:tcPr>
          <w:p w14:paraId="5B90B34A"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23,5 ± 2,11</w:t>
            </w:r>
          </w:p>
        </w:tc>
        <w:tc>
          <w:tcPr>
            <w:tcW w:w="0" w:type="auto"/>
            <w:vAlign w:val="center"/>
            <w:hideMark/>
          </w:tcPr>
          <w:p w14:paraId="593B07E8"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(Polska) powiat szczecinecki</w:t>
            </w:r>
          </w:p>
        </w:tc>
      </w:tr>
      <w:tr w:rsidR="00953978" w:rsidRPr="00FF50CD" w14:paraId="447AAAD3" w14:textId="77777777" w:rsidTr="00F36FB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74FA82" w14:textId="77777777" w:rsidR="00953978" w:rsidRPr="00FF50CD" w:rsidRDefault="00953978" w:rsidP="00597239">
            <w:pPr>
              <w:rPr>
                <w:rFonts w:ascii="Calibri" w:hAnsi="Calibri" w:cs="Calibri"/>
                <w:b w:val="0"/>
                <w:bCs w:val="0"/>
                <w:color w:val="FF0000"/>
                <w:sz w:val="24"/>
                <w:szCs w:val="24"/>
              </w:rPr>
            </w:pPr>
            <w:r w:rsidRPr="00FF50CD">
              <w:rPr>
                <w:rFonts w:ascii="Calibri" w:hAnsi="Calibri" w:cs="Calibri"/>
                <w:b w:val="0"/>
                <w:bCs w:val="0"/>
                <w:sz w:val="24"/>
                <w:szCs w:val="24"/>
              </w:rPr>
              <w:t>Podgrzybek brunatny</w:t>
            </w:r>
          </w:p>
        </w:tc>
        <w:tc>
          <w:tcPr>
            <w:tcW w:w="1817" w:type="dxa"/>
            <w:vAlign w:val="center"/>
            <w:hideMark/>
          </w:tcPr>
          <w:p w14:paraId="47BB4603" w14:textId="77777777" w:rsidR="00953978" w:rsidRPr="00FF50CD" w:rsidRDefault="00953978"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ŚR/R/C/84/2024</w:t>
            </w:r>
          </w:p>
        </w:tc>
        <w:tc>
          <w:tcPr>
            <w:tcW w:w="3210" w:type="dxa"/>
            <w:vAlign w:val="center"/>
            <w:hideMark/>
          </w:tcPr>
          <w:p w14:paraId="7679B36F" w14:textId="77777777" w:rsidR="00953978" w:rsidRPr="00FF50CD" w:rsidRDefault="00953978"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40,27 ± 3,62</w:t>
            </w:r>
          </w:p>
        </w:tc>
        <w:tc>
          <w:tcPr>
            <w:tcW w:w="0" w:type="auto"/>
            <w:vAlign w:val="center"/>
            <w:hideMark/>
          </w:tcPr>
          <w:p w14:paraId="35E59B11" w14:textId="77777777" w:rsidR="00953978" w:rsidRPr="00FF50CD" w:rsidRDefault="00953978" w:rsidP="00597239">
            <w:pPr>
              <w:cnfStyle w:val="000000000000" w:firstRow="0" w:lastRow="0" w:firstColumn="0" w:lastColumn="0" w:oddVBand="0" w:evenVBand="0" w:oddHBand="0"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(Polska) powiat szczecinecki</w:t>
            </w:r>
          </w:p>
        </w:tc>
      </w:tr>
      <w:tr w:rsidR="00953978" w:rsidRPr="00FF50CD" w14:paraId="7648EE6E" w14:textId="77777777" w:rsidTr="00F36F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F83DB7" w14:textId="77777777" w:rsidR="00953978" w:rsidRPr="00FF50CD" w:rsidRDefault="00953978" w:rsidP="00597239">
            <w:pPr>
              <w:rPr>
                <w:rFonts w:ascii="Calibri" w:hAnsi="Calibri" w:cs="Calibri"/>
                <w:b w:val="0"/>
                <w:bCs w:val="0"/>
                <w:color w:val="FF0000"/>
                <w:sz w:val="24"/>
                <w:szCs w:val="24"/>
              </w:rPr>
            </w:pPr>
            <w:r w:rsidRPr="00FF50CD">
              <w:rPr>
                <w:rFonts w:ascii="Calibri" w:hAnsi="Calibri" w:cs="Calibri"/>
                <w:b w:val="0"/>
                <w:bCs w:val="0"/>
                <w:sz w:val="24"/>
                <w:szCs w:val="24"/>
              </w:rPr>
              <w:t>Podgrzybki</w:t>
            </w:r>
          </w:p>
        </w:tc>
        <w:tc>
          <w:tcPr>
            <w:tcW w:w="1817" w:type="dxa"/>
            <w:vAlign w:val="center"/>
            <w:hideMark/>
          </w:tcPr>
          <w:p w14:paraId="3E645FE2"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ŚR/R/C/88/2024</w:t>
            </w:r>
          </w:p>
        </w:tc>
        <w:tc>
          <w:tcPr>
            <w:tcW w:w="3210" w:type="dxa"/>
            <w:vAlign w:val="center"/>
            <w:hideMark/>
          </w:tcPr>
          <w:p w14:paraId="2BBF491B"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64,24 ± 5,78</w:t>
            </w:r>
          </w:p>
        </w:tc>
        <w:tc>
          <w:tcPr>
            <w:tcW w:w="0" w:type="auto"/>
            <w:vAlign w:val="center"/>
            <w:hideMark/>
          </w:tcPr>
          <w:p w14:paraId="646448C7" w14:textId="77777777" w:rsidR="00953978" w:rsidRPr="00FF50CD" w:rsidRDefault="00953978" w:rsidP="00597239">
            <w:pPr>
              <w:cnfStyle w:val="000000100000" w:firstRow="0" w:lastRow="0" w:firstColumn="0" w:lastColumn="0" w:oddVBand="0" w:evenVBand="0" w:oddHBand="1" w:evenHBand="0" w:firstRowFirstColumn="0" w:firstRowLastColumn="0" w:lastRowFirstColumn="0" w:lastRowLastColumn="0"/>
              <w:rPr>
                <w:rFonts w:ascii="Calibri" w:hAnsi="Calibri" w:cs="Calibri"/>
                <w:color w:val="FF0000"/>
                <w:sz w:val="24"/>
                <w:szCs w:val="24"/>
              </w:rPr>
            </w:pPr>
            <w:r w:rsidRPr="00FF50CD">
              <w:rPr>
                <w:rFonts w:ascii="Calibri" w:hAnsi="Calibri" w:cs="Calibri"/>
                <w:sz w:val="24"/>
                <w:szCs w:val="24"/>
              </w:rPr>
              <w:t>(Polska) powiat Świnoujście</w:t>
            </w:r>
          </w:p>
        </w:tc>
      </w:tr>
    </w:tbl>
    <w:p w14:paraId="66EFE0A1" w14:textId="77777777" w:rsidR="00953978" w:rsidRPr="00D52234" w:rsidRDefault="00953978" w:rsidP="00597239">
      <w:pPr>
        <w:spacing w:after="0" w:line="276" w:lineRule="auto"/>
        <w:rPr>
          <w:rFonts w:ascii="Calibri" w:hAnsi="Calibri" w:cs="Calibri"/>
          <w:color w:val="FF0000"/>
          <w:sz w:val="24"/>
          <w:szCs w:val="24"/>
        </w:rPr>
      </w:pPr>
    </w:p>
    <w:p w14:paraId="1FDA628B" w14:textId="77777777" w:rsidR="00953978" w:rsidRDefault="00953978" w:rsidP="00597239">
      <w:pPr>
        <w:spacing w:after="0"/>
        <w:rPr>
          <w:i/>
          <w:iCs/>
          <w:color w:val="000000" w:themeColor="text1"/>
          <w:sz w:val="24"/>
          <w:szCs w:val="24"/>
        </w:rPr>
      </w:pPr>
    </w:p>
    <w:p w14:paraId="4BF8D698" w14:textId="1F4DD7CA" w:rsidR="00890579" w:rsidRDefault="00890579" w:rsidP="00597239">
      <w:pPr>
        <w:rPr>
          <w:color w:val="000000" w:themeColor="text1"/>
          <w:sz w:val="24"/>
          <w:szCs w:val="24"/>
        </w:rPr>
      </w:pPr>
      <w:r>
        <w:rPr>
          <w:color w:val="000000" w:themeColor="text1"/>
          <w:sz w:val="24"/>
          <w:szCs w:val="24"/>
        </w:rPr>
        <w:br w:type="page"/>
      </w:r>
    </w:p>
    <w:p w14:paraId="66CD4A8A" w14:textId="1836571F" w:rsidR="00890579" w:rsidRPr="00890579" w:rsidRDefault="00890579" w:rsidP="00597239">
      <w:pPr>
        <w:spacing w:after="0"/>
        <w:rPr>
          <w:color w:val="000000" w:themeColor="text1"/>
          <w:sz w:val="24"/>
          <w:szCs w:val="24"/>
        </w:rPr>
      </w:pPr>
      <w:r>
        <w:rPr>
          <w:noProof/>
        </w:rPr>
        <w:lastRenderedPageBreak/>
        <mc:AlternateContent>
          <mc:Choice Requires="wps">
            <w:drawing>
              <wp:anchor distT="0" distB="0" distL="114300" distR="114300" simplePos="0" relativeHeight="251687936" behindDoc="0" locked="0" layoutInCell="1" allowOverlap="1" wp14:anchorId="53430B2C" wp14:editId="2C863087">
                <wp:simplePos x="0" y="0"/>
                <wp:positionH relativeFrom="margin">
                  <wp:align>right</wp:align>
                </wp:positionH>
                <wp:positionV relativeFrom="paragraph">
                  <wp:posOffset>7463508</wp:posOffset>
                </wp:positionV>
                <wp:extent cx="914400" cy="914400"/>
                <wp:effectExtent l="0" t="0" r="0" b="0"/>
                <wp:wrapNone/>
                <wp:docPr id="645451639" name="Pole tekstowe 10"/>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0A539DF" w14:textId="25DEE0AD" w:rsidR="00890579" w:rsidRPr="00761314" w:rsidRDefault="00890579" w:rsidP="00890579">
                            <w:pPr>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Pr>
                                <w:highlight w:val="lightGray"/>
                              </w:rPr>
                              <w:br w:type="page"/>
                            </w: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Chemikalia i kosmetyki</w:t>
                            </w:r>
                          </w:p>
                          <w:p w14:paraId="1A177AF8" w14:textId="77777777" w:rsidR="00890579" w:rsidRDefault="0089057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430B2C" id="Pole tekstowe 10" o:spid="_x0000_s1032" type="#_x0000_t202" style="position:absolute;margin-left:20.8pt;margin-top:587.7pt;width:1in;height:1in;z-index:2516879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" fillcolor="#a5a5a5 [3206]" stroked="f">
                <v:fill opacity="32896f"/>
                <v:textbox>
                  <w:txbxContent>
                    <w:p w14:paraId="40A539DF" w14:textId="25DEE0AD" w:rsidR="00890579" w:rsidRPr="00761314" w:rsidRDefault="00890579" w:rsidP="00890579">
                      <w:pPr>
                        <w:jc w:val="center"/>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pPr>
                      <w:r>
                        <w:rPr>
                          <w:highlight w:val="lightGray"/>
                        </w:rPr>
                        <w:br w:type="page"/>
                      </w: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Chemikalia i kosmetyki</w:t>
                      </w:r>
                    </w:p>
                    <w:p w14:paraId="1A177AF8" w14:textId="77777777" w:rsidR="00890579" w:rsidRDefault="00890579"/>
                  </w:txbxContent>
                </v:textbox>
                <w10:wrap anchorx="margin"/>
              </v:shape>
            </w:pict>
          </mc:Fallback>
        </mc:AlternateContent>
      </w:r>
      <w:r>
        <w:rPr>
          <w:noProof/>
        </w:rPr>
        <w:drawing>
          <wp:anchor distT="0" distB="0" distL="114300" distR="114300" simplePos="0" relativeHeight="251686912" behindDoc="0" locked="0" layoutInCell="1" allowOverlap="1" wp14:anchorId="2F451EF5" wp14:editId="7984DD53">
            <wp:simplePos x="0" y="0"/>
            <wp:positionH relativeFrom="margin">
              <wp:posOffset>-253365</wp:posOffset>
            </wp:positionH>
            <wp:positionV relativeFrom="paragraph">
              <wp:posOffset>222250</wp:posOffset>
            </wp:positionV>
            <wp:extent cx="6264000" cy="8352000"/>
            <wp:effectExtent l="0" t="0" r="3810" b="0"/>
            <wp:wrapSquare wrapText="bothSides"/>
            <wp:docPr id="43959218" name="Obraz 9" descr="Zdjęcie przedstawia moment kontroli chemikaliów na taśmie produkcyjn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59218" name="Obraz 9" descr="Zdjęcie przedstawia moment kontroli chemikaliów na taśmie produkcyjnej."/>
                    <pic:cNvPicPr/>
                  </pic:nvPicPr>
                  <pic:blipFill>
                    <a:blip r:embed="rId42">
                      <a:alphaModFix amt="80000"/>
                      <a:extLst>
                        <a:ext uri="{28A0092B-C50C-407E-A947-70E740481C1C}">
                          <a14:useLocalDpi xmlns:a14="http://schemas.microsoft.com/office/drawing/2010/main" val="0"/>
                        </a:ext>
                      </a:extLst>
                    </a:blip>
                    <a:stretch>
                      <a:fillRect/>
                    </a:stretch>
                  </pic:blipFill>
                  <pic:spPr>
                    <a:xfrm>
                      <a:off x="0" y="0"/>
                      <a:ext cx="6264000" cy="8352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bookmarkStart w:id="396" w:name="_Toc193694471"/>
    </w:p>
    <w:p w14:paraId="555A0B89" w14:textId="6CB17FB3" w:rsidR="00953978" w:rsidRPr="00890579" w:rsidRDefault="00953978" w:rsidP="00597239">
      <w:pPr>
        <w:rPr>
          <w:highlight w:val="lightGray"/>
        </w:rPr>
      </w:pPr>
    </w:p>
    <w:p w14:paraId="31DF124C" w14:textId="5D7233C1" w:rsidR="005F1DB2" w:rsidRPr="00ED5F8C" w:rsidRDefault="005F1DB2" w:rsidP="00597239">
      <w:pPr>
        <w:pStyle w:val="Nagwek1"/>
        <w:numPr>
          <w:ilvl w:val="0"/>
          <w:numId w:val="84"/>
        </w:numPr>
        <w:spacing w:before="0" w:after="0"/>
        <w:ind w:left="0" w:firstLine="0"/>
        <w:jc w:val="left"/>
      </w:pPr>
      <w:bookmarkStart w:id="397" w:name="_Toc194059861"/>
      <w:r w:rsidRPr="00316D2C">
        <w:lastRenderedPageBreak/>
        <w:t>N</w:t>
      </w:r>
      <w:bookmarkEnd w:id="396"/>
      <w:r w:rsidR="00316D2C" w:rsidRPr="00316D2C">
        <w:t>adzór nad Chemikaliami</w:t>
      </w:r>
      <w:bookmarkEnd w:id="397"/>
    </w:p>
    <w:p w14:paraId="52245B8D" w14:textId="376A99A6" w:rsidR="005F1DB2" w:rsidRDefault="005F1DB2" w:rsidP="00597239">
      <w:pPr>
        <w:spacing w:after="0" w:line="276" w:lineRule="auto"/>
        <w:rPr>
          <w:rFonts w:cstheme="minorHAnsi"/>
          <w:bCs/>
          <w:sz w:val="24"/>
          <w:szCs w:val="24"/>
        </w:rPr>
      </w:pPr>
      <w:r w:rsidRPr="0067775B">
        <w:rPr>
          <w:rFonts w:cstheme="minorHAnsi"/>
          <w:bCs/>
          <w:sz w:val="24"/>
          <w:szCs w:val="24"/>
        </w:rPr>
        <w:t>Nadzór nad chemikaliami to nadzór nad substancjami chemicznymi, ich mieszaninami oraz wyrobami w zakresie ich produkcji, importu i eksportu oraz wprowadzania do obrotu. To</w:t>
      </w:r>
      <w:r w:rsidR="007B1BEB">
        <w:rPr>
          <w:rFonts w:cstheme="minorHAnsi"/>
          <w:bCs/>
          <w:sz w:val="24"/>
          <w:szCs w:val="24"/>
        </w:rPr>
        <w:t> </w:t>
      </w:r>
      <w:r w:rsidRPr="0067775B">
        <w:rPr>
          <w:rFonts w:cstheme="minorHAnsi"/>
          <w:bCs/>
          <w:sz w:val="24"/>
          <w:szCs w:val="24"/>
        </w:rPr>
        <w:t xml:space="preserve">również nadzór nad produktami kosmetycznymi, a także działania w zakresie przeciwdziałania wytwarzaniu lub wprowadzaniu do obrotu środków zastępczych. </w:t>
      </w:r>
    </w:p>
    <w:p w14:paraId="72604F69" w14:textId="77777777" w:rsidR="00D6619C" w:rsidRPr="00B1708A" w:rsidRDefault="00D6619C" w:rsidP="00597239">
      <w:pPr>
        <w:spacing w:after="0" w:line="276" w:lineRule="auto"/>
        <w:rPr>
          <w:rFonts w:cstheme="minorHAnsi"/>
          <w:bCs/>
          <w:sz w:val="24"/>
          <w:szCs w:val="24"/>
        </w:rPr>
      </w:pPr>
    </w:p>
    <w:p w14:paraId="57D91FCA" w14:textId="192EDEF1" w:rsidR="005F1DB2" w:rsidRPr="0067775B" w:rsidRDefault="005F1DB2" w:rsidP="00597239">
      <w:pPr>
        <w:pStyle w:val="Nagwek2"/>
        <w:numPr>
          <w:ilvl w:val="0"/>
          <w:numId w:val="35"/>
        </w:numPr>
        <w:spacing w:before="0" w:after="0"/>
        <w:ind w:left="284" w:hanging="284"/>
        <w:jc w:val="left"/>
      </w:pPr>
      <w:bookmarkStart w:id="398" w:name="_Toc194059862"/>
      <w:r w:rsidRPr="0067775B">
        <w:t>Substancje chemiczne i ich mieszaniny</w:t>
      </w:r>
      <w:bookmarkEnd w:id="398"/>
      <w:r w:rsidRPr="0067775B">
        <w:t xml:space="preserve"> </w:t>
      </w:r>
    </w:p>
    <w:p w14:paraId="3FA573FB" w14:textId="75C217FF" w:rsidR="005F1DB2" w:rsidRPr="0067775B" w:rsidRDefault="005F1DB2" w:rsidP="00597239">
      <w:pPr>
        <w:spacing w:after="0" w:line="276" w:lineRule="auto"/>
        <w:rPr>
          <w:rFonts w:cstheme="minorHAnsi"/>
          <w:sz w:val="24"/>
          <w:szCs w:val="24"/>
        </w:rPr>
      </w:pPr>
      <w:r w:rsidRPr="0067775B">
        <w:rPr>
          <w:rFonts w:cstheme="minorHAnsi"/>
          <w:sz w:val="24"/>
          <w:szCs w:val="24"/>
        </w:rPr>
        <w:t>Nadzór nad bezpieczeństwem wytwarzania substancji chemicznych i ich mieszanin oraz wprowadzaniem ich do obrotu realizowany jest głównie w oparciu przepisy wspólnotowe, tj.</w:t>
      </w:r>
      <w:r w:rsidR="007B1BEB">
        <w:rPr>
          <w:rFonts w:cstheme="minorHAnsi"/>
          <w:sz w:val="24"/>
          <w:szCs w:val="24"/>
        </w:rPr>
        <w:t> </w:t>
      </w:r>
      <w:r w:rsidRPr="0067775B">
        <w:rPr>
          <w:rFonts w:cstheme="minorHAnsi"/>
          <w:sz w:val="24"/>
          <w:szCs w:val="24"/>
        </w:rPr>
        <w:t>rozporządzenie Parlamentu Europejskiego i Rady (WE) Nr 1907/2006 w sprawie rejestracji, oceny, udzielania zezwoleń i stosowanych ograniczeń w zakresie chemikaliów (REACH) oraz</w:t>
      </w:r>
      <w:r w:rsidR="007B1BEB">
        <w:rPr>
          <w:rFonts w:cstheme="minorHAnsi"/>
          <w:sz w:val="24"/>
          <w:szCs w:val="24"/>
        </w:rPr>
        <w:t> </w:t>
      </w:r>
      <w:r w:rsidRPr="0067775B">
        <w:rPr>
          <w:rFonts w:cstheme="minorHAnsi"/>
          <w:sz w:val="24"/>
          <w:szCs w:val="24"/>
        </w:rPr>
        <w:t>rozporządzenie nr 1272/2008 w sprawie klasyfikacji, oznakowania i pakowania substancji i</w:t>
      </w:r>
      <w:r w:rsidR="007B1BEB">
        <w:rPr>
          <w:rFonts w:cstheme="minorHAnsi"/>
          <w:sz w:val="24"/>
          <w:szCs w:val="24"/>
        </w:rPr>
        <w:t> </w:t>
      </w:r>
      <w:r w:rsidRPr="0067775B">
        <w:rPr>
          <w:rFonts w:cstheme="minorHAnsi"/>
          <w:sz w:val="24"/>
          <w:szCs w:val="24"/>
        </w:rPr>
        <w:t xml:space="preserve">mieszanin (CLP). W 2024 roku przeprowadzono 119 kontroli, w 98 podmiotach w zakresie spełnienia wymogów rozporządzenia REACH oraz w 42 podmiotach w zakresie CLP, w tym: producentów, importerów, dystrybutorów i dalszych użytkowników. Nieprawidłowości stwierdzono w 17 podmiotach (17 %). Podmioty te zostały zobowiązane do ich usunięcia. </w:t>
      </w:r>
    </w:p>
    <w:p w14:paraId="505BB0CA" w14:textId="77777777" w:rsidR="00F36FBD" w:rsidRDefault="00F36FBD" w:rsidP="00597239">
      <w:pPr>
        <w:spacing w:after="0" w:line="276" w:lineRule="auto"/>
        <w:rPr>
          <w:rFonts w:cstheme="minorHAnsi"/>
          <w:sz w:val="24"/>
          <w:szCs w:val="24"/>
        </w:rPr>
      </w:pPr>
    </w:p>
    <w:p w14:paraId="495F37BA" w14:textId="79C331D5" w:rsidR="005F1DB2" w:rsidRPr="0067775B" w:rsidRDefault="005F1DB2" w:rsidP="00597239">
      <w:pPr>
        <w:spacing w:after="0" w:line="276" w:lineRule="auto"/>
        <w:rPr>
          <w:rFonts w:cstheme="minorHAnsi"/>
          <w:sz w:val="24"/>
          <w:szCs w:val="24"/>
        </w:rPr>
      </w:pPr>
      <w:r w:rsidRPr="0067775B">
        <w:rPr>
          <w:rFonts w:cstheme="minorHAnsi"/>
          <w:sz w:val="24"/>
          <w:szCs w:val="24"/>
        </w:rPr>
        <w:t>Najczęstszymi nieprawidłowościami, w zakresie substancji chemicznych i ich mieszanin, były:</w:t>
      </w:r>
    </w:p>
    <w:p w14:paraId="64E9C8B7" w14:textId="77777777" w:rsidR="005F1DB2" w:rsidRPr="0067775B" w:rsidRDefault="005F1DB2" w:rsidP="00597239">
      <w:pPr>
        <w:pStyle w:val="Akapitzlist"/>
        <w:numPr>
          <w:ilvl w:val="0"/>
          <w:numId w:val="30"/>
        </w:numPr>
        <w:spacing w:after="0" w:line="276" w:lineRule="auto"/>
        <w:rPr>
          <w:rFonts w:cstheme="minorHAnsi"/>
          <w:sz w:val="24"/>
          <w:szCs w:val="24"/>
        </w:rPr>
      </w:pPr>
      <w:r w:rsidRPr="0067775B">
        <w:rPr>
          <w:rFonts w:cstheme="minorHAnsi"/>
          <w:sz w:val="24"/>
          <w:szCs w:val="24"/>
        </w:rPr>
        <w:t>brak lub niezgodnie z wymogami prawa karty charakterystyki,</w:t>
      </w:r>
    </w:p>
    <w:p w14:paraId="77C5EEC4" w14:textId="77777777" w:rsidR="005F1DB2" w:rsidRPr="0067775B" w:rsidRDefault="005F1DB2" w:rsidP="00597239">
      <w:pPr>
        <w:pStyle w:val="Akapitzlist"/>
        <w:numPr>
          <w:ilvl w:val="0"/>
          <w:numId w:val="30"/>
        </w:numPr>
        <w:spacing w:after="0" w:line="276" w:lineRule="auto"/>
        <w:rPr>
          <w:rFonts w:cstheme="minorHAnsi"/>
          <w:sz w:val="24"/>
          <w:szCs w:val="24"/>
        </w:rPr>
      </w:pPr>
      <w:r w:rsidRPr="0067775B">
        <w:rPr>
          <w:rFonts w:cstheme="minorHAnsi"/>
          <w:sz w:val="24"/>
          <w:szCs w:val="24"/>
        </w:rPr>
        <w:t>niewłaściwa klasyfikacja mieszanin chemicznych,</w:t>
      </w:r>
    </w:p>
    <w:p w14:paraId="7F65D0AE" w14:textId="77777777" w:rsidR="005F1DB2" w:rsidRPr="0067775B" w:rsidRDefault="005F1DB2" w:rsidP="00597239">
      <w:pPr>
        <w:pStyle w:val="Akapitzlist"/>
        <w:numPr>
          <w:ilvl w:val="0"/>
          <w:numId w:val="30"/>
        </w:numPr>
        <w:spacing w:after="0" w:line="276" w:lineRule="auto"/>
        <w:rPr>
          <w:rFonts w:cstheme="minorHAnsi"/>
          <w:sz w:val="24"/>
          <w:szCs w:val="24"/>
        </w:rPr>
      </w:pPr>
      <w:r w:rsidRPr="0067775B">
        <w:rPr>
          <w:rFonts w:cstheme="minorHAnsi"/>
          <w:sz w:val="24"/>
          <w:szCs w:val="24"/>
        </w:rPr>
        <w:t>brak etykiet w języku polskim,</w:t>
      </w:r>
    </w:p>
    <w:p w14:paraId="0003B09B" w14:textId="77777777" w:rsidR="005F1DB2" w:rsidRPr="0067775B" w:rsidRDefault="005F1DB2" w:rsidP="00597239">
      <w:pPr>
        <w:pStyle w:val="Akapitzlist"/>
        <w:numPr>
          <w:ilvl w:val="0"/>
          <w:numId w:val="30"/>
        </w:numPr>
        <w:spacing w:after="0" w:line="276" w:lineRule="auto"/>
        <w:rPr>
          <w:rFonts w:cstheme="minorHAnsi"/>
          <w:sz w:val="24"/>
          <w:szCs w:val="24"/>
        </w:rPr>
      </w:pPr>
      <w:r w:rsidRPr="0067775B">
        <w:rPr>
          <w:rFonts w:cstheme="minorHAnsi"/>
          <w:sz w:val="24"/>
          <w:szCs w:val="24"/>
        </w:rPr>
        <w:t xml:space="preserve">niezgodne z prawem oznakowanie. </w:t>
      </w:r>
    </w:p>
    <w:p w14:paraId="56D6C9BA" w14:textId="43E36B1B" w:rsidR="005F1DB2" w:rsidRDefault="005F1DB2" w:rsidP="00597239">
      <w:pPr>
        <w:spacing w:after="0" w:line="276" w:lineRule="auto"/>
        <w:rPr>
          <w:rFonts w:cstheme="minorHAnsi"/>
          <w:sz w:val="24"/>
          <w:szCs w:val="24"/>
        </w:rPr>
      </w:pPr>
      <w:r w:rsidRPr="0067775B">
        <w:rPr>
          <w:rFonts w:cstheme="minorHAnsi"/>
          <w:sz w:val="24"/>
          <w:szCs w:val="24"/>
        </w:rPr>
        <w:t>W 2024 r. organy Państwowej Inspekcji Sanitarnej uczestniczyły we wspólnotowym projekcie REACH-EN-FORCE-12, który obejmował sprawdzenie zgodności importowanych substancji, mieszanin i wyrobów z wymogami rozporządzenia REACH w zakresie rejestracji. W ramach projektu skontrolowano 6 importerów z terenu województwa zachodniopomorskiego, a</w:t>
      </w:r>
      <w:r w:rsidR="007B1BEB">
        <w:rPr>
          <w:rFonts w:cstheme="minorHAnsi"/>
          <w:sz w:val="24"/>
          <w:szCs w:val="24"/>
        </w:rPr>
        <w:t> </w:t>
      </w:r>
      <w:r w:rsidRPr="0067775B">
        <w:rPr>
          <w:rFonts w:cstheme="minorHAnsi"/>
          <w:sz w:val="24"/>
          <w:szCs w:val="24"/>
        </w:rPr>
        <w:t>ocenie poddano 12 importowanych produktów chemicznych. Nie stwierdzono nieprawidłowości.</w:t>
      </w:r>
    </w:p>
    <w:p w14:paraId="7D115A8B" w14:textId="77777777" w:rsidR="00D6619C" w:rsidRPr="0067775B" w:rsidRDefault="00D6619C" w:rsidP="00597239">
      <w:pPr>
        <w:spacing w:after="0" w:line="276" w:lineRule="auto"/>
        <w:rPr>
          <w:rFonts w:cstheme="minorHAnsi"/>
          <w:sz w:val="24"/>
          <w:szCs w:val="24"/>
        </w:rPr>
      </w:pPr>
    </w:p>
    <w:p w14:paraId="0905D813" w14:textId="26165CE2" w:rsidR="005F1DB2" w:rsidRPr="0067775B" w:rsidRDefault="005F1DB2" w:rsidP="00597239">
      <w:pPr>
        <w:pStyle w:val="Nagwek2"/>
        <w:numPr>
          <w:ilvl w:val="0"/>
          <w:numId w:val="35"/>
        </w:numPr>
        <w:spacing w:before="0" w:after="0"/>
        <w:ind w:left="284" w:hanging="284"/>
        <w:jc w:val="left"/>
      </w:pPr>
      <w:bookmarkStart w:id="399" w:name="_Toc194059863"/>
      <w:r w:rsidRPr="0067775B">
        <w:t>Produkty biobójcze</w:t>
      </w:r>
      <w:bookmarkEnd w:id="399"/>
      <w:r w:rsidRPr="0067775B">
        <w:t xml:space="preserve"> </w:t>
      </w:r>
    </w:p>
    <w:p w14:paraId="403F177C" w14:textId="5C56F9FE" w:rsidR="005F1DB2" w:rsidRDefault="005F1DB2" w:rsidP="00597239">
      <w:pPr>
        <w:pStyle w:val="Tekstpodstawowy3"/>
        <w:spacing w:line="276" w:lineRule="auto"/>
        <w:jc w:val="left"/>
        <w:rPr>
          <w:rFonts w:asciiTheme="minorHAnsi" w:hAnsiTheme="minorHAnsi" w:cstheme="minorHAnsi"/>
          <w:szCs w:val="24"/>
        </w:rPr>
      </w:pPr>
      <w:r w:rsidRPr="0067775B">
        <w:rPr>
          <w:rFonts w:asciiTheme="minorHAnsi" w:hAnsiTheme="minorHAnsi" w:cstheme="minorHAnsi"/>
          <w:szCs w:val="24"/>
        </w:rPr>
        <w:t xml:space="preserve">W zakresie wprowadzania do obrotu oraz udostępniania na rynku produktów biobójczych przeprowadzono 243 kontrole, w których oceniono 527 produktów oraz 57 kontroli z zakresu stosowania produktów biobójczych w działalności zawodowej, w których oceniono 94 produkty. W związku ze stwierdzeniem naruszenia przepisów wycofano 5 produktów z obrotu i nakazano zaprzestania udostępniania na rynku 2 produktów zawierających w swoim składzie substancję czynną </w:t>
      </w:r>
      <w:proofErr w:type="spellStart"/>
      <w:r w:rsidRPr="0067775B">
        <w:rPr>
          <w:rFonts w:asciiTheme="minorHAnsi" w:hAnsiTheme="minorHAnsi" w:cstheme="minorHAnsi"/>
          <w:szCs w:val="24"/>
        </w:rPr>
        <w:t>bromadiolon</w:t>
      </w:r>
      <w:proofErr w:type="spellEnd"/>
      <w:r w:rsidRPr="0067775B">
        <w:rPr>
          <w:rFonts w:asciiTheme="minorHAnsi" w:hAnsiTheme="minorHAnsi" w:cstheme="minorHAnsi"/>
          <w:szCs w:val="24"/>
        </w:rPr>
        <w:t xml:space="preserve"> odbiorcom nieprofesjonalnym. Ponadto zobowiązano przedsiębiorców do zaprzestania stosowania w działalności zawodowej 6 produktów po</w:t>
      </w:r>
      <w:r w:rsidR="007B1BEB">
        <w:rPr>
          <w:rFonts w:asciiTheme="minorHAnsi" w:hAnsiTheme="minorHAnsi" w:cstheme="minorHAnsi"/>
          <w:szCs w:val="24"/>
        </w:rPr>
        <w:t> </w:t>
      </w:r>
      <w:r w:rsidRPr="0067775B">
        <w:rPr>
          <w:rFonts w:asciiTheme="minorHAnsi" w:hAnsiTheme="minorHAnsi" w:cstheme="minorHAnsi"/>
          <w:szCs w:val="24"/>
        </w:rPr>
        <w:t>upływie terminu ważności.</w:t>
      </w:r>
    </w:p>
    <w:p w14:paraId="6CB9AEFF" w14:textId="77777777" w:rsidR="00D6619C" w:rsidRPr="0067775B" w:rsidRDefault="00D6619C" w:rsidP="00597239">
      <w:pPr>
        <w:pStyle w:val="Tekstpodstawowy3"/>
        <w:spacing w:line="276" w:lineRule="auto"/>
        <w:jc w:val="left"/>
        <w:rPr>
          <w:rFonts w:asciiTheme="minorHAnsi" w:hAnsiTheme="minorHAnsi" w:cstheme="minorHAnsi"/>
          <w:szCs w:val="24"/>
        </w:rPr>
      </w:pPr>
    </w:p>
    <w:p w14:paraId="4F74CDEE" w14:textId="78B1561A" w:rsidR="005F1DB2" w:rsidRPr="0067775B" w:rsidRDefault="005F1DB2" w:rsidP="00597239">
      <w:pPr>
        <w:pStyle w:val="Tekstpodstawowy3"/>
        <w:spacing w:line="276" w:lineRule="auto"/>
        <w:jc w:val="left"/>
        <w:rPr>
          <w:rFonts w:asciiTheme="minorHAnsi" w:hAnsiTheme="minorHAnsi" w:cstheme="minorHAnsi"/>
          <w:szCs w:val="24"/>
        </w:rPr>
      </w:pPr>
      <w:r w:rsidRPr="0067775B">
        <w:rPr>
          <w:rFonts w:asciiTheme="minorHAnsi" w:hAnsiTheme="minorHAnsi" w:cstheme="minorHAnsi"/>
          <w:szCs w:val="24"/>
        </w:rPr>
        <w:lastRenderedPageBreak/>
        <w:t>W roku 2024 nadzór nad produktami biobójczymi w znacznej mierze skupiał się na kontroli dystrybucji chemii basenowej i produktów przeznaczonych do zabiegów deratyzacji i</w:t>
      </w:r>
      <w:r w:rsidR="007B1BEB">
        <w:rPr>
          <w:rFonts w:asciiTheme="minorHAnsi" w:hAnsiTheme="minorHAnsi" w:cstheme="minorHAnsi"/>
          <w:szCs w:val="24"/>
        </w:rPr>
        <w:t> </w:t>
      </w:r>
      <w:r w:rsidRPr="0067775B">
        <w:rPr>
          <w:rFonts w:asciiTheme="minorHAnsi" w:hAnsiTheme="minorHAnsi" w:cstheme="minorHAnsi"/>
          <w:szCs w:val="24"/>
        </w:rPr>
        <w:t>dezynsekcji. W ramach akcji przeprowadzono 167 kontroli dystrybutorów stacjonarnych oraz dokonano przeglądu ofert 31 dystrybutorów sprzedaży internetowej. Z ocenionych 444 produktów zakwestionowano 38. W ramach akcji przeprowadzono również 18 kontroli u</w:t>
      </w:r>
      <w:r w:rsidR="00F36FBD">
        <w:rPr>
          <w:rFonts w:asciiTheme="minorHAnsi" w:hAnsiTheme="minorHAnsi" w:cstheme="minorHAnsi"/>
          <w:szCs w:val="24"/>
        </w:rPr>
        <w:t> </w:t>
      </w:r>
      <w:r w:rsidRPr="0067775B">
        <w:rPr>
          <w:rFonts w:asciiTheme="minorHAnsi" w:hAnsiTheme="minorHAnsi" w:cstheme="minorHAnsi"/>
          <w:szCs w:val="24"/>
        </w:rPr>
        <w:t>stosujących produkty przeznaczone do zabiegów deratyzacji i dezynsekcji w działalności zawodowej oceniając w ich trakcie 70 produktów. Działania kontrolne ukierunkowane były w</w:t>
      </w:r>
      <w:r w:rsidR="007B1BEB">
        <w:rPr>
          <w:rFonts w:asciiTheme="minorHAnsi" w:hAnsiTheme="minorHAnsi" w:cstheme="minorHAnsi"/>
          <w:szCs w:val="24"/>
        </w:rPr>
        <w:t> </w:t>
      </w:r>
      <w:r w:rsidRPr="0067775B">
        <w:rPr>
          <w:rFonts w:asciiTheme="minorHAnsi" w:hAnsiTheme="minorHAnsi" w:cstheme="minorHAnsi"/>
          <w:szCs w:val="24"/>
        </w:rPr>
        <w:t>szczególności na sprawdzenie:</w:t>
      </w:r>
    </w:p>
    <w:p w14:paraId="4F0D1427" w14:textId="77777777" w:rsidR="005F1DB2" w:rsidRPr="0067775B" w:rsidRDefault="005F1DB2" w:rsidP="00597239">
      <w:pPr>
        <w:pStyle w:val="Tekstpodstawowy3"/>
        <w:numPr>
          <w:ilvl w:val="0"/>
          <w:numId w:val="31"/>
        </w:numPr>
        <w:spacing w:line="276" w:lineRule="auto"/>
        <w:ind w:left="709"/>
        <w:jc w:val="left"/>
        <w:rPr>
          <w:rFonts w:asciiTheme="minorHAnsi" w:hAnsiTheme="minorHAnsi" w:cstheme="minorHAnsi"/>
          <w:szCs w:val="24"/>
        </w:rPr>
      </w:pPr>
      <w:r w:rsidRPr="0067775B">
        <w:rPr>
          <w:rFonts w:asciiTheme="minorHAnsi" w:hAnsiTheme="minorHAnsi" w:cstheme="minorHAnsi"/>
          <w:szCs w:val="24"/>
        </w:rPr>
        <w:t>posiadania oraz ważności pozwolenia na obrót produktem biobójczym,</w:t>
      </w:r>
    </w:p>
    <w:p w14:paraId="43CAFD33" w14:textId="77777777" w:rsidR="005F1DB2" w:rsidRPr="0067775B" w:rsidRDefault="005F1DB2" w:rsidP="00597239">
      <w:pPr>
        <w:pStyle w:val="Tekstpodstawowy3"/>
        <w:numPr>
          <w:ilvl w:val="0"/>
          <w:numId w:val="31"/>
        </w:numPr>
        <w:spacing w:line="276" w:lineRule="auto"/>
        <w:ind w:left="709"/>
        <w:jc w:val="left"/>
        <w:rPr>
          <w:rFonts w:asciiTheme="minorHAnsi" w:hAnsiTheme="minorHAnsi" w:cstheme="minorHAnsi"/>
          <w:szCs w:val="24"/>
        </w:rPr>
      </w:pPr>
      <w:r w:rsidRPr="0067775B">
        <w:rPr>
          <w:rFonts w:asciiTheme="minorHAnsi" w:hAnsiTheme="minorHAnsi" w:cstheme="minorHAnsi"/>
          <w:szCs w:val="24"/>
        </w:rPr>
        <w:t>zgodności przeznaczenia z danymi w pozwoleniu,</w:t>
      </w:r>
    </w:p>
    <w:p w14:paraId="5D606FFB" w14:textId="77777777" w:rsidR="005F1DB2" w:rsidRPr="0067775B" w:rsidRDefault="005F1DB2" w:rsidP="00597239">
      <w:pPr>
        <w:pStyle w:val="Tekstpodstawowy3"/>
        <w:numPr>
          <w:ilvl w:val="0"/>
          <w:numId w:val="31"/>
        </w:numPr>
        <w:spacing w:line="276" w:lineRule="auto"/>
        <w:ind w:left="709"/>
        <w:jc w:val="left"/>
        <w:rPr>
          <w:rFonts w:asciiTheme="minorHAnsi" w:hAnsiTheme="minorHAnsi" w:cstheme="minorHAnsi"/>
          <w:szCs w:val="24"/>
        </w:rPr>
      </w:pPr>
      <w:r w:rsidRPr="0067775B">
        <w:rPr>
          <w:rFonts w:asciiTheme="minorHAnsi" w:hAnsiTheme="minorHAnsi" w:cstheme="minorHAnsi"/>
          <w:szCs w:val="24"/>
        </w:rPr>
        <w:t>rodzaju substancji czynnej oraz jej stężenia w produkcie biobójczym,</w:t>
      </w:r>
    </w:p>
    <w:p w14:paraId="57B4E3F2" w14:textId="77777777" w:rsidR="005F1DB2" w:rsidRPr="0067775B" w:rsidRDefault="005F1DB2" w:rsidP="00597239">
      <w:pPr>
        <w:pStyle w:val="Tekstpodstawowy3"/>
        <w:numPr>
          <w:ilvl w:val="0"/>
          <w:numId w:val="31"/>
        </w:numPr>
        <w:spacing w:line="276" w:lineRule="auto"/>
        <w:ind w:left="709"/>
        <w:jc w:val="left"/>
        <w:rPr>
          <w:rFonts w:asciiTheme="minorHAnsi" w:hAnsiTheme="minorHAnsi" w:cstheme="minorHAnsi"/>
          <w:szCs w:val="24"/>
        </w:rPr>
      </w:pPr>
      <w:r w:rsidRPr="0067775B">
        <w:rPr>
          <w:rFonts w:asciiTheme="minorHAnsi" w:hAnsiTheme="minorHAnsi" w:cstheme="minorHAnsi"/>
          <w:szCs w:val="24"/>
        </w:rPr>
        <w:t>karty charakterystyki oraz oznakowania opakowań produktów biobójczych.</w:t>
      </w:r>
    </w:p>
    <w:p w14:paraId="0F92B7C2" w14:textId="26691D2F" w:rsidR="005F1DB2" w:rsidRDefault="005F1DB2" w:rsidP="00597239">
      <w:pPr>
        <w:pStyle w:val="Legenda"/>
        <w:spacing w:after="0" w:line="276" w:lineRule="auto"/>
        <w:rPr>
          <w:rFonts w:cstheme="minorHAnsi"/>
          <w:i w:val="0"/>
          <w:iCs w:val="0"/>
          <w:color w:val="auto"/>
          <w:sz w:val="24"/>
          <w:szCs w:val="24"/>
        </w:rPr>
      </w:pPr>
      <w:bookmarkStart w:id="400" w:name="_Toc1025567"/>
      <w:r w:rsidRPr="007C4279">
        <w:rPr>
          <w:rFonts w:cstheme="minorHAnsi"/>
          <w:i w:val="0"/>
          <w:iCs w:val="0"/>
          <w:color w:val="auto"/>
          <w:sz w:val="24"/>
          <w:szCs w:val="24"/>
        </w:rPr>
        <w:t xml:space="preserve">W związku z serią zatruć środkami ochrony roślin zawierającymi w swym składzie substancję czynną fosforek </w:t>
      </w:r>
      <w:proofErr w:type="spellStart"/>
      <w:r w:rsidRPr="007C4279">
        <w:rPr>
          <w:rFonts w:cstheme="minorHAnsi"/>
          <w:i w:val="0"/>
          <w:iCs w:val="0"/>
          <w:color w:val="auto"/>
          <w:sz w:val="24"/>
          <w:szCs w:val="24"/>
        </w:rPr>
        <w:t>glinu</w:t>
      </w:r>
      <w:proofErr w:type="spellEnd"/>
      <w:r w:rsidRPr="007C4279">
        <w:rPr>
          <w:rFonts w:cstheme="minorHAnsi"/>
          <w:i w:val="0"/>
          <w:iCs w:val="0"/>
          <w:color w:val="auto"/>
          <w:sz w:val="24"/>
          <w:szCs w:val="24"/>
        </w:rPr>
        <w:t xml:space="preserve">, przeprowadzono działania kontrolne obejmujące produkty biobójcze zawierające w składzie fosforek </w:t>
      </w:r>
      <w:proofErr w:type="spellStart"/>
      <w:r w:rsidRPr="007C4279">
        <w:rPr>
          <w:rFonts w:cstheme="minorHAnsi"/>
          <w:i w:val="0"/>
          <w:iCs w:val="0"/>
          <w:color w:val="auto"/>
          <w:sz w:val="24"/>
          <w:szCs w:val="24"/>
        </w:rPr>
        <w:t>glinu</w:t>
      </w:r>
      <w:proofErr w:type="spellEnd"/>
      <w:r w:rsidRPr="007C4279">
        <w:rPr>
          <w:rFonts w:cstheme="minorHAnsi"/>
          <w:i w:val="0"/>
          <w:iCs w:val="0"/>
          <w:color w:val="auto"/>
          <w:sz w:val="24"/>
          <w:szCs w:val="24"/>
        </w:rPr>
        <w:t xml:space="preserve"> lub magnezu, dostępne w sprzedaży stacjonarnej i</w:t>
      </w:r>
      <w:r w:rsidR="007B1BEB">
        <w:rPr>
          <w:rFonts w:cstheme="minorHAnsi"/>
          <w:i w:val="0"/>
          <w:iCs w:val="0"/>
          <w:color w:val="auto"/>
          <w:sz w:val="24"/>
          <w:szCs w:val="24"/>
        </w:rPr>
        <w:t> </w:t>
      </w:r>
      <w:r w:rsidRPr="007C4279">
        <w:rPr>
          <w:rFonts w:cstheme="minorHAnsi"/>
          <w:i w:val="0"/>
          <w:iCs w:val="0"/>
          <w:color w:val="auto"/>
          <w:sz w:val="24"/>
          <w:szCs w:val="24"/>
        </w:rPr>
        <w:t>internetowej. produkty biobójcze zawierające w swoim składzie ww. substancje, zgodnie z</w:t>
      </w:r>
      <w:r w:rsidR="007B1BEB">
        <w:rPr>
          <w:rFonts w:cstheme="minorHAnsi"/>
          <w:i w:val="0"/>
          <w:iCs w:val="0"/>
          <w:color w:val="auto"/>
          <w:sz w:val="24"/>
          <w:szCs w:val="24"/>
        </w:rPr>
        <w:t> </w:t>
      </w:r>
      <w:r w:rsidRPr="007C4279">
        <w:rPr>
          <w:rFonts w:cstheme="minorHAnsi"/>
          <w:i w:val="0"/>
          <w:iCs w:val="0"/>
          <w:color w:val="auto"/>
          <w:sz w:val="24"/>
          <w:szCs w:val="24"/>
        </w:rPr>
        <w:t>wydanymi pozwoleniami, przeznaczone są wyłącznie dla użytkownika profesjonalnego, dlatego też nie mogą być dostępne dla ogółu społeczeństwa. Przeprowadzono 68 kontroli i</w:t>
      </w:r>
      <w:r w:rsidR="007B1BEB">
        <w:rPr>
          <w:rFonts w:cstheme="minorHAnsi"/>
          <w:i w:val="0"/>
          <w:iCs w:val="0"/>
          <w:color w:val="auto"/>
          <w:sz w:val="24"/>
          <w:szCs w:val="24"/>
        </w:rPr>
        <w:t> </w:t>
      </w:r>
      <w:r w:rsidRPr="007C4279">
        <w:rPr>
          <w:rFonts w:cstheme="minorHAnsi"/>
          <w:i w:val="0"/>
          <w:iCs w:val="0"/>
          <w:color w:val="auto"/>
          <w:sz w:val="24"/>
          <w:szCs w:val="24"/>
        </w:rPr>
        <w:t>nie stwierdzono nieprawidłowości w tym zakresie.</w:t>
      </w:r>
    </w:p>
    <w:p w14:paraId="71D9BF90" w14:textId="77777777" w:rsidR="00D6619C" w:rsidRPr="00D6619C" w:rsidRDefault="00D6619C" w:rsidP="00597239"/>
    <w:p w14:paraId="0AA043E1" w14:textId="4A92AADC" w:rsidR="005F1DB2" w:rsidRPr="0067775B" w:rsidRDefault="005F1DB2" w:rsidP="00597239">
      <w:pPr>
        <w:pStyle w:val="Nagwek2"/>
        <w:numPr>
          <w:ilvl w:val="0"/>
          <w:numId w:val="35"/>
        </w:numPr>
        <w:spacing w:before="0" w:after="0"/>
        <w:ind w:left="284" w:hanging="284"/>
        <w:jc w:val="left"/>
      </w:pPr>
      <w:bookmarkStart w:id="401" w:name="_Toc194059864"/>
      <w:bookmarkEnd w:id="400"/>
      <w:r w:rsidRPr="0067775B">
        <w:t>Produkty kosmetyczne</w:t>
      </w:r>
      <w:bookmarkEnd w:id="401"/>
    </w:p>
    <w:p w14:paraId="4158BD45" w14:textId="1A7FF31D" w:rsidR="005F1DB2" w:rsidRPr="0067775B" w:rsidRDefault="005F1DB2" w:rsidP="00597239">
      <w:pPr>
        <w:spacing w:after="0" w:line="276" w:lineRule="auto"/>
        <w:rPr>
          <w:rFonts w:cstheme="minorHAnsi"/>
          <w:sz w:val="24"/>
          <w:szCs w:val="24"/>
        </w:rPr>
      </w:pPr>
      <w:r w:rsidRPr="0067775B">
        <w:rPr>
          <w:rFonts w:cstheme="minorHAnsi"/>
          <w:sz w:val="24"/>
          <w:szCs w:val="24"/>
        </w:rPr>
        <w:t xml:space="preserve">Na terenie woj. zachodniopomorskiego w 2024 r. funkcjonowało 29 zakładów produkujących i konfekcjonujących produkty kosmetyczne (mydła w kostkach i w płynie, kule i sole do kąpieli, płyny i żele pod prysznic, emulsje, pasty do mycia rąk, olejki do kąpieli, peelingi, musy mydlane, kremy, </w:t>
      </w:r>
      <w:proofErr w:type="spellStart"/>
      <w:r w:rsidRPr="0067775B">
        <w:rPr>
          <w:rFonts w:cstheme="minorHAnsi"/>
          <w:sz w:val="24"/>
          <w:szCs w:val="24"/>
        </w:rPr>
        <w:t>hydrolaty</w:t>
      </w:r>
      <w:proofErr w:type="spellEnd"/>
      <w:r w:rsidRPr="0067775B">
        <w:rPr>
          <w:rFonts w:cstheme="minorHAnsi"/>
          <w:sz w:val="24"/>
          <w:szCs w:val="24"/>
        </w:rPr>
        <w:t>, balsamy, masła do ciała, płyny do demakijażu, szampony, odżywki do</w:t>
      </w:r>
      <w:r w:rsidR="007B1BEB">
        <w:rPr>
          <w:rFonts w:cstheme="minorHAnsi"/>
          <w:sz w:val="24"/>
          <w:szCs w:val="24"/>
        </w:rPr>
        <w:t> </w:t>
      </w:r>
      <w:r w:rsidRPr="0067775B">
        <w:rPr>
          <w:rFonts w:cstheme="minorHAnsi"/>
          <w:sz w:val="24"/>
          <w:szCs w:val="24"/>
        </w:rPr>
        <w:t xml:space="preserve">włosów, chusteczki nawilżane, hennę proszkową do włosów, wody toaletowe i perfumy, lakiery i żele do paznokci, zmywacze). Skontrolowano 15 zakładów w zakresie stanu sanitarno-higienicznego oraz produkcji, konfekcjonowania i magazynowania oraz jakości zdrowotnej produktów kosmetycznych. Nieprawidłowości nie stwierdzono. </w:t>
      </w:r>
    </w:p>
    <w:p w14:paraId="37C95846" w14:textId="3455BB3B" w:rsidR="005F1DB2" w:rsidRDefault="005F1DB2" w:rsidP="00597239">
      <w:pPr>
        <w:spacing w:after="0" w:line="276" w:lineRule="auto"/>
        <w:rPr>
          <w:rFonts w:cstheme="minorHAnsi"/>
          <w:sz w:val="24"/>
          <w:szCs w:val="24"/>
        </w:rPr>
      </w:pPr>
      <w:r w:rsidRPr="0067775B">
        <w:rPr>
          <w:rFonts w:cstheme="minorHAnsi"/>
          <w:sz w:val="24"/>
          <w:szCs w:val="24"/>
        </w:rPr>
        <w:t xml:space="preserve">W zakresie wprowadzania do obrotu kosmetyków przeprowadzono 119 kontroli oraz pobrano do badań laboratoryjnych w kierunku parametrów chemicznych i mikrobiologicznych 39 próbek. Badania nie wykazały nieprawidłowości. Ponadto oceniano m.in. znakowanie wybranych produktów kosmetycznych na zgodność z przepisem art. </w:t>
      </w:r>
      <w:r w:rsidRPr="0067775B">
        <w:rPr>
          <w:rFonts w:cstheme="minorHAnsi"/>
          <w:i/>
          <w:iCs/>
          <w:sz w:val="24"/>
          <w:szCs w:val="24"/>
        </w:rPr>
        <w:t>19 rozporządzenia Parlamentu Europejskiego i Rady (WE) nr 1223/2009 z dnia 30 listopada 2009 r. dotyczącego produktów kosmetycznych</w:t>
      </w:r>
      <w:r w:rsidRPr="0067775B">
        <w:rPr>
          <w:rFonts w:cstheme="minorHAnsi"/>
          <w:sz w:val="24"/>
          <w:szCs w:val="24"/>
        </w:rPr>
        <w:t>. Nie wniesiono uwag do znakowania.</w:t>
      </w:r>
    </w:p>
    <w:p w14:paraId="3B38A79A" w14:textId="77777777" w:rsidR="00D6619C" w:rsidRPr="00ED5F8C" w:rsidRDefault="00D6619C" w:rsidP="00597239">
      <w:pPr>
        <w:spacing w:after="0" w:line="276" w:lineRule="auto"/>
        <w:rPr>
          <w:rFonts w:cstheme="minorHAnsi"/>
          <w:sz w:val="24"/>
          <w:szCs w:val="24"/>
        </w:rPr>
      </w:pPr>
    </w:p>
    <w:p w14:paraId="424C514B" w14:textId="689E1788" w:rsidR="005F1DB2" w:rsidRPr="0067775B" w:rsidRDefault="005F1DB2" w:rsidP="00597239">
      <w:pPr>
        <w:pStyle w:val="Nagwek2"/>
        <w:numPr>
          <w:ilvl w:val="0"/>
          <w:numId w:val="35"/>
        </w:numPr>
        <w:spacing w:before="0" w:after="0"/>
        <w:ind w:left="284" w:hanging="284"/>
        <w:jc w:val="left"/>
      </w:pPr>
      <w:bookmarkStart w:id="402" w:name="_Toc194059865"/>
      <w:r w:rsidRPr="0067775B">
        <w:t>Środki zastępcze, nowe substancje psychoaktywne oraz prekursory narkotyków kat. 2 i 3</w:t>
      </w:r>
      <w:bookmarkEnd w:id="402"/>
    </w:p>
    <w:p w14:paraId="04D77840" w14:textId="443A4964" w:rsidR="005F1DB2" w:rsidRDefault="005F1DB2" w:rsidP="00597239">
      <w:pPr>
        <w:spacing w:after="0" w:line="276" w:lineRule="auto"/>
        <w:rPr>
          <w:rFonts w:cstheme="minorHAnsi"/>
          <w:sz w:val="24"/>
          <w:szCs w:val="24"/>
        </w:rPr>
      </w:pPr>
      <w:r w:rsidRPr="0067775B">
        <w:rPr>
          <w:rFonts w:cstheme="minorHAnsi"/>
          <w:sz w:val="24"/>
          <w:szCs w:val="24"/>
        </w:rPr>
        <w:t xml:space="preserve">Państwowa Inspekcja Sanitarna realizuje zadania z zakresu nadzoru nad przestrzeganiem przepisów dot. zakazu wytwarzania i wprowadzania do obrotu na terytorium </w:t>
      </w:r>
      <w:r w:rsidRPr="0067775B">
        <w:rPr>
          <w:rFonts w:cstheme="minorHAnsi"/>
          <w:sz w:val="24"/>
          <w:szCs w:val="24"/>
        </w:rPr>
        <w:lastRenderedPageBreak/>
        <w:t>Rzeczypospolitej Polskiej środków zastępczych (dalej ŚZ) lub nowych substancji psychoaktywnych (dalej NSP) w</w:t>
      </w:r>
      <w:r w:rsidR="007B1BEB">
        <w:rPr>
          <w:rFonts w:cstheme="minorHAnsi"/>
          <w:sz w:val="24"/>
          <w:szCs w:val="24"/>
        </w:rPr>
        <w:t> </w:t>
      </w:r>
      <w:r w:rsidRPr="0067775B">
        <w:rPr>
          <w:rFonts w:cstheme="minorHAnsi"/>
          <w:sz w:val="24"/>
          <w:szCs w:val="24"/>
        </w:rPr>
        <w:t>rozumieniu ustawy z dnia 29 lipca 2005 r. o przeciwdziałaniu narkomanii (tj. Dz. U. z 2023 r. poz. 1939).</w:t>
      </w:r>
    </w:p>
    <w:p w14:paraId="24FC5689" w14:textId="77777777" w:rsidR="00F36FBD" w:rsidRPr="0067775B" w:rsidRDefault="00F36FBD" w:rsidP="00597239">
      <w:pPr>
        <w:spacing w:after="0" w:line="276" w:lineRule="auto"/>
        <w:rPr>
          <w:rFonts w:cstheme="minorHAnsi"/>
          <w:sz w:val="24"/>
          <w:szCs w:val="24"/>
        </w:rPr>
      </w:pPr>
    </w:p>
    <w:p w14:paraId="2A9C7FFF" w14:textId="1F7EAF70" w:rsidR="005F1DB2" w:rsidRDefault="005F1DB2" w:rsidP="00597239">
      <w:pPr>
        <w:spacing w:after="0" w:line="276" w:lineRule="auto"/>
        <w:rPr>
          <w:rFonts w:cstheme="minorHAnsi"/>
          <w:sz w:val="24"/>
          <w:szCs w:val="24"/>
        </w:rPr>
      </w:pPr>
      <w:r w:rsidRPr="0067775B">
        <w:rPr>
          <w:rFonts w:cstheme="minorHAnsi"/>
          <w:sz w:val="24"/>
          <w:szCs w:val="24"/>
        </w:rPr>
        <w:t>W celu podejmowania działań w zakresie wczesnego ostrzegania Główny Inspektor Sanitarny prowadzi rejestr zatruć ŚZ lub NSP. Podmioty wykonujące działalność leczniczą oraz podmioty przeprowadzające badanie pośmiertne są obowiązane zgłaszać państwowemu powiatowemu inspektorowi sanitarnemu właściwemu ze względu na siedzibę tego podmiotu wystąpienie zatrucia ŚZ lub NSP albo podejrzenie wystąpienia takiego zatrucia. W roku 2024 zgłoszonych zostało 7 przypadków (</w:t>
      </w:r>
      <w:r w:rsidR="00B05A64" w:rsidRPr="0027511D">
        <w:rPr>
          <w:rFonts w:cstheme="minorHAnsi"/>
          <w:sz w:val="24"/>
          <w:szCs w:val="24"/>
        </w:rPr>
        <w:t>wyk</w:t>
      </w:r>
      <w:r w:rsidRPr="0027511D">
        <w:rPr>
          <w:rFonts w:cstheme="minorHAnsi"/>
          <w:sz w:val="24"/>
          <w:szCs w:val="24"/>
        </w:rPr>
        <w:t>. 1</w:t>
      </w:r>
      <w:r w:rsidR="00B02E9B">
        <w:rPr>
          <w:rFonts w:cstheme="minorHAnsi"/>
          <w:sz w:val="24"/>
          <w:szCs w:val="24"/>
        </w:rPr>
        <w:t>9</w:t>
      </w:r>
      <w:r w:rsidRPr="0027511D">
        <w:rPr>
          <w:rFonts w:cstheme="minorHAnsi"/>
          <w:sz w:val="24"/>
          <w:szCs w:val="24"/>
        </w:rPr>
        <w:t xml:space="preserve"> i </w:t>
      </w:r>
      <w:r w:rsidR="00B02E9B">
        <w:rPr>
          <w:rFonts w:cstheme="minorHAnsi"/>
          <w:sz w:val="24"/>
          <w:szCs w:val="24"/>
        </w:rPr>
        <w:t>20</w:t>
      </w:r>
      <w:r w:rsidRPr="0067775B">
        <w:rPr>
          <w:rFonts w:cstheme="minorHAnsi"/>
          <w:sz w:val="24"/>
          <w:szCs w:val="24"/>
        </w:rPr>
        <w:t>). Nie odnotowano zatruć zbiorowych i zgonów. Spośród 7</w:t>
      </w:r>
      <w:r w:rsidR="009661E7">
        <w:rPr>
          <w:rFonts w:cstheme="minorHAnsi"/>
          <w:sz w:val="24"/>
          <w:szCs w:val="24"/>
        </w:rPr>
        <w:t> </w:t>
      </w:r>
      <w:r w:rsidRPr="0067775B">
        <w:rPr>
          <w:rFonts w:cstheme="minorHAnsi"/>
          <w:sz w:val="24"/>
          <w:szCs w:val="24"/>
        </w:rPr>
        <w:t xml:space="preserve">zgłoszonych przypadków, 3 dotyczyły mężczyzn, a 4 kobiet. </w:t>
      </w:r>
    </w:p>
    <w:p w14:paraId="6A31FD3F" w14:textId="77777777" w:rsidR="00D6619C" w:rsidRDefault="00D6619C" w:rsidP="00597239">
      <w:pPr>
        <w:spacing w:after="0" w:line="276" w:lineRule="auto"/>
        <w:rPr>
          <w:rFonts w:cstheme="minorHAnsi"/>
          <w:sz w:val="24"/>
          <w:szCs w:val="24"/>
        </w:rPr>
      </w:pPr>
    </w:p>
    <w:p w14:paraId="374C3C72" w14:textId="1B259D24" w:rsidR="00113D52" w:rsidRPr="00113D52" w:rsidRDefault="00113D52" w:rsidP="00597239">
      <w:pPr>
        <w:pStyle w:val="Legenda"/>
        <w:spacing w:after="0"/>
        <w:rPr>
          <w:rFonts w:cstheme="minorHAnsi"/>
          <w:i w:val="0"/>
          <w:iCs w:val="0"/>
          <w:sz w:val="24"/>
          <w:szCs w:val="24"/>
        </w:rPr>
      </w:pPr>
      <w:bookmarkStart w:id="403" w:name="_Toc193969476"/>
      <w:bookmarkStart w:id="404" w:name="_Toc194059936"/>
      <w:r w:rsidRPr="00113D52">
        <w:rPr>
          <w:i w:val="0"/>
          <w:iCs w:val="0"/>
          <w:color w:val="000000" w:themeColor="text1"/>
        </w:rPr>
        <w:t xml:space="preserve">Wykres </w:t>
      </w:r>
      <w:r w:rsidRPr="00113D52">
        <w:rPr>
          <w:i w:val="0"/>
          <w:iCs w:val="0"/>
          <w:color w:val="000000" w:themeColor="text1"/>
        </w:rPr>
        <w:fldChar w:fldCharType="begin"/>
      </w:r>
      <w:r w:rsidRPr="00113D52">
        <w:rPr>
          <w:i w:val="0"/>
          <w:iCs w:val="0"/>
          <w:color w:val="000000" w:themeColor="text1"/>
        </w:rPr>
        <w:instrText xml:space="preserve"> SEQ Wykres \* ARABIC </w:instrText>
      </w:r>
      <w:r w:rsidRPr="00113D52">
        <w:rPr>
          <w:i w:val="0"/>
          <w:iCs w:val="0"/>
          <w:color w:val="000000" w:themeColor="text1"/>
        </w:rPr>
        <w:fldChar w:fldCharType="separate"/>
      </w:r>
      <w:r w:rsidR="00FB6F6A">
        <w:rPr>
          <w:i w:val="0"/>
          <w:iCs w:val="0"/>
          <w:noProof/>
          <w:color w:val="000000" w:themeColor="text1"/>
        </w:rPr>
        <w:t>19</w:t>
      </w:r>
      <w:r w:rsidRPr="00113D52">
        <w:rPr>
          <w:i w:val="0"/>
          <w:iCs w:val="0"/>
          <w:color w:val="000000" w:themeColor="text1"/>
        </w:rPr>
        <w:fldChar w:fldCharType="end"/>
      </w:r>
      <w:r w:rsidR="00B60EBD">
        <w:rPr>
          <w:i w:val="0"/>
          <w:iCs w:val="0"/>
          <w:color w:val="000000" w:themeColor="text1"/>
        </w:rPr>
        <w:t>.</w:t>
      </w:r>
      <w:r w:rsidRPr="00113D52">
        <w:rPr>
          <w:i w:val="0"/>
          <w:iCs w:val="0"/>
          <w:color w:val="000000" w:themeColor="text1"/>
        </w:rPr>
        <w:t xml:space="preserve"> Liczba zgłoszeń zatruć/podejrzeń zatruć ŚZ lub NSP w latach 2016 - 2024</w:t>
      </w:r>
      <w:bookmarkEnd w:id="403"/>
      <w:bookmarkEnd w:id="404"/>
    </w:p>
    <w:p w14:paraId="4BB81A27" w14:textId="09A58617" w:rsidR="005F1DB2" w:rsidRPr="0067775B" w:rsidRDefault="005F1DB2" w:rsidP="00597239">
      <w:pPr>
        <w:keepNext/>
        <w:spacing w:after="0" w:line="276" w:lineRule="auto"/>
        <w:rPr>
          <w:rFonts w:cstheme="minorHAnsi"/>
          <w:sz w:val="24"/>
          <w:szCs w:val="24"/>
        </w:rPr>
      </w:pPr>
      <w:r w:rsidRPr="0067775B">
        <w:rPr>
          <w:rFonts w:cstheme="minorHAnsi"/>
          <w:noProof/>
          <w:sz w:val="24"/>
          <w:szCs w:val="24"/>
        </w:rPr>
        <w:drawing>
          <wp:inline distT="0" distB="0" distL="0" distR="0" wp14:anchorId="6815F274" wp14:editId="33ECDC55">
            <wp:extent cx="5591175" cy="2710543"/>
            <wp:effectExtent l="0" t="0" r="0" b="0"/>
            <wp:docPr id="465333980" name="Wykres 1" descr="Wykres 19 – przedstawia liczbę zgłoszeń zatruć lub podejrzeń zatruć środkami zastępczymi lub nowymi substancjami psychoaktywnymi w latach 2016 do 2024. W roku 2016 odnotowano 60 przypadków, w roku 2017 odnotowano 53 przypadki, w roku 2018 odnotowano 90 przypadków, w roku 2019 odnotowano 35 przypadków, w roku 2020  odnotowano 84 przypadki, w roku 2021 odnotowano 79 przypadków, w roku 2022 odnotowano 43 przypadki, w roku 2023 odnotowano 32 przypadki, w roku 2024 odnotowano 7 przypadków.">
              <a:extLst xmlns:a="http://schemas.openxmlformats.org/drawingml/2006/main">
                <a:ext uri="{FF2B5EF4-FFF2-40B4-BE49-F238E27FC236}">
                  <a16:creationId xmlns:a16="http://schemas.microsoft.com/office/drawing/2014/main" id="{600B5178-DCD5-A6D1-D8DC-09FB3520D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0D035FD" w14:textId="5C6D48F7" w:rsidR="005F1DB2" w:rsidRPr="0067775B" w:rsidRDefault="005F1DB2" w:rsidP="00597239">
      <w:pPr>
        <w:pStyle w:val="Legenda"/>
        <w:spacing w:after="0" w:line="276" w:lineRule="auto"/>
        <w:rPr>
          <w:rFonts w:cstheme="minorHAnsi"/>
          <w:b/>
          <w:bCs/>
          <w:sz w:val="24"/>
          <w:szCs w:val="24"/>
        </w:rPr>
      </w:pPr>
    </w:p>
    <w:p w14:paraId="36C8A7C2" w14:textId="0D0A400E" w:rsidR="00B05A64" w:rsidRPr="00B05A64" w:rsidRDefault="00D6619C" w:rsidP="00597239">
      <w:pPr>
        <w:pStyle w:val="Legenda"/>
        <w:rPr>
          <w:rFonts w:cstheme="minorHAnsi"/>
          <w:i w:val="0"/>
          <w:iCs w:val="0"/>
          <w:color w:val="000000" w:themeColor="text1"/>
          <w:sz w:val="24"/>
          <w:szCs w:val="24"/>
        </w:rPr>
      </w:pPr>
      <w:bookmarkStart w:id="405" w:name="_Toc193969477"/>
      <w:bookmarkStart w:id="406" w:name="_Toc194059937"/>
      <w:r w:rsidRPr="0067775B">
        <w:rPr>
          <w:rFonts w:cstheme="minorHAnsi"/>
          <w:noProof/>
          <w:sz w:val="24"/>
          <w:szCs w:val="24"/>
        </w:rPr>
        <w:lastRenderedPageBreak/>
        <w:drawing>
          <wp:anchor distT="0" distB="0" distL="114300" distR="114300" simplePos="0" relativeHeight="251681792" behindDoc="0" locked="0" layoutInCell="1" allowOverlap="1" wp14:anchorId="70A08B25" wp14:editId="4FEE1366">
            <wp:simplePos x="0" y="0"/>
            <wp:positionH relativeFrom="margin">
              <wp:align>left</wp:align>
            </wp:positionH>
            <wp:positionV relativeFrom="paragraph">
              <wp:posOffset>330835</wp:posOffset>
            </wp:positionV>
            <wp:extent cx="5779770" cy="3058795"/>
            <wp:effectExtent l="0" t="0" r="0" b="8255"/>
            <wp:wrapSquare wrapText="bothSides"/>
            <wp:docPr id="788738043" name="Wykres 1" descr="Wykres 20 – przedstawia liczbę zgłoszeń zatruć lub podejrzeń zatruć środkami zastępczymi lub nowymi substancjami psychoaktywnymi z podziałem na osoby do i powyżej 18 roku życia w latach 2016 do 2024. W roku 2016 odnotowano 58% przypadków do 18 roku życia i 42% przypadków powyżej 18 roku życia, w roku 2017 odnotowano 74% przypadków do 18 roku życia i 26% przypadków powyżej 18 roku życia, w roku 2018 odnotowano 48% przypadków do 18 roku życia i 52% przypadków powyżej 18 roku życia, w roku 2019 odnotowano 14% przypadków do 18 roku życia i 86% przypadków powyżej 18 roku życia, w roku 2020 odnotowano 11% przypadków do 18 roku życia i 89% przypadków powyżej 18 roku życia, w roku 2021 odnotowano 8% przypadków do 18 roku życia i 92% przypadków powyżej 18 roku życia, w roku 2022 odnotowano 12% przypadków do 18 roku życia i 88% przypadków powyżej 18 roku życia, w roku 2023 odnotowano 34% przypadków do 18 roku życia i 66% przypadków powyżej 18 roku życia, w roku 2024 odnotowano 43% przypadków do 18 roku życia i 57% przypadków powyżej 18 roku życia.  ">
              <a:extLst xmlns:a="http://schemas.openxmlformats.org/drawingml/2006/main">
                <a:ext uri="{FF2B5EF4-FFF2-40B4-BE49-F238E27FC236}">
                  <a16:creationId xmlns:a16="http://schemas.microsoft.com/office/drawing/2014/main" id="{CC015962-12FF-57C3-3648-BAE57E3AA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00B05A64" w:rsidRPr="00B05A64">
        <w:rPr>
          <w:i w:val="0"/>
          <w:iCs w:val="0"/>
          <w:color w:val="000000" w:themeColor="text1"/>
        </w:rPr>
        <w:t xml:space="preserve">Wykres </w:t>
      </w:r>
      <w:r w:rsidR="00B05A64" w:rsidRPr="00B05A64">
        <w:rPr>
          <w:i w:val="0"/>
          <w:iCs w:val="0"/>
          <w:color w:val="000000" w:themeColor="text1"/>
        </w:rPr>
        <w:fldChar w:fldCharType="begin"/>
      </w:r>
      <w:r w:rsidR="00B05A64" w:rsidRPr="00B05A64">
        <w:rPr>
          <w:i w:val="0"/>
          <w:iCs w:val="0"/>
          <w:color w:val="000000" w:themeColor="text1"/>
        </w:rPr>
        <w:instrText xml:space="preserve"> SEQ Wykres \* ARABIC </w:instrText>
      </w:r>
      <w:r w:rsidR="00B05A64" w:rsidRPr="00B05A64">
        <w:rPr>
          <w:i w:val="0"/>
          <w:iCs w:val="0"/>
          <w:color w:val="000000" w:themeColor="text1"/>
        </w:rPr>
        <w:fldChar w:fldCharType="separate"/>
      </w:r>
      <w:r w:rsidR="00FB6F6A">
        <w:rPr>
          <w:i w:val="0"/>
          <w:iCs w:val="0"/>
          <w:noProof/>
          <w:color w:val="000000" w:themeColor="text1"/>
        </w:rPr>
        <w:t>20</w:t>
      </w:r>
      <w:r w:rsidR="00B05A64" w:rsidRPr="00B05A64">
        <w:rPr>
          <w:i w:val="0"/>
          <w:iCs w:val="0"/>
          <w:color w:val="000000" w:themeColor="text1"/>
        </w:rPr>
        <w:fldChar w:fldCharType="end"/>
      </w:r>
      <w:r w:rsidR="00B60EBD">
        <w:rPr>
          <w:i w:val="0"/>
          <w:iCs w:val="0"/>
          <w:color w:val="000000" w:themeColor="text1"/>
        </w:rPr>
        <w:t>.</w:t>
      </w:r>
      <w:r w:rsidR="00B05A64" w:rsidRPr="00B05A64">
        <w:rPr>
          <w:i w:val="0"/>
          <w:iCs w:val="0"/>
          <w:color w:val="000000" w:themeColor="text1"/>
        </w:rPr>
        <w:t xml:space="preserve"> Liczba zgłoszeń zatruć/podejrzeń zatruć ŚZ lub NSP z podziałem na osoby do i powyżej 18 r.ż. w latach 2016 – 2024</w:t>
      </w:r>
      <w:bookmarkEnd w:id="405"/>
      <w:bookmarkEnd w:id="406"/>
    </w:p>
    <w:p w14:paraId="03967020" w14:textId="7E362CF7" w:rsidR="005F1DB2" w:rsidRDefault="005F1DB2" w:rsidP="00597239">
      <w:pPr>
        <w:keepNext/>
        <w:spacing w:line="276" w:lineRule="auto"/>
        <w:rPr>
          <w:rFonts w:cstheme="minorHAnsi"/>
          <w:sz w:val="24"/>
          <w:szCs w:val="24"/>
        </w:rPr>
      </w:pPr>
      <w:r w:rsidRPr="0067775B">
        <w:rPr>
          <w:rFonts w:cstheme="minorHAnsi"/>
          <w:sz w:val="24"/>
          <w:szCs w:val="24"/>
        </w:rPr>
        <w:t xml:space="preserve">W 2024 roku w prowadzono nadzór nad ŚZ i NSP, w tym wzmożony nadzór nad produktami zawierającymi kwas </w:t>
      </w:r>
      <w:proofErr w:type="spellStart"/>
      <w:r w:rsidRPr="0067775B">
        <w:rPr>
          <w:rFonts w:cstheme="minorHAnsi"/>
          <w:sz w:val="24"/>
          <w:szCs w:val="24"/>
        </w:rPr>
        <w:t>ibotenowy</w:t>
      </w:r>
      <w:proofErr w:type="spellEnd"/>
      <w:r w:rsidRPr="0067775B">
        <w:rPr>
          <w:rFonts w:cstheme="minorHAnsi"/>
          <w:sz w:val="24"/>
          <w:szCs w:val="24"/>
        </w:rPr>
        <w:t xml:space="preserve"> i </w:t>
      </w:r>
      <w:proofErr w:type="spellStart"/>
      <w:r w:rsidRPr="0067775B">
        <w:rPr>
          <w:rFonts w:cstheme="minorHAnsi"/>
          <w:sz w:val="24"/>
          <w:szCs w:val="24"/>
        </w:rPr>
        <w:t>muscymol</w:t>
      </w:r>
      <w:proofErr w:type="spellEnd"/>
      <w:r w:rsidRPr="0067775B">
        <w:rPr>
          <w:rFonts w:cstheme="minorHAnsi"/>
          <w:sz w:val="24"/>
          <w:szCs w:val="24"/>
        </w:rPr>
        <w:t xml:space="preserve"> na bazie muchomora czerwonego (</w:t>
      </w:r>
      <w:proofErr w:type="spellStart"/>
      <w:r w:rsidRPr="0067775B">
        <w:rPr>
          <w:rFonts w:cstheme="minorHAnsi"/>
          <w:sz w:val="24"/>
          <w:szCs w:val="24"/>
        </w:rPr>
        <w:t>Amanita</w:t>
      </w:r>
      <w:proofErr w:type="spellEnd"/>
      <w:r w:rsidRPr="0067775B">
        <w:rPr>
          <w:rFonts w:cstheme="minorHAnsi"/>
          <w:sz w:val="24"/>
          <w:szCs w:val="24"/>
        </w:rPr>
        <w:t xml:space="preserve"> </w:t>
      </w:r>
      <w:proofErr w:type="spellStart"/>
      <w:r w:rsidRPr="0067775B">
        <w:rPr>
          <w:rFonts w:cstheme="minorHAnsi"/>
          <w:sz w:val="24"/>
          <w:szCs w:val="24"/>
        </w:rPr>
        <w:t>muscaria</w:t>
      </w:r>
      <w:proofErr w:type="spellEnd"/>
      <w:r w:rsidRPr="0067775B">
        <w:rPr>
          <w:rFonts w:cstheme="minorHAnsi"/>
          <w:sz w:val="24"/>
          <w:szCs w:val="24"/>
        </w:rPr>
        <w:t xml:space="preserve">) lub innych produktów zawierających te substancje. </w:t>
      </w:r>
    </w:p>
    <w:p w14:paraId="0FA8B3BB" w14:textId="31E777A7" w:rsidR="00F36FBD" w:rsidRPr="0067775B" w:rsidRDefault="00F36FBD" w:rsidP="00597239">
      <w:pPr>
        <w:spacing w:after="0" w:line="276" w:lineRule="auto"/>
        <w:rPr>
          <w:rFonts w:cstheme="minorHAnsi"/>
          <w:sz w:val="24"/>
          <w:szCs w:val="24"/>
        </w:rPr>
      </w:pPr>
    </w:p>
    <w:p w14:paraId="789886B2" w14:textId="5C978907" w:rsidR="005F1DB2" w:rsidRDefault="005F1DB2" w:rsidP="00597239">
      <w:pPr>
        <w:spacing w:after="0" w:line="276" w:lineRule="auto"/>
        <w:rPr>
          <w:rFonts w:cstheme="minorHAnsi"/>
          <w:sz w:val="24"/>
          <w:szCs w:val="24"/>
        </w:rPr>
      </w:pPr>
      <w:r w:rsidRPr="0067775B">
        <w:rPr>
          <w:rFonts w:cstheme="minorHAnsi"/>
          <w:sz w:val="24"/>
          <w:szCs w:val="24"/>
        </w:rPr>
        <w:t>Prowadzone czynności nadzorowe, w tym przegląd stron internetowych i platform aukcyjnych, nie potwierdziły na terenie województwa zachodniopomorskiego wprowadzania do obrotu ŚZ i NSP, w tym produktów zawierających ww. substancje. Działania powyższe podejmowane były w związku z doniesieniami literaturowymi wskazującymi, że substancje zawarte w</w:t>
      </w:r>
      <w:r w:rsidR="007B1BEB">
        <w:rPr>
          <w:rFonts w:cstheme="minorHAnsi"/>
          <w:sz w:val="24"/>
          <w:szCs w:val="24"/>
        </w:rPr>
        <w:t> </w:t>
      </w:r>
      <w:r w:rsidRPr="0067775B">
        <w:rPr>
          <w:rFonts w:cstheme="minorHAnsi"/>
          <w:sz w:val="24"/>
          <w:szCs w:val="24"/>
        </w:rPr>
        <w:t>muchomorze czerwonym wykazują działanie na ośrodkowy układ nerwowy.</w:t>
      </w:r>
    </w:p>
    <w:p w14:paraId="6BAE0EA6" w14:textId="77777777" w:rsidR="00F36FBD" w:rsidRPr="0067775B" w:rsidRDefault="00F36FBD" w:rsidP="00597239">
      <w:pPr>
        <w:spacing w:after="0" w:line="276" w:lineRule="auto"/>
        <w:rPr>
          <w:rFonts w:cstheme="minorHAnsi"/>
          <w:sz w:val="24"/>
          <w:szCs w:val="24"/>
        </w:rPr>
      </w:pPr>
    </w:p>
    <w:p w14:paraId="0E745074" w14:textId="4E6FD756" w:rsidR="005F1DB2" w:rsidRPr="0067775B" w:rsidRDefault="005F1DB2" w:rsidP="00597239">
      <w:pPr>
        <w:spacing w:after="0" w:line="276" w:lineRule="auto"/>
        <w:rPr>
          <w:rFonts w:cstheme="minorHAnsi"/>
          <w:sz w:val="24"/>
          <w:szCs w:val="24"/>
        </w:rPr>
      </w:pPr>
      <w:r w:rsidRPr="0067775B">
        <w:rPr>
          <w:rFonts w:cstheme="minorHAnsi"/>
          <w:sz w:val="24"/>
          <w:szCs w:val="24"/>
        </w:rPr>
        <w:t>Pod nadzorem organów Państwowej Inspekcji Sanitarnej znajdowało się 15 podmiotów wprowadzających do obrotu prekursory narkotyków kategorii 2 i 64 podmioty wprowadzające do obrotu prekursory narkotyków kategorii 3. Podmioty najczęściej wprowadzały do obrotu kwas siarkowy, kwas solny, aceton i toluen. Były to głównie hurtownie chemiczne, materiałów budowlanych oraz hurtownie odczynników. W zakresie prekursorów narkotyków w roku 2024 przeprowadzono 23 kontrole, podczas których nie stwierdzono naruszenia przepisów prawa.</w:t>
      </w:r>
    </w:p>
    <w:p w14:paraId="1F3F3A4D" w14:textId="77777777" w:rsidR="005F1DB2" w:rsidRPr="0067775B" w:rsidRDefault="005F1DB2" w:rsidP="00597239">
      <w:pPr>
        <w:spacing w:line="276" w:lineRule="auto"/>
        <w:rPr>
          <w:rFonts w:cstheme="minorHAnsi"/>
          <w:sz w:val="24"/>
          <w:szCs w:val="24"/>
        </w:rPr>
      </w:pPr>
    </w:p>
    <w:p w14:paraId="73120BB1" w14:textId="21772FBB" w:rsidR="002B568E" w:rsidRPr="002B568E" w:rsidRDefault="005F1DB2" w:rsidP="00597239">
      <w:pPr>
        <w:rPr>
          <w:rFonts w:cstheme="minorHAnsi"/>
          <w:sz w:val="24"/>
          <w:szCs w:val="24"/>
          <w:lang w:eastAsia="pl-PL"/>
        </w:rPr>
      </w:pPr>
      <w:r w:rsidRPr="0067775B">
        <w:rPr>
          <w:rFonts w:cstheme="minorHAnsi"/>
          <w:sz w:val="24"/>
          <w:szCs w:val="24"/>
          <w:lang w:eastAsia="pl-PL"/>
        </w:rPr>
        <w:br w:type="page"/>
      </w:r>
      <w:bookmarkStart w:id="407" w:name="_Toc193694472"/>
      <w:bookmarkStart w:id="408" w:name="_Hlk133390561"/>
      <w:bookmarkStart w:id="409" w:name="_Hlk133390542"/>
      <w:r w:rsidR="0012343D">
        <w:rPr>
          <w:rFonts w:cstheme="minorHAnsi"/>
          <w:noProof/>
          <w:sz w:val="24"/>
          <w:szCs w:val="24"/>
          <w:lang w:eastAsia="pl-PL"/>
        </w:rPr>
        <w:lastRenderedPageBreak/>
        <mc:AlternateContent>
          <mc:Choice Requires="wps">
            <w:drawing>
              <wp:anchor distT="0" distB="0" distL="114300" distR="114300" simplePos="0" relativeHeight="251688960" behindDoc="0" locked="0" layoutInCell="1" allowOverlap="1" wp14:anchorId="0EBE2688" wp14:editId="43FEBA41">
                <wp:simplePos x="0" y="0"/>
                <wp:positionH relativeFrom="margin">
                  <wp:align>right</wp:align>
                </wp:positionH>
                <wp:positionV relativeFrom="paragraph">
                  <wp:posOffset>7486227</wp:posOffset>
                </wp:positionV>
                <wp:extent cx="5760000" cy="914400"/>
                <wp:effectExtent l="0" t="0" r="0" b="0"/>
                <wp:wrapNone/>
                <wp:docPr id="1632416256" name="Pole tekstowe 11"/>
                <wp:cNvGraphicFramePr/>
                <a:graphic xmlns:a="http://schemas.openxmlformats.org/drawingml/2006/main">
                  <a:graphicData uri="http://schemas.microsoft.com/office/word/2010/wordprocessingShape">
                    <wps:wsp>
                      <wps:cNvSpPr txBox="1"/>
                      <wps:spPr>
                        <a:xfrm>
                          <a:off x="0" y="0"/>
                          <a:ext cx="5760000" cy="9144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45247F6" w14:textId="6A5CEA31" w:rsidR="0012343D" w:rsidRDefault="0012343D" w:rsidP="0012343D">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Zapobiegawczy </w:t>
                            </w:r>
                            <w:r w:rsidR="00163DB5">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N</w:t>
                            </w: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adzór </w:t>
                            </w:r>
                            <w:r w:rsidR="00163DB5">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S</w:t>
                            </w: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anitarny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BE2688" id="_x0000_s1033" type="#_x0000_t202" style="position:absolute;margin-left:402.35pt;margin-top:589.45pt;width:453.55pt;height:1in;z-index:2516889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" fillcolor="#a5a5a5 [3206]" stroked="f">
                <v:fill opacity="32896f"/>
                <v:textbox>
                  <w:txbxContent>
                    <w:p w14:paraId="645247F6" w14:textId="6A5CEA31" w:rsidR="0012343D" w:rsidRDefault="0012343D" w:rsidP="0012343D">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Zapobiegawczy </w:t>
                      </w:r>
                      <w:r w:rsidR="00163DB5">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N</w:t>
                      </w: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 xml:space="preserve">adzór </w:t>
                      </w:r>
                      <w:r w:rsidR="00163DB5">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S</w:t>
                      </w: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anitarny</w:t>
                      </w:r>
                    </w:p>
                  </w:txbxContent>
                </v:textbox>
                <w10:wrap anchorx="margin"/>
              </v:shape>
            </w:pict>
          </mc:Fallback>
        </mc:AlternateContent>
      </w:r>
      <w:r w:rsidR="00407EDB">
        <w:rPr>
          <w:rFonts w:cstheme="minorHAnsi"/>
          <w:noProof/>
          <w:sz w:val="24"/>
          <w:szCs w:val="24"/>
          <w:lang w:eastAsia="pl-PL"/>
        </w:rPr>
        <w:drawing>
          <wp:anchor distT="0" distB="0" distL="114300" distR="114300" simplePos="0" relativeHeight="251682816" behindDoc="1" locked="0" layoutInCell="1" allowOverlap="1" wp14:anchorId="36F575B4" wp14:editId="364A0006">
            <wp:simplePos x="0" y="0"/>
            <wp:positionH relativeFrom="margin">
              <wp:posOffset>-253365</wp:posOffset>
            </wp:positionH>
            <wp:positionV relativeFrom="paragraph">
              <wp:posOffset>222250</wp:posOffset>
            </wp:positionV>
            <wp:extent cx="6264000" cy="8352000"/>
            <wp:effectExtent l="0" t="0" r="3810" b="0"/>
            <wp:wrapTight wrapText="bothSides">
              <wp:wrapPolygon edited="0">
                <wp:start x="131" y="0"/>
                <wp:lineTo x="0" y="148"/>
                <wp:lineTo x="0" y="21334"/>
                <wp:lineTo x="131" y="21531"/>
                <wp:lineTo x="21416" y="21531"/>
                <wp:lineTo x="21547" y="21334"/>
                <wp:lineTo x="21547" y="148"/>
                <wp:lineTo x="21416" y="0"/>
                <wp:lineTo x="131" y="0"/>
              </wp:wrapPolygon>
            </wp:wrapTight>
            <wp:docPr id="213825381" name="Obraz 4" descr="Zdjęcie przedstawia plany budwy, kamizelkę z napisem Państwowa Inspekcja Sanitarna i k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5381" name="Obraz 4" descr="Zdjęcie przedstawia plany budwy, kamizelkę z napisem Państwowa Inspekcja Sanitarna i kask."/>
                    <pic:cNvPicPr>
                      <a:picLocks noChangeAspect="1" noChangeArrowheads="1"/>
                    </pic:cNvPicPr>
                  </pic:nvPicPr>
                  <pic:blipFill>
                    <a:blip r:embed="rId45" cstate="print">
                      <a:alphaModFix amt="65000"/>
                      <a:extLst>
                        <a:ext uri="{28A0092B-C50C-407E-A947-70E740481C1C}">
                          <a14:useLocalDpi xmlns:a14="http://schemas.microsoft.com/office/drawing/2010/main" val="0"/>
                        </a:ext>
                      </a:extLst>
                    </a:blip>
                    <a:srcRect/>
                    <a:stretch>
                      <a:fillRect/>
                    </a:stretch>
                  </pic:blipFill>
                  <pic:spPr bwMode="auto">
                    <a:xfrm>
                      <a:off x="0" y="0"/>
                      <a:ext cx="6264000" cy="8352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07EDB">
        <w:rPr>
          <w:rFonts w:cstheme="minorHAnsi"/>
          <w:sz w:val="24"/>
          <w:szCs w:val="24"/>
          <w:lang w:eastAsia="pl-PL"/>
        </w:rPr>
        <w:br w:type="page"/>
      </w:r>
    </w:p>
    <w:p w14:paraId="60377276" w14:textId="173975D8" w:rsidR="005F1DB2" w:rsidRPr="00ED5F8C" w:rsidRDefault="005F1DB2" w:rsidP="00597239">
      <w:pPr>
        <w:pStyle w:val="Nagwek1"/>
        <w:numPr>
          <w:ilvl w:val="0"/>
          <w:numId w:val="85"/>
        </w:numPr>
        <w:ind w:left="0" w:firstLine="0"/>
        <w:jc w:val="left"/>
      </w:pPr>
      <w:bookmarkStart w:id="410" w:name="_Toc194059866"/>
      <w:r w:rsidRPr="00E37C64">
        <w:lastRenderedPageBreak/>
        <w:t>Zapobiegawczy Nadzór Sanitarny</w:t>
      </w:r>
      <w:bookmarkEnd w:id="407"/>
      <w:bookmarkEnd w:id="410"/>
    </w:p>
    <w:p w14:paraId="09F8EF33" w14:textId="0F74D3F8" w:rsidR="005F1DB2" w:rsidRPr="0067775B" w:rsidRDefault="005F1DB2" w:rsidP="00597239">
      <w:pPr>
        <w:pStyle w:val="Nagwek2"/>
        <w:numPr>
          <w:ilvl w:val="0"/>
          <w:numId w:val="36"/>
        </w:numPr>
        <w:spacing w:before="0" w:after="0"/>
        <w:ind w:left="284" w:right="0" w:hanging="284"/>
        <w:jc w:val="left"/>
      </w:pPr>
      <w:bookmarkStart w:id="411" w:name="_Toc194059867"/>
      <w:r w:rsidRPr="0067775B">
        <w:t>Zakres i cel sprawowania zapobiegawczego nadzoru sanitarnego</w:t>
      </w:r>
      <w:bookmarkEnd w:id="411"/>
    </w:p>
    <w:p w14:paraId="65D7867B" w14:textId="10CDB574" w:rsidR="005F1DB2" w:rsidRDefault="005F1DB2" w:rsidP="00597239">
      <w:pPr>
        <w:spacing w:after="0" w:line="276" w:lineRule="auto"/>
        <w:rPr>
          <w:rFonts w:cstheme="minorHAnsi"/>
          <w:sz w:val="24"/>
          <w:szCs w:val="24"/>
        </w:rPr>
      </w:pPr>
      <w:r w:rsidRPr="0067775B">
        <w:rPr>
          <w:rFonts w:cstheme="minorHAnsi"/>
          <w:sz w:val="24"/>
          <w:szCs w:val="24"/>
        </w:rPr>
        <w:t>Sprawowanie zapobiegawczego nadzoru sanitarnego ma na celu wyeliminowanie lub</w:t>
      </w:r>
      <w:r w:rsidR="007B1BEB">
        <w:rPr>
          <w:rFonts w:cstheme="minorHAnsi"/>
          <w:sz w:val="24"/>
          <w:szCs w:val="24"/>
        </w:rPr>
        <w:t> </w:t>
      </w:r>
      <w:r w:rsidRPr="0067775B">
        <w:rPr>
          <w:rFonts w:cstheme="minorHAnsi"/>
          <w:sz w:val="24"/>
          <w:szCs w:val="24"/>
        </w:rPr>
        <w:t>zminimalizowanie zagrożeń dla bezpieczeństwa sanitarnego, w tym zdrowia i życia ludzi oraz zapewnienie, na etapie planowania inwestycji, właściwego stanu higieniczno-sanitarnego w</w:t>
      </w:r>
      <w:r w:rsidR="007B1BEB">
        <w:rPr>
          <w:rFonts w:cstheme="minorHAnsi"/>
          <w:sz w:val="24"/>
          <w:szCs w:val="24"/>
        </w:rPr>
        <w:t> </w:t>
      </w:r>
      <w:r w:rsidRPr="0067775B">
        <w:rPr>
          <w:rFonts w:cstheme="minorHAnsi"/>
          <w:sz w:val="24"/>
          <w:szCs w:val="24"/>
        </w:rPr>
        <w:t xml:space="preserve">obiektach przeznaczonych na pobyt ludzi. Zadania zapobiegawczego nadzoru sanitarnego realizowane są w szczególności poprzez podejmowanie działań przy opracowywaniu prawa miejscowego, zajmowaniu stanowisk dotyczących m.in. zagadnień społecznych, zdrowotnych i środowiskowych oraz uczestniczeniu w poszczególnych etapach procesu inwestycyjnego. </w:t>
      </w:r>
    </w:p>
    <w:p w14:paraId="0382B418" w14:textId="77777777" w:rsidR="007A33FE" w:rsidRPr="0067775B" w:rsidRDefault="007A33FE" w:rsidP="00597239">
      <w:pPr>
        <w:spacing w:after="0" w:line="276" w:lineRule="auto"/>
        <w:rPr>
          <w:rFonts w:cstheme="minorHAnsi"/>
          <w:sz w:val="24"/>
          <w:szCs w:val="24"/>
        </w:rPr>
      </w:pPr>
    </w:p>
    <w:p w14:paraId="29B2F493" w14:textId="0FF486AC" w:rsidR="005F1DB2" w:rsidRPr="002E39B6" w:rsidRDefault="005F1DB2" w:rsidP="00597239">
      <w:pPr>
        <w:pStyle w:val="Nagwek2"/>
        <w:numPr>
          <w:ilvl w:val="0"/>
          <w:numId w:val="36"/>
        </w:numPr>
        <w:spacing w:before="0" w:after="0"/>
        <w:ind w:left="284" w:right="0" w:hanging="284"/>
        <w:jc w:val="left"/>
      </w:pPr>
      <w:bookmarkStart w:id="412" w:name="_Toc194059868"/>
      <w:bookmarkEnd w:id="408"/>
      <w:bookmarkEnd w:id="409"/>
      <w:r w:rsidRPr="0067775B">
        <w:t>Działania Państwowej Inspekcji Sanitarnej w ramach zapobiegawczego nadzoru sanitarnego</w:t>
      </w:r>
      <w:bookmarkEnd w:id="412"/>
    </w:p>
    <w:p w14:paraId="4CEA0E80" w14:textId="47E71B21" w:rsidR="007C4279" w:rsidRDefault="005F1DB2" w:rsidP="00597239">
      <w:pPr>
        <w:pStyle w:val="Akapitzlist"/>
        <w:spacing w:after="0" w:line="276" w:lineRule="auto"/>
        <w:ind w:left="0"/>
        <w:rPr>
          <w:rFonts w:cstheme="minorHAnsi"/>
          <w:sz w:val="24"/>
          <w:szCs w:val="24"/>
          <w:lang w:eastAsia="ar-SA"/>
        </w:rPr>
      </w:pPr>
      <w:r w:rsidRPr="0067775B">
        <w:rPr>
          <w:rFonts w:cstheme="minorHAnsi"/>
          <w:sz w:val="24"/>
          <w:szCs w:val="24"/>
          <w:lang w:eastAsia="ar-SA"/>
        </w:rPr>
        <w:t>Działania Państwowej Inspekcji Sanitarnej w 2024 roku skierowane były przede wszystkim na</w:t>
      </w:r>
      <w:r w:rsidR="007B1BEB">
        <w:rPr>
          <w:rFonts w:cstheme="minorHAnsi"/>
          <w:sz w:val="24"/>
          <w:szCs w:val="24"/>
          <w:lang w:eastAsia="ar-SA"/>
        </w:rPr>
        <w:t> </w:t>
      </w:r>
      <w:r w:rsidRPr="0067775B">
        <w:rPr>
          <w:rFonts w:cstheme="minorHAnsi"/>
          <w:sz w:val="24"/>
          <w:szCs w:val="24"/>
          <w:lang w:eastAsia="ar-SA"/>
        </w:rPr>
        <w:t>ocenę spełnienia wymagań higienicznych i zdrowotnych m.in. przedsięwzięć inwestycyjnych dotyczących obiektów użyteczności publicznej oraz zamieszkania. Ocena ww. wymagań prowadzona była w szczególności w odniesieniu do lokalizacji obszarów zabudowy mieszkaniowej względem zabudowy przemysłowej i terenów cmentarzy, ochrony ludzi przed hałasem, promieniowaniem niejonizującym i jonizującym oraz zachowania odpowiednich warunków pobytu ludzi w budynkach mieszkalnych i usługowych, w tym warunków środowiska pracy.</w:t>
      </w:r>
    </w:p>
    <w:p w14:paraId="59DF32A2" w14:textId="77777777" w:rsidR="007A33FE" w:rsidRPr="0067775B" w:rsidRDefault="007A33FE" w:rsidP="00597239">
      <w:pPr>
        <w:pStyle w:val="Akapitzlist"/>
        <w:spacing w:after="0" w:line="276" w:lineRule="auto"/>
        <w:ind w:left="0"/>
        <w:rPr>
          <w:rFonts w:cstheme="minorHAnsi"/>
          <w:sz w:val="24"/>
          <w:szCs w:val="24"/>
          <w:lang w:eastAsia="ar-SA"/>
        </w:rPr>
      </w:pPr>
    </w:p>
    <w:p w14:paraId="715079A4" w14:textId="32DF2317" w:rsidR="005F1DB2" w:rsidRPr="00ED5F8C" w:rsidRDefault="005F1DB2" w:rsidP="00597239">
      <w:pPr>
        <w:pStyle w:val="Nagwek3"/>
        <w:numPr>
          <w:ilvl w:val="1"/>
          <w:numId w:val="36"/>
        </w:numPr>
        <w:spacing w:before="0" w:after="0"/>
        <w:ind w:left="227" w:right="0" w:hanging="227"/>
      </w:pPr>
      <w:bookmarkStart w:id="413" w:name="_Toc194059869"/>
      <w:r w:rsidRPr="0067775B">
        <w:t>Stanowiska zajmowane w ramach strategicznej oceny oddziaływania na środowisko</w:t>
      </w:r>
      <w:bookmarkEnd w:id="413"/>
    </w:p>
    <w:p w14:paraId="34F62918" w14:textId="26B01B24" w:rsidR="005F1DB2" w:rsidRDefault="005F1DB2" w:rsidP="00597239">
      <w:pPr>
        <w:suppressAutoHyphens/>
        <w:spacing w:after="0" w:line="276" w:lineRule="auto"/>
        <w:rPr>
          <w:rFonts w:eastAsia="Times New Roman" w:cstheme="minorHAnsi"/>
          <w:sz w:val="24"/>
          <w:szCs w:val="24"/>
          <w:lang w:eastAsia="ar-SA"/>
        </w:rPr>
      </w:pPr>
      <w:bookmarkStart w:id="414" w:name="_Hlk131152695"/>
      <w:r w:rsidRPr="0067775B">
        <w:rPr>
          <w:rFonts w:eastAsia="Times New Roman" w:cstheme="minorHAnsi"/>
          <w:sz w:val="24"/>
          <w:szCs w:val="24"/>
          <w:lang w:eastAsia="ar-SA"/>
        </w:rPr>
        <w:t>Wydano</w:t>
      </w:r>
      <w:r w:rsidRPr="0067775B">
        <w:rPr>
          <w:rFonts w:cstheme="minorHAnsi"/>
          <w:sz w:val="24"/>
          <w:szCs w:val="24"/>
          <w:lang w:eastAsia="ar-SA"/>
        </w:rPr>
        <w:t xml:space="preserve"> łącznie 340 stanowisk </w:t>
      </w:r>
      <w:r w:rsidRPr="0067775B">
        <w:rPr>
          <w:rFonts w:eastAsia="Times New Roman" w:cstheme="minorHAnsi"/>
          <w:sz w:val="24"/>
          <w:szCs w:val="24"/>
          <w:lang w:eastAsia="ar-SA"/>
        </w:rPr>
        <w:t>na podstawie ustawy z dnia 3 października 2008 r. o</w:t>
      </w:r>
      <w:r w:rsidR="007B1BEB">
        <w:rPr>
          <w:rFonts w:eastAsia="Times New Roman" w:cstheme="minorHAnsi"/>
          <w:sz w:val="24"/>
          <w:szCs w:val="24"/>
          <w:lang w:eastAsia="ar-SA"/>
        </w:rPr>
        <w:t> </w:t>
      </w:r>
      <w:r w:rsidRPr="0067775B">
        <w:rPr>
          <w:rFonts w:eastAsia="Times New Roman" w:cstheme="minorHAnsi"/>
          <w:sz w:val="24"/>
          <w:szCs w:val="24"/>
          <w:lang w:eastAsia="ar-SA"/>
        </w:rPr>
        <w:t>udostępnianiu informacji o środowisku i udziale społeczeństwa w ochronie środowiska oraz o ocenach oddziaływania na środowisko, w tym 7 negatywnych, w sprawach dotyczących uzgodnienia odstąpienia od przeprowadzenia strategicznej oceny oddziaływania na</w:t>
      </w:r>
      <w:r w:rsidR="007B1BEB">
        <w:rPr>
          <w:rFonts w:eastAsia="Times New Roman" w:cstheme="minorHAnsi"/>
          <w:sz w:val="24"/>
          <w:szCs w:val="24"/>
          <w:lang w:eastAsia="ar-SA"/>
        </w:rPr>
        <w:t> </w:t>
      </w:r>
      <w:r w:rsidRPr="0067775B">
        <w:rPr>
          <w:rFonts w:eastAsia="Times New Roman" w:cstheme="minorHAnsi"/>
          <w:sz w:val="24"/>
          <w:szCs w:val="24"/>
          <w:lang w:eastAsia="ar-SA"/>
        </w:rPr>
        <w:t>środowisko dla projektu dokumentu o charakterze strategicznym</w:t>
      </w:r>
      <w:bookmarkEnd w:id="414"/>
      <w:r w:rsidRPr="0067775B">
        <w:rPr>
          <w:rFonts w:eastAsia="Times New Roman" w:cstheme="minorHAnsi"/>
          <w:sz w:val="24"/>
          <w:szCs w:val="24"/>
          <w:lang w:eastAsia="ar-SA"/>
        </w:rPr>
        <w:t>.</w:t>
      </w:r>
    </w:p>
    <w:p w14:paraId="37710D26" w14:textId="77777777" w:rsidR="007A33FE" w:rsidRPr="0067775B" w:rsidRDefault="007A33FE" w:rsidP="00597239">
      <w:pPr>
        <w:suppressAutoHyphens/>
        <w:spacing w:after="0" w:line="276" w:lineRule="auto"/>
        <w:rPr>
          <w:rFonts w:eastAsia="Times New Roman" w:cstheme="minorHAnsi"/>
          <w:sz w:val="24"/>
          <w:szCs w:val="24"/>
          <w:lang w:eastAsia="ar-SA"/>
        </w:rPr>
      </w:pPr>
    </w:p>
    <w:p w14:paraId="0D7710AC" w14:textId="2C5EB696" w:rsidR="007A33FE" w:rsidRPr="007A33FE" w:rsidRDefault="005F1DB2" w:rsidP="00597239">
      <w:pPr>
        <w:pStyle w:val="Nagwek3"/>
        <w:numPr>
          <w:ilvl w:val="1"/>
          <w:numId w:val="36"/>
        </w:numPr>
        <w:spacing w:before="0" w:after="0"/>
        <w:ind w:left="567" w:right="0" w:hanging="567"/>
      </w:pPr>
      <w:bookmarkStart w:id="415" w:name="_Toc194059870"/>
      <w:r w:rsidRPr="0067775B">
        <w:t>Stanowiska dotyczące projektów studium uwarunkowań i kierunków zagospodarowania przestrzennego gminy i projektów planów zagospodarowania przestrzennego gminy, w innym trybie niż strategiczna ocena oddziaływania na</w:t>
      </w:r>
      <w:r w:rsidR="007B1BEB">
        <w:t> </w:t>
      </w:r>
      <w:r w:rsidRPr="0067775B">
        <w:t>środowisko</w:t>
      </w:r>
      <w:bookmarkEnd w:id="415"/>
    </w:p>
    <w:p w14:paraId="052C1ECC" w14:textId="5DA1027B" w:rsidR="005F1DB2" w:rsidRDefault="005F1DB2" w:rsidP="00597239">
      <w:pPr>
        <w:suppressAutoHyphens/>
        <w:spacing w:after="0" w:line="276" w:lineRule="auto"/>
        <w:rPr>
          <w:rFonts w:eastAsia="Times New Roman" w:cstheme="minorHAnsi"/>
          <w:sz w:val="24"/>
          <w:szCs w:val="24"/>
          <w:lang w:eastAsia="ar-SA"/>
        </w:rPr>
      </w:pPr>
      <w:r w:rsidRPr="0067775B">
        <w:rPr>
          <w:rFonts w:eastAsia="Times New Roman" w:cstheme="minorHAnsi"/>
          <w:sz w:val="24"/>
          <w:szCs w:val="24"/>
          <w:lang w:eastAsia="ar-SA"/>
        </w:rPr>
        <w:t>Zajęto łącznie 106 stanowisk na podstawie ustawy z dnia 27 marca 2003 r. o planowaniu i</w:t>
      </w:r>
      <w:r w:rsidR="007B1BEB">
        <w:rPr>
          <w:rFonts w:eastAsia="Times New Roman" w:cstheme="minorHAnsi"/>
          <w:sz w:val="24"/>
          <w:szCs w:val="24"/>
          <w:lang w:eastAsia="ar-SA"/>
        </w:rPr>
        <w:t> </w:t>
      </w:r>
      <w:r w:rsidRPr="0067775B">
        <w:rPr>
          <w:rFonts w:eastAsia="Times New Roman" w:cstheme="minorHAnsi"/>
          <w:sz w:val="24"/>
          <w:szCs w:val="24"/>
          <w:lang w:eastAsia="ar-SA"/>
        </w:rPr>
        <w:t>zagospodarowaniu przestrzennym. W ramach ww. postępowań zajęto 1 negatywne stanowisko wobec braku zachowania wymaganej odległości ujęcia wody podziemnej od granic terenu czynnego cmentarza i możliwy negatywny jego wpływ na jakość wody przeznaczonej do spożycia przez ludzi pobieranej z tego ujęcia.</w:t>
      </w:r>
    </w:p>
    <w:p w14:paraId="745C02CD" w14:textId="77777777" w:rsidR="007A33FE" w:rsidRPr="0067775B" w:rsidRDefault="007A33FE" w:rsidP="00597239">
      <w:pPr>
        <w:suppressAutoHyphens/>
        <w:spacing w:after="0" w:line="276" w:lineRule="auto"/>
        <w:rPr>
          <w:rFonts w:cstheme="minorHAnsi"/>
          <w:sz w:val="24"/>
          <w:szCs w:val="24"/>
          <w:lang w:eastAsia="ar-SA"/>
        </w:rPr>
      </w:pPr>
    </w:p>
    <w:p w14:paraId="6AD1806D" w14:textId="2634A822" w:rsidR="005F1DB2" w:rsidRPr="00ED5F8C" w:rsidRDefault="005F1DB2" w:rsidP="00597239">
      <w:pPr>
        <w:pStyle w:val="Nagwek3"/>
        <w:numPr>
          <w:ilvl w:val="1"/>
          <w:numId w:val="36"/>
        </w:numPr>
        <w:spacing w:before="0" w:after="0"/>
        <w:ind w:left="567" w:right="0" w:hanging="567"/>
      </w:pPr>
      <w:bookmarkStart w:id="416" w:name="_Toc194059871"/>
      <w:r w:rsidRPr="0067775B">
        <w:lastRenderedPageBreak/>
        <w:t xml:space="preserve">Stanowiska dotyczące projektów planów </w:t>
      </w:r>
      <w:proofErr w:type="spellStart"/>
      <w:r w:rsidRPr="0067775B">
        <w:t>remediacji</w:t>
      </w:r>
      <w:proofErr w:type="spellEnd"/>
      <w:r w:rsidRPr="0067775B">
        <w:t xml:space="preserve">, </w:t>
      </w:r>
      <w:bookmarkStart w:id="417" w:name="_Hlk131149634"/>
      <w:r w:rsidRPr="0067775B">
        <w:t>przeprowadzania działań naprawczych w środowisku oraz projektów gminnych programów rewitalizacji</w:t>
      </w:r>
      <w:bookmarkEnd w:id="416"/>
      <w:bookmarkEnd w:id="417"/>
    </w:p>
    <w:p w14:paraId="59D9465C" w14:textId="7994260A" w:rsidR="005F1DB2" w:rsidRDefault="005F1DB2" w:rsidP="00597239">
      <w:pPr>
        <w:tabs>
          <w:tab w:val="left" w:pos="1418"/>
        </w:tabs>
        <w:spacing w:after="0" w:line="276" w:lineRule="auto"/>
        <w:rPr>
          <w:rFonts w:cstheme="minorHAnsi"/>
          <w:sz w:val="24"/>
          <w:szCs w:val="24"/>
        </w:rPr>
      </w:pPr>
      <w:r w:rsidRPr="0067775B">
        <w:rPr>
          <w:rFonts w:cstheme="minorHAnsi"/>
          <w:sz w:val="24"/>
          <w:szCs w:val="24"/>
        </w:rPr>
        <w:t xml:space="preserve">Zajęto łącznie 10 pozytywnych stanowisk w szczególności dotyczących projektów planów </w:t>
      </w:r>
      <w:proofErr w:type="spellStart"/>
      <w:r w:rsidRPr="0067775B">
        <w:rPr>
          <w:rFonts w:cstheme="minorHAnsi"/>
          <w:sz w:val="24"/>
          <w:szCs w:val="24"/>
        </w:rPr>
        <w:t>remediacji</w:t>
      </w:r>
      <w:proofErr w:type="spellEnd"/>
      <w:r w:rsidRPr="0067775B">
        <w:rPr>
          <w:rFonts w:cstheme="minorHAnsi"/>
          <w:sz w:val="24"/>
          <w:szCs w:val="24"/>
        </w:rPr>
        <w:t xml:space="preserve"> dla historycznego zanieczyszczenia powierzchni ziemi stwierdzonego na danym terenie</w:t>
      </w:r>
      <w:bookmarkStart w:id="418" w:name="_Hlk142381320"/>
      <w:r w:rsidRPr="0067775B">
        <w:rPr>
          <w:rFonts w:cstheme="minorHAnsi"/>
          <w:sz w:val="24"/>
          <w:szCs w:val="24"/>
        </w:rPr>
        <w:t>, w odniesieniu do oceny występowania znaczącego zagrożenia dla zdrowia ludzi</w:t>
      </w:r>
      <w:bookmarkEnd w:id="418"/>
      <w:r w:rsidRPr="0067775B">
        <w:rPr>
          <w:rFonts w:cstheme="minorHAnsi"/>
          <w:sz w:val="24"/>
          <w:szCs w:val="24"/>
        </w:rPr>
        <w:t xml:space="preserve"> oraz gminnych programów rewitalizacji w zakresie wpływu ustaleń tego dokumentu na zdrowie i</w:t>
      </w:r>
      <w:r w:rsidR="007B1BEB">
        <w:rPr>
          <w:rFonts w:cstheme="minorHAnsi"/>
          <w:sz w:val="24"/>
          <w:szCs w:val="24"/>
        </w:rPr>
        <w:t> </w:t>
      </w:r>
      <w:r w:rsidRPr="0067775B">
        <w:rPr>
          <w:rFonts w:cstheme="minorHAnsi"/>
          <w:sz w:val="24"/>
          <w:szCs w:val="24"/>
        </w:rPr>
        <w:t>życie mieszkańców obszaru gminy objętego rewitalizacją.</w:t>
      </w:r>
    </w:p>
    <w:p w14:paraId="0623AECF" w14:textId="77777777" w:rsidR="007A33FE" w:rsidRPr="0067775B" w:rsidRDefault="007A33FE" w:rsidP="00597239">
      <w:pPr>
        <w:tabs>
          <w:tab w:val="left" w:pos="1418"/>
        </w:tabs>
        <w:spacing w:after="0" w:line="276" w:lineRule="auto"/>
        <w:rPr>
          <w:rFonts w:cstheme="minorHAnsi"/>
          <w:sz w:val="24"/>
          <w:szCs w:val="24"/>
        </w:rPr>
      </w:pPr>
    </w:p>
    <w:p w14:paraId="16503F1D" w14:textId="4D22D639" w:rsidR="005F1DB2" w:rsidRPr="00401D4A" w:rsidRDefault="005F1DB2" w:rsidP="00597239">
      <w:pPr>
        <w:pStyle w:val="Nagwek3"/>
        <w:numPr>
          <w:ilvl w:val="1"/>
          <w:numId w:val="36"/>
        </w:numPr>
        <w:spacing w:before="0" w:after="0"/>
        <w:ind w:left="568" w:hanging="568"/>
      </w:pPr>
      <w:bookmarkStart w:id="419" w:name="_Toc194059872"/>
      <w:r w:rsidRPr="0067775B">
        <w:t>Ocena oddziaływania przedsięwzięć mogących znacząco oddziaływać na</w:t>
      </w:r>
      <w:r w:rsidR="005E41C7">
        <w:t> </w:t>
      </w:r>
      <w:r w:rsidRPr="0067775B">
        <w:t>środowisko</w:t>
      </w:r>
      <w:bookmarkEnd w:id="419"/>
    </w:p>
    <w:p w14:paraId="5BE1E06D" w14:textId="12B7A1A0" w:rsidR="007C4279" w:rsidRDefault="005F1DB2" w:rsidP="00597239">
      <w:pPr>
        <w:tabs>
          <w:tab w:val="left" w:pos="1418"/>
        </w:tabs>
        <w:suppressAutoHyphens/>
        <w:spacing w:after="0" w:line="276" w:lineRule="auto"/>
        <w:rPr>
          <w:rFonts w:eastAsia="Times New Roman" w:cstheme="minorHAnsi"/>
          <w:sz w:val="24"/>
          <w:szCs w:val="24"/>
          <w:lang w:eastAsia="ar-SA"/>
        </w:rPr>
      </w:pPr>
      <w:r w:rsidRPr="0067775B">
        <w:rPr>
          <w:rFonts w:eastAsia="Times New Roman" w:cstheme="minorHAnsi"/>
          <w:sz w:val="24"/>
          <w:szCs w:val="24"/>
          <w:lang w:eastAsia="ar-SA"/>
        </w:rPr>
        <w:t xml:space="preserve">Zajęto łącznie 822 stanowiska, w tym 4 negatywne w sprawach dotyczących realizacji przedsięwzięć przed wydaniem decyzji o środowiskowych uwarunkowaniach, w zakresie ich wpływu na zdrowie i życie ludzi z uwagi m.in. na uciążliwość zapachową i bliską odległość fermy drobiu od zabudowań mieszkalnych oraz brak dotrzymania norm hałasu na terenach chronionych akustycznie. </w:t>
      </w:r>
    </w:p>
    <w:p w14:paraId="0F585CB6" w14:textId="77777777" w:rsidR="007A33FE" w:rsidRPr="0067775B" w:rsidRDefault="007A33FE" w:rsidP="00597239">
      <w:pPr>
        <w:tabs>
          <w:tab w:val="left" w:pos="1418"/>
        </w:tabs>
        <w:suppressAutoHyphens/>
        <w:spacing w:after="0" w:line="276" w:lineRule="auto"/>
        <w:rPr>
          <w:rFonts w:eastAsia="Times New Roman" w:cstheme="minorHAnsi"/>
          <w:sz w:val="24"/>
          <w:szCs w:val="24"/>
          <w:lang w:eastAsia="ar-SA"/>
        </w:rPr>
      </w:pPr>
    </w:p>
    <w:p w14:paraId="1A3A3EA9" w14:textId="4C81398C" w:rsidR="005F1DB2" w:rsidRPr="00CC03E3" w:rsidRDefault="005F1DB2" w:rsidP="00597239">
      <w:pPr>
        <w:pStyle w:val="Nagwek3"/>
        <w:numPr>
          <w:ilvl w:val="1"/>
          <w:numId w:val="36"/>
        </w:numPr>
        <w:spacing w:before="0" w:after="0"/>
        <w:ind w:left="568" w:hanging="568"/>
      </w:pPr>
      <w:bookmarkStart w:id="420" w:name="_Toc194059873"/>
      <w:r w:rsidRPr="0067775B">
        <w:t>Uzgadnianie dokumentacji projektowej</w:t>
      </w:r>
      <w:bookmarkEnd w:id="420"/>
    </w:p>
    <w:p w14:paraId="7A066EC7" w14:textId="1A498D1F" w:rsidR="005F1DB2" w:rsidRDefault="005F1DB2" w:rsidP="00597239">
      <w:pPr>
        <w:spacing w:after="0" w:line="276" w:lineRule="auto"/>
        <w:rPr>
          <w:rFonts w:cstheme="minorHAnsi"/>
          <w:sz w:val="24"/>
          <w:szCs w:val="24"/>
        </w:rPr>
      </w:pPr>
      <w:r w:rsidRPr="0067775B">
        <w:rPr>
          <w:rFonts w:cstheme="minorHAnsi"/>
          <w:sz w:val="24"/>
          <w:szCs w:val="24"/>
        </w:rPr>
        <w:t xml:space="preserve">W 2024 roku, organy Państwowej Inspekcji Sanitarnej oraz rzeczoznawcy do spraw sanitarnohigienicznych dokonali łącznie 1496 uzgodnień dokumentacji projektowej inwestycji pod względem wymagań higienicznych i zdrowotnych. </w:t>
      </w:r>
    </w:p>
    <w:p w14:paraId="0F68E96B" w14:textId="77777777" w:rsidR="007A33FE" w:rsidRPr="0067775B" w:rsidRDefault="007A33FE" w:rsidP="00597239">
      <w:pPr>
        <w:spacing w:after="0" w:line="276" w:lineRule="auto"/>
        <w:rPr>
          <w:rFonts w:cstheme="minorHAnsi"/>
          <w:sz w:val="24"/>
          <w:szCs w:val="24"/>
        </w:rPr>
      </w:pPr>
    </w:p>
    <w:p w14:paraId="762AB5B9" w14:textId="14899ED5" w:rsidR="005F1DB2" w:rsidRPr="00401D4A" w:rsidRDefault="005F1DB2" w:rsidP="00597239">
      <w:pPr>
        <w:pStyle w:val="Nagwek3"/>
        <w:numPr>
          <w:ilvl w:val="1"/>
          <w:numId w:val="36"/>
        </w:numPr>
        <w:spacing w:before="0" w:after="0"/>
        <w:ind w:left="568" w:hanging="568"/>
      </w:pPr>
      <w:bookmarkStart w:id="421" w:name="_Toc194059874"/>
      <w:r w:rsidRPr="0067775B">
        <w:t>Odstępstwa od obowiązujących przepisów</w:t>
      </w:r>
      <w:bookmarkEnd w:id="421"/>
    </w:p>
    <w:p w14:paraId="5EF13B08" w14:textId="14F69B38" w:rsidR="005F1DB2" w:rsidRPr="00ED5F8C" w:rsidRDefault="005F1DB2" w:rsidP="00597239">
      <w:pPr>
        <w:spacing w:after="0" w:line="276" w:lineRule="auto"/>
        <w:rPr>
          <w:rFonts w:cstheme="minorHAnsi"/>
          <w:sz w:val="24"/>
          <w:szCs w:val="24"/>
        </w:rPr>
      </w:pPr>
      <w:r w:rsidRPr="0067775B">
        <w:rPr>
          <w:rFonts w:cstheme="minorHAnsi"/>
          <w:sz w:val="24"/>
          <w:szCs w:val="24"/>
        </w:rPr>
        <w:t>Zajęto łącznie 138 stanowisk m.in. dotyczących zastosowania rozwiązań innych niż określone w obowiązujących przepisach prawa, w tym w zakresie warunków technicznych w</w:t>
      </w:r>
      <w:r w:rsidR="007B1BEB">
        <w:rPr>
          <w:rFonts w:cstheme="minorHAnsi"/>
          <w:sz w:val="24"/>
          <w:szCs w:val="24"/>
        </w:rPr>
        <w:t> </w:t>
      </w:r>
      <w:r w:rsidRPr="0067775B">
        <w:rPr>
          <w:rFonts w:cstheme="minorHAnsi"/>
          <w:sz w:val="24"/>
          <w:szCs w:val="24"/>
        </w:rPr>
        <w:t>szczególności dotyczących minimalnej wysokości pomieszczeń przeznaczonych na pobyt ludzi, usytuowania poziomu podłogi pomieszczeń w stosunku do otaczającego terenu oraz oświetlenia pomieszczeń wyłącznie światłem sztucznym. W ramach postępowań w</w:t>
      </w:r>
      <w:r w:rsidR="007B1BEB">
        <w:rPr>
          <w:rFonts w:cstheme="minorHAnsi"/>
          <w:sz w:val="24"/>
          <w:szCs w:val="24"/>
        </w:rPr>
        <w:t> </w:t>
      </w:r>
      <w:r w:rsidRPr="0067775B">
        <w:rPr>
          <w:rFonts w:cstheme="minorHAnsi"/>
          <w:sz w:val="24"/>
          <w:szCs w:val="24"/>
        </w:rPr>
        <w:t>ww.</w:t>
      </w:r>
      <w:r w:rsidR="007B1BEB">
        <w:rPr>
          <w:rFonts w:cstheme="minorHAnsi"/>
          <w:sz w:val="24"/>
          <w:szCs w:val="24"/>
        </w:rPr>
        <w:t> </w:t>
      </w:r>
      <w:r w:rsidRPr="0067775B">
        <w:rPr>
          <w:rFonts w:cstheme="minorHAnsi"/>
          <w:sz w:val="24"/>
          <w:szCs w:val="24"/>
        </w:rPr>
        <w:t xml:space="preserve">zakresie zajęto 2 negatywne stanowiska dotyczące usytuowania </w:t>
      </w:r>
      <w:r w:rsidRPr="0067775B">
        <w:rPr>
          <w:rFonts w:cstheme="minorHAnsi"/>
          <w:bCs/>
          <w:sz w:val="24"/>
          <w:szCs w:val="24"/>
        </w:rPr>
        <w:t>pomieszczenia mieszkalnego przeznaczonego na stały pobyt ludzi poniżej poziomu terenu.</w:t>
      </w:r>
    </w:p>
    <w:p w14:paraId="2E163F28" w14:textId="7E9F053A" w:rsidR="005F1DB2" w:rsidRPr="00ED5F8C" w:rsidRDefault="005F1DB2" w:rsidP="00597239">
      <w:pPr>
        <w:pStyle w:val="Nagwek3"/>
        <w:numPr>
          <w:ilvl w:val="1"/>
          <w:numId w:val="36"/>
        </w:numPr>
        <w:spacing w:before="0" w:after="0"/>
        <w:ind w:left="567" w:right="0" w:hanging="567"/>
      </w:pPr>
      <w:bookmarkStart w:id="422" w:name="_Toc194059875"/>
      <w:r w:rsidRPr="0067775B">
        <w:t>Inne sprawy w zakresie Zapobiegawczego Nadzoru Sanitarnego, w tym dotyczące uzgadniania projektu decyzji o warunkach zabudowy i zagospodarowaniu terenu oraz decyzji o ustaleniu lokalizacji inwestycji celu publicznego</w:t>
      </w:r>
      <w:bookmarkEnd w:id="422"/>
    </w:p>
    <w:p w14:paraId="559A0FC0" w14:textId="3E62770E" w:rsidR="005F1DB2" w:rsidRDefault="005F1DB2" w:rsidP="00597239">
      <w:pPr>
        <w:tabs>
          <w:tab w:val="left" w:pos="2925"/>
        </w:tabs>
        <w:suppressAutoHyphens/>
        <w:spacing w:after="0" w:line="276" w:lineRule="auto"/>
        <w:rPr>
          <w:rFonts w:eastAsia="Times New Roman" w:cstheme="minorHAnsi"/>
          <w:iCs/>
          <w:sz w:val="24"/>
          <w:szCs w:val="24"/>
          <w:lang w:eastAsia="ar-SA"/>
        </w:rPr>
      </w:pPr>
      <w:r w:rsidRPr="0067775B">
        <w:rPr>
          <w:rFonts w:eastAsia="Times New Roman" w:cstheme="minorHAnsi"/>
          <w:sz w:val="24"/>
          <w:szCs w:val="24"/>
          <w:lang w:eastAsia="ar-SA"/>
        </w:rPr>
        <w:t>Zajęto łącznie 4372 stanowiska dotyczące w szczególności uzgadniania projektu decyzji o</w:t>
      </w:r>
      <w:r w:rsidR="007B1BEB">
        <w:rPr>
          <w:rFonts w:eastAsia="Times New Roman" w:cstheme="minorHAnsi"/>
          <w:sz w:val="24"/>
          <w:szCs w:val="24"/>
          <w:lang w:eastAsia="ar-SA"/>
        </w:rPr>
        <w:t> </w:t>
      </w:r>
      <w:r w:rsidRPr="0067775B">
        <w:rPr>
          <w:rFonts w:eastAsia="Times New Roman" w:cstheme="minorHAnsi"/>
          <w:sz w:val="24"/>
          <w:szCs w:val="24"/>
          <w:lang w:eastAsia="ar-SA"/>
        </w:rPr>
        <w:t>warunkach zabudowy i zagospodarowania terenu oraz decyzji o ustaleniu lokalizacji inwestycji celu publicznego. W ramach ww. postępowań zajęto 3 negatywne stanowiska dotyczące warunków zabudowy dla inwestycji polegających na budowie budynków mieszkalnych w odległości niespełniającej wymagań dotyczących minimalnej odległości zabudowy mieszkalnej od granic terenu cmentarza</w:t>
      </w:r>
      <w:r w:rsidRPr="0067775B">
        <w:rPr>
          <w:rFonts w:eastAsia="Times New Roman" w:cstheme="minorHAnsi"/>
          <w:iCs/>
          <w:sz w:val="24"/>
          <w:szCs w:val="24"/>
          <w:lang w:eastAsia="ar-SA"/>
        </w:rPr>
        <w:t>. Negatywne stanowisko zajęto również w</w:t>
      </w:r>
      <w:r w:rsidR="007B1BEB">
        <w:rPr>
          <w:rFonts w:eastAsia="Times New Roman" w:cstheme="minorHAnsi"/>
          <w:iCs/>
          <w:sz w:val="24"/>
          <w:szCs w:val="24"/>
          <w:lang w:eastAsia="ar-SA"/>
        </w:rPr>
        <w:t> </w:t>
      </w:r>
      <w:r w:rsidRPr="0067775B">
        <w:rPr>
          <w:rFonts w:eastAsia="Times New Roman" w:cstheme="minorHAnsi"/>
          <w:iCs/>
          <w:sz w:val="24"/>
          <w:szCs w:val="24"/>
          <w:lang w:eastAsia="ar-SA"/>
        </w:rPr>
        <w:t>sprawie dotyczącej lokalizacji wyrzutni powietrza na poziomie terenu.</w:t>
      </w:r>
    </w:p>
    <w:p w14:paraId="43F2E117" w14:textId="77777777" w:rsidR="007A33FE" w:rsidRPr="00ED5F8C" w:rsidRDefault="007A33FE" w:rsidP="00597239">
      <w:pPr>
        <w:tabs>
          <w:tab w:val="left" w:pos="2925"/>
        </w:tabs>
        <w:suppressAutoHyphens/>
        <w:spacing w:after="0" w:line="276" w:lineRule="auto"/>
        <w:rPr>
          <w:rFonts w:eastAsia="Times New Roman" w:cstheme="minorHAnsi"/>
          <w:sz w:val="24"/>
          <w:szCs w:val="24"/>
          <w:lang w:eastAsia="ar-SA"/>
        </w:rPr>
      </w:pPr>
    </w:p>
    <w:p w14:paraId="4AD69D2C" w14:textId="35987696" w:rsidR="005F1DB2" w:rsidRPr="00ED5F8C" w:rsidRDefault="005F1DB2" w:rsidP="00597239">
      <w:pPr>
        <w:pStyle w:val="Nagwek3"/>
        <w:numPr>
          <w:ilvl w:val="1"/>
          <w:numId w:val="36"/>
        </w:numPr>
        <w:spacing w:before="0" w:after="0"/>
        <w:ind w:left="568" w:hanging="568"/>
      </w:pPr>
      <w:bookmarkStart w:id="423" w:name="_Toc194059876"/>
      <w:r w:rsidRPr="0067775B">
        <w:lastRenderedPageBreak/>
        <w:t>Dopuszczenie do użytkowania obiektów budowlanych</w:t>
      </w:r>
      <w:bookmarkEnd w:id="423"/>
    </w:p>
    <w:p w14:paraId="26588EFB" w14:textId="1F107F20" w:rsidR="005F1DB2" w:rsidRPr="0067775B" w:rsidRDefault="005F1DB2" w:rsidP="00597239">
      <w:pPr>
        <w:spacing w:after="0" w:line="276" w:lineRule="auto"/>
        <w:rPr>
          <w:rFonts w:eastAsia="Times New Roman" w:cstheme="minorHAnsi"/>
          <w:i/>
          <w:iCs/>
          <w:sz w:val="24"/>
          <w:szCs w:val="24"/>
          <w:lang w:eastAsia="ar-SA"/>
        </w:rPr>
      </w:pPr>
      <w:r w:rsidRPr="0067775B">
        <w:rPr>
          <w:rFonts w:cstheme="minorHAnsi"/>
          <w:sz w:val="24"/>
          <w:szCs w:val="24"/>
        </w:rPr>
        <w:t xml:space="preserve">Zajęto ogółem 1223 </w:t>
      </w:r>
      <w:r w:rsidRPr="0067775B">
        <w:rPr>
          <w:rFonts w:eastAsia="Times New Roman" w:cstheme="minorHAnsi"/>
          <w:sz w:val="24"/>
          <w:szCs w:val="24"/>
          <w:lang w:eastAsia="ar-SA"/>
        </w:rPr>
        <w:t>stanowiska, w tym dopuszczono do eksploatacji pod względem wymagań sanitarnych 1 statek żeglugi śródlądowej. W ramach ww. stanowisk w 4 przypadkach stwierdzono brak zgodności wykonania obiektu budowlanego z projektem budowlanym w</w:t>
      </w:r>
      <w:r w:rsidR="007B1BEB">
        <w:rPr>
          <w:rFonts w:eastAsia="Times New Roman" w:cstheme="minorHAnsi"/>
          <w:sz w:val="24"/>
          <w:szCs w:val="24"/>
          <w:lang w:eastAsia="ar-SA"/>
        </w:rPr>
        <w:t> </w:t>
      </w:r>
      <w:r w:rsidRPr="0067775B">
        <w:rPr>
          <w:rFonts w:eastAsia="Times New Roman" w:cstheme="minorHAnsi"/>
          <w:sz w:val="24"/>
          <w:szCs w:val="24"/>
          <w:lang w:eastAsia="ar-SA"/>
        </w:rPr>
        <w:t>zakresie wymagań higienicznych i zdrowotnych dotyczących m.in. zapewnienia odpowiedniej wysokości i wentylacji w pomieszczeniach przeznaczonych na pobyt ludzi oraz higienicznosanitarnych. W 2024 roku łącznie przeprowadzono 554 kontrole lub wizje lokalne obiektów budowlanych.</w:t>
      </w:r>
    </w:p>
    <w:p w14:paraId="2DE357D5" w14:textId="77777777" w:rsidR="00F87EA9" w:rsidRDefault="00F87EA9" w:rsidP="00597239">
      <w:pPr>
        <w:spacing w:after="0"/>
        <w:rPr>
          <w:rFonts w:cstheme="minorHAnsi"/>
          <w:sz w:val="24"/>
          <w:szCs w:val="24"/>
          <w:lang w:eastAsia="pl-PL"/>
        </w:rPr>
      </w:pPr>
    </w:p>
    <w:p w14:paraId="293A198E" w14:textId="7618FF3C" w:rsidR="00095D7E" w:rsidRDefault="00095D7E" w:rsidP="00597239">
      <w:pPr>
        <w:rPr>
          <w:rFonts w:cstheme="minorHAnsi"/>
          <w:sz w:val="24"/>
          <w:szCs w:val="24"/>
          <w:lang w:eastAsia="pl-PL"/>
        </w:rPr>
      </w:pPr>
      <w:r>
        <w:rPr>
          <w:rFonts w:cstheme="minorHAnsi"/>
          <w:sz w:val="24"/>
          <w:szCs w:val="24"/>
          <w:lang w:eastAsia="pl-PL"/>
        </w:rPr>
        <w:br w:type="page"/>
      </w:r>
    </w:p>
    <w:p w14:paraId="0DD427D7" w14:textId="6AB7A1AF" w:rsidR="00095D7E" w:rsidRPr="00666132" w:rsidRDefault="00095D7E" w:rsidP="00597239">
      <w:pPr>
        <w:pStyle w:val="Nagwek1"/>
        <w:numPr>
          <w:ilvl w:val="0"/>
          <w:numId w:val="86"/>
        </w:numPr>
        <w:ind w:left="0" w:firstLine="0"/>
        <w:jc w:val="left"/>
        <w:rPr>
          <w:rFonts w:cs="Calibri"/>
          <w:bCs/>
        </w:rPr>
      </w:pPr>
      <w:bookmarkStart w:id="424" w:name="_Hlk193364005"/>
      <w:bookmarkStart w:id="425" w:name="_Toc194059877"/>
      <w:bookmarkEnd w:id="424"/>
      <w:r w:rsidRPr="00666132">
        <w:rPr>
          <w:rFonts w:cs="Calibri"/>
          <w:bCs/>
        </w:rPr>
        <w:lastRenderedPageBreak/>
        <w:t xml:space="preserve">Profilaktyka i </w:t>
      </w:r>
      <w:r w:rsidR="00A80BEA">
        <w:rPr>
          <w:rFonts w:cs="Calibri"/>
          <w:bCs/>
        </w:rPr>
        <w:t>P</w:t>
      </w:r>
      <w:r w:rsidRPr="00666132">
        <w:rPr>
          <w:rFonts w:cs="Calibri"/>
          <w:bCs/>
        </w:rPr>
        <w:t xml:space="preserve">romocja </w:t>
      </w:r>
      <w:r w:rsidR="00A80BEA">
        <w:rPr>
          <w:rFonts w:cs="Calibri"/>
          <w:bCs/>
        </w:rPr>
        <w:t>Z</w:t>
      </w:r>
      <w:r w:rsidRPr="00666132">
        <w:rPr>
          <w:rFonts w:cs="Calibri"/>
          <w:bCs/>
        </w:rPr>
        <w:t>drowia</w:t>
      </w:r>
      <w:bookmarkEnd w:id="425"/>
      <w:r w:rsidRPr="00666132">
        <w:rPr>
          <w:rFonts w:cs="Calibri"/>
          <w:bCs/>
        </w:rPr>
        <w:t xml:space="preserve"> </w:t>
      </w:r>
    </w:p>
    <w:p w14:paraId="1F092DD0" w14:textId="699CA76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W 2024 roku pion Oświaty Zdrowotnej i Promocji Zdrowia, Państwowej Inspekcji Sanitarnej województwa zachodniopomorskiego realizował zadania ukierunkowane głównie na</w:t>
      </w:r>
      <w:r w:rsidR="00D410B8">
        <w:rPr>
          <w:rFonts w:ascii="Calibri" w:hAnsi="Calibri" w:cs="Calibri"/>
          <w:sz w:val="24"/>
          <w:szCs w:val="24"/>
        </w:rPr>
        <w:t> </w:t>
      </w:r>
      <w:r w:rsidRPr="00666132">
        <w:rPr>
          <w:rFonts w:ascii="Calibri" w:hAnsi="Calibri" w:cs="Calibri"/>
          <w:sz w:val="24"/>
          <w:szCs w:val="24"/>
        </w:rPr>
        <w:t>przeciwdziałanie następstwom palenia tytoniu, propagowanie zdrowego stylu życia, w tym profilaktykę nadwagi i otyłości, profilaktykę używania substancji psychoaktywnych, ze</w:t>
      </w:r>
      <w:r w:rsidR="00D410B8">
        <w:rPr>
          <w:rFonts w:ascii="Calibri" w:hAnsi="Calibri" w:cs="Calibri"/>
          <w:sz w:val="24"/>
          <w:szCs w:val="24"/>
        </w:rPr>
        <w:t> </w:t>
      </w:r>
      <w:r w:rsidRPr="00666132">
        <w:rPr>
          <w:rFonts w:ascii="Calibri" w:hAnsi="Calibri" w:cs="Calibri"/>
          <w:sz w:val="24"/>
          <w:szCs w:val="24"/>
        </w:rPr>
        <w:t>szczególnym uwzględnieniem profilaktyki używania narkotyków modyfikowanych. Informacje szczegółowe dotyczące realizacji interwencji programowych i nieprogramowych w</w:t>
      </w:r>
      <w:r w:rsidR="00D410B8">
        <w:rPr>
          <w:rFonts w:ascii="Calibri" w:hAnsi="Calibri" w:cs="Calibri"/>
          <w:sz w:val="24"/>
          <w:szCs w:val="24"/>
        </w:rPr>
        <w:t> </w:t>
      </w:r>
      <w:r w:rsidRPr="00666132">
        <w:rPr>
          <w:rFonts w:ascii="Calibri" w:hAnsi="Calibri" w:cs="Calibri"/>
          <w:sz w:val="24"/>
          <w:szCs w:val="24"/>
        </w:rPr>
        <w:t>naszym województwie znajdują się na stronach internetowych Państwowej Inspekcji Sanitarnej oraz w mediach społecznościowych WSSE i PSSE (</w:t>
      </w:r>
      <w:proofErr w:type="spellStart"/>
      <w:r w:rsidRPr="00666132">
        <w:rPr>
          <w:rFonts w:ascii="Calibri" w:hAnsi="Calibri" w:cs="Calibri"/>
          <w:sz w:val="24"/>
          <w:szCs w:val="24"/>
        </w:rPr>
        <w:t>Fb</w:t>
      </w:r>
      <w:proofErr w:type="spellEnd"/>
      <w:r w:rsidRPr="00666132">
        <w:rPr>
          <w:rFonts w:ascii="Calibri" w:hAnsi="Calibri" w:cs="Calibri"/>
          <w:sz w:val="24"/>
          <w:szCs w:val="24"/>
        </w:rPr>
        <w:t>/X).</w:t>
      </w:r>
    </w:p>
    <w:p w14:paraId="6557FE76" w14:textId="77777777" w:rsidR="007A33FE" w:rsidRPr="00666132" w:rsidRDefault="007A33FE" w:rsidP="00597239">
      <w:pPr>
        <w:spacing w:after="0" w:line="276" w:lineRule="auto"/>
        <w:rPr>
          <w:rFonts w:ascii="Calibri" w:hAnsi="Calibri" w:cs="Calibri"/>
          <w:sz w:val="24"/>
          <w:szCs w:val="24"/>
        </w:rPr>
      </w:pPr>
    </w:p>
    <w:p w14:paraId="3E2F3BB6" w14:textId="7C6C132D" w:rsidR="00095D7E" w:rsidRDefault="00095D7E" w:rsidP="00597239">
      <w:pPr>
        <w:pStyle w:val="Nagwek2"/>
        <w:numPr>
          <w:ilvl w:val="0"/>
          <w:numId w:val="48"/>
        </w:numPr>
        <w:spacing w:before="0" w:after="0"/>
        <w:ind w:left="284" w:hanging="284"/>
        <w:jc w:val="left"/>
        <w:rPr>
          <w:b w:val="0"/>
          <w:bCs w:val="0"/>
        </w:rPr>
      </w:pPr>
      <w:bookmarkStart w:id="426" w:name="_Toc194059878"/>
      <w:r w:rsidRPr="00095D7E">
        <w:rPr>
          <w:rStyle w:val="Nagwek2Znak"/>
          <w:b/>
          <w:bCs/>
        </w:rPr>
        <w:t>Profilaktyka nadwagi i otyłości</w:t>
      </w:r>
      <w:bookmarkEnd w:id="426"/>
      <w:r w:rsidRPr="00095D7E">
        <w:rPr>
          <w:b w:val="0"/>
          <w:bCs w:val="0"/>
        </w:rPr>
        <w:t xml:space="preserve"> </w:t>
      </w:r>
    </w:p>
    <w:p w14:paraId="08F1BD15" w14:textId="77777777" w:rsidR="007A33FE" w:rsidRPr="007A33FE" w:rsidRDefault="007A33FE" w:rsidP="00597239"/>
    <w:p w14:paraId="351282F8" w14:textId="2C330855" w:rsidR="00095D7E" w:rsidRPr="00666132" w:rsidRDefault="00095D7E" w:rsidP="00597239">
      <w:pPr>
        <w:pStyle w:val="Nagwek3"/>
        <w:numPr>
          <w:ilvl w:val="1"/>
          <w:numId w:val="48"/>
        </w:numPr>
        <w:spacing w:before="0" w:after="0"/>
        <w:ind w:left="568" w:hanging="284"/>
      </w:pPr>
      <w:bookmarkStart w:id="427" w:name="_Toc194059879"/>
      <w:r w:rsidRPr="00666132">
        <w:t>Krajowy</w:t>
      </w:r>
      <w:r w:rsidRPr="00666132">
        <w:rPr>
          <w:bCs/>
        </w:rPr>
        <w:t xml:space="preserve"> </w:t>
      </w:r>
      <w:r w:rsidRPr="00666132">
        <w:t>Program Edukacyjny „Trzymaj Formę!”</w:t>
      </w:r>
      <w:bookmarkEnd w:id="427"/>
    </w:p>
    <w:p w14:paraId="2237335F"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klas V-VIII</w:t>
      </w:r>
    </w:p>
    <w:p w14:paraId="3ABA7DBB"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12 247 osób</w:t>
      </w:r>
    </w:p>
    <w:p w14:paraId="1F764DF2" w14:textId="47F663A9"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prelekcje dot. zdrowego odżywiania, aktywności fizycznej oraz edukacji konsumenckiej, stoiska edukacyjne, narady i szkolenia dla koordynatorów szkolnych. Informacje dotyczące programu zamieszczane były na bieżąco na stronach urzędów Państwowej Inspekcji Sanitarnej oraz w mediach. Dokonywano oceny realizacji programu w</w:t>
      </w:r>
      <w:r w:rsidR="00D410B8">
        <w:rPr>
          <w:rFonts w:ascii="Calibri" w:hAnsi="Calibri" w:cs="Calibri"/>
          <w:sz w:val="24"/>
          <w:szCs w:val="24"/>
        </w:rPr>
        <w:t> </w:t>
      </w:r>
      <w:r w:rsidRPr="00666132">
        <w:rPr>
          <w:rFonts w:ascii="Calibri" w:hAnsi="Calibri" w:cs="Calibri"/>
          <w:sz w:val="24"/>
          <w:szCs w:val="24"/>
        </w:rPr>
        <w:t>szkole podczas wizytacji.</w:t>
      </w:r>
    </w:p>
    <w:p w14:paraId="4DA97D19" w14:textId="77777777" w:rsidR="007A33FE" w:rsidRPr="00666132" w:rsidRDefault="007A33FE" w:rsidP="00597239">
      <w:pPr>
        <w:spacing w:after="0" w:line="276" w:lineRule="auto"/>
        <w:rPr>
          <w:rFonts w:ascii="Calibri" w:hAnsi="Calibri" w:cs="Calibri"/>
          <w:sz w:val="24"/>
          <w:szCs w:val="24"/>
        </w:rPr>
      </w:pPr>
    </w:p>
    <w:p w14:paraId="1898FCAE" w14:textId="5321ED78" w:rsidR="00095D7E" w:rsidRPr="00666132" w:rsidRDefault="00095D7E" w:rsidP="00597239">
      <w:pPr>
        <w:pStyle w:val="Nagwek3"/>
        <w:numPr>
          <w:ilvl w:val="1"/>
          <w:numId w:val="48"/>
        </w:numPr>
        <w:spacing w:before="0" w:after="0"/>
        <w:ind w:left="568" w:hanging="284"/>
      </w:pPr>
      <w:bookmarkStart w:id="428" w:name="_Toc194059880"/>
      <w:r w:rsidRPr="00666132">
        <w:t>Promocja aktywności fizycznej i prawidłowego odżywiania</w:t>
      </w:r>
      <w:bookmarkEnd w:id="428"/>
      <w:r w:rsidRPr="00666132">
        <w:rPr>
          <w:bCs/>
          <w:u w:val="single"/>
        </w:rPr>
        <w:t xml:space="preserve"> </w:t>
      </w:r>
    </w:p>
    <w:p w14:paraId="402268C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ogół społeczeństwa, dzieci i młodzież</w:t>
      </w:r>
    </w:p>
    <w:p w14:paraId="031AF576"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14 260 osób</w:t>
      </w:r>
    </w:p>
    <w:p w14:paraId="3C476ECF" w14:textId="56F183C1"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prelekcje dla przedszkolaków, uczniów i rodziców dot. zdrowego odżywiania, promowania aktywności fizycznej, higieny oraz szkodliwości napojów energetycznych, warsztaty, stoiska edukacyjno-informacyjne podczas imprez prozdrowotnych. PSSE W Szczecinie zorganizowała konkurs teatralny, którego głównym celem było kształtowanie właściwych nawyków żywieniowych od najmłodszych lat, zwiększanie wiedzy i świadomości przedszkolaków z zakresu zdrowego odżywiania. Dzieci z terenu miasta Szczecin zaprezentowały sztuki teatralne zgodne z założeniami projektu. Wszyscy uczestnicy otrzymali nagrody w postaci gier i zabaw edukacyjnych ufundowanych przez Dyrektora Wydziału Spraw Społecznych Urzędu Miasta Szczecin. W</w:t>
      </w:r>
      <w:r w:rsidR="00D410B8">
        <w:rPr>
          <w:rFonts w:ascii="Calibri" w:hAnsi="Calibri" w:cs="Calibri"/>
          <w:sz w:val="24"/>
          <w:szCs w:val="24"/>
        </w:rPr>
        <w:t> </w:t>
      </w:r>
      <w:r w:rsidRPr="00666132">
        <w:rPr>
          <w:rFonts w:ascii="Calibri" w:hAnsi="Calibri" w:cs="Calibri"/>
          <w:sz w:val="24"/>
          <w:szCs w:val="24"/>
        </w:rPr>
        <w:t>przeglądzie uczestniczyło 180 dzieci z 8 placówek.</w:t>
      </w:r>
    </w:p>
    <w:p w14:paraId="1B72C4DC" w14:textId="77777777" w:rsidR="00095D7E" w:rsidRPr="00666132" w:rsidRDefault="00095D7E" w:rsidP="00597239">
      <w:pPr>
        <w:spacing w:after="0" w:line="276" w:lineRule="auto"/>
        <w:rPr>
          <w:rFonts w:ascii="Calibri" w:hAnsi="Calibri" w:cs="Calibri"/>
          <w:sz w:val="24"/>
          <w:szCs w:val="24"/>
        </w:rPr>
      </w:pPr>
    </w:p>
    <w:p w14:paraId="1CF6E53F" w14:textId="5EF9AFDB" w:rsidR="00095D7E" w:rsidRPr="00666132" w:rsidRDefault="00095D7E" w:rsidP="00597239">
      <w:pPr>
        <w:spacing w:after="0" w:line="276" w:lineRule="auto"/>
        <w:rPr>
          <w:rFonts w:ascii="Calibri" w:hAnsi="Calibri" w:cs="Calibri"/>
          <w:sz w:val="24"/>
          <w:szCs w:val="24"/>
        </w:rPr>
      </w:pPr>
    </w:p>
    <w:p w14:paraId="46C553A4" w14:textId="77777777" w:rsidR="00095D7E" w:rsidRPr="00666132" w:rsidRDefault="00095D7E" w:rsidP="00597239">
      <w:pPr>
        <w:spacing w:after="0" w:line="276" w:lineRule="auto"/>
        <w:rPr>
          <w:rFonts w:ascii="Calibri" w:hAnsi="Calibri" w:cs="Calibri"/>
          <w:b/>
          <w:bCs/>
          <w:sz w:val="24"/>
          <w:szCs w:val="24"/>
        </w:rPr>
      </w:pPr>
    </w:p>
    <w:p w14:paraId="1B26856F" w14:textId="77777777" w:rsidR="00095D7E" w:rsidRDefault="00095D7E" w:rsidP="00597239">
      <w:pPr>
        <w:spacing w:after="0" w:line="276" w:lineRule="auto"/>
        <w:rPr>
          <w:rFonts w:ascii="Calibri" w:hAnsi="Calibri" w:cs="Calibri"/>
          <w:b/>
          <w:bCs/>
          <w:sz w:val="24"/>
          <w:szCs w:val="24"/>
        </w:rPr>
      </w:pPr>
    </w:p>
    <w:p w14:paraId="4C0C8E91" w14:textId="77777777" w:rsidR="00193C44" w:rsidRDefault="00193C44" w:rsidP="00597239">
      <w:pPr>
        <w:spacing w:after="0" w:line="276" w:lineRule="auto"/>
        <w:rPr>
          <w:rFonts w:ascii="Calibri" w:hAnsi="Calibri" w:cs="Calibri"/>
          <w:b/>
          <w:bCs/>
          <w:sz w:val="24"/>
          <w:szCs w:val="24"/>
        </w:rPr>
      </w:pPr>
    </w:p>
    <w:p w14:paraId="3F59B534" w14:textId="77777777" w:rsidR="00193C44" w:rsidRDefault="00193C44" w:rsidP="00597239">
      <w:pPr>
        <w:spacing w:after="0" w:line="276" w:lineRule="auto"/>
        <w:rPr>
          <w:rFonts w:ascii="Calibri" w:hAnsi="Calibri" w:cs="Calibri"/>
          <w:b/>
          <w:bCs/>
          <w:sz w:val="24"/>
          <w:szCs w:val="24"/>
        </w:rPr>
      </w:pPr>
    </w:p>
    <w:p w14:paraId="2FD9B869" w14:textId="6ECDA7C0" w:rsidR="00095D7E" w:rsidRDefault="00095D7E" w:rsidP="00597239">
      <w:pPr>
        <w:pStyle w:val="Nagwek2"/>
        <w:numPr>
          <w:ilvl w:val="0"/>
          <w:numId w:val="49"/>
        </w:numPr>
        <w:spacing w:before="0" w:after="0"/>
        <w:ind w:left="284" w:hanging="284"/>
        <w:jc w:val="left"/>
      </w:pPr>
      <w:bookmarkStart w:id="429" w:name="_Toc194059881"/>
      <w:r w:rsidRPr="00666132">
        <w:lastRenderedPageBreak/>
        <w:t>Profilaktyka palenia tytoniu</w:t>
      </w:r>
      <w:bookmarkEnd w:id="429"/>
    </w:p>
    <w:p w14:paraId="697CCC64" w14:textId="77777777" w:rsidR="007A33FE" w:rsidRPr="007A33FE" w:rsidRDefault="007A33FE" w:rsidP="00597239"/>
    <w:p w14:paraId="4E8459C1" w14:textId="7081CDA8" w:rsidR="00095D7E" w:rsidRPr="00666132" w:rsidRDefault="00095D7E" w:rsidP="00597239">
      <w:pPr>
        <w:pStyle w:val="Nagwek3"/>
        <w:numPr>
          <w:ilvl w:val="1"/>
          <w:numId w:val="49"/>
        </w:numPr>
        <w:spacing w:before="0" w:after="0"/>
        <w:ind w:left="568" w:hanging="284"/>
        <w:rPr>
          <w:bCs/>
        </w:rPr>
      </w:pPr>
      <w:bookmarkStart w:id="430" w:name="_Toc194059882"/>
      <w:r w:rsidRPr="00666132">
        <w:t>Światowy Dzień bez Tytoniu</w:t>
      </w:r>
      <w:bookmarkEnd w:id="430"/>
    </w:p>
    <w:p w14:paraId="46741123" w14:textId="77777777" w:rsidR="00095D7E" w:rsidRPr="00666132" w:rsidRDefault="00095D7E" w:rsidP="00597239">
      <w:pPr>
        <w:spacing w:after="0" w:line="276" w:lineRule="auto"/>
        <w:ind w:left="-141"/>
        <w:rPr>
          <w:rFonts w:ascii="Calibri" w:hAnsi="Calibri" w:cs="Calibri"/>
          <w:sz w:val="24"/>
          <w:szCs w:val="24"/>
        </w:rPr>
      </w:pPr>
      <w:r w:rsidRPr="00666132">
        <w:rPr>
          <w:rFonts w:ascii="Calibri" w:hAnsi="Calibri" w:cs="Calibri"/>
          <w:sz w:val="24"/>
          <w:szCs w:val="24"/>
        </w:rPr>
        <w:t xml:space="preserve"> Grupa docelowa: ogół społeczeństwa pedagodzy, dyrektorzy szkół, przedstawiciele instytucji publicznych i placówek oświatowo wychowawczych, dzieci, młodzież, pensjonariusze DPS, kuracjusze w sanatoriach.</w:t>
      </w:r>
    </w:p>
    <w:p w14:paraId="6DC24540" w14:textId="77777777" w:rsidR="00095D7E" w:rsidRPr="00666132" w:rsidRDefault="00095D7E" w:rsidP="00597239">
      <w:pPr>
        <w:spacing w:after="0" w:line="276" w:lineRule="auto"/>
        <w:ind w:left="-141"/>
        <w:rPr>
          <w:rFonts w:ascii="Calibri" w:hAnsi="Calibri" w:cs="Calibri"/>
          <w:sz w:val="24"/>
          <w:szCs w:val="24"/>
        </w:rPr>
      </w:pPr>
      <w:r w:rsidRPr="00666132">
        <w:rPr>
          <w:rFonts w:ascii="Calibri" w:hAnsi="Calibri" w:cs="Calibri"/>
          <w:sz w:val="24"/>
          <w:szCs w:val="24"/>
        </w:rPr>
        <w:t>Liczba odbiorców: 12 617 osób</w:t>
      </w:r>
    </w:p>
    <w:p w14:paraId="50E7AAC6" w14:textId="08A2FA37" w:rsidR="00095D7E" w:rsidRPr="00666132" w:rsidRDefault="00095D7E" w:rsidP="00597239">
      <w:pPr>
        <w:spacing w:after="0" w:line="276" w:lineRule="auto"/>
        <w:ind w:left="-141"/>
        <w:rPr>
          <w:rFonts w:ascii="Calibri" w:hAnsi="Calibri" w:cs="Calibri"/>
          <w:sz w:val="24"/>
          <w:szCs w:val="24"/>
        </w:rPr>
      </w:pPr>
      <w:r w:rsidRPr="00666132">
        <w:rPr>
          <w:rFonts w:ascii="Calibri" w:hAnsi="Calibri" w:cs="Calibri"/>
          <w:sz w:val="24"/>
          <w:szCs w:val="24"/>
        </w:rPr>
        <w:t>Główne działania: prelekcje, stoiska edukacyjne, narady. Zorganizowano konkurs plastyczny pt. „Oddycham a nie wdycham” dla uczniów szkoły podstawowej oraz przedszkoli. Celem głównym konkursu było zwiększanie świadomości i wiedzy dzieci na temat szkodliwości palenia tytoniu oraz używania wyrobów tytoniowych, w szczególności dla osób z najbliższego otoczenia palacza. Celem konkursu było również propagowanie zdrowego stylu życia oraz zwiększanie świadomości w zakresie szkodliwości „biernego palenia”. PSSE w Gryficach</w:t>
      </w:r>
      <w:bookmarkStart w:id="431" w:name="_Hlk192232712"/>
      <w:r w:rsidRPr="00666132">
        <w:rPr>
          <w:rFonts w:ascii="Calibri" w:hAnsi="Calibri" w:cs="Calibri"/>
          <w:sz w:val="24"/>
          <w:szCs w:val="24"/>
        </w:rPr>
        <w:t xml:space="preserve"> we współpracy z</w:t>
      </w:r>
      <w:r w:rsidR="007A33FE">
        <w:rPr>
          <w:rFonts w:ascii="Calibri" w:hAnsi="Calibri" w:cs="Calibri"/>
          <w:sz w:val="24"/>
          <w:szCs w:val="24"/>
        </w:rPr>
        <w:t> </w:t>
      </w:r>
      <w:r w:rsidRPr="00666132">
        <w:rPr>
          <w:rFonts w:ascii="Calibri" w:hAnsi="Calibri" w:cs="Calibri"/>
          <w:sz w:val="24"/>
          <w:szCs w:val="24"/>
        </w:rPr>
        <w:t>zespołem Gminnej Komisji Rozwiązywania Problemów Alkoholowych Urzędu Miejskiego w</w:t>
      </w:r>
      <w:r w:rsidR="007A33FE">
        <w:rPr>
          <w:rFonts w:ascii="Calibri" w:hAnsi="Calibri" w:cs="Calibri"/>
          <w:sz w:val="24"/>
          <w:szCs w:val="24"/>
        </w:rPr>
        <w:t> </w:t>
      </w:r>
      <w:r w:rsidRPr="00666132">
        <w:rPr>
          <w:rFonts w:ascii="Calibri" w:hAnsi="Calibri" w:cs="Calibri"/>
          <w:sz w:val="24"/>
          <w:szCs w:val="24"/>
        </w:rPr>
        <w:t xml:space="preserve">Płotach oraz Komendą Powiatową Policji zorganizowały w mieście Płoty happening antynikotynowy z udziałem uczniów placówek oświatowych. Przy wsparciu Wójta Gminy </w:t>
      </w:r>
      <w:proofErr w:type="spellStart"/>
      <w:r w:rsidRPr="00666132">
        <w:rPr>
          <w:rFonts w:ascii="Calibri" w:hAnsi="Calibri" w:cs="Calibri"/>
          <w:sz w:val="24"/>
          <w:szCs w:val="24"/>
        </w:rPr>
        <w:t>Rewal</w:t>
      </w:r>
      <w:proofErr w:type="spellEnd"/>
      <w:r w:rsidRPr="00666132">
        <w:rPr>
          <w:rFonts w:ascii="Calibri" w:hAnsi="Calibri" w:cs="Calibri"/>
          <w:sz w:val="24"/>
          <w:szCs w:val="24"/>
        </w:rPr>
        <w:t xml:space="preserve">, który zabezpieczył środki finansowe na nagrody dla uczniów, zorganizowano w szkołach podstawowych Gminy </w:t>
      </w:r>
      <w:proofErr w:type="spellStart"/>
      <w:r w:rsidRPr="00666132">
        <w:rPr>
          <w:rFonts w:ascii="Calibri" w:hAnsi="Calibri" w:cs="Calibri"/>
          <w:sz w:val="24"/>
          <w:szCs w:val="24"/>
        </w:rPr>
        <w:t>Rewal</w:t>
      </w:r>
      <w:proofErr w:type="spellEnd"/>
      <w:r w:rsidRPr="00666132">
        <w:rPr>
          <w:rFonts w:ascii="Calibri" w:hAnsi="Calibri" w:cs="Calibri"/>
          <w:sz w:val="24"/>
          <w:szCs w:val="24"/>
        </w:rPr>
        <w:t xml:space="preserve"> Konkurs na Wiersz Antynikotynowy pt. „Zdrowie bez dymka”. </w:t>
      </w:r>
      <w:bookmarkEnd w:id="431"/>
    </w:p>
    <w:p w14:paraId="628F57F4" w14:textId="78BFA1CF" w:rsidR="0012343D" w:rsidRDefault="0012343D" w:rsidP="00597239">
      <w:pPr>
        <w:spacing w:after="0" w:line="276" w:lineRule="auto"/>
        <w:ind w:left="284"/>
        <w:rPr>
          <w:rFonts w:ascii="Calibri" w:hAnsi="Calibri" w:cs="Calibri"/>
          <w:sz w:val="24"/>
          <w:szCs w:val="24"/>
        </w:rPr>
      </w:pPr>
    </w:p>
    <w:p w14:paraId="4D3638A8" w14:textId="6AAF8732" w:rsidR="0012343D" w:rsidRDefault="004169F9" w:rsidP="00597239">
      <w:pPr>
        <w:rPr>
          <w:rFonts w:ascii="Calibri" w:hAnsi="Calibri" w:cs="Calibri"/>
          <w:sz w:val="24"/>
          <w:szCs w:val="24"/>
        </w:rPr>
      </w:pPr>
      <w:r w:rsidRPr="00666132">
        <w:rPr>
          <w:rFonts w:ascii="Calibri" w:eastAsia="Times New Roman" w:hAnsi="Calibri" w:cs="Calibri"/>
          <w:noProof/>
          <w:sz w:val="24"/>
          <w:szCs w:val="24"/>
          <w:lang w:eastAsia="pl-PL"/>
        </w:rPr>
        <w:lastRenderedPageBreak/>
        <w:drawing>
          <wp:anchor distT="0" distB="0" distL="114300" distR="114300" simplePos="0" relativeHeight="251701248" behindDoc="0" locked="0" layoutInCell="1" allowOverlap="1" wp14:anchorId="1594AC2B" wp14:editId="319347AE">
            <wp:simplePos x="0" y="0"/>
            <wp:positionH relativeFrom="margin">
              <wp:align>center</wp:align>
            </wp:positionH>
            <wp:positionV relativeFrom="paragraph">
              <wp:posOffset>98425</wp:posOffset>
            </wp:positionV>
            <wp:extent cx="3883025" cy="4584700"/>
            <wp:effectExtent l="0" t="0" r="3175" b="6350"/>
            <wp:wrapSquare wrapText="bothSides"/>
            <wp:docPr id="1487754937" name="Obraz 1" descr="Zdjęcie przedstawia ludzi biorących udział w marszu ulicami miasta z okazji &quot;Światowego Dnia bez Tytoni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54937" name="Obraz 1" descr="Zdjęcie przedstawia ludzi biorących udział w marszu ulicami miasta z okazji &quot;Światowego Dnia bez Tytoniu&quo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83025" cy="4584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2343D">
        <w:rPr>
          <w:rFonts w:ascii="Calibri" w:hAnsi="Calibri" w:cs="Calibri"/>
          <w:sz w:val="24"/>
          <w:szCs w:val="24"/>
        </w:rPr>
        <w:br w:type="page"/>
      </w:r>
    </w:p>
    <w:p w14:paraId="039C71AB" w14:textId="3739F4EE" w:rsidR="00095D7E" w:rsidRPr="00666132" w:rsidRDefault="00AC26B4" w:rsidP="00597239">
      <w:pPr>
        <w:spacing w:after="0" w:line="276" w:lineRule="auto"/>
        <w:ind w:left="284"/>
        <w:rPr>
          <w:rFonts w:ascii="Calibri" w:hAnsi="Calibri" w:cs="Calibri"/>
          <w:sz w:val="24"/>
          <w:szCs w:val="24"/>
        </w:rPr>
      </w:pPr>
      <w:r>
        <w:rPr>
          <w:rFonts w:ascii="Calibri" w:hAnsi="Calibri" w:cs="Calibri"/>
          <w:b/>
          <w:bCs/>
          <w:noProof/>
          <w:sz w:val="24"/>
          <w:szCs w:val="24"/>
        </w:rPr>
        <w:lastRenderedPageBreak/>
        <w:drawing>
          <wp:anchor distT="0" distB="0" distL="114300" distR="114300" simplePos="0" relativeHeight="251699200" behindDoc="0" locked="0" layoutInCell="1" allowOverlap="1" wp14:anchorId="2AA5F52B" wp14:editId="66645E2E">
            <wp:simplePos x="0" y="0"/>
            <wp:positionH relativeFrom="margin">
              <wp:align>right</wp:align>
            </wp:positionH>
            <wp:positionV relativeFrom="paragraph">
              <wp:posOffset>282</wp:posOffset>
            </wp:positionV>
            <wp:extent cx="3837305" cy="2648585"/>
            <wp:effectExtent l="0" t="0" r="0" b="0"/>
            <wp:wrapSquare wrapText="bothSides"/>
            <wp:docPr id="682211613" name="Obraz 2" descr="Obraz przedstawia dwa płuca, jedno zdrowe, a drugie zniszczone przez palenie. Zdrowe płuco jest jasne i wypełnione ziarnami owsa, a zniszczone płuco jest ciemne i wypełnione suszonymi ziołami. Pośrodku obrazu znajduje się papieros i e-papieros. Na obrazie widnieje również napis &quot;NIE PALĘ !!!&quot; w różnych miejs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11613" name="Obraz 2" descr="Obraz przedstawia dwa płuca, jedno zdrowe, a drugie zniszczone przez palenie. Zdrowe płuco jest jasne i wypełnione ziarnami owsa, a zniszczone płuco jest ciemne i wypełnione suszonymi ziołami. Pośrodku obrazu znajduje się papieros i e-papieros. Na obrazie widnieje również napis &quot;NIE PALĘ !!!&quot; w różnych miejscach."/>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3837305" cy="26485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cs="Calibri"/>
          <w:b/>
          <w:bCs/>
          <w:noProof/>
          <w:sz w:val="24"/>
          <w:szCs w:val="24"/>
        </w:rPr>
        <w:drawing>
          <wp:anchor distT="0" distB="0" distL="114300" distR="114300" simplePos="0" relativeHeight="251720704" behindDoc="0" locked="0" layoutInCell="1" allowOverlap="1" wp14:anchorId="514ED3F1" wp14:editId="4B5908B6">
            <wp:simplePos x="0" y="0"/>
            <wp:positionH relativeFrom="margin">
              <wp:posOffset>-776</wp:posOffset>
            </wp:positionH>
            <wp:positionV relativeFrom="paragraph">
              <wp:posOffset>1875366</wp:posOffset>
            </wp:positionV>
            <wp:extent cx="3029585" cy="4603115"/>
            <wp:effectExtent l="0" t="0" r="0" b="6985"/>
            <wp:wrapSquare wrapText="bothSides"/>
            <wp:docPr id="24286187" name="Obraz 1" descr="lustracja przedstawia kontrast między skutkami palenia a zdrowym stylem życia. Lewa strona obrazu jest mroczna, z dymem papierosowym, czaszkami, zanieczyszczonym powietrzem i miastem na tle czerwonego nieba. Na dole widoczne są papierosy i tytoń. Prawa strona jest jasna, z promiennym słońcem, zieloną trawą, rzeką i osobą odpoczywającą na łące. Widoczne są nożyczki przecinające drogę dymu oraz znak „STOP paleniu i e-pale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6187" name="Obraz 1" descr="lustracja przedstawia kontrast między skutkami palenia a zdrowym stylem życia. Lewa strona obrazu jest mroczna, z dymem papierosowym, czaszkami, zanieczyszczonym powietrzem i miastem na tle czerwonego nieba. Na dole widoczne są papierosy i tytoń. Prawa strona jest jasna, z promiennym słońcem, zieloną trawą, rzeką i osobą odpoczywającą na łące. Widoczne są nożyczki przecinające drogę dymu oraz znak „STOP paleniu i e-paleniu”."/>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3029585" cy="46031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cs="Calibri"/>
          <w:b/>
          <w:bCs/>
          <w:noProof/>
          <w:sz w:val="24"/>
          <w:szCs w:val="24"/>
        </w:rPr>
        <w:drawing>
          <wp:anchor distT="0" distB="0" distL="114300" distR="114300" simplePos="0" relativeHeight="251698176" behindDoc="0" locked="0" layoutInCell="1" allowOverlap="1" wp14:anchorId="167D839C" wp14:editId="12628D96">
            <wp:simplePos x="0" y="0"/>
            <wp:positionH relativeFrom="margin">
              <wp:posOffset>1315720</wp:posOffset>
            </wp:positionH>
            <wp:positionV relativeFrom="paragraph">
              <wp:posOffset>5149850</wp:posOffset>
            </wp:positionV>
            <wp:extent cx="4558030" cy="3144520"/>
            <wp:effectExtent l="0" t="0" r="0" b="0"/>
            <wp:wrapSquare wrapText="bothSides"/>
            <wp:docPr id="1130474684" name="Obraz 3" descr="Obraz ukazuje ponurą postać przypominającą śmierć z kapturem, czerwonoczarnymi oczami i kosą, trzymającą paczkę papierosów z ostrzegawczym symbolem. Naprzeciw stoi młoda dziewczyna, trzymająca e-papierosa i otoczona ciemnym dymem. Nad sceną widnieje napis „Palenie niszczy życie”, podkreślający antynikotynowy przek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74684" name="Obraz 3" descr="Obraz ukazuje ponurą postać przypominającą śmierć z kapturem, czerwonoczarnymi oczami i kosą, trzymającą paczkę papierosów z ostrzegawczym symbolem. Naprzeciw stoi młoda dziewczyna, trzymająca e-papierosa i otoczona ciemnym dymem. Nad sceną widnieje napis „Palenie niszczy życie”, podkreślający antynikotynowy przekaz."/>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558030" cy="31445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4169F9">
        <w:rPr>
          <w:rFonts w:ascii="Calibri" w:hAnsi="Calibri" w:cs="Calibri"/>
          <w:b/>
          <w:bCs/>
          <w:noProof/>
          <w:sz w:val="24"/>
          <w:szCs w:val="24"/>
        </w:rPr>
        <mc:AlternateContent>
          <mc:Choice Requires="wps">
            <w:drawing>
              <wp:anchor distT="0" distB="0" distL="114300" distR="114300" simplePos="0" relativeHeight="251700224" behindDoc="0" locked="0" layoutInCell="1" allowOverlap="1" wp14:anchorId="62E5C946" wp14:editId="4C7F4E4C">
                <wp:simplePos x="0" y="0"/>
                <wp:positionH relativeFrom="margin">
                  <wp:align>right</wp:align>
                </wp:positionH>
                <wp:positionV relativeFrom="paragraph">
                  <wp:posOffset>7779949</wp:posOffset>
                </wp:positionV>
                <wp:extent cx="5760000" cy="1044000"/>
                <wp:effectExtent l="0" t="0" r="0" b="3810"/>
                <wp:wrapNone/>
                <wp:docPr id="316499507" name="Pole tekstowe 12"/>
                <wp:cNvGraphicFramePr/>
                <a:graphic xmlns:a="http://schemas.openxmlformats.org/drawingml/2006/main">
                  <a:graphicData uri="http://schemas.microsoft.com/office/word/2010/wordprocessingShape">
                    <wps:wsp>
                      <wps:cNvSpPr txBox="1"/>
                      <wps:spPr>
                        <a:xfrm>
                          <a:off x="0" y="0"/>
                          <a:ext cx="5760000" cy="1044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0DE8AE7" w14:textId="62F7A689" w:rsidR="004169F9" w:rsidRDefault="004169F9" w:rsidP="004169F9">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Prace konkursowe „Palenie i wapowanie to życia skracanie”</w:t>
                            </w:r>
                          </w:p>
                          <w:p w14:paraId="251B69CB" w14:textId="44837DA9" w:rsidR="0012343D" w:rsidRPr="00666132" w:rsidRDefault="0012343D" w:rsidP="0012343D">
                            <w:pPr>
                              <w:pStyle w:val="Nagwek3"/>
                              <w:spacing w:before="0" w:after="0"/>
                              <w:ind w:left="0" w:firstLine="0"/>
                            </w:pPr>
                          </w:p>
                          <w:p w14:paraId="2C87F206" w14:textId="77777777" w:rsidR="0012343D" w:rsidRDefault="001234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5C946" id="_x0000_s1034" type="#_x0000_t202" style="position:absolute;left:0;text-align:left;margin-left:402.35pt;margin-top:612.6pt;width:453.55pt;height:82.2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" fillcolor="#a5a5a5 [3206]" stroked="f">
                <v:fill opacity="32896f"/>
                <v:textbox>
                  <w:txbxContent>
                    <w:p w14:paraId="10DE8AE7" w14:textId="62F7A689" w:rsidR="004169F9" w:rsidRDefault="004169F9" w:rsidP="004169F9">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Prace konkursowe „Palenie i wapowanie to życia skracanie”</w:t>
                      </w:r>
                    </w:p>
                    <w:p w14:paraId="251B69CB" w14:textId="44837DA9" w:rsidR="0012343D" w:rsidRPr="00666132" w:rsidRDefault="0012343D" w:rsidP="0012343D">
                      <w:pPr>
                        <w:pStyle w:val="Nagwek3"/>
                        <w:spacing w:before="0" w:after="0"/>
                        <w:ind w:left="0" w:firstLine="0"/>
                      </w:pPr>
                    </w:p>
                    <w:p w14:paraId="2C87F206" w14:textId="77777777" w:rsidR="0012343D" w:rsidRDefault="0012343D"/>
                  </w:txbxContent>
                </v:textbox>
                <w10:wrap anchorx="margin"/>
              </v:shape>
            </w:pict>
          </mc:Fallback>
        </mc:AlternateContent>
      </w:r>
      <w:r w:rsidR="0012343D">
        <w:rPr>
          <w:rFonts w:ascii="Calibri" w:hAnsi="Calibri" w:cs="Calibri"/>
          <w:sz w:val="24"/>
          <w:szCs w:val="24"/>
        </w:rPr>
        <w:br w:type="column"/>
      </w:r>
    </w:p>
    <w:p w14:paraId="302E064E" w14:textId="3A9BA1ED" w:rsidR="00095D7E" w:rsidRPr="00666132" w:rsidRDefault="00095D7E" w:rsidP="00597239">
      <w:pPr>
        <w:pStyle w:val="Nagwek3"/>
        <w:numPr>
          <w:ilvl w:val="1"/>
          <w:numId w:val="49"/>
        </w:numPr>
        <w:spacing w:before="0" w:after="0"/>
        <w:ind w:left="568" w:hanging="284"/>
      </w:pPr>
      <w:bookmarkStart w:id="432" w:name="_Toc194059883"/>
      <w:r w:rsidRPr="00666132">
        <w:t>Światowy Dzień Rzucania Palenia</w:t>
      </w:r>
      <w:bookmarkEnd w:id="432"/>
    </w:p>
    <w:p w14:paraId="70B4AFE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ogół społeczeństwa woj. zachodniopomorskiego, w tym pedagodzy, dyrektorzy szkół, przedstawiciele instytucji publicznych i placówek oświatowo wychowawczych, dzieci, młodzież, seniorzy.</w:t>
      </w:r>
    </w:p>
    <w:p w14:paraId="5ECE363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10 984 osoby</w:t>
      </w:r>
    </w:p>
    <w:p w14:paraId="6B90C2F4" w14:textId="53D689B4" w:rsidR="00095D7E" w:rsidRPr="00B60EBD" w:rsidRDefault="00095D7E" w:rsidP="00597239">
      <w:pPr>
        <w:spacing w:after="0" w:line="276" w:lineRule="auto"/>
        <w:rPr>
          <w:rFonts w:cstheme="minorHAnsi"/>
          <w:sz w:val="24"/>
          <w:szCs w:val="24"/>
        </w:rPr>
      </w:pPr>
      <w:r w:rsidRPr="00666132">
        <w:rPr>
          <w:rFonts w:ascii="Calibri" w:hAnsi="Calibri" w:cs="Calibri"/>
          <w:sz w:val="24"/>
          <w:szCs w:val="24"/>
        </w:rPr>
        <w:t xml:space="preserve">Główne działania: prelekcje, stoiska edukacyjne, narady. Zorganizowano konkurs plastyczny pod hasłem „Palenie i </w:t>
      </w:r>
      <w:proofErr w:type="spellStart"/>
      <w:r w:rsidRPr="00666132">
        <w:rPr>
          <w:rFonts w:ascii="Calibri" w:hAnsi="Calibri" w:cs="Calibri"/>
          <w:sz w:val="24"/>
          <w:szCs w:val="24"/>
        </w:rPr>
        <w:t>wapowanie</w:t>
      </w:r>
      <w:proofErr w:type="spellEnd"/>
      <w:r w:rsidRPr="00666132">
        <w:rPr>
          <w:rFonts w:ascii="Calibri" w:hAnsi="Calibri" w:cs="Calibri"/>
          <w:sz w:val="24"/>
          <w:szCs w:val="24"/>
        </w:rPr>
        <w:t xml:space="preserve"> to życia skracanie”, który kierowany był do uczniów szkół </w:t>
      </w:r>
      <w:r w:rsidRPr="00B60EBD">
        <w:rPr>
          <w:rFonts w:cstheme="minorHAnsi"/>
          <w:sz w:val="24"/>
          <w:szCs w:val="24"/>
        </w:rPr>
        <w:t>podstawowych klas 6-8 na terenie województwa zachodniopomorskiego. Cel główny konkursu to wzmocnienie wiedzy dzieci w zakresie problematyki uzależnienia od tytoniu oraz</w:t>
      </w:r>
      <w:r w:rsidR="00D410B8" w:rsidRPr="00B60EBD">
        <w:rPr>
          <w:rFonts w:cstheme="minorHAnsi"/>
          <w:sz w:val="24"/>
          <w:szCs w:val="24"/>
        </w:rPr>
        <w:t> </w:t>
      </w:r>
      <w:r w:rsidRPr="00B60EBD">
        <w:rPr>
          <w:rFonts w:cstheme="minorHAnsi"/>
          <w:sz w:val="24"/>
          <w:szCs w:val="24"/>
        </w:rPr>
        <w:t xml:space="preserve">szkodliwości palenia nowatorskich wyrobów tytoniowych, w tym papierosów elektronicznych. </w:t>
      </w:r>
    </w:p>
    <w:p w14:paraId="2B9403A7" w14:textId="22033E9C" w:rsidR="00095D7E" w:rsidRPr="00CB5C8F" w:rsidRDefault="00095D7E" w:rsidP="00597239">
      <w:pPr>
        <w:spacing w:after="0" w:line="276" w:lineRule="auto"/>
        <w:rPr>
          <w:rFonts w:ascii="Calibri" w:hAnsi="Calibri" w:cs="Calibri"/>
          <w:b/>
          <w:bCs/>
          <w:sz w:val="24"/>
          <w:szCs w:val="24"/>
        </w:rPr>
      </w:pPr>
    </w:p>
    <w:p w14:paraId="685CDEA1" w14:textId="70F464F2" w:rsidR="00095D7E" w:rsidRDefault="00095D7E" w:rsidP="00597239">
      <w:pPr>
        <w:pStyle w:val="Nagwek2"/>
        <w:numPr>
          <w:ilvl w:val="0"/>
          <w:numId w:val="50"/>
        </w:numPr>
        <w:spacing w:before="0" w:after="0"/>
        <w:ind w:left="284" w:hanging="284"/>
        <w:jc w:val="left"/>
      </w:pPr>
      <w:bookmarkStart w:id="433" w:name="_Toc194059884"/>
      <w:r w:rsidRPr="00666132">
        <w:t>Profilaktyka uzależnień</w:t>
      </w:r>
      <w:bookmarkEnd w:id="433"/>
    </w:p>
    <w:p w14:paraId="558475D3" w14:textId="77777777" w:rsidR="007A33FE" w:rsidRPr="007A33FE" w:rsidRDefault="007A33FE" w:rsidP="00597239"/>
    <w:p w14:paraId="4DD5B2D6" w14:textId="7E724566" w:rsidR="00095D7E" w:rsidRPr="00666132" w:rsidRDefault="00095D7E" w:rsidP="00597239">
      <w:pPr>
        <w:pStyle w:val="Nagwek3"/>
        <w:numPr>
          <w:ilvl w:val="1"/>
          <w:numId w:val="50"/>
        </w:numPr>
        <w:spacing w:before="0" w:after="0"/>
        <w:ind w:left="568" w:right="0" w:hanging="284"/>
      </w:pPr>
      <w:bookmarkStart w:id="434" w:name="_Toc194059885"/>
      <w:r w:rsidRPr="00666132">
        <w:t xml:space="preserve">Wojewódzki program profilaktyki używania substancji psychoaktywnych, w tym </w:t>
      </w:r>
      <w:r w:rsidR="007A33FE">
        <w:t xml:space="preserve">   </w:t>
      </w:r>
      <w:r w:rsidRPr="00666132">
        <w:t>nowych narkotyków „Porozmawiajmy o zdrowiu i nowych zagrożeniach”</w:t>
      </w:r>
      <w:bookmarkEnd w:id="434"/>
    </w:p>
    <w:p w14:paraId="1A3A883F"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klas V-VII szkół podstawowych</w:t>
      </w:r>
    </w:p>
    <w:p w14:paraId="52899DD2"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21 465 osób</w:t>
      </w:r>
    </w:p>
    <w:p w14:paraId="04785F54" w14:textId="46CD3EA4"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w:t>
      </w:r>
      <w:bookmarkStart w:id="435" w:name="_Hlk192232835"/>
      <w:r w:rsidRPr="00666132">
        <w:rPr>
          <w:rFonts w:ascii="Calibri" w:hAnsi="Calibri" w:cs="Calibri"/>
          <w:sz w:val="24"/>
          <w:szCs w:val="24"/>
        </w:rPr>
        <w:t xml:space="preserve"> W ramach realizacji programu kontynuowano współpracę z policją zachodniopomorską zarówno na szczeblu wojewódzkim i powiatowym. Zajęcia realizowane były przez przedstawiciela Inspekcji Sanitarnej oraz policji i skierowane do uczniów oraz rodziców. Podczas spotkań poruszano temat profilaktyki używania substancji psychoaktywnych, w tym nowych narkotyków i przekazywano wiedzę jak zapobiegać używaniu tych substancji przez osoby młode. W ramach działań przygotowawczych do</w:t>
      </w:r>
      <w:r w:rsidR="00D410B8">
        <w:rPr>
          <w:rFonts w:ascii="Calibri" w:hAnsi="Calibri" w:cs="Calibri"/>
          <w:sz w:val="24"/>
          <w:szCs w:val="24"/>
        </w:rPr>
        <w:t> </w:t>
      </w:r>
      <w:r w:rsidRPr="00666132">
        <w:rPr>
          <w:rFonts w:ascii="Calibri" w:hAnsi="Calibri" w:cs="Calibri"/>
          <w:sz w:val="24"/>
          <w:szCs w:val="24"/>
        </w:rPr>
        <w:t xml:space="preserve">realizacji programu organizowano narady i szkolenia dla koordynatorów szkolnych oraz przeprowadzano wizytacje w zakresie realizacji i ewaluacji programu. </w:t>
      </w:r>
    </w:p>
    <w:p w14:paraId="29F71343" w14:textId="77777777" w:rsidR="0012343D" w:rsidRDefault="0012343D" w:rsidP="00597239">
      <w:pPr>
        <w:spacing w:after="0" w:line="276" w:lineRule="auto"/>
        <w:rPr>
          <w:rFonts w:ascii="Calibri" w:hAnsi="Calibri" w:cs="Calibri"/>
          <w:sz w:val="24"/>
          <w:szCs w:val="24"/>
        </w:rPr>
      </w:pPr>
      <w:bookmarkStart w:id="436" w:name="_Hlk192232848"/>
      <w:bookmarkEnd w:id="435"/>
    </w:p>
    <w:p w14:paraId="655EFB96" w14:textId="61466E08" w:rsidR="001435F5" w:rsidRDefault="00095D7E" w:rsidP="00597239">
      <w:pPr>
        <w:spacing w:after="0" w:line="276" w:lineRule="auto"/>
        <w:rPr>
          <w:rFonts w:ascii="Calibri" w:hAnsi="Calibri" w:cs="Calibri"/>
          <w:sz w:val="24"/>
          <w:szCs w:val="24"/>
        </w:rPr>
      </w:pPr>
      <w:r w:rsidRPr="00666132">
        <w:rPr>
          <w:rFonts w:ascii="Calibri" w:hAnsi="Calibri" w:cs="Calibri"/>
          <w:sz w:val="24"/>
          <w:szCs w:val="24"/>
        </w:rPr>
        <w:t>W ramach współpracy policji i Państwowej Inspekcji Sanitarnej zorganizowano konkurs na</w:t>
      </w:r>
      <w:r w:rsidR="00D410B8">
        <w:rPr>
          <w:rFonts w:ascii="Calibri" w:hAnsi="Calibri" w:cs="Calibri"/>
          <w:sz w:val="24"/>
          <w:szCs w:val="24"/>
        </w:rPr>
        <w:t> </w:t>
      </w:r>
      <w:r w:rsidRPr="00666132">
        <w:rPr>
          <w:rFonts w:ascii="Calibri" w:hAnsi="Calibri" w:cs="Calibri"/>
          <w:sz w:val="24"/>
          <w:szCs w:val="24"/>
        </w:rPr>
        <w:t>plakat pod hasłem: „Artystycznie o uzależnieniach” skierowany do uczniów klas 5 -7 szkół podstawowych, młodzieżowych ośrodków socjoterapii, młodzieżowych ośrodków szkolno-</w:t>
      </w:r>
      <w:bookmarkEnd w:id="436"/>
      <w:r w:rsidRPr="00666132">
        <w:rPr>
          <w:rFonts w:ascii="Calibri" w:hAnsi="Calibri" w:cs="Calibri"/>
          <w:sz w:val="24"/>
          <w:szCs w:val="24"/>
        </w:rPr>
        <w:t xml:space="preserve"> wychowawczych. Celem konkursu było przeciwdziałanie używaniu substancji psychoaktywnych wśród uczniów starszych klas szkół podstawowych oraz popularyzacja treści profilaktycznych z wykorzystaniem artystycznych form wyrazu, tj. malowania, rysowania,</w:t>
      </w:r>
      <w:r w:rsidR="0012343D">
        <w:rPr>
          <w:rFonts w:ascii="Calibri" w:hAnsi="Calibri" w:cs="Calibri"/>
          <w:sz w:val="24"/>
          <w:szCs w:val="24"/>
        </w:rPr>
        <w:t xml:space="preserve"> </w:t>
      </w:r>
    </w:p>
    <w:p w14:paraId="18EDCB6C" w14:textId="31A40237" w:rsidR="004169F9"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grafiki 3D. Łącznie w konkursie wzięło udział 110 uczestników. </w:t>
      </w:r>
      <w:bookmarkStart w:id="437" w:name="_Hlk192233020"/>
      <w:r w:rsidRPr="00666132">
        <w:rPr>
          <w:rFonts w:ascii="Calibri" w:hAnsi="Calibri" w:cs="Calibri"/>
          <w:sz w:val="24"/>
          <w:szCs w:val="24"/>
        </w:rPr>
        <w:t xml:space="preserve">W Domu Kultury „Słowianin” PSSE Szczecin zorganizowała finał XIV edycji powiatowego konkursu małych form teatralnych „Nie zażywam – to wygrywam”. W konkursie łącznie wzięło udział 59 uczniów z 9 szczecińskich placówek. Młodzież zaprezentowała sztuki teatralne dotyczące konsekwencji zażywania substancji psychoaktywnych ze szczególnym uwzględnienie tzw. nowych </w:t>
      </w:r>
      <w:r w:rsidRPr="00666132">
        <w:rPr>
          <w:rFonts w:ascii="Calibri" w:hAnsi="Calibri" w:cs="Calibri"/>
          <w:sz w:val="24"/>
          <w:szCs w:val="24"/>
        </w:rPr>
        <w:lastRenderedPageBreak/>
        <w:t>narkotyków. Uczestnicy konkursu otrzymali nagrody w postaci sprzętu elektronicznego, ufundowanego przez Dyrektora Wydziału Spraw Społecznych Urzędu Miasta Szczecin.</w:t>
      </w:r>
    </w:p>
    <w:p w14:paraId="61EF3A7F" w14:textId="6ED6055A" w:rsidR="001435F5" w:rsidRDefault="004169F9" w:rsidP="00597239">
      <w:pPr>
        <w:spacing w:after="0" w:line="276" w:lineRule="auto"/>
        <w:rPr>
          <w:rFonts w:ascii="Calibri" w:hAnsi="Calibri" w:cs="Calibri"/>
          <w:sz w:val="24"/>
          <w:szCs w:val="24"/>
        </w:rPr>
      </w:pPr>
      <w:r>
        <w:rPr>
          <w:rFonts w:ascii="Calibri" w:hAnsi="Calibri" w:cs="Calibri"/>
          <w:sz w:val="24"/>
          <w:szCs w:val="24"/>
        </w:rPr>
        <w:br w:type="column"/>
      </w:r>
      <w:r w:rsidRPr="00666132">
        <w:rPr>
          <w:rFonts w:ascii="Calibri" w:hAnsi="Calibri" w:cs="Calibri"/>
          <w:noProof/>
          <w:sz w:val="24"/>
          <w:szCs w:val="24"/>
        </w:rPr>
        <w:lastRenderedPageBreak/>
        <w:drawing>
          <wp:anchor distT="0" distB="0" distL="114300" distR="114300" simplePos="0" relativeHeight="251707392" behindDoc="1" locked="0" layoutInCell="1" allowOverlap="1" wp14:anchorId="3A07C207" wp14:editId="1B7159D0">
            <wp:simplePos x="0" y="0"/>
            <wp:positionH relativeFrom="margin">
              <wp:align>right</wp:align>
            </wp:positionH>
            <wp:positionV relativeFrom="paragraph">
              <wp:posOffset>116205</wp:posOffset>
            </wp:positionV>
            <wp:extent cx="3354637" cy="3096000"/>
            <wp:effectExtent l="0" t="0" r="0" b="0"/>
            <wp:wrapTight wrapText="bothSides">
              <wp:wrapPolygon edited="0">
                <wp:start x="491" y="0"/>
                <wp:lineTo x="0" y="266"/>
                <wp:lineTo x="0" y="20736"/>
                <wp:lineTo x="123" y="21268"/>
                <wp:lineTo x="491" y="21401"/>
                <wp:lineTo x="20978" y="21401"/>
                <wp:lineTo x="21346" y="21268"/>
                <wp:lineTo x="21469" y="20736"/>
                <wp:lineTo x="21469" y="266"/>
                <wp:lineTo x="20978" y="0"/>
                <wp:lineTo x="491" y="0"/>
              </wp:wrapPolygon>
            </wp:wrapTight>
            <wp:docPr id="80037652" name="Obraz 1" descr="Praca konkursowa &quot;Artystycznie o uzależnieniach&quot; - przedstawia dłonie uwięzione w kajdanach uzależnie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7652" name="Obraz 1" descr="Praca konkursowa &quot;Artystycznie o uzależnieniach&quot; - przedstawia dłonie uwięzione w kajdanach uzależnień."/>
                    <pic:cNvPicPr/>
                  </pic:nvPicPr>
                  <pic:blipFill rotWithShape="1">
                    <a:blip r:embed="rId50" cstate="print">
                      <a:extLst>
                        <a:ext uri="{28A0092B-C50C-407E-A947-70E740481C1C}">
                          <a14:useLocalDpi xmlns:a14="http://schemas.microsoft.com/office/drawing/2010/main" val="0"/>
                        </a:ext>
                      </a:extLst>
                    </a:blip>
                    <a:srcRect l="10139" t="2494" r="9638" b="45137"/>
                    <a:stretch/>
                  </pic:blipFill>
                  <pic:spPr bwMode="auto">
                    <a:xfrm>
                      <a:off x="0" y="0"/>
                      <a:ext cx="3354637" cy="309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F3658B" w14:textId="6AF61D3A" w:rsidR="004169F9" w:rsidRDefault="004169F9" w:rsidP="00597239">
      <w:pPr>
        <w:rPr>
          <w:rFonts w:ascii="Calibri" w:hAnsi="Calibri" w:cs="Calibri"/>
          <w:sz w:val="24"/>
          <w:szCs w:val="24"/>
        </w:rPr>
      </w:pPr>
    </w:p>
    <w:p w14:paraId="00C9B86F" w14:textId="1971CB14" w:rsidR="004169F9" w:rsidRPr="004169F9" w:rsidRDefault="004169F9" w:rsidP="00597239">
      <w:pPr>
        <w:rPr>
          <w:rFonts w:ascii="Calibri" w:hAnsi="Calibri" w:cs="Calibri"/>
          <w:sz w:val="24"/>
          <w:szCs w:val="24"/>
        </w:rPr>
      </w:pPr>
    </w:p>
    <w:p w14:paraId="25120779" w14:textId="11074632" w:rsidR="004169F9" w:rsidRPr="004169F9" w:rsidRDefault="004169F9" w:rsidP="00597239">
      <w:pPr>
        <w:rPr>
          <w:rFonts w:ascii="Calibri" w:hAnsi="Calibri" w:cs="Calibri"/>
          <w:sz w:val="24"/>
          <w:szCs w:val="24"/>
        </w:rPr>
      </w:pPr>
    </w:p>
    <w:p w14:paraId="2DF92036" w14:textId="77777777" w:rsidR="004169F9" w:rsidRPr="004169F9" w:rsidRDefault="004169F9" w:rsidP="00597239">
      <w:pPr>
        <w:rPr>
          <w:rFonts w:ascii="Calibri" w:hAnsi="Calibri" w:cs="Calibri"/>
          <w:sz w:val="24"/>
          <w:szCs w:val="24"/>
        </w:rPr>
      </w:pPr>
    </w:p>
    <w:p w14:paraId="0F96694E" w14:textId="77777777" w:rsidR="004169F9" w:rsidRDefault="004169F9" w:rsidP="00597239">
      <w:pPr>
        <w:rPr>
          <w:rFonts w:ascii="Calibri" w:hAnsi="Calibri" w:cs="Calibri"/>
          <w:sz w:val="24"/>
          <w:szCs w:val="24"/>
        </w:rPr>
      </w:pPr>
    </w:p>
    <w:p w14:paraId="3129674E" w14:textId="710449E6" w:rsidR="004169F9" w:rsidRDefault="004169F9" w:rsidP="00597239">
      <w:pPr>
        <w:tabs>
          <w:tab w:val="left" w:pos="1653"/>
        </w:tabs>
        <w:rPr>
          <w:rFonts w:ascii="Calibri" w:hAnsi="Calibri" w:cs="Calibri"/>
          <w:sz w:val="24"/>
          <w:szCs w:val="24"/>
        </w:rPr>
      </w:pPr>
      <w:r>
        <w:rPr>
          <w:rFonts w:ascii="Calibri" w:hAnsi="Calibri" w:cs="Calibri"/>
          <w:sz w:val="24"/>
          <w:szCs w:val="24"/>
        </w:rPr>
        <w:tab/>
      </w:r>
    </w:p>
    <w:p w14:paraId="5F90A443" w14:textId="328F55A6" w:rsidR="004169F9" w:rsidRDefault="004169F9" w:rsidP="00597239">
      <w:pPr>
        <w:rPr>
          <w:rFonts w:ascii="Calibri" w:hAnsi="Calibri" w:cs="Calibri"/>
          <w:sz w:val="24"/>
          <w:szCs w:val="24"/>
        </w:rPr>
      </w:pPr>
    </w:p>
    <w:p w14:paraId="09B86228" w14:textId="1A95C35A" w:rsidR="004169F9" w:rsidRPr="004169F9" w:rsidRDefault="00AC26B4" w:rsidP="00597239">
      <w:pPr>
        <w:rPr>
          <w:rFonts w:ascii="Calibri" w:hAnsi="Calibri" w:cs="Calibri"/>
          <w:sz w:val="24"/>
          <w:szCs w:val="24"/>
        </w:rPr>
      </w:pPr>
      <w:r w:rsidRPr="00666132">
        <w:rPr>
          <w:rFonts w:ascii="Calibri" w:hAnsi="Calibri" w:cs="Calibri"/>
          <w:noProof/>
          <w:sz w:val="24"/>
          <w:szCs w:val="24"/>
        </w:rPr>
        <w:drawing>
          <wp:anchor distT="0" distB="0" distL="114300" distR="114300" simplePos="0" relativeHeight="251710464" behindDoc="1" locked="0" layoutInCell="1" allowOverlap="1" wp14:anchorId="48B43A9B" wp14:editId="119428F4">
            <wp:simplePos x="0" y="0"/>
            <wp:positionH relativeFrom="margin">
              <wp:align>left</wp:align>
            </wp:positionH>
            <wp:positionV relativeFrom="paragraph">
              <wp:posOffset>368723</wp:posOffset>
            </wp:positionV>
            <wp:extent cx="3456161" cy="3096000"/>
            <wp:effectExtent l="0" t="0" r="0" b="0"/>
            <wp:wrapTight wrapText="bothSides">
              <wp:wrapPolygon edited="0">
                <wp:start x="476" y="0"/>
                <wp:lineTo x="0" y="266"/>
                <wp:lineTo x="0" y="20736"/>
                <wp:lineTo x="119" y="21268"/>
                <wp:lineTo x="476" y="21401"/>
                <wp:lineTo x="20957" y="21401"/>
                <wp:lineTo x="21314" y="21268"/>
                <wp:lineTo x="21433" y="20736"/>
                <wp:lineTo x="21433" y="266"/>
                <wp:lineTo x="20957" y="0"/>
                <wp:lineTo x="476" y="0"/>
              </wp:wrapPolygon>
            </wp:wrapTight>
            <wp:docPr id="1409388455" name="Obraz 1" descr="Praca konkursowa &quot;Artystycznie o uzależnieniach&quot; - przedstawia uzależnienia za kra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88455" name="Obraz 1" descr="Praca konkursowa &quot;Artystycznie o uzależnieniach&quot; - przedstawia uzależnienia za kratami."/>
                    <pic:cNvPicPr/>
                  </pic:nvPicPr>
                  <pic:blipFill rotWithShape="1">
                    <a:blip r:embed="rId51" cstate="print">
                      <a:extLst>
                        <a:ext uri="{28A0092B-C50C-407E-A947-70E740481C1C}">
                          <a14:useLocalDpi xmlns:a14="http://schemas.microsoft.com/office/drawing/2010/main" val="0"/>
                        </a:ext>
                      </a:extLst>
                    </a:blip>
                    <a:srcRect l="9386" t="1941" r="8673" b="46110"/>
                    <a:stretch/>
                  </pic:blipFill>
                  <pic:spPr bwMode="auto">
                    <a:xfrm>
                      <a:off x="0" y="0"/>
                      <a:ext cx="3456161" cy="309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D2A9D9" w14:textId="6F834909" w:rsidR="004169F9" w:rsidRPr="004169F9" w:rsidRDefault="004169F9" w:rsidP="00597239">
      <w:pPr>
        <w:rPr>
          <w:rFonts w:ascii="Calibri" w:hAnsi="Calibri" w:cs="Calibri"/>
          <w:sz w:val="24"/>
          <w:szCs w:val="24"/>
        </w:rPr>
      </w:pPr>
    </w:p>
    <w:p w14:paraId="4D606D18" w14:textId="499ED942" w:rsidR="004169F9" w:rsidRPr="004169F9" w:rsidRDefault="004169F9" w:rsidP="00597239">
      <w:pPr>
        <w:rPr>
          <w:rFonts w:ascii="Calibri" w:hAnsi="Calibri" w:cs="Calibri"/>
          <w:sz w:val="24"/>
          <w:szCs w:val="24"/>
        </w:rPr>
      </w:pPr>
    </w:p>
    <w:p w14:paraId="26BA4D2A" w14:textId="30C1F7B8" w:rsidR="004169F9" w:rsidRPr="004169F9" w:rsidRDefault="004169F9" w:rsidP="00597239">
      <w:pPr>
        <w:rPr>
          <w:rFonts w:ascii="Calibri" w:hAnsi="Calibri" w:cs="Calibri"/>
          <w:sz w:val="24"/>
          <w:szCs w:val="24"/>
        </w:rPr>
      </w:pPr>
    </w:p>
    <w:p w14:paraId="284AAE10" w14:textId="4BB20B5B" w:rsidR="004169F9" w:rsidRDefault="004169F9" w:rsidP="00597239">
      <w:pPr>
        <w:rPr>
          <w:rFonts w:ascii="Calibri" w:hAnsi="Calibri" w:cs="Calibri"/>
          <w:sz w:val="24"/>
          <w:szCs w:val="24"/>
        </w:rPr>
      </w:pPr>
    </w:p>
    <w:p w14:paraId="0BEE6693" w14:textId="4A6393E3" w:rsidR="004169F9" w:rsidRDefault="004169F9" w:rsidP="00597239">
      <w:pPr>
        <w:rPr>
          <w:rFonts w:ascii="Calibri" w:hAnsi="Calibri" w:cs="Calibri"/>
          <w:sz w:val="24"/>
          <w:szCs w:val="24"/>
        </w:rPr>
      </w:pPr>
    </w:p>
    <w:p w14:paraId="1AE3AEE2" w14:textId="2722F3AD" w:rsidR="004169F9" w:rsidRPr="004169F9" w:rsidRDefault="004169F9" w:rsidP="00597239">
      <w:pPr>
        <w:rPr>
          <w:rFonts w:ascii="Calibri" w:hAnsi="Calibri" w:cs="Calibri"/>
          <w:sz w:val="24"/>
          <w:szCs w:val="24"/>
        </w:rPr>
      </w:pPr>
    </w:p>
    <w:p w14:paraId="6C909622" w14:textId="4F222DFA" w:rsidR="004169F9" w:rsidRPr="004169F9" w:rsidRDefault="004169F9" w:rsidP="00597239">
      <w:pPr>
        <w:rPr>
          <w:rFonts w:ascii="Calibri" w:hAnsi="Calibri" w:cs="Calibri"/>
          <w:sz w:val="24"/>
          <w:szCs w:val="24"/>
        </w:rPr>
      </w:pPr>
      <w:r w:rsidRPr="00666132">
        <w:rPr>
          <w:rFonts w:ascii="Calibri" w:hAnsi="Calibri" w:cs="Calibri"/>
          <w:noProof/>
          <w:sz w:val="24"/>
          <w:szCs w:val="24"/>
        </w:rPr>
        <w:drawing>
          <wp:anchor distT="0" distB="0" distL="114300" distR="114300" simplePos="0" relativeHeight="251705344" behindDoc="0" locked="0" layoutInCell="1" allowOverlap="1" wp14:anchorId="498CE011" wp14:editId="2D29B03F">
            <wp:simplePos x="0" y="0"/>
            <wp:positionH relativeFrom="margin">
              <wp:align>right</wp:align>
            </wp:positionH>
            <wp:positionV relativeFrom="paragraph">
              <wp:posOffset>65758</wp:posOffset>
            </wp:positionV>
            <wp:extent cx="3291426" cy="3096000"/>
            <wp:effectExtent l="0" t="0" r="4445" b="9525"/>
            <wp:wrapSquare wrapText="bothSides"/>
            <wp:docPr id="1075538307" name="Obraz 1" descr="Praca konkursowa &quot;Artystycznie o uzależnieniach&quot; - przedstawia jak uzależnienia wpływają na pracę ser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8307" name="Obraz 1" descr="Praca konkursowa &quot;Artystycznie o uzależnieniach&quot; - przedstawia jak uzależnienia wpływają na pracę serca. "/>
                    <pic:cNvPicPr/>
                  </pic:nvPicPr>
                  <pic:blipFill rotWithShape="1">
                    <a:blip r:embed="rId52" cstate="print">
                      <a:extLst>
                        <a:ext uri="{28A0092B-C50C-407E-A947-70E740481C1C}">
                          <a14:useLocalDpi xmlns:a14="http://schemas.microsoft.com/office/drawing/2010/main" val="0"/>
                        </a:ext>
                      </a:extLst>
                    </a:blip>
                    <a:srcRect l="11108" t="1877" r="9135" b="45071"/>
                    <a:stretch/>
                  </pic:blipFill>
                  <pic:spPr bwMode="auto">
                    <a:xfrm>
                      <a:off x="0" y="0"/>
                      <a:ext cx="3291426" cy="309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7DF17B" w14:textId="77777777" w:rsidR="004169F9" w:rsidRPr="004169F9" w:rsidRDefault="004169F9" w:rsidP="00597239">
      <w:pPr>
        <w:rPr>
          <w:rFonts w:ascii="Calibri" w:hAnsi="Calibri" w:cs="Calibri"/>
          <w:sz w:val="24"/>
          <w:szCs w:val="24"/>
        </w:rPr>
      </w:pPr>
    </w:p>
    <w:p w14:paraId="07D95C1D" w14:textId="77777777" w:rsidR="004169F9" w:rsidRPr="004169F9" w:rsidRDefault="004169F9" w:rsidP="00597239">
      <w:pPr>
        <w:rPr>
          <w:rFonts w:ascii="Calibri" w:hAnsi="Calibri" w:cs="Calibri"/>
          <w:sz w:val="24"/>
          <w:szCs w:val="24"/>
        </w:rPr>
      </w:pPr>
    </w:p>
    <w:p w14:paraId="1FAD2B5A" w14:textId="77777777" w:rsidR="00870C98" w:rsidRDefault="00870C98" w:rsidP="00597239">
      <w:pPr>
        <w:rPr>
          <w:rFonts w:ascii="Calibri" w:hAnsi="Calibri" w:cs="Calibri"/>
          <w:sz w:val="24"/>
          <w:szCs w:val="24"/>
        </w:rPr>
      </w:pPr>
    </w:p>
    <w:p w14:paraId="257D84DD" w14:textId="6D9AFA09" w:rsidR="00870C98" w:rsidRDefault="00870C98" w:rsidP="00597239">
      <w:pPr>
        <w:rPr>
          <w:rFonts w:ascii="Calibri" w:hAnsi="Calibri" w:cs="Calibri"/>
          <w:sz w:val="24"/>
          <w:szCs w:val="24"/>
        </w:rPr>
      </w:pPr>
    </w:p>
    <w:p w14:paraId="5F1D4CC4" w14:textId="5E30DE4C" w:rsidR="00870C98" w:rsidRDefault="00870C98" w:rsidP="00597239">
      <w:pPr>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709440" behindDoc="0" locked="0" layoutInCell="1" allowOverlap="1" wp14:anchorId="07799F01" wp14:editId="13CCE77F">
                <wp:simplePos x="0" y="0"/>
                <wp:positionH relativeFrom="margin">
                  <wp:align>right</wp:align>
                </wp:positionH>
                <wp:positionV relativeFrom="paragraph">
                  <wp:posOffset>139135</wp:posOffset>
                </wp:positionV>
                <wp:extent cx="914400" cy="1044000"/>
                <wp:effectExtent l="0" t="0" r="0" b="3810"/>
                <wp:wrapNone/>
                <wp:docPr id="724879757" name="Pole tekstowe 13"/>
                <wp:cNvGraphicFramePr/>
                <a:graphic xmlns:a="http://schemas.openxmlformats.org/drawingml/2006/main">
                  <a:graphicData uri="http://schemas.microsoft.com/office/word/2010/wordprocessingShape">
                    <wps:wsp>
                      <wps:cNvSpPr txBox="1"/>
                      <wps:spPr>
                        <a:xfrm>
                          <a:off x="0" y="0"/>
                          <a:ext cx="914400" cy="1044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B2D5D47" w14:textId="77777777" w:rsidR="004169F9" w:rsidRDefault="004169F9" w:rsidP="004169F9">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Prace konkursowe „Artystycznie o uzależnieniach”</w:t>
                            </w:r>
                          </w:p>
                          <w:p w14:paraId="35ED2F03" w14:textId="77777777" w:rsidR="004169F9" w:rsidRDefault="004169F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99F01" id="Pole tekstowe 13" o:spid="_x0000_s1035" type="#_x0000_t202" style="position:absolute;margin-left:20.8pt;margin-top:10.95pt;width:1in;height:82.2pt;z-index:251709440;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" fillcolor="#a5a5a5 [3206]" stroked="f">
                <v:fill opacity="32896f"/>
                <v:textbox>
                  <w:txbxContent>
                    <w:p w14:paraId="1B2D5D47" w14:textId="77777777" w:rsidR="004169F9" w:rsidRDefault="004169F9" w:rsidP="004169F9">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Prace konkursowe „Artystycznie o uzależnieniach”</w:t>
                      </w:r>
                    </w:p>
                    <w:p w14:paraId="35ED2F03" w14:textId="77777777" w:rsidR="004169F9" w:rsidRDefault="004169F9"/>
                  </w:txbxContent>
                </v:textbox>
                <w10:wrap anchorx="margin"/>
              </v:shape>
            </w:pict>
          </mc:Fallback>
        </mc:AlternateContent>
      </w:r>
    </w:p>
    <w:p w14:paraId="453C2786" w14:textId="77777777" w:rsidR="00870C98" w:rsidRDefault="00870C98" w:rsidP="00597239">
      <w:pPr>
        <w:rPr>
          <w:rFonts w:ascii="Calibri" w:hAnsi="Calibri" w:cs="Calibri"/>
          <w:sz w:val="24"/>
          <w:szCs w:val="24"/>
        </w:rPr>
      </w:pPr>
    </w:p>
    <w:p w14:paraId="386820DF" w14:textId="46B725E8" w:rsidR="00870C98" w:rsidRDefault="00870C98" w:rsidP="00597239">
      <w:pPr>
        <w:rPr>
          <w:rFonts w:ascii="Calibri" w:hAnsi="Calibri" w:cs="Calibri"/>
          <w:sz w:val="24"/>
          <w:szCs w:val="24"/>
        </w:rPr>
      </w:pPr>
    </w:p>
    <w:p w14:paraId="3B2C379C" w14:textId="16DAAD23" w:rsidR="007A33FE" w:rsidRPr="00666132" w:rsidRDefault="007A33FE" w:rsidP="00597239">
      <w:pPr>
        <w:rPr>
          <w:rFonts w:ascii="Calibri" w:hAnsi="Calibri" w:cs="Calibri"/>
          <w:sz w:val="24"/>
          <w:szCs w:val="24"/>
        </w:rPr>
      </w:pPr>
    </w:p>
    <w:p w14:paraId="75A1A0A8" w14:textId="7FF926B8" w:rsidR="00095D7E" w:rsidRPr="00666132" w:rsidRDefault="00095D7E" w:rsidP="00597239">
      <w:pPr>
        <w:pStyle w:val="Nagwek3"/>
        <w:numPr>
          <w:ilvl w:val="1"/>
          <w:numId w:val="50"/>
        </w:numPr>
        <w:spacing w:before="0" w:after="0"/>
        <w:ind w:left="568" w:hanging="284"/>
      </w:pPr>
      <w:bookmarkStart w:id="438" w:name="_Toc194059886"/>
      <w:bookmarkEnd w:id="437"/>
      <w:r w:rsidRPr="00666132">
        <w:lastRenderedPageBreak/>
        <w:t>Profilaktyka używania substancji psychoaktywnych, w tym nowych narkotyków</w:t>
      </w:r>
      <w:bookmarkEnd w:id="438"/>
    </w:p>
    <w:p w14:paraId="549D5699"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Grupa docelowa: młodzież, osoby dorosłe, ogół społeczeństwa </w:t>
      </w:r>
    </w:p>
    <w:p w14:paraId="3310184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12 294 osoby</w:t>
      </w:r>
    </w:p>
    <w:p w14:paraId="0B813152"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w:t>
      </w:r>
    </w:p>
    <w:p w14:paraId="764DC71D" w14:textId="09FA1929"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W ramach realizacji interwencji prowadzone były głównie zajęcia edukacyjne dla młodzieży pow. 15 r.ż. oraz osób dorosłych. Podczas stoisk edukacyjnych prowadzono warsztaty z</w:t>
      </w:r>
      <w:r w:rsidR="00D410B8">
        <w:rPr>
          <w:rFonts w:ascii="Calibri" w:hAnsi="Calibri" w:cs="Calibri"/>
          <w:sz w:val="24"/>
          <w:szCs w:val="24"/>
        </w:rPr>
        <w:t> </w:t>
      </w:r>
      <w:proofErr w:type="spellStart"/>
      <w:r w:rsidRPr="00666132">
        <w:rPr>
          <w:rFonts w:ascii="Calibri" w:hAnsi="Calibri" w:cs="Calibri"/>
          <w:sz w:val="24"/>
          <w:szCs w:val="24"/>
        </w:rPr>
        <w:t>narkogoglami</w:t>
      </w:r>
      <w:proofErr w:type="spellEnd"/>
      <w:r w:rsidRPr="00666132">
        <w:rPr>
          <w:rFonts w:ascii="Calibri" w:hAnsi="Calibri" w:cs="Calibri"/>
          <w:sz w:val="24"/>
          <w:szCs w:val="24"/>
        </w:rPr>
        <w:t xml:space="preserve"> i alkogoglami, symulującymi wpływ substancji </w:t>
      </w:r>
      <w:r w:rsidR="00FD3723" w:rsidRPr="00666132">
        <w:rPr>
          <w:rFonts w:ascii="Calibri" w:hAnsi="Calibri" w:cs="Calibri"/>
          <w:sz w:val="24"/>
          <w:szCs w:val="24"/>
        </w:rPr>
        <w:t>psychoaktywnych na</w:t>
      </w:r>
      <w:r w:rsidRPr="00666132">
        <w:rPr>
          <w:rFonts w:ascii="Calibri" w:hAnsi="Calibri" w:cs="Calibri"/>
          <w:sz w:val="24"/>
          <w:szCs w:val="24"/>
        </w:rPr>
        <w:t xml:space="preserve"> narząd wzroku i zmysł równowagi.</w:t>
      </w:r>
    </w:p>
    <w:p w14:paraId="20DCA9CF" w14:textId="77777777" w:rsidR="00095D7E" w:rsidRPr="00666132" w:rsidRDefault="00095D7E" w:rsidP="00597239">
      <w:pPr>
        <w:spacing w:after="0" w:line="276" w:lineRule="auto"/>
        <w:rPr>
          <w:rFonts w:ascii="Calibri" w:hAnsi="Calibri" w:cs="Calibri"/>
          <w:sz w:val="24"/>
          <w:szCs w:val="24"/>
        </w:rPr>
      </w:pPr>
    </w:p>
    <w:p w14:paraId="4C6B30DB" w14:textId="60B964E2" w:rsidR="00095D7E" w:rsidRDefault="00095D7E" w:rsidP="00597239">
      <w:pPr>
        <w:pStyle w:val="Nagwek2"/>
        <w:numPr>
          <w:ilvl w:val="0"/>
          <w:numId w:val="51"/>
        </w:numPr>
        <w:spacing w:before="0" w:after="0"/>
        <w:ind w:left="284" w:hanging="284"/>
        <w:jc w:val="left"/>
      </w:pPr>
      <w:bookmarkStart w:id="439" w:name="_Toc194059887"/>
      <w:r w:rsidRPr="00666132">
        <w:t>Profilaktyka zdrowia psychicznego</w:t>
      </w:r>
      <w:bookmarkEnd w:id="439"/>
      <w:r w:rsidRPr="00666132">
        <w:t xml:space="preserve"> </w:t>
      </w:r>
    </w:p>
    <w:p w14:paraId="515ECD03" w14:textId="77777777" w:rsidR="007A33FE" w:rsidRPr="007A33FE" w:rsidRDefault="007A33FE" w:rsidP="00597239"/>
    <w:p w14:paraId="473E2669" w14:textId="68306FA2" w:rsidR="00095D7E" w:rsidRPr="00A0654C" w:rsidRDefault="00095D7E" w:rsidP="00597239">
      <w:pPr>
        <w:pStyle w:val="Nagwek3"/>
        <w:numPr>
          <w:ilvl w:val="1"/>
          <w:numId w:val="51"/>
        </w:numPr>
        <w:spacing w:before="0" w:after="0"/>
        <w:ind w:left="568" w:hanging="284"/>
      </w:pPr>
      <w:bookmarkStart w:id="440" w:name="_Toc194059888"/>
      <w:r w:rsidRPr="00A0654C">
        <w:rPr>
          <w:rStyle w:val="Nagwek3Znak"/>
          <w:b/>
        </w:rPr>
        <w:t>Powiatowy Program Zwalczania Depresji Wśród Młodzieży pt. „Zdemaskuj depresję</w:t>
      </w:r>
      <w:r w:rsidR="00FD3723" w:rsidRPr="00A0654C">
        <w:rPr>
          <w:rStyle w:val="Nagwek3Znak"/>
          <w:b/>
        </w:rPr>
        <w:t>!” -</w:t>
      </w:r>
      <w:r w:rsidR="00FD3723">
        <w:rPr>
          <w:rStyle w:val="Nagwek3Znak"/>
          <w:b/>
        </w:rPr>
        <w:t xml:space="preserve"> </w:t>
      </w:r>
      <w:r w:rsidRPr="00A0654C">
        <w:t>PSSE Łobez</w:t>
      </w:r>
      <w:bookmarkEnd w:id="440"/>
    </w:p>
    <w:p w14:paraId="365476B7" w14:textId="77777777" w:rsidR="00095D7E" w:rsidRPr="00666132" w:rsidRDefault="00095D7E" w:rsidP="00597239">
      <w:pPr>
        <w:spacing w:after="0" w:line="276" w:lineRule="auto"/>
        <w:rPr>
          <w:rFonts w:ascii="Calibri" w:hAnsi="Calibri" w:cs="Calibri"/>
          <w:b/>
          <w:bCs/>
          <w:sz w:val="24"/>
          <w:szCs w:val="24"/>
        </w:rPr>
      </w:pPr>
      <w:r w:rsidRPr="00666132">
        <w:rPr>
          <w:rFonts w:ascii="Calibri" w:hAnsi="Calibri" w:cs="Calibri"/>
          <w:sz w:val="24"/>
          <w:szCs w:val="24"/>
        </w:rPr>
        <w:t xml:space="preserve">Grupa docelowa: Młodzież, osoby dorosłe </w:t>
      </w:r>
    </w:p>
    <w:p w14:paraId="615B2BE3" w14:textId="77777777" w:rsidR="00095D7E" w:rsidRPr="00666132" w:rsidRDefault="00095D7E" w:rsidP="00597239">
      <w:pPr>
        <w:spacing w:after="0" w:line="276" w:lineRule="auto"/>
        <w:rPr>
          <w:rFonts w:ascii="Calibri" w:hAnsi="Calibri" w:cs="Calibri"/>
          <w:b/>
          <w:bCs/>
          <w:sz w:val="24"/>
          <w:szCs w:val="24"/>
        </w:rPr>
      </w:pPr>
      <w:r w:rsidRPr="00666132">
        <w:rPr>
          <w:rFonts w:ascii="Calibri" w:hAnsi="Calibri" w:cs="Calibri"/>
          <w:sz w:val="24"/>
          <w:szCs w:val="24"/>
        </w:rPr>
        <w:t>Liczba odbiorców: 854 osoby</w:t>
      </w:r>
    </w:p>
    <w:p w14:paraId="01AF8267"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odbyły się </w:t>
      </w:r>
      <w:bookmarkStart w:id="441" w:name="_Hlk192233249"/>
      <w:r w:rsidRPr="00666132">
        <w:rPr>
          <w:rFonts w:ascii="Calibri" w:hAnsi="Calibri" w:cs="Calibri"/>
          <w:sz w:val="24"/>
          <w:szCs w:val="24"/>
        </w:rPr>
        <w:t xml:space="preserve">w Łobeskim Domu Kultury, gdzie zorganizowano finał powiatowy Programu Zwalczania Depresji Wśród Młodzieży pt. „Zdemaskuj depresję. Podczas wydarzenia miał miejsce przegląd piosenki w ramach konkursu pt. „Barwy emocji w muzyce”. </w:t>
      </w:r>
    </w:p>
    <w:bookmarkEnd w:id="441"/>
    <w:p w14:paraId="452A6237" w14:textId="3C251151" w:rsidR="00095D7E" w:rsidRPr="00666132" w:rsidRDefault="00095D7E" w:rsidP="00597239">
      <w:pPr>
        <w:spacing w:after="0" w:line="276" w:lineRule="auto"/>
        <w:ind w:left="708"/>
        <w:rPr>
          <w:rFonts w:ascii="Calibri" w:hAnsi="Calibri" w:cs="Calibri"/>
          <w:sz w:val="24"/>
          <w:szCs w:val="24"/>
        </w:rPr>
      </w:pPr>
    </w:p>
    <w:p w14:paraId="0606A5B0" w14:textId="0C7D855B" w:rsidR="00095D7E" w:rsidRDefault="00095D7E" w:rsidP="00597239">
      <w:pPr>
        <w:pStyle w:val="Nagwek2"/>
        <w:numPr>
          <w:ilvl w:val="0"/>
          <w:numId w:val="52"/>
        </w:numPr>
        <w:spacing w:before="0" w:after="0"/>
        <w:ind w:left="284" w:hanging="284"/>
        <w:jc w:val="left"/>
      </w:pPr>
      <w:bookmarkStart w:id="442" w:name="_Toc194059889"/>
      <w:r w:rsidRPr="00666132">
        <w:t>Profilaktyka chorób zakaźnych, w tym realizacja programu profilaktyki HIV/AIDS</w:t>
      </w:r>
      <w:bookmarkEnd w:id="442"/>
    </w:p>
    <w:p w14:paraId="78DF2573" w14:textId="77777777" w:rsidR="007A33FE" w:rsidRPr="007A33FE" w:rsidRDefault="007A33FE" w:rsidP="00597239"/>
    <w:p w14:paraId="480F02EA" w14:textId="3B5BD22D" w:rsidR="00095D7E" w:rsidRPr="00666132" w:rsidRDefault="00095D7E" w:rsidP="00597239">
      <w:pPr>
        <w:pStyle w:val="Nagwek3"/>
        <w:numPr>
          <w:ilvl w:val="1"/>
          <w:numId w:val="52"/>
        </w:numPr>
        <w:spacing w:before="0" w:after="0"/>
        <w:ind w:left="568" w:hanging="284"/>
      </w:pPr>
      <w:bookmarkStart w:id="443" w:name="_Toc194059890"/>
      <w:r w:rsidRPr="00666132">
        <w:t>Krajowy Program Zapobiegania Zakażeniom HIV i Zwalczania AIDS</w:t>
      </w:r>
      <w:bookmarkEnd w:id="443"/>
    </w:p>
    <w:p w14:paraId="02EFAAC5" w14:textId="11DF22E4"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Ogół społeczeństwa, Młodzież pow. 15 r.ż., dorośli, kobiety w ciąży i</w:t>
      </w:r>
      <w:r w:rsidR="00D410B8">
        <w:rPr>
          <w:rFonts w:ascii="Calibri" w:hAnsi="Calibri" w:cs="Calibri"/>
          <w:sz w:val="24"/>
          <w:szCs w:val="24"/>
        </w:rPr>
        <w:t> </w:t>
      </w:r>
      <w:r w:rsidRPr="00666132">
        <w:rPr>
          <w:rFonts w:ascii="Calibri" w:hAnsi="Calibri" w:cs="Calibri"/>
          <w:sz w:val="24"/>
          <w:szCs w:val="24"/>
        </w:rPr>
        <w:t>planujące ciążę.</w:t>
      </w:r>
    </w:p>
    <w:p w14:paraId="3F77004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18 399 osób</w:t>
      </w:r>
    </w:p>
    <w:p w14:paraId="5352DD9E" w14:textId="13E5B3DE"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W ramach realizacji Krajowego Programu Zapobiegania Zakażeniom HIV i</w:t>
      </w:r>
      <w:r w:rsidR="00D410B8">
        <w:rPr>
          <w:rFonts w:ascii="Calibri" w:hAnsi="Calibri" w:cs="Calibri"/>
          <w:sz w:val="24"/>
          <w:szCs w:val="24"/>
        </w:rPr>
        <w:t> </w:t>
      </w:r>
      <w:r w:rsidRPr="00666132">
        <w:rPr>
          <w:rFonts w:ascii="Calibri" w:hAnsi="Calibri" w:cs="Calibri"/>
          <w:sz w:val="24"/>
          <w:szCs w:val="24"/>
        </w:rPr>
        <w:t>Zwalczania AIDS na terenie województwa zachodniopomorskiego prowadzono edukację w</w:t>
      </w:r>
      <w:r w:rsidR="007A33FE">
        <w:rPr>
          <w:rFonts w:ascii="Calibri" w:hAnsi="Calibri" w:cs="Calibri"/>
          <w:sz w:val="24"/>
          <w:szCs w:val="24"/>
        </w:rPr>
        <w:t> </w:t>
      </w:r>
      <w:r w:rsidRPr="00666132">
        <w:rPr>
          <w:rFonts w:ascii="Calibri" w:hAnsi="Calibri" w:cs="Calibri"/>
          <w:sz w:val="24"/>
          <w:szCs w:val="24"/>
        </w:rPr>
        <w:t xml:space="preserve">formie prelekcji, spotkań oraz warsztatów dot. profilaktyki HIV/AIDS oraz innych chorób przenoszonych drogą płciową. Podczas stoisk profilaktycznych prowadzono instruktaże indywidualne oraz dystrybucję materiałów edukacyjnych przekazanych przez Krajowe Centrum ds. AIDS. Zintensyfikowano działania w dniach ściśle związanych z zapobieganiem zakażeniom HIV i Zwalczaniem AIDS tj. Światowym Dniem AIDS, Europejskim Tygodniem Testowania, Międzynarodowym Dniem Pamięci o zmarłych na AIDS. </w:t>
      </w:r>
      <w:bookmarkStart w:id="444" w:name="_Hlk192233842"/>
      <w:r w:rsidRPr="00666132">
        <w:rPr>
          <w:rFonts w:ascii="Calibri" w:hAnsi="Calibri" w:cs="Calibri"/>
          <w:sz w:val="24"/>
          <w:szCs w:val="24"/>
        </w:rPr>
        <w:t>Zorganizowano w</w:t>
      </w:r>
      <w:r w:rsidR="007A33FE">
        <w:rPr>
          <w:rFonts w:ascii="Calibri" w:hAnsi="Calibri" w:cs="Calibri"/>
          <w:sz w:val="24"/>
          <w:szCs w:val="24"/>
        </w:rPr>
        <w:t> </w:t>
      </w:r>
      <w:r w:rsidRPr="00666132">
        <w:rPr>
          <w:rFonts w:ascii="Calibri" w:hAnsi="Calibri" w:cs="Calibri"/>
          <w:sz w:val="24"/>
          <w:szCs w:val="24"/>
        </w:rPr>
        <w:t>mediach społecznościowych konkurs na rozwiązanie quizu wiedzy on-line o tematyce HIV i</w:t>
      </w:r>
      <w:r w:rsidR="007A33FE">
        <w:rPr>
          <w:rFonts w:ascii="Calibri" w:hAnsi="Calibri" w:cs="Calibri"/>
          <w:sz w:val="24"/>
          <w:szCs w:val="24"/>
        </w:rPr>
        <w:t> </w:t>
      </w:r>
      <w:r w:rsidRPr="00666132">
        <w:rPr>
          <w:rFonts w:ascii="Calibri" w:hAnsi="Calibri" w:cs="Calibri"/>
          <w:sz w:val="24"/>
          <w:szCs w:val="24"/>
        </w:rPr>
        <w:t>AIDS w ramach obchodów Światowego Dnia AIDS. Celem głównym konkursu było wzmocnienie świadomości uczestników w zakresie kształtowania własnego zdrowia w</w:t>
      </w:r>
      <w:r w:rsidR="00D410B8">
        <w:rPr>
          <w:rFonts w:ascii="Calibri" w:hAnsi="Calibri" w:cs="Calibri"/>
          <w:sz w:val="24"/>
          <w:szCs w:val="24"/>
        </w:rPr>
        <w:t> </w:t>
      </w:r>
      <w:r w:rsidRPr="00666132">
        <w:rPr>
          <w:rFonts w:ascii="Calibri" w:hAnsi="Calibri" w:cs="Calibri"/>
          <w:sz w:val="24"/>
          <w:szCs w:val="24"/>
        </w:rPr>
        <w:t xml:space="preserve">kontekście zakażeń HIV oraz zespołu nabytego niedoboru odporności AIDS. Quiz skierowano do osób pełnoletnich woj. zachodniopomorskiego. Sponsorem upominków był Zachodniopomorski Państwowy Wojewódzki Inspektor Sanitarny w Szczecinie. </w:t>
      </w:r>
      <w:bookmarkStart w:id="445" w:name="_Hlk192233857"/>
      <w:bookmarkEnd w:id="444"/>
      <w:r w:rsidRPr="00666132">
        <w:rPr>
          <w:rFonts w:ascii="Calibri" w:hAnsi="Calibri" w:cs="Calibri"/>
          <w:sz w:val="24"/>
          <w:szCs w:val="24"/>
        </w:rPr>
        <w:t xml:space="preserve">W ramach </w:t>
      </w:r>
      <w:r w:rsidRPr="00666132">
        <w:rPr>
          <w:rFonts w:ascii="Calibri" w:hAnsi="Calibri" w:cs="Calibri"/>
          <w:sz w:val="24"/>
          <w:szCs w:val="24"/>
        </w:rPr>
        <w:lastRenderedPageBreak/>
        <w:t>obchodów Światowego Dnia AIDS w Gryficach zorganizowano XVI edycję Powiatowego Konkursu Wiedzy „Być młodym w dobie AIDS…” w formie testu wiedzy adresowanego do</w:t>
      </w:r>
      <w:r w:rsidR="00D410B8">
        <w:rPr>
          <w:rFonts w:ascii="Calibri" w:hAnsi="Calibri" w:cs="Calibri"/>
          <w:sz w:val="24"/>
          <w:szCs w:val="24"/>
        </w:rPr>
        <w:t> </w:t>
      </w:r>
      <w:r w:rsidRPr="00666132">
        <w:rPr>
          <w:rFonts w:ascii="Calibri" w:hAnsi="Calibri" w:cs="Calibri"/>
          <w:sz w:val="24"/>
          <w:szCs w:val="24"/>
        </w:rPr>
        <w:t xml:space="preserve">młodzieży szkół ponadpodstawowych Do konkursu przystąpiły 72 osoby. </w:t>
      </w:r>
      <w:bookmarkEnd w:id="445"/>
    </w:p>
    <w:p w14:paraId="30DF9D3E" w14:textId="77777777" w:rsidR="007A33FE" w:rsidRPr="00666132" w:rsidRDefault="007A33FE" w:rsidP="00597239">
      <w:pPr>
        <w:spacing w:after="0" w:line="276" w:lineRule="auto"/>
        <w:rPr>
          <w:rFonts w:ascii="Calibri" w:hAnsi="Calibri" w:cs="Calibri"/>
          <w:sz w:val="24"/>
          <w:szCs w:val="24"/>
        </w:rPr>
      </w:pPr>
    </w:p>
    <w:p w14:paraId="2D0CD2DD" w14:textId="227EC779" w:rsidR="00095D7E" w:rsidRPr="00666132" w:rsidRDefault="00095D7E" w:rsidP="00597239">
      <w:pPr>
        <w:pStyle w:val="Nagwek3"/>
        <w:numPr>
          <w:ilvl w:val="1"/>
          <w:numId w:val="52"/>
        </w:numPr>
        <w:spacing w:before="0" w:after="0"/>
        <w:ind w:left="568" w:hanging="284"/>
        <w:rPr>
          <w:u w:val="single"/>
        </w:rPr>
      </w:pPr>
      <w:bookmarkStart w:id="446" w:name="_Toc194059891"/>
      <w:r w:rsidRPr="00666132">
        <w:t>Wojewódzki program higieny i profilaktyki wybranych chorób zakaźnych „Higiena naszą tarczą ochronną”</w:t>
      </w:r>
      <w:bookmarkEnd w:id="446"/>
    </w:p>
    <w:p w14:paraId="6002214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Grupa docelowa: Uczniowie klas I-III szkół podstawowych </w:t>
      </w:r>
    </w:p>
    <w:p w14:paraId="4CC48FF1"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Liczba odbiorców: 19 628 osób </w:t>
      </w:r>
    </w:p>
    <w:p w14:paraId="2BD2EBE4" w14:textId="5D48019F"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W 2024 treści programu koncentrowały się na zapobieganiu chorobom zakaźnym, głównie grypie i infekcjom grypopodobnym, poprzez stosowanie zasad higieny osobistej. Znaczącą rolę w higienie osobistej odgrywa prawidłowe mycie rąk. Głównym celem działań programowych było osiągnięcie znaczącej poprawy </w:t>
      </w:r>
      <w:proofErr w:type="spellStart"/>
      <w:r w:rsidRPr="00666132">
        <w:rPr>
          <w:rFonts w:ascii="Calibri" w:hAnsi="Calibri" w:cs="Calibri"/>
          <w:sz w:val="24"/>
          <w:szCs w:val="24"/>
        </w:rPr>
        <w:t>zachowań</w:t>
      </w:r>
      <w:proofErr w:type="spellEnd"/>
      <w:r w:rsidRPr="00666132">
        <w:rPr>
          <w:rFonts w:ascii="Calibri" w:hAnsi="Calibri" w:cs="Calibri"/>
          <w:sz w:val="24"/>
          <w:szCs w:val="24"/>
        </w:rPr>
        <w:t xml:space="preserve"> higienicznych wśród najmłodszych uczniów szkół podstawowych w obszarze profilaktyki chorób zakaźnych. PSSE Pyrzyce w ramach realizacji programu, przeprowadziła prelekcje. Dzieci wzbogaciły swoją wiedzę w dziedzinie zdrowia oraz przyswoiły i wdrożyły prawidłowe przyzwyczajenia i nawyki higieniczno-zdrowotne. W trakcie zajęć koncentrowano się na zapobieganiu chorobom zakaźnym poprzez stosowanie zasad higieny osobistej.</w:t>
      </w:r>
    </w:p>
    <w:p w14:paraId="55B04D6A" w14:textId="75162BC3" w:rsidR="00095D7E" w:rsidRPr="00666132" w:rsidRDefault="00095D7E" w:rsidP="00597239">
      <w:pPr>
        <w:spacing w:after="0" w:line="276" w:lineRule="auto"/>
        <w:ind w:left="708"/>
        <w:rPr>
          <w:rFonts w:ascii="Calibri" w:hAnsi="Calibri" w:cs="Calibri"/>
          <w:sz w:val="24"/>
          <w:szCs w:val="24"/>
        </w:rPr>
      </w:pPr>
    </w:p>
    <w:p w14:paraId="6796AF33" w14:textId="1899E045" w:rsidR="00095D7E" w:rsidRPr="00666132" w:rsidRDefault="00095D7E" w:rsidP="00597239">
      <w:pPr>
        <w:pStyle w:val="Nagwek3"/>
        <w:numPr>
          <w:ilvl w:val="1"/>
          <w:numId w:val="52"/>
        </w:numPr>
        <w:spacing w:before="0" w:after="0"/>
        <w:ind w:left="568" w:hanging="284"/>
        <w:rPr>
          <w:u w:val="single"/>
        </w:rPr>
      </w:pPr>
      <w:bookmarkStart w:id="447" w:name="_Toc194059892"/>
      <w:r w:rsidRPr="00666132">
        <w:t>Wojewódzki przedszkolny program zdrowia jamy ustnej i zapobiegania próchnicy „Zdrowe zęby mamy marchewkę zajadamy”</w:t>
      </w:r>
      <w:bookmarkEnd w:id="447"/>
    </w:p>
    <w:p w14:paraId="1ACC339C"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dzieci żłobkowe w wieku 2-3 lat, grupy przedszkolne dzieci w wieku 3-6 lat</w:t>
      </w:r>
    </w:p>
    <w:p w14:paraId="26E4B9B8"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Liczba odbiorców: 19 635 dzieci, 7 900 rodziców </w:t>
      </w:r>
    </w:p>
    <w:p w14:paraId="2FB59DB7" w14:textId="01235DD0"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WSSE w Szczecinie zorganizowała konkurs pod hasłem „Jak dbam o zdrowy uśmiech?” wśród dzieci z placówek wychowania przedszkolnego biorących udział w</w:t>
      </w:r>
      <w:r w:rsidR="00D410B8">
        <w:rPr>
          <w:rFonts w:ascii="Calibri" w:hAnsi="Calibri" w:cs="Calibri"/>
          <w:sz w:val="24"/>
          <w:szCs w:val="24"/>
        </w:rPr>
        <w:t> </w:t>
      </w:r>
      <w:r w:rsidRPr="00666132">
        <w:rPr>
          <w:rFonts w:ascii="Calibri" w:hAnsi="Calibri" w:cs="Calibri"/>
          <w:sz w:val="24"/>
          <w:szCs w:val="24"/>
        </w:rPr>
        <w:t>programie.</w:t>
      </w:r>
      <w:r>
        <w:rPr>
          <w:rFonts w:ascii="Calibri" w:hAnsi="Calibri" w:cs="Calibri"/>
          <w:sz w:val="24"/>
          <w:szCs w:val="24"/>
        </w:rPr>
        <w:t xml:space="preserve"> </w:t>
      </w:r>
      <w:r w:rsidRPr="00666132">
        <w:rPr>
          <w:rFonts w:ascii="Calibri" w:hAnsi="Calibri" w:cs="Calibri"/>
          <w:sz w:val="24"/>
          <w:szCs w:val="24"/>
        </w:rPr>
        <w:t xml:space="preserve">Celem głównym konkursu było wzmocnienie roli dziecka w kształtowaniu zdrowia </w:t>
      </w:r>
      <w:r w:rsidRPr="00CB5C8F">
        <w:rPr>
          <w:rFonts w:ascii="Calibri" w:hAnsi="Calibri" w:cs="Calibri"/>
          <w:sz w:val="24"/>
          <w:szCs w:val="24"/>
        </w:rPr>
        <w:t>jamy ustnej. Zadanie konkursowe polegało na wykonaniu plakatu przedstawiającego cel Konkursu „Jak dbam o zdrowy uśmiech?”</w:t>
      </w:r>
    </w:p>
    <w:p w14:paraId="3DBE2103" w14:textId="7924C40F" w:rsidR="00095D7E" w:rsidRPr="00CB5C8F" w:rsidRDefault="00095D7E" w:rsidP="00597239">
      <w:pPr>
        <w:spacing w:after="0" w:line="276" w:lineRule="auto"/>
        <w:rPr>
          <w:rFonts w:ascii="Calibri" w:hAnsi="Calibri" w:cs="Calibri"/>
          <w:sz w:val="24"/>
          <w:szCs w:val="24"/>
        </w:rPr>
      </w:pPr>
    </w:p>
    <w:p w14:paraId="42054E20" w14:textId="0056BD37" w:rsidR="00095D7E" w:rsidRPr="00F95AC2" w:rsidRDefault="00095D7E" w:rsidP="00597239">
      <w:pPr>
        <w:pStyle w:val="Nagwek3"/>
        <w:numPr>
          <w:ilvl w:val="1"/>
          <w:numId w:val="52"/>
        </w:numPr>
        <w:spacing w:before="0" w:after="0"/>
        <w:ind w:left="568" w:hanging="284"/>
        <w:rPr>
          <w:u w:val="single"/>
        </w:rPr>
      </w:pPr>
      <w:bookmarkStart w:id="448" w:name="_Toc194059893"/>
      <w:r w:rsidRPr="00B362C2">
        <w:t>Profilaktyka chorób zakaźnych, w tym WZW i promocja szczepień ochronnych</w:t>
      </w:r>
      <w:bookmarkEnd w:id="448"/>
      <w:r w:rsidRPr="00F95AC2">
        <w:rPr>
          <w:u w:val="single"/>
        </w:rPr>
        <w:t xml:space="preserve"> </w:t>
      </w:r>
    </w:p>
    <w:p w14:paraId="03197ED1" w14:textId="77777777" w:rsidR="00870C98" w:rsidRDefault="00095D7E" w:rsidP="00597239">
      <w:pPr>
        <w:spacing w:after="0" w:line="276" w:lineRule="auto"/>
        <w:rPr>
          <w:rFonts w:ascii="Calibri" w:hAnsi="Calibri" w:cs="Calibri"/>
          <w:sz w:val="24"/>
          <w:szCs w:val="24"/>
        </w:rPr>
      </w:pPr>
      <w:r w:rsidRPr="00F95AC2">
        <w:rPr>
          <w:rFonts w:ascii="Calibri" w:hAnsi="Calibri" w:cs="Calibri"/>
          <w:sz w:val="24"/>
          <w:szCs w:val="24"/>
        </w:rPr>
        <w:t>Grupa docelowa: ogół społeczeństwa</w:t>
      </w:r>
      <w:r w:rsidR="00870C98">
        <w:rPr>
          <w:rFonts w:ascii="Calibri" w:hAnsi="Calibri" w:cs="Calibri"/>
          <w:sz w:val="24"/>
          <w:szCs w:val="24"/>
        </w:rPr>
        <w:t xml:space="preserve"> </w:t>
      </w:r>
    </w:p>
    <w:p w14:paraId="5420CD47" w14:textId="6B2B9C56" w:rsidR="00870C98" w:rsidRPr="00F95AC2" w:rsidRDefault="00870C98" w:rsidP="00597239">
      <w:pPr>
        <w:spacing w:after="0" w:line="276" w:lineRule="auto"/>
        <w:rPr>
          <w:rFonts w:ascii="Calibri" w:hAnsi="Calibri" w:cs="Calibri"/>
          <w:sz w:val="24"/>
          <w:szCs w:val="24"/>
        </w:rPr>
      </w:pPr>
      <w:r w:rsidRPr="00F95AC2">
        <w:rPr>
          <w:rFonts w:ascii="Calibri" w:hAnsi="Calibri" w:cs="Calibri"/>
          <w:sz w:val="24"/>
          <w:szCs w:val="24"/>
        </w:rPr>
        <w:t>Liczba odbiorców: 6 289 osób</w:t>
      </w:r>
    </w:p>
    <w:p w14:paraId="096FFD4E" w14:textId="3D4FF374" w:rsidR="00870C98" w:rsidRPr="00F95AC2" w:rsidRDefault="00870C98" w:rsidP="00597239">
      <w:pPr>
        <w:spacing w:after="0" w:line="276" w:lineRule="auto"/>
        <w:rPr>
          <w:rFonts w:ascii="Calibri" w:hAnsi="Calibri" w:cs="Calibri"/>
          <w:sz w:val="24"/>
          <w:szCs w:val="24"/>
        </w:rPr>
      </w:pPr>
      <w:r w:rsidRPr="00F95AC2">
        <w:rPr>
          <w:rFonts w:ascii="Calibri" w:hAnsi="Calibri" w:cs="Calibri"/>
          <w:sz w:val="24"/>
          <w:szCs w:val="24"/>
        </w:rPr>
        <w:t>Główne działania Zorganizowano webinarium dot. podstawowych szczepień ochronnych, konsekwencji braku szczepień, szczepień przypominjących dla dzieci i dorosłych oraz szczepień dla podróżujących. Prowadzona była również edukacja bezpośrednia w formie prelekcji oraz wykładów. Dodatkowym działaniem było przeprowadzenie przez WSSE w Szczecinie Quizu wiedzy on-line nt. szczepień ochronnych dla pełnoletnich mieszkańców woj. zachodniopomorskiego. Zorganizowano stoiska m.in. w szkołach podstawowych, liceach ogólnokształcących, ZOZ-ach i NZOZ-ach, urzędach miast i gmin, a także w starostwach powiatowych oraz ośrodkach szkolno</w:t>
      </w:r>
      <w:r w:rsidR="0087791D">
        <w:rPr>
          <w:rFonts w:ascii="Calibri" w:hAnsi="Calibri" w:cs="Calibri"/>
          <w:sz w:val="24"/>
          <w:szCs w:val="24"/>
        </w:rPr>
        <w:t>-</w:t>
      </w:r>
      <w:r w:rsidRPr="00F95AC2">
        <w:rPr>
          <w:rFonts w:ascii="Calibri" w:hAnsi="Calibri" w:cs="Calibri"/>
          <w:sz w:val="24"/>
          <w:szCs w:val="24"/>
        </w:rPr>
        <w:t>wychowawczych. Do mediów regionalnych i lokalnych wystosowane zostały informacje prasowe oraz udzielano wywiadów dla TV i radia.</w:t>
      </w:r>
    </w:p>
    <w:p w14:paraId="6092F9E4" w14:textId="28554B04" w:rsidR="00870C98" w:rsidRDefault="00870C98" w:rsidP="00597239">
      <w:pPr>
        <w:spacing w:after="0" w:line="276" w:lineRule="auto"/>
        <w:rPr>
          <w:rFonts w:ascii="Calibri" w:hAnsi="Calibri" w:cs="Calibri"/>
          <w:sz w:val="24"/>
          <w:szCs w:val="24"/>
        </w:rPr>
      </w:pPr>
    </w:p>
    <w:p w14:paraId="1F5388AB" w14:textId="0273846F" w:rsidR="00095D7E" w:rsidRPr="00870C98" w:rsidRDefault="00870C98" w:rsidP="00597239">
      <w:pPr>
        <w:rPr>
          <w:rFonts w:ascii="Calibri" w:hAnsi="Calibri" w:cs="Calibri"/>
          <w:sz w:val="24"/>
          <w:szCs w:val="24"/>
        </w:rPr>
      </w:pPr>
      <w:r>
        <w:rPr>
          <w:rFonts w:ascii="Calibri" w:hAnsi="Calibri" w:cs="Calibri"/>
          <w:sz w:val="24"/>
          <w:szCs w:val="24"/>
        </w:rPr>
        <w:br w:type="page"/>
      </w:r>
      <w:r w:rsidRPr="00666132">
        <w:rPr>
          <w:rFonts w:ascii="Calibri" w:hAnsi="Calibri" w:cs="Calibri"/>
          <w:noProof/>
          <w:sz w:val="24"/>
          <w:szCs w:val="24"/>
        </w:rPr>
        <w:lastRenderedPageBreak/>
        <w:drawing>
          <wp:anchor distT="0" distB="0" distL="114300" distR="114300" simplePos="0" relativeHeight="251719680" behindDoc="1" locked="0" layoutInCell="1" allowOverlap="1" wp14:anchorId="7C45BF0D" wp14:editId="3D620C1E">
            <wp:simplePos x="0" y="0"/>
            <wp:positionH relativeFrom="margin">
              <wp:posOffset>-256540</wp:posOffset>
            </wp:positionH>
            <wp:positionV relativeFrom="paragraph">
              <wp:posOffset>2404745</wp:posOffset>
            </wp:positionV>
            <wp:extent cx="3894183" cy="3096000"/>
            <wp:effectExtent l="0" t="0" r="0" b="9525"/>
            <wp:wrapTight wrapText="bothSides">
              <wp:wrapPolygon edited="0">
                <wp:start x="423" y="0"/>
                <wp:lineTo x="0" y="266"/>
                <wp:lineTo x="0" y="21268"/>
                <wp:lineTo x="317" y="21534"/>
                <wp:lineTo x="423" y="21534"/>
                <wp:lineTo x="21029" y="21534"/>
                <wp:lineTo x="21135" y="21534"/>
                <wp:lineTo x="21452" y="21268"/>
                <wp:lineTo x="21452" y="266"/>
                <wp:lineTo x="21029" y="0"/>
                <wp:lineTo x="423" y="0"/>
              </wp:wrapPolygon>
            </wp:wrapTight>
            <wp:docPr id="5" name="Obraz 3" descr="Praca konkursowa &quot;Zdrowe zęby mamy marchewkę zajadamy&quot; - przedstawia jak dbać o zdrowy uśmi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3" descr="Praca konkursowa &quot;Zdrowe zęby mamy marchewkę zajadamy&quot; - przedstawia jak dbać o zdrowy uśmiech."/>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7259" t="11873" r="9608" b="8818"/>
                    <a:stretch/>
                  </pic:blipFill>
                  <pic:spPr bwMode="auto">
                    <a:xfrm>
                      <a:off x="0" y="0"/>
                      <a:ext cx="3894183" cy="3096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6132">
        <w:rPr>
          <w:rFonts w:ascii="Calibri" w:hAnsi="Calibri" w:cs="Calibri"/>
          <w:noProof/>
          <w:sz w:val="24"/>
          <w:szCs w:val="24"/>
        </w:rPr>
        <w:drawing>
          <wp:anchor distT="0" distB="0" distL="114300" distR="114300" simplePos="0" relativeHeight="251715584" behindDoc="1" locked="0" layoutInCell="1" allowOverlap="1" wp14:anchorId="4C9C2C5E" wp14:editId="25E514E1">
            <wp:simplePos x="0" y="0"/>
            <wp:positionH relativeFrom="margin">
              <wp:align>right</wp:align>
            </wp:positionH>
            <wp:positionV relativeFrom="paragraph">
              <wp:posOffset>424</wp:posOffset>
            </wp:positionV>
            <wp:extent cx="4399504" cy="3096000"/>
            <wp:effectExtent l="0" t="0" r="1270" b="9525"/>
            <wp:wrapTight wrapText="bothSides">
              <wp:wrapPolygon edited="0">
                <wp:start x="374" y="0"/>
                <wp:lineTo x="0" y="266"/>
                <wp:lineTo x="0" y="21268"/>
                <wp:lineTo x="281" y="21534"/>
                <wp:lineTo x="374" y="21534"/>
                <wp:lineTo x="21139" y="21534"/>
                <wp:lineTo x="21232" y="21534"/>
                <wp:lineTo x="21513" y="21268"/>
                <wp:lineTo x="21513" y="266"/>
                <wp:lineTo x="21139" y="0"/>
                <wp:lineTo x="374" y="0"/>
              </wp:wrapPolygon>
            </wp:wrapTight>
            <wp:docPr id="6" name="Obraz 4" descr="Praca konkursowa &quot;Zdrowe zęby mamy marchewkę zajadamy&quot; - przedstawia jak dbać o zdrowy uśmi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4" descr="Praca konkursowa &quot;Zdrowe zęby mamy marchewkę zajadamy&quot; - przedstawia jak dbać o zdrowy uśmiech."/>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99504" cy="3096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66132">
        <w:rPr>
          <w:rFonts w:ascii="Calibri" w:hAnsi="Calibri" w:cs="Calibri"/>
          <w:noProof/>
          <w:sz w:val="24"/>
          <w:szCs w:val="24"/>
        </w:rPr>
        <w:drawing>
          <wp:anchor distT="0" distB="0" distL="114300" distR="114300" simplePos="0" relativeHeight="251717632" behindDoc="1" locked="0" layoutInCell="1" allowOverlap="1" wp14:anchorId="32B832B0" wp14:editId="338024E5">
            <wp:simplePos x="0" y="0"/>
            <wp:positionH relativeFrom="margin">
              <wp:align>right</wp:align>
            </wp:positionH>
            <wp:positionV relativeFrom="paragraph">
              <wp:posOffset>4843780</wp:posOffset>
            </wp:positionV>
            <wp:extent cx="4277578" cy="3096000"/>
            <wp:effectExtent l="0" t="0" r="8890" b="9525"/>
            <wp:wrapTight wrapText="bothSides">
              <wp:wrapPolygon edited="0">
                <wp:start x="385" y="0"/>
                <wp:lineTo x="0" y="266"/>
                <wp:lineTo x="0" y="21268"/>
                <wp:lineTo x="289" y="21534"/>
                <wp:lineTo x="385" y="21534"/>
                <wp:lineTo x="21164" y="21534"/>
                <wp:lineTo x="21260" y="21534"/>
                <wp:lineTo x="21549" y="21268"/>
                <wp:lineTo x="21549" y="266"/>
                <wp:lineTo x="21164" y="0"/>
                <wp:lineTo x="385" y="0"/>
              </wp:wrapPolygon>
            </wp:wrapTight>
            <wp:docPr id="7" name="Obraz 5" descr="Praca konkursowa &quot;Zdrowe zęby mamy marchewkę zajadamy&quot; - przedstawia jak dbać o zdrowy uśmi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5" descr="Praca konkursowa &quot;Zdrowe zęby mamy marchewkę zajadamy&quot; - przedstawia jak dbać o zdrowy uśmiech."/>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277578" cy="3096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cs="Calibri"/>
          <w:noProof/>
          <w:sz w:val="24"/>
          <w:szCs w:val="24"/>
        </w:rPr>
        <mc:AlternateContent>
          <mc:Choice Requires="wps">
            <w:drawing>
              <wp:anchor distT="0" distB="0" distL="114300" distR="114300" simplePos="0" relativeHeight="251718656" behindDoc="0" locked="0" layoutInCell="1" allowOverlap="1" wp14:anchorId="617366EE" wp14:editId="3DBCC380">
                <wp:simplePos x="0" y="0"/>
                <wp:positionH relativeFrom="margin">
                  <wp:align>center</wp:align>
                </wp:positionH>
                <wp:positionV relativeFrom="paragraph">
                  <wp:posOffset>7565390</wp:posOffset>
                </wp:positionV>
                <wp:extent cx="914400" cy="1044000"/>
                <wp:effectExtent l="0" t="0" r="0" b="3810"/>
                <wp:wrapNone/>
                <wp:docPr id="1445873054" name="Pole tekstowe 15"/>
                <wp:cNvGraphicFramePr/>
                <a:graphic xmlns:a="http://schemas.openxmlformats.org/drawingml/2006/main">
                  <a:graphicData uri="http://schemas.microsoft.com/office/word/2010/wordprocessingShape">
                    <wps:wsp>
                      <wps:cNvSpPr txBox="1"/>
                      <wps:spPr>
                        <a:xfrm>
                          <a:off x="0" y="0"/>
                          <a:ext cx="914400" cy="104400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F6E4938" w14:textId="7BC89EB8" w:rsidR="00870C98" w:rsidRDefault="00870C98" w:rsidP="00870C98">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Prace konkursowe „zdrowe zęby mamy marchewkę zajadamy”</w:t>
                            </w:r>
                          </w:p>
                          <w:p w14:paraId="0ED2B083" w14:textId="77777777" w:rsidR="00870C98" w:rsidRDefault="00870C9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7366EE" id="Pole tekstowe 15" o:spid="_x0000_s1036" type="#_x0000_t202" style="position:absolute;margin-left:0;margin-top:595.7pt;width:1in;height:82.2pt;z-index:251718656;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" fillcolor="#a5a5a5 [3206]" stroked="f">
                <v:fill opacity="32896f"/>
                <v:textbox>
                  <w:txbxContent>
                    <w:p w14:paraId="6F6E4938" w14:textId="7BC89EB8" w:rsidR="00870C98" w:rsidRDefault="00870C98" w:rsidP="00870C98">
                      <w:pPr>
                        <w:spacing w:after="0"/>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Prace konkursowe „zdrowe zęby mamy marchewkę zajadamy”</w:t>
                      </w:r>
                    </w:p>
                    <w:p w14:paraId="0ED2B083" w14:textId="77777777" w:rsidR="00870C98" w:rsidRDefault="00870C98"/>
                  </w:txbxContent>
                </v:textbox>
                <w10:wrap anchorx="margin"/>
              </v:shape>
            </w:pict>
          </mc:Fallback>
        </mc:AlternateContent>
      </w:r>
      <w:r>
        <w:rPr>
          <w:rFonts w:ascii="Calibri" w:hAnsi="Calibri" w:cs="Calibri"/>
          <w:sz w:val="24"/>
          <w:szCs w:val="24"/>
        </w:rPr>
        <w:br w:type="page"/>
      </w:r>
    </w:p>
    <w:p w14:paraId="62AEDC9A" w14:textId="2D1BD121" w:rsidR="00095D7E" w:rsidRDefault="00095D7E" w:rsidP="00597239">
      <w:pPr>
        <w:pStyle w:val="Nagwek2"/>
        <w:numPr>
          <w:ilvl w:val="0"/>
          <w:numId w:val="53"/>
        </w:numPr>
        <w:spacing w:before="0" w:after="0"/>
        <w:ind w:left="284" w:hanging="284"/>
        <w:jc w:val="left"/>
      </w:pPr>
      <w:bookmarkStart w:id="449" w:name="_Toc194059894"/>
      <w:r w:rsidRPr="00666132">
        <w:lastRenderedPageBreak/>
        <w:t>Profilaktyka chorób nowotworowych</w:t>
      </w:r>
      <w:bookmarkEnd w:id="449"/>
      <w:r w:rsidRPr="00666132">
        <w:t xml:space="preserve"> </w:t>
      </w:r>
    </w:p>
    <w:p w14:paraId="4C335150" w14:textId="77777777" w:rsidR="007A33FE" w:rsidRPr="007A33FE" w:rsidRDefault="007A33FE" w:rsidP="00597239"/>
    <w:p w14:paraId="6951E549" w14:textId="1F74ED9E" w:rsidR="00095D7E" w:rsidRPr="00666132" w:rsidRDefault="00095D7E" w:rsidP="00597239">
      <w:pPr>
        <w:pStyle w:val="Nagwek3"/>
        <w:numPr>
          <w:ilvl w:val="1"/>
          <w:numId w:val="53"/>
        </w:numPr>
        <w:spacing w:before="0" w:after="0"/>
        <w:ind w:left="568" w:hanging="284"/>
        <w:rPr>
          <w:u w:val="single"/>
        </w:rPr>
      </w:pPr>
      <w:bookmarkStart w:id="450" w:name="_Toc194059895"/>
      <w:r w:rsidRPr="00666132">
        <w:t>Program edukacyjny Program edukacyjny "Znamię! Znam je?"</w:t>
      </w:r>
      <w:bookmarkEnd w:id="450"/>
    </w:p>
    <w:p w14:paraId="05D601E2"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ostatnich klas szkół podstawowych oraz szkół ponadpodstawowych, nauczyciele, pedagodzy</w:t>
      </w:r>
    </w:p>
    <w:p w14:paraId="7E12DED7"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15 276 osób</w:t>
      </w:r>
    </w:p>
    <w:p w14:paraId="34FBD099"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Organizatorami programu „Znamię! Znam je?” są: Akademia Czerniaka stanowiąca sekcję naukową Polskiego Towarzystwa Chirurgii Onkologicznej. Centrum Onkologii Instytut im. Marii Skłodowskiej-Curie w Warszawie oraz Fundacja „Gwiazda Nadziei”. Celem programu było upowszechnienie wiedzy z zakresu profilaktyki czerniaka wśród młodzieży szkół podstawowych klas VII i VIII oraz ponadpodstawowych klas I-II woj. zachodniopomorskiego. Dodatkowo poza rokiem szkolnym prowadzono w sezonie letnim profilaktykę promieniowania ultrafioletowego</w:t>
      </w:r>
    </w:p>
    <w:p w14:paraId="47367BEE" w14:textId="77777777" w:rsidR="007A33FE" w:rsidRPr="00666132" w:rsidRDefault="007A33FE" w:rsidP="00597239">
      <w:pPr>
        <w:spacing w:after="0" w:line="276" w:lineRule="auto"/>
        <w:rPr>
          <w:rFonts w:ascii="Calibri" w:hAnsi="Calibri" w:cs="Calibri"/>
          <w:sz w:val="24"/>
          <w:szCs w:val="24"/>
        </w:rPr>
      </w:pPr>
    </w:p>
    <w:p w14:paraId="3B7E460A" w14:textId="2AE57456" w:rsidR="00095D7E" w:rsidRPr="00666132" w:rsidRDefault="00095D7E" w:rsidP="00597239">
      <w:pPr>
        <w:pStyle w:val="Nagwek3"/>
        <w:numPr>
          <w:ilvl w:val="1"/>
          <w:numId w:val="53"/>
        </w:numPr>
        <w:spacing w:before="0" w:after="0"/>
        <w:ind w:left="568" w:hanging="284"/>
      </w:pPr>
      <w:bookmarkStart w:id="451" w:name="_Toc194059896"/>
      <w:r w:rsidRPr="00666132">
        <w:t>Kampania wojewódzka „Bądź swoją bohaterką”</w:t>
      </w:r>
      <w:bookmarkEnd w:id="451"/>
    </w:p>
    <w:p w14:paraId="7651B9E8"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uczennice szkół ponadpodstawowych, członkinie klubów seniora, pracownice zakładów pracy.</w:t>
      </w:r>
    </w:p>
    <w:p w14:paraId="3855F60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Liczba odbiorców: 7 752 osoby </w:t>
      </w:r>
    </w:p>
    <w:p w14:paraId="3AB3CE7A" w14:textId="09584B43" w:rsidR="00095D7E" w:rsidRPr="001435F5"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w:t>
      </w:r>
      <w:bookmarkStart w:id="452" w:name="_Hlk192234250"/>
      <w:r w:rsidRPr="00666132">
        <w:rPr>
          <w:rFonts w:ascii="Calibri" w:hAnsi="Calibri" w:cs="Calibri"/>
          <w:sz w:val="24"/>
          <w:szCs w:val="24"/>
        </w:rPr>
        <w:t xml:space="preserve"> W 2021 roku została zainaugurowana kampania. W 2024 roku zorganizowano trzecią odsłonę tego wydarzenia, które skierowane było na propagowanie aktywności ruchowej jako skutecznej metody zapobiegania nowotworom. Celem kampanii było także zachęcenie do wykonywania badań profilaktycznych w zakresie raka piersi. W</w:t>
      </w:r>
      <w:r w:rsidR="00D410B8">
        <w:rPr>
          <w:rFonts w:ascii="Calibri" w:hAnsi="Calibri" w:cs="Calibri"/>
          <w:sz w:val="24"/>
          <w:szCs w:val="24"/>
        </w:rPr>
        <w:t> </w:t>
      </w:r>
      <w:r w:rsidRPr="00666132">
        <w:rPr>
          <w:rFonts w:ascii="Calibri" w:hAnsi="Calibri" w:cs="Calibri"/>
          <w:sz w:val="24"/>
          <w:szCs w:val="24"/>
        </w:rPr>
        <w:t>ramach kampanii zaproszono do udziału 580 instytucji lokalnych. W ramach edukacji zrealizowano prelekcje, instruktaże szkoleniowe oraz wykłady, których wysłuchały 364 osoby. W czasie kampanii zorganizowano również marsze, biegi, stoiska profilaktyczne, narady organizacyjne. Przeprowadzono także działania wzmacniające ukierunkowane na</w:t>
      </w:r>
      <w:r w:rsidR="00D410B8">
        <w:rPr>
          <w:rFonts w:ascii="Calibri" w:hAnsi="Calibri" w:cs="Calibri"/>
          <w:sz w:val="24"/>
          <w:szCs w:val="24"/>
        </w:rPr>
        <w:t> </w:t>
      </w:r>
      <w:r w:rsidRPr="00666132">
        <w:rPr>
          <w:rFonts w:ascii="Calibri" w:hAnsi="Calibri" w:cs="Calibri"/>
          <w:sz w:val="24"/>
          <w:szCs w:val="24"/>
        </w:rPr>
        <w:t>rozpowszechnienie informacji o kampanii, w tym wpisy w mediach społecznościowych (Facebook/Twitter) oraz artykuły na stronach internetowych WSSE i PSSE. Odbyły się audycje radiowe, audycje w telewizji, zamieszczono także artykuły prasowe. Na terenie całego województwa prowadzona była współpraca z lokalnymi stowarzyszeniami „Amazonek”.</w:t>
      </w:r>
      <w:r w:rsidRPr="00666132">
        <w:rPr>
          <w:rFonts w:ascii="Calibri" w:hAnsi="Calibri" w:cs="Calibri"/>
          <w:noProof/>
          <w:sz w:val="24"/>
          <w:szCs w:val="24"/>
        </w:rPr>
        <w:t xml:space="preserve"> </w:t>
      </w:r>
      <w:bookmarkEnd w:id="452"/>
    </w:p>
    <w:p w14:paraId="1F04E129" w14:textId="77777777" w:rsidR="00095D7E" w:rsidRPr="00666132" w:rsidRDefault="00095D7E" w:rsidP="00597239">
      <w:pPr>
        <w:pStyle w:val="Akapitzlist"/>
        <w:spacing w:after="0" w:line="276" w:lineRule="auto"/>
        <w:ind w:left="426"/>
        <w:rPr>
          <w:rFonts w:ascii="Calibri" w:hAnsi="Calibri" w:cs="Calibri"/>
          <w:sz w:val="24"/>
          <w:szCs w:val="24"/>
        </w:rPr>
      </w:pPr>
    </w:p>
    <w:p w14:paraId="193E9646" w14:textId="4741F207" w:rsidR="00095D7E" w:rsidRDefault="00095D7E" w:rsidP="00597239">
      <w:pPr>
        <w:pStyle w:val="Nagwek2"/>
        <w:numPr>
          <w:ilvl w:val="0"/>
          <w:numId w:val="54"/>
        </w:numPr>
        <w:spacing w:before="0" w:after="0"/>
        <w:ind w:left="284" w:hanging="284"/>
        <w:jc w:val="left"/>
      </w:pPr>
      <w:bookmarkStart w:id="453" w:name="_Toc194059897"/>
      <w:r w:rsidRPr="00666132">
        <w:t>Promocja zdrowego stylu życia</w:t>
      </w:r>
      <w:bookmarkEnd w:id="453"/>
      <w:r w:rsidRPr="00666132">
        <w:t xml:space="preserve"> </w:t>
      </w:r>
    </w:p>
    <w:p w14:paraId="6AD1020E" w14:textId="77777777" w:rsidR="007A33FE" w:rsidRPr="007A33FE" w:rsidRDefault="007A33FE" w:rsidP="00597239"/>
    <w:p w14:paraId="1117ADA3" w14:textId="601FDCF7" w:rsidR="00095D7E" w:rsidRPr="00666132" w:rsidRDefault="00095D7E" w:rsidP="00597239">
      <w:pPr>
        <w:pStyle w:val="Nagwek3"/>
        <w:numPr>
          <w:ilvl w:val="1"/>
          <w:numId w:val="54"/>
        </w:numPr>
        <w:spacing w:before="0" w:after="0"/>
        <w:ind w:left="568" w:hanging="284"/>
        <w:rPr>
          <w:u w:val="single"/>
        </w:rPr>
      </w:pPr>
      <w:bookmarkStart w:id="454" w:name="_Toc194059898"/>
      <w:r w:rsidRPr="00666132">
        <w:t>Światowy Dzień Zdrowia</w:t>
      </w:r>
      <w:bookmarkEnd w:id="454"/>
    </w:p>
    <w:p w14:paraId="546CEE27" w14:textId="77777777" w:rsidR="00095D7E" w:rsidRPr="00356602" w:rsidRDefault="00095D7E" w:rsidP="00597239">
      <w:pPr>
        <w:spacing w:after="0" w:line="276" w:lineRule="auto"/>
        <w:rPr>
          <w:rFonts w:ascii="Calibri" w:hAnsi="Calibri" w:cs="Calibri"/>
          <w:sz w:val="24"/>
          <w:szCs w:val="24"/>
        </w:rPr>
      </w:pPr>
      <w:r w:rsidRPr="00356602">
        <w:rPr>
          <w:rFonts w:ascii="Calibri" w:hAnsi="Calibri" w:cs="Calibri"/>
          <w:sz w:val="24"/>
          <w:szCs w:val="24"/>
        </w:rPr>
        <w:t>Grupa docelowa: społeczność lokalna, dzieci, młodzież, seniorzy, osoby pracujące</w:t>
      </w:r>
    </w:p>
    <w:p w14:paraId="71F920E3" w14:textId="77777777" w:rsidR="00095D7E" w:rsidRPr="00356602" w:rsidRDefault="00095D7E" w:rsidP="00597239">
      <w:pPr>
        <w:spacing w:after="0" w:line="276" w:lineRule="auto"/>
        <w:rPr>
          <w:rFonts w:ascii="Calibri" w:hAnsi="Calibri" w:cs="Calibri"/>
          <w:sz w:val="24"/>
          <w:szCs w:val="24"/>
        </w:rPr>
      </w:pPr>
      <w:r w:rsidRPr="00356602">
        <w:rPr>
          <w:rFonts w:ascii="Calibri" w:hAnsi="Calibri" w:cs="Calibri"/>
          <w:sz w:val="24"/>
          <w:szCs w:val="24"/>
        </w:rPr>
        <w:t>Liczba odbiorców: 15 870 osób</w:t>
      </w:r>
    </w:p>
    <w:p w14:paraId="7D6F92AE" w14:textId="77777777" w:rsidR="00095D7E" w:rsidRPr="00356602" w:rsidRDefault="00095D7E" w:rsidP="00597239">
      <w:pPr>
        <w:spacing w:after="0" w:line="276" w:lineRule="auto"/>
        <w:rPr>
          <w:rFonts w:ascii="Calibri" w:hAnsi="Calibri" w:cs="Calibri"/>
          <w:sz w:val="24"/>
          <w:szCs w:val="24"/>
        </w:rPr>
      </w:pPr>
      <w:r w:rsidRPr="00356602">
        <w:rPr>
          <w:rFonts w:ascii="Calibri" w:hAnsi="Calibri" w:cs="Calibri"/>
          <w:sz w:val="24"/>
          <w:szCs w:val="24"/>
        </w:rPr>
        <w:t>Główne działania:</w:t>
      </w:r>
    </w:p>
    <w:p w14:paraId="3C5B24E8" w14:textId="04126520" w:rsidR="00095D7E" w:rsidRPr="00356602" w:rsidRDefault="00095D7E" w:rsidP="00597239">
      <w:pPr>
        <w:spacing w:after="0" w:line="276" w:lineRule="auto"/>
        <w:rPr>
          <w:rFonts w:ascii="Calibri" w:hAnsi="Calibri" w:cs="Calibri"/>
          <w:sz w:val="24"/>
          <w:szCs w:val="24"/>
        </w:rPr>
      </w:pPr>
      <w:r w:rsidRPr="00356602">
        <w:rPr>
          <w:rFonts w:ascii="Calibri" w:hAnsi="Calibri" w:cs="Calibri"/>
          <w:sz w:val="24"/>
          <w:szCs w:val="24"/>
        </w:rPr>
        <w:t xml:space="preserve">WSSE Szczecin zorganizowała obchody Światowego Dnia Zdrowia w Zachodniopomorskim Urzędzie Wojewódzkim, gdzie pracownicy Oddziału Promocji Zdrowia wraz z pracownikami Oddziału Higieny Żywności, Żywienia i Przedmiotów Użytku WSSE w Szczecinie </w:t>
      </w:r>
      <w:r w:rsidRPr="00356602">
        <w:rPr>
          <w:rFonts w:ascii="Calibri" w:hAnsi="Calibri" w:cs="Calibri"/>
          <w:sz w:val="24"/>
          <w:szCs w:val="24"/>
        </w:rPr>
        <w:lastRenderedPageBreak/>
        <w:t>na</w:t>
      </w:r>
      <w:r w:rsidR="00D410B8">
        <w:rPr>
          <w:rFonts w:ascii="Calibri" w:hAnsi="Calibri" w:cs="Calibri"/>
          <w:sz w:val="24"/>
          <w:szCs w:val="24"/>
        </w:rPr>
        <w:t> </w:t>
      </w:r>
      <w:r w:rsidRPr="00356602">
        <w:rPr>
          <w:rFonts w:ascii="Calibri" w:hAnsi="Calibri" w:cs="Calibri"/>
          <w:sz w:val="24"/>
          <w:szCs w:val="24"/>
        </w:rPr>
        <w:t>przygotowanych stoiskach profilaktyczno</w:t>
      </w:r>
      <w:r w:rsidR="001435F5">
        <w:rPr>
          <w:rFonts w:ascii="Calibri" w:hAnsi="Calibri" w:cs="Calibri"/>
          <w:sz w:val="24"/>
          <w:szCs w:val="24"/>
        </w:rPr>
        <w:t>-</w:t>
      </w:r>
      <w:r w:rsidRPr="00356602">
        <w:rPr>
          <w:rFonts w:ascii="Calibri" w:hAnsi="Calibri" w:cs="Calibri"/>
          <w:sz w:val="24"/>
          <w:szCs w:val="24"/>
        </w:rPr>
        <w:t xml:space="preserve">edukacyjnych udzielali porad dotyczących racjonalnego </w:t>
      </w:r>
      <w:r w:rsidR="00FD3723" w:rsidRPr="00356602">
        <w:rPr>
          <w:rFonts w:ascii="Calibri" w:hAnsi="Calibri" w:cs="Calibri"/>
          <w:sz w:val="24"/>
          <w:szCs w:val="24"/>
        </w:rPr>
        <w:t>odżywiania, wykonywali</w:t>
      </w:r>
      <w:r w:rsidRPr="00356602">
        <w:rPr>
          <w:rFonts w:ascii="Calibri" w:hAnsi="Calibri" w:cs="Calibri"/>
          <w:sz w:val="24"/>
          <w:szCs w:val="24"/>
        </w:rPr>
        <w:t xml:space="preserve"> analizę składu masy ciała, pomiar ciśnienia tętniczego krwi, pomiar glukozy, pomiar spirometryczny oraz pomiar </w:t>
      </w:r>
      <w:proofErr w:type="spellStart"/>
      <w:r w:rsidRPr="00356602">
        <w:rPr>
          <w:rFonts w:ascii="Calibri" w:hAnsi="Calibri" w:cs="Calibri"/>
          <w:sz w:val="24"/>
          <w:szCs w:val="24"/>
        </w:rPr>
        <w:t>smokerlyzerem</w:t>
      </w:r>
      <w:proofErr w:type="spellEnd"/>
      <w:r w:rsidRPr="00356602">
        <w:rPr>
          <w:rFonts w:ascii="Calibri" w:hAnsi="Calibri" w:cs="Calibri"/>
          <w:sz w:val="24"/>
          <w:szCs w:val="24"/>
        </w:rPr>
        <w:t xml:space="preserve">. Dla młodzieży przygotowano warsztaty z </w:t>
      </w:r>
      <w:proofErr w:type="spellStart"/>
      <w:r w:rsidRPr="00356602">
        <w:rPr>
          <w:rFonts w:ascii="Calibri" w:hAnsi="Calibri" w:cs="Calibri"/>
          <w:sz w:val="24"/>
          <w:szCs w:val="24"/>
        </w:rPr>
        <w:t>narko</w:t>
      </w:r>
      <w:proofErr w:type="spellEnd"/>
      <w:r w:rsidRPr="00356602">
        <w:rPr>
          <w:rFonts w:ascii="Calibri" w:hAnsi="Calibri" w:cs="Calibri"/>
          <w:sz w:val="24"/>
          <w:szCs w:val="24"/>
        </w:rPr>
        <w:t>- i alkogoglami, a dla najmłodszych uczestników konkursy i</w:t>
      </w:r>
      <w:r w:rsidR="00D410B8">
        <w:rPr>
          <w:rFonts w:ascii="Calibri" w:hAnsi="Calibri" w:cs="Calibri"/>
          <w:sz w:val="24"/>
          <w:szCs w:val="24"/>
        </w:rPr>
        <w:t> </w:t>
      </w:r>
      <w:r w:rsidRPr="00356602">
        <w:rPr>
          <w:rFonts w:ascii="Calibri" w:hAnsi="Calibri" w:cs="Calibri"/>
          <w:sz w:val="24"/>
          <w:szCs w:val="24"/>
        </w:rPr>
        <w:t>zagadki na temat zdrowego odżywiania. Stoiska wyposażone były w gadżety oraz materiały edukacyjne. Partnerem wydarzenia było m.in.: Międzynarodowe Stowarzyszenie Studentów Medycyny Oddział w Szczecinie, IFMSA, Polskie Towarzystwo Studentów Stomatologii Oddział w Szczecinie, Polskie Towarzystwo Studentów Farmacji w Szczecinie, Komenda Wojewódzka Policji w Szczecinie, Fundacja DKMS Polska i Krajowy Ośrodek Wsparcia Rolnictwa Oddział w</w:t>
      </w:r>
      <w:r w:rsidR="00D410B8">
        <w:rPr>
          <w:rFonts w:ascii="Calibri" w:hAnsi="Calibri" w:cs="Calibri"/>
          <w:sz w:val="24"/>
          <w:szCs w:val="24"/>
        </w:rPr>
        <w:t> </w:t>
      </w:r>
      <w:r w:rsidRPr="00356602">
        <w:rPr>
          <w:rFonts w:ascii="Calibri" w:hAnsi="Calibri" w:cs="Calibri"/>
          <w:sz w:val="24"/>
          <w:szCs w:val="24"/>
        </w:rPr>
        <w:t>Szczecinie. Podobna akcja miała miejsce w pozostałych 19 powiatach województwa zachodniopomorskiego.</w:t>
      </w:r>
    </w:p>
    <w:p w14:paraId="188F6492" w14:textId="03EBABE3" w:rsidR="001435F5" w:rsidRDefault="004169F9" w:rsidP="00597239">
      <w:pPr>
        <w:rPr>
          <w:rFonts w:ascii="Calibri" w:hAnsi="Calibri" w:cs="Calibri"/>
          <w:sz w:val="24"/>
          <w:szCs w:val="24"/>
        </w:rPr>
      </w:pPr>
      <w:r w:rsidRPr="00666132">
        <w:rPr>
          <w:rFonts w:ascii="Calibri" w:hAnsi="Calibri" w:cs="Calibri"/>
          <w:noProof/>
          <w:sz w:val="24"/>
          <w:szCs w:val="24"/>
        </w:rPr>
        <w:drawing>
          <wp:anchor distT="0" distB="0" distL="114300" distR="114300" simplePos="0" relativeHeight="251708416" behindDoc="0" locked="0" layoutInCell="1" allowOverlap="1" wp14:anchorId="5F7E6EE2" wp14:editId="717824AF">
            <wp:simplePos x="0" y="0"/>
            <wp:positionH relativeFrom="margin">
              <wp:align>right</wp:align>
            </wp:positionH>
            <wp:positionV relativeFrom="paragraph">
              <wp:posOffset>415925</wp:posOffset>
            </wp:positionV>
            <wp:extent cx="5619115" cy="3160395"/>
            <wp:effectExtent l="0" t="0" r="635" b="1905"/>
            <wp:wrapSquare wrapText="bothSides"/>
            <wp:docPr id="472921091" name="Obraz 1" descr="Zdjęcie przedstawia dużą grupę ludzi biorących udział w wydarzeniu &quot;Światowy Dzień Zdrow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21091" name="Obraz 1" descr="Zdjęcie przedstawia dużą grupę ludzi biorących udział w wydarzeniu &quot;Światowy Dzień Zdrowia&quo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619115" cy="31603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E5884B0" w14:textId="44E0ECDD" w:rsidR="004169F9" w:rsidRDefault="004169F9" w:rsidP="00597239">
      <w:pPr>
        <w:rPr>
          <w:rFonts w:ascii="Calibri" w:hAnsi="Calibri" w:cs="Calibri"/>
          <w:sz w:val="24"/>
          <w:szCs w:val="24"/>
        </w:rPr>
      </w:pPr>
    </w:p>
    <w:p w14:paraId="59D86436" w14:textId="39CF176B" w:rsidR="001435F5" w:rsidRPr="001435F5" w:rsidRDefault="00870C98" w:rsidP="00597239">
      <w:pPr>
        <w:rPr>
          <w:rFonts w:ascii="Calibri" w:hAnsi="Calibri" w:cs="Calibri"/>
          <w:sz w:val="24"/>
          <w:szCs w:val="24"/>
        </w:rPr>
      </w:pPr>
      <w:r>
        <w:rPr>
          <w:rFonts w:ascii="Calibri" w:hAnsi="Calibri" w:cs="Calibri"/>
          <w:noProof/>
          <w:sz w:val="24"/>
          <w:szCs w:val="24"/>
        </w:rPr>
        <w:lastRenderedPageBreak/>
        <mc:AlternateContent>
          <mc:Choice Requires="wps">
            <w:drawing>
              <wp:anchor distT="0" distB="0" distL="114300" distR="114300" simplePos="0" relativeHeight="251711488" behindDoc="0" locked="0" layoutInCell="1" allowOverlap="1" wp14:anchorId="58C236D1" wp14:editId="64E4C5B1">
                <wp:simplePos x="0" y="0"/>
                <wp:positionH relativeFrom="margin">
                  <wp:align>right</wp:align>
                </wp:positionH>
                <wp:positionV relativeFrom="paragraph">
                  <wp:posOffset>7417082</wp:posOffset>
                </wp:positionV>
                <wp:extent cx="914400" cy="1044000"/>
                <wp:effectExtent l="0" t="0" r="0" b="3810"/>
                <wp:wrapNone/>
                <wp:docPr id="2034598715" name="Pole tekstowe 14"/>
                <wp:cNvGraphicFramePr/>
                <a:graphic xmlns:a="http://schemas.openxmlformats.org/drawingml/2006/main">
                  <a:graphicData uri="http://schemas.microsoft.com/office/word/2010/wordprocessingShape">
                    <wps:wsp>
                      <wps:cNvSpPr txBox="1"/>
                      <wps:spPr>
                        <a:xfrm>
                          <a:off x="0" y="0"/>
                          <a:ext cx="914400" cy="1044000"/>
                        </a:xfrm>
                        <a:prstGeom prst="rect">
                          <a:avLst/>
                        </a:prstGeom>
                        <a:solidFill>
                          <a:schemeClr val="accent3">
                            <a:alpha val="90000"/>
                          </a:schemeClr>
                        </a:solidFill>
                        <a:ln>
                          <a:noFill/>
                        </a:ln>
                      </wps:spPr>
                      <wps:style>
                        <a:lnRef idx="0">
                          <a:scrgbClr r="0" g="0" b="0"/>
                        </a:lnRef>
                        <a:fillRef idx="0">
                          <a:scrgbClr r="0" g="0" b="0"/>
                        </a:fillRef>
                        <a:effectRef idx="0">
                          <a:scrgbClr r="0" g="0" b="0"/>
                        </a:effectRef>
                        <a:fontRef idx="minor">
                          <a:schemeClr val="lt1"/>
                        </a:fontRef>
                      </wps:style>
                      <wps:txbx>
                        <w:txbxContent>
                          <w:p w14:paraId="07C3CD81" w14:textId="54498CB5" w:rsidR="00870C98" w:rsidRDefault="00870C98" w:rsidP="00870C98">
                            <w:pPr>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Bezpieczne grzybobranie w PSSE w Choszcznie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236D1" id="Pole tekstowe 14" o:spid="_x0000_s1037" type="#_x0000_t202" style="position:absolute;margin-left:20.8pt;margin-top:584pt;width:1in;height:82.2pt;z-index:251711488;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" fillcolor="#a5a5a5 [3206]" stroked="f">
                <v:fill opacity="59110f"/>
                <v:textbox>
                  <w:txbxContent>
                    <w:p w14:paraId="07C3CD81" w14:textId="54498CB5" w:rsidR="00870C98" w:rsidRDefault="00870C98" w:rsidP="00870C98">
                      <w:pPr>
                        <w:jc w:val="center"/>
                      </w:pPr>
                      <w:r w:rsidRPr="00761314">
                        <w:rPr>
                          <w:b/>
                          <w:color w:val="000000" w:themeColor="text1"/>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noFill/>
                            <w14:prstDash w14:val="solid"/>
                            <w14:round/>
                          </w14:textOutline>
                        </w:rPr>
                        <w:t>Bezpieczne grzybobranie w PSSE w Choszcznie</w:t>
                      </w:r>
                    </w:p>
                  </w:txbxContent>
                </v:textbox>
                <w10:wrap anchorx="margin"/>
              </v:shape>
            </w:pict>
          </mc:Fallback>
        </mc:AlternateContent>
      </w:r>
      <w:r w:rsidR="004169F9" w:rsidRPr="00666132">
        <w:rPr>
          <w:rFonts w:ascii="Calibri" w:hAnsi="Calibri" w:cs="Calibri"/>
          <w:noProof/>
          <w:sz w:val="24"/>
          <w:szCs w:val="24"/>
        </w:rPr>
        <w:drawing>
          <wp:anchor distT="0" distB="0" distL="114300" distR="114300" simplePos="0" relativeHeight="251695104" behindDoc="0" locked="0" layoutInCell="1" allowOverlap="1" wp14:anchorId="558E376C" wp14:editId="112DFDC3">
            <wp:simplePos x="0" y="0"/>
            <wp:positionH relativeFrom="margin">
              <wp:align>center</wp:align>
            </wp:positionH>
            <wp:positionV relativeFrom="paragraph">
              <wp:posOffset>223520</wp:posOffset>
            </wp:positionV>
            <wp:extent cx="6263640" cy="8351520"/>
            <wp:effectExtent l="0" t="0" r="3810" b="0"/>
            <wp:wrapSquare wrapText="bothSides"/>
            <wp:docPr id="197487722" name="Obraz 4" descr="Zdjęcie przedstawia wystawę grzybów i leśnych roślin w ramach działań edukacyjnych &quot;Bezpieczne grzybobran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87722" name="Obraz 4" descr="Zdjęcie przedstawia wystawę grzybów i leśnych roślin w ramach działań edukacyjnych &quot;Bezpieczne grzybobranie&quo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263640" cy="83515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5B0240A" w14:textId="01EA08BD" w:rsidR="00095D7E" w:rsidRPr="004169F9" w:rsidRDefault="00095D7E" w:rsidP="00597239">
      <w:pPr>
        <w:spacing w:after="0" w:line="276" w:lineRule="auto"/>
        <w:rPr>
          <w:rFonts w:ascii="Calibri" w:hAnsi="Calibri" w:cs="Calibri"/>
          <w:sz w:val="24"/>
          <w:szCs w:val="24"/>
        </w:rPr>
      </w:pPr>
    </w:p>
    <w:p w14:paraId="21635CD7" w14:textId="579DB59A" w:rsidR="00095D7E" w:rsidRPr="00666132" w:rsidRDefault="00095D7E" w:rsidP="00597239">
      <w:pPr>
        <w:pStyle w:val="Nagwek3"/>
        <w:numPr>
          <w:ilvl w:val="1"/>
          <w:numId w:val="54"/>
        </w:numPr>
        <w:spacing w:before="0" w:after="0"/>
        <w:ind w:left="568" w:hanging="284"/>
        <w:rPr>
          <w:u w:val="single"/>
        </w:rPr>
      </w:pPr>
      <w:bookmarkStart w:id="455" w:name="_Toc194059899"/>
      <w:r w:rsidRPr="00666132">
        <w:lastRenderedPageBreak/>
        <w:t>Promocja bezpiecznego grzybobrania i profilaktyka zatruć grzybami</w:t>
      </w:r>
      <w:bookmarkEnd w:id="455"/>
    </w:p>
    <w:p w14:paraId="7BED6956" w14:textId="77777777" w:rsidR="00095D7E" w:rsidRPr="00356602" w:rsidRDefault="00095D7E" w:rsidP="00597239">
      <w:pPr>
        <w:spacing w:after="0" w:line="276" w:lineRule="auto"/>
        <w:rPr>
          <w:rFonts w:ascii="Calibri" w:hAnsi="Calibri" w:cs="Calibri"/>
          <w:sz w:val="24"/>
          <w:szCs w:val="24"/>
        </w:rPr>
      </w:pPr>
      <w:r w:rsidRPr="00356602">
        <w:rPr>
          <w:rFonts w:ascii="Calibri" w:hAnsi="Calibri" w:cs="Calibri"/>
          <w:sz w:val="24"/>
          <w:szCs w:val="24"/>
        </w:rPr>
        <w:t>Grupa docelowa: mieszkańcy województwa zachodniopomorskiego (dzieci, młodzież, dorośli, seniorzy)</w:t>
      </w:r>
    </w:p>
    <w:p w14:paraId="5DEF0226" w14:textId="77777777" w:rsidR="00095D7E" w:rsidRPr="00356602" w:rsidRDefault="00095D7E" w:rsidP="00597239">
      <w:pPr>
        <w:spacing w:after="0" w:line="276" w:lineRule="auto"/>
        <w:rPr>
          <w:rFonts w:ascii="Calibri" w:hAnsi="Calibri" w:cs="Calibri"/>
          <w:sz w:val="24"/>
          <w:szCs w:val="24"/>
        </w:rPr>
      </w:pPr>
      <w:r w:rsidRPr="00356602">
        <w:rPr>
          <w:rFonts w:ascii="Calibri" w:hAnsi="Calibri" w:cs="Calibri"/>
          <w:sz w:val="24"/>
          <w:szCs w:val="24"/>
        </w:rPr>
        <w:t>Liczba odbiorców: 1 975 osób</w:t>
      </w:r>
    </w:p>
    <w:p w14:paraId="35325A06" w14:textId="377EB9F8" w:rsidR="00095D7E" w:rsidRPr="00356602" w:rsidRDefault="00095D7E" w:rsidP="00597239">
      <w:pPr>
        <w:spacing w:after="0" w:line="276" w:lineRule="auto"/>
        <w:rPr>
          <w:rFonts w:ascii="Calibri" w:hAnsi="Calibri" w:cs="Calibri"/>
          <w:sz w:val="24"/>
          <w:szCs w:val="24"/>
        </w:rPr>
      </w:pPr>
      <w:bookmarkStart w:id="456" w:name="_Hlk192234498"/>
      <w:r w:rsidRPr="00356602">
        <w:rPr>
          <w:rFonts w:ascii="Calibri" w:hAnsi="Calibri" w:cs="Calibri"/>
          <w:sz w:val="24"/>
          <w:szCs w:val="24"/>
        </w:rPr>
        <w:t>Główne działania: Na terenie województwa podejmowano zarówno działania edukacyjne w</w:t>
      </w:r>
      <w:r w:rsidR="00495A70">
        <w:rPr>
          <w:rFonts w:ascii="Calibri" w:hAnsi="Calibri" w:cs="Calibri"/>
          <w:sz w:val="24"/>
          <w:szCs w:val="24"/>
        </w:rPr>
        <w:t> </w:t>
      </w:r>
      <w:r w:rsidRPr="00356602">
        <w:rPr>
          <w:rFonts w:ascii="Calibri" w:hAnsi="Calibri" w:cs="Calibri"/>
          <w:sz w:val="24"/>
          <w:szCs w:val="24"/>
        </w:rPr>
        <w:t>temacie grzybów i przeciwdziałania zatruciom, a także odpowiadano na pytania zadawane przez dziennikarzy m.in do Kuriera Szczecińskiego, Radia Plus, Radia Szczecin i innych lokalnych telewizji. Zamieszczano informacje na ww. temat w mediach społecznościowych stacji. Jak co roku informowano i zachęcano do korzystania z bezpłatnych konsultacji w zakresie oceny zebranych grzybów. PSSE Choszczno przygotowała wystawę świeżych grzybów.</w:t>
      </w:r>
    </w:p>
    <w:bookmarkEnd w:id="456"/>
    <w:p w14:paraId="67B4796F" w14:textId="7623DE74" w:rsidR="00095D7E" w:rsidRPr="00666132" w:rsidRDefault="00095D7E" w:rsidP="00597239">
      <w:pPr>
        <w:pStyle w:val="Akapitzlist"/>
        <w:spacing w:after="0" w:line="276" w:lineRule="auto"/>
        <w:ind w:left="426"/>
        <w:rPr>
          <w:rFonts w:ascii="Calibri" w:hAnsi="Calibri" w:cs="Calibri"/>
          <w:sz w:val="24"/>
          <w:szCs w:val="24"/>
        </w:rPr>
      </w:pPr>
    </w:p>
    <w:p w14:paraId="11A38EB0" w14:textId="704173CB" w:rsidR="00095D7E" w:rsidRPr="00666132" w:rsidRDefault="00095D7E" w:rsidP="00597239">
      <w:pPr>
        <w:pStyle w:val="Nagwek3"/>
        <w:numPr>
          <w:ilvl w:val="1"/>
          <w:numId w:val="54"/>
        </w:numPr>
        <w:spacing w:before="0" w:after="0"/>
        <w:ind w:left="568" w:hanging="284"/>
        <w:rPr>
          <w:u w:val="single"/>
        </w:rPr>
      </w:pPr>
      <w:bookmarkStart w:id="457" w:name="_Toc194059900"/>
      <w:r w:rsidRPr="00666132">
        <w:t>Europejski i Światowy Dzień Wiedzy o Antybiotykach</w:t>
      </w:r>
      <w:bookmarkEnd w:id="457"/>
    </w:p>
    <w:p w14:paraId="4AA5B6F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Społeczność lokalna, osoby dorosłe, pracownicy ochrony zdrowia</w:t>
      </w:r>
    </w:p>
    <w:p w14:paraId="526961C5"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1 459 osób</w:t>
      </w:r>
    </w:p>
    <w:p w14:paraId="07A82A36" w14:textId="7BC97E98"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pisma intencyjne, prelekcje, dystrybucja materiałów edukacyjnych</w:t>
      </w:r>
    </w:p>
    <w:p w14:paraId="596805E6" w14:textId="77777777" w:rsidR="00095D7E" w:rsidRDefault="00095D7E" w:rsidP="00597239">
      <w:pPr>
        <w:spacing w:after="0" w:line="276" w:lineRule="auto"/>
        <w:rPr>
          <w:rFonts w:ascii="Calibri" w:hAnsi="Calibri" w:cs="Calibri"/>
          <w:sz w:val="24"/>
          <w:szCs w:val="24"/>
        </w:rPr>
      </w:pPr>
    </w:p>
    <w:p w14:paraId="3CB1D737" w14:textId="752BE0F5" w:rsidR="00095D7E" w:rsidRPr="00666132" w:rsidRDefault="00095D7E" w:rsidP="00597239">
      <w:pPr>
        <w:pStyle w:val="Nagwek3"/>
        <w:numPr>
          <w:ilvl w:val="1"/>
          <w:numId w:val="54"/>
        </w:numPr>
        <w:spacing w:before="0" w:after="0"/>
        <w:ind w:left="568" w:hanging="284"/>
      </w:pPr>
      <w:bookmarkStart w:id="458" w:name="_Toc194059901"/>
      <w:r w:rsidRPr="00666132">
        <w:t>Bezpieczeństwo dzieci podczas wypoczynku letniego i zimowego Bezpieczne Ferie i Wakacje</w:t>
      </w:r>
      <w:bookmarkEnd w:id="458"/>
    </w:p>
    <w:p w14:paraId="0D9A299B"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dzieci i młodzież wypoczywająca na terenie województwa zachodniopomorskiego, organizatorzy i kierownicy wypoczynku, wczasowicze</w:t>
      </w:r>
    </w:p>
    <w:p w14:paraId="6E3AE3D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92 542 osoby</w:t>
      </w:r>
    </w:p>
    <w:p w14:paraId="374FC0EA" w14:textId="17A20499" w:rsidR="00095D7E" w:rsidRPr="001435F5" w:rsidRDefault="00095D7E" w:rsidP="00597239">
      <w:pPr>
        <w:spacing w:after="0" w:line="276" w:lineRule="auto"/>
        <w:rPr>
          <w:rFonts w:ascii="Calibri" w:hAnsi="Calibri" w:cs="Calibri"/>
          <w:sz w:val="24"/>
          <w:szCs w:val="24"/>
          <w:u w:val="single"/>
        </w:rPr>
      </w:pPr>
      <w:r w:rsidRPr="00666132">
        <w:rPr>
          <w:rFonts w:ascii="Calibri" w:hAnsi="Calibri" w:cs="Calibri"/>
          <w:sz w:val="24"/>
          <w:szCs w:val="24"/>
        </w:rPr>
        <w:t>Bezpieczne Ferie: Główne działania w ramach interwencji: prelekcje nt. higieny osobistej, zdrowego stylu życia i bezpieczeństwa podczas ferii zarówno w domu oraz na powietrzu.</w:t>
      </w:r>
      <w:bookmarkStart w:id="459" w:name="_Hlk192235941"/>
      <w:r w:rsidRPr="00666132">
        <w:rPr>
          <w:rFonts w:ascii="Calibri" w:hAnsi="Calibri" w:cs="Calibri"/>
          <w:sz w:val="24"/>
          <w:szCs w:val="24"/>
          <w:u w:val="single"/>
        </w:rPr>
        <w:t xml:space="preserve"> </w:t>
      </w:r>
      <w:r w:rsidRPr="00666132">
        <w:rPr>
          <w:rFonts w:ascii="Calibri" w:hAnsi="Calibri" w:cs="Calibri"/>
          <w:sz w:val="24"/>
          <w:szCs w:val="24"/>
        </w:rPr>
        <w:t>Podobne działania prowadzili promotorzy zdrowia na terenie całego województwa zachodniopomorskie</w:t>
      </w:r>
      <w:bookmarkEnd w:id="459"/>
    </w:p>
    <w:p w14:paraId="09A88F80" w14:textId="29C6F873" w:rsidR="00095D7E" w:rsidRPr="00666132" w:rsidRDefault="00095D7E" w:rsidP="00597239">
      <w:pPr>
        <w:pStyle w:val="Akapitzlist"/>
        <w:spacing w:after="0" w:line="276" w:lineRule="auto"/>
        <w:ind w:left="709"/>
        <w:rPr>
          <w:rFonts w:ascii="Calibri" w:hAnsi="Calibri" w:cs="Calibri"/>
          <w:sz w:val="24"/>
          <w:szCs w:val="24"/>
        </w:rPr>
      </w:pPr>
    </w:p>
    <w:p w14:paraId="7E015203" w14:textId="19034E7B"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Bezpieczne wakacje: </w:t>
      </w:r>
      <w:bookmarkStart w:id="460" w:name="_Hlk192236040"/>
      <w:r w:rsidRPr="00666132">
        <w:rPr>
          <w:rFonts w:ascii="Calibri" w:hAnsi="Calibri" w:cs="Calibri"/>
          <w:sz w:val="24"/>
          <w:szCs w:val="24"/>
        </w:rPr>
        <w:t>Ubiegłoroczna edycja Bezpiecznych Wakacji odbyła się pod hasłem Z</w:t>
      </w:r>
      <w:r w:rsidR="00495A70">
        <w:rPr>
          <w:rFonts w:ascii="Calibri" w:hAnsi="Calibri" w:cs="Calibri"/>
          <w:sz w:val="24"/>
          <w:szCs w:val="24"/>
        </w:rPr>
        <w:t> </w:t>
      </w:r>
      <w:r w:rsidRPr="00666132">
        <w:rPr>
          <w:rFonts w:ascii="Calibri" w:hAnsi="Calibri" w:cs="Calibri"/>
          <w:sz w:val="24"/>
          <w:szCs w:val="24"/>
        </w:rPr>
        <w:t xml:space="preserve">INSPEKCJĄ SANITARNĄ SIĘ ZNAM I BEZPIECZNIE WYPOCZYWAM. Oddział Promocji Zdrowia WSSE w Szczecinie organizował stoiska edukacyjne nad morzem m.in. w Kołobrzegu, Międzyzdrojach, Rewalu, a także na kąpieliskach miejskich </w:t>
      </w:r>
      <w:proofErr w:type="spellStart"/>
      <w:r w:rsidRPr="00666132">
        <w:rPr>
          <w:rFonts w:ascii="Calibri" w:hAnsi="Calibri" w:cs="Calibri"/>
          <w:sz w:val="24"/>
          <w:szCs w:val="24"/>
        </w:rPr>
        <w:t>Arkonka</w:t>
      </w:r>
      <w:proofErr w:type="spellEnd"/>
      <w:r w:rsidRPr="00666132">
        <w:rPr>
          <w:rFonts w:ascii="Calibri" w:hAnsi="Calibri" w:cs="Calibri"/>
          <w:sz w:val="24"/>
          <w:szCs w:val="24"/>
        </w:rPr>
        <w:t xml:space="preserve"> i jezioro Głębokie. Po raz pierwszy zorganizowano stoisko edukacyjne w Strefie Pomorza Zachodniego na 30. Poland Rock </w:t>
      </w:r>
      <w:proofErr w:type="spellStart"/>
      <w:r w:rsidRPr="00666132">
        <w:rPr>
          <w:rFonts w:ascii="Calibri" w:hAnsi="Calibri" w:cs="Calibri"/>
          <w:sz w:val="24"/>
          <w:szCs w:val="24"/>
        </w:rPr>
        <w:t>Festival</w:t>
      </w:r>
      <w:proofErr w:type="spellEnd"/>
      <w:r w:rsidRPr="00666132">
        <w:rPr>
          <w:rFonts w:ascii="Calibri" w:hAnsi="Calibri" w:cs="Calibri"/>
          <w:sz w:val="24"/>
          <w:szCs w:val="24"/>
        </w:rPr>
        <w:t xml:space="preserve">. W ramach stoiska wykonywano pomiary profilaktyczne ciśnienia tętniczego krwi, analizy składu masy ciała, warsztaty z </w:t>
      </w:r>
      <w:proofErr w:type="spellStart"/>
      <w:r w:rsidRPr="00666132">
        <w:rPr>
          <w:rFonts w:ascii="Calibri" w:hAnsi="Calibri" w:cs="Calibri"/>
          <w:sz w:val="24"/>
          <w:szCs w:val="24"/>
        </w:rPr>
        <w:t>narko</w:t>
      </w:r>
      <w:proofErr w:type="spellEnd"/>
      <w:r w:rsidRPr="00666132">
        <w:rPr>
          <w:rFonts w:ascii="Calibri" w:hAnsi="Calibri" w:cs="Calibri"/>
          <w:sz w:val="24"/>
          <w:szCs w:val="24"/>
        </w:rPr>
        <w:t xml:space="preserve"> i alkogoglami oraz gry i zabawy edukacyjne dla dzieci. Działalność stoiska edukacyjnego wspomagana była przez promotorów zdrowia PSSE w Goleniowie, Łobzie i Szczecinku. Ponadto prowadzono działania edukacyjne podczas półkolonii na terenie całego województwa zachodniopomorskiego.</w:t>
      </w:r>
      <w:bookmarkEnd w:id="460"/>
    </w:p>
    <w:p w14:paraId="13B431C2" w14:textId="77777777" w:rsidR="00095D7E" w:rsidRDefault="00095D7E" w:rsidP="00597239">
      <w:pPr>
        <w:spacing w:after="0" w:line="276" w:lineRule="auto"/>
        <w:rPr>
          <w:rFonts w:ascii="Calibri" w:hAnsi="Calibri" w:cs="Calibri"/>
          <w:sz w:val="24"/>
          <w:szCs w:val="24"/>
        </w:rPr>
      </w:pPr>
    </w:p>
    <w:p w14:paraId="02E58BEA" w14:textId="4915315E" w:rsidR="00095D7E" w:rsidRPr="00666132" w:rsidRDefault="00095D7E" w:rsidP="00597239">
      <w:pPr>
        <w:pStyle w:val="Nagwek3"/>
        <w:numPr>
          <w:ilvl w:val="1"/>
          <w:numId w:val="54"/>
        </w:numPr>
        <w:spacing w:before="0" w:after="0"/>
        <w:ind w:left="568" w:hanging="284"/>
      </w:pPr>
      <w:bookmarkStart w:id="461" w:name="_Toc194059902"/>
      <w:r w:rsidRPr="00666132">
        <w:t>Zdrowy Senior (PSSE Gryfice, PSSE Kamień Pomorski, PSSE Kołobrzeg)</w:t>
      </w:r>
      <w:bookmarkEnd w:id="461"/>
    </w:p>
    <w:p w14:paraId="3B353878"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Grupa docelowa: seniorzy </w:t>
      </w:r>
    </w:p>
    <w:p w14:paraId="03C430BC"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245 osób</w:t>
      </w:r>
    </w:p>
    <w:p w14:paraId="188E5E50" w14:textId="77BAB316"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lastRenderedPageBreak/>
        <w:t>Główne działania:</w:t>
      </w:r>
      <w:bookmarkStart w:id="462" w:name="_Hlk192235224"/>
      <w:r w:rsidRPr="00666132">
        <w:rPr>
          <w:rFonts w:ascii="Calibri" w:hAnsi="Calibri" w:cs="Calibri"/>
          <w:sz w:val="24"/>
          <w:szCs w:val="24"/>
        </w:rPr>
        <w:t xml:space="preserve"> prelekcje m.in. dla seniorów zrzeszonych w Stowarzyszeniu „Aramis” w</w:t>
      </w:r>
      <w:r w:rsidR="00314A72">
        <w:rPr>
          <w:rFonts w:ascii="Calibri" w:hAnsi="Calibri" w:cs="Calibri"/>
          <w:sz w:val="24"/>
          <w:szCs w:val="24"/>
        </w:rPr>
        <w:t> </w:t>
      </w:r>
      <w:r w:rsidRPr="00666132">
        <w:rPr>
          <w:rFonts w:ascii="Calibri" w:hAnsi="Calibri" w:cs="Calibri"/>
          <w:sz w:val="24"/>
          <w:szCs w:val="24"/>
        </w:rPr>
        <w:t>Trzebiatowie, w Związku Emerytów i Rencistów Oddział w Płotach, przebywających w</w:t>
      </w:r>
      <w:r w:rsidR="00495A70">
        <w:rPr>
          <w:rFonts w:ascii="Calibri" w:hAnsi="Calibri" w:cs="Calibri"/>
          <w:sz w:val="24"/>
          <w:szCs w:val="24"/>
        </w:rPr>
        <w:t> </w:t>
      </w:r>
      <w:r w:rsidRPr="00666132">
        <w:rPr>
          <w:rFonts w:ascii="Calibri" w:hAnsi="Calibri" w:cs="Calibri"/>
          <w:sz w:val="24"/>
          <w:szCs w:val="24"/>
        </w:rPr>
        <w:t>Dziennym Domu Seniora w Gryficach. Podczas spotkań prowadzono działania edukacyjne z</w:t>
      </w:r>
      <w:r w:rsidR="00314A72">
        <w:rPr>
          <w:rFonts w:ascii="Calibri" w:hAnsi="Calibri" w:cs="Calibri"/>
          <w:sz w:val="24"/>
          <w:szCs w:val="24"/>
        </w:rPr>
        <w:t> </w:t>
      </w:r>
      <w:r w:rsidRPr="00666132">
        <w:rPr>
          <w:rFonts w:ascii="Calibri" w:hAnsi="Calibri" w:cs="Calibri"/>
          <w:sz w:val="24"/>
          <w:szCs w:val="24"/>
        </w:rPr>
        <w:t>zakresu profilaktyki nowotworowej z wykorzystaniem fantomu do samobadania piersi, poruszano również tematykę dotyczącą szczepień i suplementacji. PSSE Kamień Pomorski zorganizowała prelekcje dla pacjentów i kuracjuszy Szpitala Uzdrowiskowego Mieszko i</w:t>
      </w:r>
      <w:r w:rsidR="00314A72">
        <w:rPr>
          <w:rFonts w:ascii="Calibri" w:hAnsi="Calibri" w:cs="Calibri"/>
          <w:sz w:val="24"/>
          <w:szCs w:val="24"/>
        </w:rPr>
        <w:t> </w:t>
      </w:r>
      <w:r w:rsidRPr="00666132">
        <w:rPr>
          <w:rFonts w:ascii="Calibri" w:hAnsi="Calibri" w:cs="Calibri"/>
          <w:sz w:val="24"/>
          <w:szCs w:val="24"/>
        </w:rPr>
        <w:t xml:space="preserve">Uzdrowiska S.A. „Chrobry” oraz dla uczestników Uniwersytetu Trzeciego Wieku, </w:t>
      </w:r>
    </w:p>
    <w:p w14:paraId="28C4D784"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PSSE Kołobrzeg przeprowadziła spotkania z seniorami, których celem było podniesienie poziomu wiedzy na temat profilaktyki wybranych chorób cywilizacyjnych. Podczas spotkań podkreślano znaczenie wykonywania badań profilaktycznych, zdrowej diety oraz aktywności fizycznej. </w:t>
      </w:r>
      <w:bookmarkEnd w:id="462"/>
    </w:p>
    <w:p w14:paraId="2685A67B" w14:textId="77777777" w:rsidR="007A33FE" w:rsidRPr="00666132" w:rsidRDefault="007A33FE" w:rsidP="00597239">
      <w:pPr>
        <w:spacing w:after="0" w:line="276" w:lineRule="auto"/>
        <w:rPr>
          <w:rFonts w:ascii="Calibri" w:hAnsi="Calibri" w:cs="Calibri"/>
          <w:sz w:val="24"/>
          <w:szCs w:val="24"/>
        </w:rPr>
      </w:pPr>
    </w:p>
    <w:p w14:paraId="228C9C20" w14:textId="2E313D51" w:rsidR="00095D7E" w:rsidRPr="00666132" w:rsidRDefault="00095D7E" w:rsidP="00597239">
      <w:pPr>
        <w:pStyle w:val="Nagwek3"/>
        <w:numPr>
          <w:ilvl w:val="1"/>
          <w:numId w:val="54"/>
        </w:numPr>
        <w:spacing w:before="0" w:after="0"/>
        <w:ind w:left="568" w:hanging="284"/>
        <w:rPr>
          <w:u w:val="single"/>
        </w:rPr>
      </w:pPr>
      <w:bookmarkStart w:id="463" w:name="_Toc194059903"/>
      <w:r w:rsidRPr="00666132">
        <w:t>Wpływ czynników środowiskowych na zdrowie człowieka (PEM, Radon itp.)</w:t>
      </w:r>
      <w:bookmarkEnd w:id="463"/>
    </w:p>
    <w:p w14:paraId="074E41CF"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kadra pedagogiczna i pracownicy wytypowanych placówek edukacyjnych</w:t>
      </w:r>
    </w:p>
    <w:p w14:paraId="603F4EE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13 970 osób</w:t>
      </w:r>
    </w:p>
    <w:p w14:paraId="77C3EB28" w14:textId="341D85CB" w:rsidR="00095D7E" w:rsidRDefault="00095D7E" w:rsidP="00597239">
      <w:pPr>
        <w:spacing w:after="0" w:line="276" w:lineRule="auto"/>
        <w:rPr>
          <w:rFonts w:ascii="Calibri" w:hAnsi="Calibri" w:cs="Calibri"/>
          <w:sz w:val="24"/>
          <w:szCs w:val="24"/>
        </w:rPr>
      </w:pPr>
      <w:bookmarkStart w:id="464" w:name="_Hlk192231904"/>
      <w:r w:rsidRPr="00666132">
        <w:rPr>
          <w:rFonts w:ascii="Calibri" w:hAnsi="Calibri" w:cs="Calibri"/>
          <w:sz w:val="24"/>
          <w:szCs w:val="24"/>
        </w:rPr>
        <w:t xml:space="preserve">Główne działania: Umieszczano informacje na stronach internetowych urzędów. Przeprowadzono spotkania edukacyjne. PSSE Gryfice </w:t>
      </w:r>
      <w:bookmarkStart w:id="465" w:name="_Hlk192231916"/>
      <w:r w:rsidRPr="00666132">
        <w:rPr>
          <w:rFonts w:ascii="Calibri" w:hAnsi="Calibri" w:cs="Calibri"/>
          <w:sz w:val="24"/>
          <w:szCs w:val="24"/>
        </w:rPr>
        <w:t>po uzyskaniu w lutym 2024 r. raportu z</w:t>
      </w:r>
      <w:r w:rsidR="00495A70">
        <w:rPr>
          <w:rFonts w:ascii="Calibri" w:hAnsi="Calibri" w:cs="Calibri"/>
          <w:sz w:val="24"/>
          <w:szCs w:val="24"/>
        </w:rPr>
        <w:t> </w:t>
      </w:r>
      <w:r w:rsidRPr="00666132">
        <w:rPr>
          <w:rFonts w:ascii="Calibri" w:hAnsi="Calibri" w:cs="Calibri"/>
          <w:sz w:val="24"/>
          <w:szCs w:val="24"/>
        </w:rPr>
        <w:t>pomiarów radonu z Głównego Inspektoratu Sanitarnego w placówce oświatowej w</w:t>
      </w:r>
      <w:r w:rsidR="00495A70">
        <w:rPr>
          <w:rFonts w:ascii="Calibri" w:hAnsi="Calibri" w:cs="Calibri"/>
          <w:sz w:val="24"/>
          <w:szCs w:val="24"/>
        </w:rPr>
        <w:t> </w:t>
      </w:r>
      <w:r w:rsidRPr="00666132">
        <w:rPr>
          <w:rFonts w:ascii="Calibri" w:hAnsi="Calibri" w:cs="Calibri"/>
          <w:sz w:val="24"/>
          <w:szCs w:val="24"/>
        </w:rPr>
        <w:t>Trzebiatowie zorganizowała szkolenie, w którym uczestniczyli pracownicy szkoły. Przekazano informacje nt. szkodliwości radonu oraz metod jego ograniczania w budynkach przeznaczonych na pobyt ludzi oraz w miejscach pracy</w:t>
      </w:r>
      <w:bookmarkEnd w:id="465"/>
      <w:r w:rsidRPr="00666132">
        <w:rPr>
          <w:rFonts w:ascii="Calibri" w:hAnsi="Calibri" w:cs="Calibri"/>
          <w:sz w:val="24"/>
          <w:szCs w:val="24"/>
        </w:rPr>
        <w:t>.</w:t>
      </w:r>
    </w:p>
    <w:p w14:paraId="5A69F55D" w14:textId="77777777" w:rsidR="007A33FE" w:rsidRPr="00666132" w:rsidRDefault="007A33FE" w:rsidP="00597239">
      <w:pPr>
        <w:spacing w:after="0" w:line="276" w:lineRule="auto"/>
        <w:rPr>
          <w:rFonts w:ascii="Calibri" w:hAnsi="Calibri" w:cs="Calibri"/>
          <w:sz w:val="24"/>
          <w:szCs w:val="24"/>
        </w:rPr>
      </w:pPr>
    </w:p>
    <w:p w14:paraId="3221508C" w14:textId="3E7796D7" w:rsidR="00095D7E" w:rsidRDefault="00095D7E" w:rsidP="00597239">
      <w:pPr>
        <w:pStyle w:val="Nagwek2"/>
        <w:numPr>
          <w:ilvl w:val="0"/>
          <w:numId w:val="55"/>
        </w:numPr>
        <w:spacing w:before="0" w:after="0"/>
        <w:ind w:left="284" w:hanging="284"/>
        <w:jc w:val="left"/>
      </w:pPr>
      <w:bookmarkStart w:id="466" w:name="_Toc194059904"/>
      <w:r w:rsidRPr="00666132">
        <w:t>Inne działania</w:t>
      </w:r>
      <w:bookmarkEnd w:id="466"/>
    </w:p>
    <w:p w14:paraId="6887D808" w14:textId="77777777" w:rsidR="007A33FE" w:rsidRPr="007A33FE" w:rsidRDefault="007A33FE" w:rsidP="00597239">
      <w:pPr>
        <w:spacing w:after="0"/>
      </w:pPr>
    </w:p>
    <w:p w14:paraId="431BDDCE" w14:textId="2FEE57E0" w:rsidR="00095D7E" w:rsidRPr="00666132" w:rsidRDefault="00095D7E" w:rsidP="00597239">
      <w:pPr>
        <w:pStyle w:val="Nagwek3"/>
        <w:numPr>
          <w:ilvl w:val="1"/>
          <w:numId w:val="55"/>
        </w:numPr>
        <w:spacing w:before="0" w:after="0"/>
        <w:ind w:left="568" w:hanging="284"/>
      </w:pPr>
      <w:bookmarkStart w:id="467" w:name="_Toc194059905"/>
      <w:bookmarkEnd w:id="464"/>
      <w:r w:rsidRPr="00666132">
        <w:t>II edycja kampanii wojewódzkiej #MojaSzkołaZdrowaSzkoła</w:t>
      </w:r>
      <w:bookmarkEnd w:id="467"/>
    </w:p>
    <w:p w14:paraId="1F190499"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klas III i IV z 40 szkół podstawowych z woj. zachodniopomorskiego.</w:t>
      </w:r>
    </w:p>
    <w:p w14:paraId="1DD2367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1 284 osoby</w:t>
      </w:r>
    </w:p>
    <w:p w14:paraId="2480B872"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Kampania trwała od listopada 2023 do czerwca 2024 roku. Założeniem była ocena ogólnego rozwoju dzieci w szkołach na podstawie wpływu ciężaru tornistrów szkolnych, wpływu nawyków żywieniowych oraz absencji na lekcjach WF na masę ciała dzieci. </w:t>
      </w:r>
    </w:p>
    <w:p w14:paraId="7930A3E2" w14:textId="1DDB5574"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W ramach drugiej edycji kampanii dwukrotnie dokonano pomiarów wagi tornistrów wśród uczniów. Studenci medycyny Pomorskiego Uniwersytetu Medycznego w Szczecinie przeprowadzali ocenę postawy ciała tj. ustawienie głowy, ustawienie barków, ustawienie łopatek, ukształtowanie klatki piersiowej i brzucha, ukształtowanie kifozy piersiowej i lordozy lędźwiowej, boczne skrzywienie kręgosłupa, ustawienie kolan oraz wysklepienie stóp. Do</w:t>
      </w:r>
      <w:r w:rsidR="00495A70">
        <w:rPr>
          <w:rFonts w:ascii="Calibri" w:hAnsi="Calibri" w:cs="Calibri"/>
          <w:sz w:val="24"/>
          <w:szCs w:val="24"/>
        </w:rPr>
        <w:t> </w:t>
      </w:r>
      <w:r w:rsidRPr="00666132">
        <w:rPr>
          <w:rFonts w:ascii="Calibri" w:hAnsi="Calibri" w:cs="Calibri"/>
          <w:sz w:val="24"/>
          <w:szCs w:val="24"/>
        </w:rPr>
        <w:t xml:space="preserve">badania wytypowano szkoły z 5 powiatów (goleniowskiego, polickiego, stargardzkiego, wałeckiego oraz miasta Szczecin). Łącznie przebadano 246 uczniów, u których w 72% przypadków zalecano konsultację u ortopedy lub fizjoterapeuty. Przeprowadzono również ankietę żywieniową wśród rodziców (628 osób). Dzięki udzielonym odpowiedziom rodziców </w:t>
      </w:r>
      <w:r w:rsidRPr="00666132">
        <w:rPr>
          <w:rFonts w:ascii="Calibri" w:hAnsi="Calibri" w:cs="Calibri"/>
          <w:sz w:val="24"/>
          <w:szCs w:val="24"/>
        </w:rPr>
        <w:lastRenderedPageBreak/>
        <w:t>i</w:t>
      </w:r>
      <w:r w:rsidR="00495A70">
        <w:rPr>
          <w:rFonts w:ascii="Calibri" w:hAnsi="Calibri" w:cs="Calibri"/>
          <w:sz w:val="24"/>
          <w:szCs w:val="24"/>
        </w:rPr>
        <w:t> </w:t>
      </w:r>
      <w:r w:rsidRPr="00666132">
        <w:rPr>
          <w:rFonts w:ascii="Calibri" w:hAnsi="Calibri" w:cs="Calibri"/>
          <w:sz w:val="24"/>
          <w:szCs w:val="24"/>
        </w:rPr>
        <w:t xml:space="preserve">opiekunów dzieci poznaliśmy zwyczaje żywieniowe i zasady żywienia panujące w domach. Ankietowani rodzice zadeklarowali, że 50% dzieci zjada dziennie 4 posiłki, a 2 % ankietowanych zjada 2 posiłki dziennie. Pomiary masy ciała i wzrostu pozwoliły ocenić prawidłowość rozwoju dzieci na tle grupy rówieśników. </w:t>
      </w:r>
    </w:p>
    <w:p w14:paraId="56F7A98B" w14:textId="77777777" w:rsidR="007A33FE" w:rsidRPr="00666132" w:rsidRDefault="007A33FE" w:rsidP="00597239">
      <w:pPr>
        <w:spacing w:after="0" w:line="276" w:lineRule="auto"/>
        <w:rPr>
          <w:rFonts w:ascii="Calibri" w:hAnsi="Calibri" w:cs="Calibri"/>
          <w:sz w:val="24"/>
          <w:szCs w:val="24"/>
        </w:rPr>
      </w:pPr>
    </w:p>
    <w:p w14:paraId="5A0C1753" w14:textId="1064E08A" w:rsidR="00095D7E" w:rsidRPr="00666132" w:rsidRDefault="00095D7E" w:rsidP="00597239">
      <w:pPr>
        <w:pStyle w:val="Nagwek3"/>
        <w:numPr>
          <w:ilvl w:val="1"/>
          <w:numId w:val="55"/>
        </w:numPr>
        <w:spacing w:before="0" w:after="0"/>
        <w:ind w:left="568" w:hanging="284"/>
        <w:rPr>
          <w:u w:val="single"/>
        </w:rPr>
      </w:pPr>
      <w:bookmarkStart w:id="468" w:name="_Toc194059906"/>
      <w:r w:rsidRPr="00666132">
        <w:t>Powiatowy Program Edukacyjny „Zero Papierosów, Setki Możliwości” realizowany przez PSSE w Gryficach</w:t>
      </w:r>
      <w:bookmarkEnd w:id="468"/>
    </w:p>
    <w:p w14:paraId="1CE7BFAB"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klas pierwszych szkół średnich z terenu powiatu gryfickiego</w:t>
      </w:r>
    </w:p>
    <w:p w14:paraId="01B0C7E9"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W działaniach pilotażowych uczestniczyło 31 osób.</w:t>
      </w:r>
    </w:p>
    <w:p w14:paraId="75F1DF60"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Program będzie realizowany wśród uczniów pięciu szkół średnich powiatu gryfickiego od stycznia 2025 roku. Przy wsparciu partnerów programu, tj. Poradni </w:t>
      </w:r>
      <w:proofErr w:type="spellStart"/>
      <w:r w:rsidRPr="00666132">
        <w:rPr>
          <w:rFonts w:ascii="Calibri" w:hAnsi="Calibri" w:cs="Calibri"/>
          <w:sz w:val="24"/>
          <w:szCs w:val="24"/>
        </w:rPr>
        <w:t>Psychologiczno</w:t>
      </w:r>
      <w:proofErr w:type="spellEnd"/>
      <w:r w:rsidRPr="00666132">
        <w:rPr>
          <w:rFonts w:ascii="Calibri" w:hAnsi="Calibri" w:cs="Calibri"/>
          <w:sz w:val="24"/>
          <w:szCs w:val="24"/>
        </w:rPr>
        <w:t xml:space="preserve"> – Pedagogicznej w Gryficach oraz Komendy Powiatowej Policji w Gryficach, przeprowadzono szkolenie dla szkolnych koordynatorów programu.</w:t>
      </w:r>
    </w:p>
    <w:p w14:paraId="308A5793" w14:textId="77777777" w:rsidR="007A33FE" w:rsidRPr="00666132" w:rsidRDefault="007A33FE" w:rsidP="00597239">
      <w:pPr>
        <w:spacing w:after="0" w:line="276" w:lineRule="auto"/>
        <w:rPr>
          <w:rFonts w:ascii="Calibri" w:hAnsi="Calibri" w:cs="Calibri"/>
          <w:sz w:val="24"/>
          <w:szCs w:val="24"/>
        </w:rPr>
      </w:pPr>
    </w:p>
    <w:p w14:paraId="5B136CBF" w14:textId="234F957A" w:rsidR="00095D7E" w:rsidRPr="00262540" w:rsidRDefault="00095D7E" w:rsidP="00597239">
      <w:pPr>
        <w:pStyle w:val="Nagwek3"/>
        <w:numPr>
          <w:ilvl w:val="1"/>
          <w:numId w:val="55"/>
        </w:numPr>
        <w:spacing w:before="0" w:after="0"/>
        <w:ind w:left="568" w:hanging="284"/>
      </w:pPr>
      <w:bookmarkStart w:id="469" w:name="_Toc194059907"/>
      <w:r w:rsidRPr="00262540">
        <w:t>Cyberprzemoc</w:t>
      </w:r>
      <w:r w:rsidR="004169F9">
        <w:t xml:space="preserve"> </w:t>
      </w:r>
      <w:r w:rsidRPr="00262540">
        <w:t>- PSSE Myślibórz</w:t>
      </w:r>
      <w:bookmarkEnd w:id="469"/>
    </w:p>
    <w:p w14:paraId="133FCA82" w14:textId="77777777" w:rsidR="00095D7E" w:rsidRPr="00262540" w:rsidRDefault="00095D7E" w:rsidP="00597239">
      <w:pPr>
        <w:spacing w:after="0" w:line="276" w:lineRule="auto"/>
        <w:rPr>
          <w:rFonts w:ascii="Calibri" w:hAnsi="Calibri" w:cs="Calibri"/>
          <w:sz w:val="24"/>
          <w:szCs w:val="24"/>
        </w:rPr>
      </w:pPr>
      <w:r w:rsidRPr="00262540">
        <w:rPr>
          <w:rFonts w:ascii="Calibri" w:hAnsi="Calibri" w:cs="Calibri"/>
          <w:sz w:val="24"/>
          <w:szCs w:val="24"/>
        </w:rPr>
        <w:t>Grupa docelowa: Uczniowie szkół ponadpodstawowych, nauczyciele, pedagodzy</w:t>
      </w:r>
    </w:p>
    <w:p w14:paraId="11489F04" w14:textId="77777777" w:rsidR="00095D7E" w:rsidRPr="00262540" w:rsidRDefault="00095D7E" w:rsidP="00597239">
      <w:pPr>
        <w:spacing w:after="0" w:line="276" w:lineRule="auto"/>
        <w:rPr>
          <w:rFonts w:ascii="Calibri" w:hAnsi="Calibri" w:cs="Calibri"/>
          <w:sz w:val="24"/>
          <w:szCs w:val="24"/>
        </w:rPr>
      </w:pPr>
      <w:r w:rsidRPr="00262540">
        <w:rPr>
          <w:rFonts w:ascii="Calibri" w:hAnsi="Calibri" w:cs="Calibri"/>
          <w:sz w:val="24"/>
          <w:szCs w:val="24"/>
        </w:rPr>
        <w:t>Liczba odbiorców: 207 osób</w:t>
      </w:r>
    </w:p>
    <w:p w14:paraId="2A09225D" w14:textId="387CC22C" w:rsidR="00095D7E" w:rsidRDefault="00095D7E" w:rsidP="00597239">
      <w:pPr>
        <w:spacing w:after="0" w:line="276" w:lineRule="auto"/>
        <w:rPr>
          <w:rFonts w:ascii="Calibri" w:hAnsi="Calibri" w:cs="Calibri"/>
          <w:sz w:val="24"/>
          <w:szCs w:val="24"/>
        </w:rPr>
      </w:pPr>
      <w:r w:rsidRPr="00262540">
        <w:rPr>
          <w:rFonts w:ascii="Calibri" w:hAnsi="Calibri" w:cs="Calibri"/>
          <w:sz w:val="24"/>
          <w:szCs w:val="24"/>
        </w:rPr>
        <w:t>Główne działania: W Myśliborskim Ośrodku Kultury odbyła się konferencja dla uczniów szkół ponadpodstawowych, poświęcona wyzwaniom zdrowia publicznego związanym z</w:t>
      </w:r>
      <w:r w:rsidR="00495A70">
        <w:rPr>
          <w:rFonts w:ascii="Calibri" w:hAnsi="Calibri" w:cs="Calibri"/>
          <w:sz w:val="24"/>
          <w:szCs w:val="24"/>
        </w:rPr>
        <w:t> </w:t>
      </w:r>
      <w:r w:rsidRPr="00262540">
        <w:rPr>
          <w:rFonts w:ascii="Calibri" w:hAnsi="Calibri" w:cs="Calibri"/>
          <w:sz w:val="24"/>
          <w:szCs w:val="24"/>
        </w:rPr>
        <w:t>nadmiernym korzystaniem z technologii cyfrowych. Konferencja miała na celu podniesienie świadomości młodzieży na temat zagrożeń internetowych i promowaniu działań profilaktycznych. </w:t>
      </w:r>
    </w:p>
    <w:p w14:paraId="7A508E6A" w14:textId="77777777" w:rsidR="007A33FE" w:rsidRPr="00262540" w:rsidRDefault="007A33FE" w:rsidP="00597239">
      <w:pPr>
        <w:spacing w:after="0" w:line="276" w:lineRule="auto"/>
        <w:rPr>
          <w:rFonts w:ascii="Calibri" w:hAnsi="Calibri" w:cs="Calibri"/>
          <w:sz w:val="24"/>
          <w:szCs w:val="24"/>
        </w:rPr>
      </w:pPr>
    </w:p>
    <w:p w14:paraId="3B780F52" w14:textId="4B44A3E0" w:rsidR="00095D7E" w:rsidRPr="00262540" w:rsidRDefault="00095D7E" w:rsidP="00597239">
      <w:pPr>
        <w:pStyle w:val="Nagwek3"/>
        <w:numPr>
          <w:ilvl w:val="1"/>
          <w:numId w:val="55"/>
        </w:numPr>
        <w:spacing w:before="0" w:after="0"/>
        <w:ind w:left="568" w:hanging="284"/>
      </w:pPr>
      <w:bookmarkStart w:id="470" w:name="_Toc194059908"/>
      <w:r w:rsidRPr="00262540">
        <w:t>Zdrowie psychiczne – depresja</w:t>
      </w:r>
      <w:r w:rsidR="004169F9">
        <w:t xml:space="preserve"> </w:t>
      </w:r>
      <w:r w:rsidRPr="00262540">
        <w:t>- PSSE Police</w:t>
      </w:r>
      <w:bookmarkEnd w:id="470"/>
    </w:p>
    <w:p w14:paraId="07F085D9" w14:textId="77777777" w:rsidR="00095D7E" w:rsidRPr="00262540" w:rsidRDefault="00095D7E" w:rsidP="00597239">
      <w:pPr>
        <w:spacing w:after="0" w:line="276" w:lineRule="auto"/>
        <w:rPr>
          <w:rFonts w:ascii="Calibri" w:hAnsi="Calibri" w:cs="Calibri"/>
          <w:sz w:val="24"/>
          <w:szCs w:val="24"/>
        </w:rPr>
      </w:pPr>
      <w:r w:rsidRPr="00262540">
        <w:rPr>
          <w:rFonts w:ascii="Calibri" w:hAnsi="Calibri" w:cs="Calibri"/>
          <w:sz w:val="24"/>
          <w:szCs w:val="24"/>
        </w:rPr>
        <w:t xml:space="preserve">Grupa docelowa: Uczniowie klas 7-8 oraz szkół podstawowych </w:t>
      </w:r>
    </w:p>
    <w:p w14:paraId="314B8D21" w14:textId="77777777" w:rsidR="00095D7E" w:rsidRPr="00262540" w:rsidRDefault="00095D7E" w:rsidP="00597239">
      <w:pPr>
        <w:spacing w:after="0" w:line="276" w:lineRule="auto"/>
        <w:rPr>
          <w:rFonts w:ascii="Calibri" w:hAnsi="Calibri" w:cs="Calibri"/>
          <w:sz w:val="24"/>
          <w:szCs w:val="24"/>
        </w:rPr>
      </w:pPr>
      <w:r w:rsidRPr="00262540">
        <w:rPr>
          <w:rFonts w:ascii="Calibri" w:hAnsi="Calibri" w:cs="Calibri"/>
          <w:sz w:val="24"/>
          <w:szCs w:val="24"/>
        </w:rPr>
        <w:t>Liczba odbiorców: 50 osób</w:t>
      </w:r>
    </w:p>
    <w:p w14:paraId="3A7206C7" w14:textId="77777777" w:rsidR="00095D7E" w:rsidRPr="00262540" w:rsidRDefault="00095D7E" w:rsidP="00597239">
      <w:pPr>
        <w:spacing w:after="0" w:line="276" w:lineRule="auto"/>
        <w:rPr>
          <w:rFonts w:ascii="Calibri" w:hAnsi="Calibri" w:cs="Calibri"/>
          <w:sz w:val="24"/>
          <w:szCs w:val="24"/>
        </w:rPr>
      </w:pPr>
      <w:r w:rsidRPr="00262540">
        <w:rPr>
          <w:rFonts w:ascii="Calibri" w:hAnsi="Calibri" w:cs="Calibri"/>
          <w:sz w:val="24"/>
          <w:szCs w:val="24"/>
        </w:rPr>
        <w:t>Główne działania:</w:t>
      </w:r>
    </w:p>
    <w:p w14:paraId="57BB2690" w14:textId="59D0DC83" w:rsidR="004169F9" w:rsidRPr="00666132" w:rsidRDefault="00095D7E" w:rsidP="00597239">
      <w:pPr>
        <w:spacing w:line="276" w:lineRule="auto"/>
        <w:rPr>
          <w:rFonts w:ascii="Calibri" w:hAnsi="Calibri" w:cs="Calibri"/>
          <w:sz w:val="24"/>
          <w:szCs w:val="24"/>
        </w:rPr>
      </w:pPr>
      <w:r w:rsidRPr="00262540">
        <w:rPr>
          <w:rFonts w:ascii="Calibri" w:hAnsi="Calibri" w:cs="Calibri"/>
          <w:sz w:val="24"/>
          <w:szCs w:val="24"/>
        </w:rPr>
        <w:t xml:space="preserve">W ramach interwencji prowadzono dla uczniów prelekcje, podczas których omawiano czym jest depresja, objawy, przyczyny, zapobieganie oraz przydatne strony Internetowe. </w:t>
      </w:r>
    </w:p>
    <w:p w14:paraId="4EA91903" w14:textId="0D0DDADA" w:rsidR="00095D7E" w:rsidRPr="00666132" w:rsidRDefault="00095D7E" w:rsidP="00597239">
      <w:pPr>
        <w:pStyle w:val="Nagwek3"/>
        <w:numPr>
          <w:ilvl w:val="1"/>
          <w:numId w:val="55"/>
        </w:numPr>
        <w:spacing w:before="0" w:after="0"/>
        <w:ind w:left="568" w:hanging="284"/>
      </w:pPr>
      <w:bookmarkStart w:id="471" w:name="_Toc194059909"/>
      <w:r w:rsidRPr="00666132">
        <w:t xml:space="preserve">Program edukacyjny dla dzieci w wieku przedszkolnym, ich rodziców i opiekunów pt. „Czyste powietrze wokół </w:t>
      </w:r>
      <w:r w:rsidR="00FD3723" w:rsidRPr="00666132">
        <w:t>nas” (</w:t>
      </w:r>
      <w:r w:rsidRPr="00666132">
        <w:t>PSSE Kołobrzeg, Sławno, Choszczno)</w:t>
      </w:r>
      <w:bookmarkEnd w:id="471"/>
    </w:p>
    <w:p w14:paraId="772144F6" w14:textId="302C6621"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dzieci przedszkolne Liczba odbiorców: 944 dzieci przedszkolne i ich rodzice Główne działania: prelekcje z prezentacjami zagrożeń wynikających z wdychania dymu papierosowego przez dzieci (tzw. bierne palenie), konkursy dla dzieci, których celem było kształtowanie u dzieci postaw asertywnych związanych z biernym paleniem, działalność internetowa w mediach społecznościowych, listy intencyjne, dystrybucja materiałów edukacyjnych. Program prowadzony był na terenie powiatów choszczeńskiego, kołobrzeskiego, sławieńskiego.</w:t>
      </w:r>
    </w:p>
    <w:p w14:paraId="6262F9B4" w14:textId="77777777" w:rsidR="007A33FE" w:rsidRPr="00666132" w:rsidRDefault="007A33FE" w:rsidP="00597239">
      <w:pPr>
        <w:spacing w:after="0" w:line="276" w:lineRule="auto"/>
        <w:rPr>
          <w:rFonts w:ascii="Calibri" w:hAnsi="Calibri" w:cs="Calibri"/>
          <w:sz w:val="24"/>
          <w:szCs w:val="24"/>
        </w:rPr>
      </w:pPr>
    </w:p>
    <w:p w14:paraId="525F8ECC" w14:textId="3B7A164A" w:rsidR="00095D7E" w:rsidRPr="00666132" w:rsidRDefault="00095D7E" w:rsidP="00597239">
      <w:pPr>
        <w:pStyle w:val="Nagwek3"/>
        <w:numPr>
          <w:ilvl w:val="1"/>
          <w:numId w:val="55"/>
        </w:numPr>
        <w:spacing w:before="0" w:after="0"/>
        <w:ind w:left="568" w:hanging="284"/>
      </w:pPr>
      <w:bookmarkStart w:id="472" w:name="_Toc194059910"/>
      <w:r w:rsidRPr="00666132">
        <w:t>„Nie pal przy mnie, proszę</w:t>
      </w:r>
      <w:r w:rsidR="00FD3723" w:rsidRPr="00666132">
        <w:t>!” -</w:t>
      </w:r>
      <w:r w:rsidRPr="00666132">
        <w:t xml:space="preserve"> PSSE Pyrzyce</w:t>
      </w:r>
      <w:bookmarkEnd w:id="472"/>
    </w:p>
    <w:p w14:paraId="36F604A6"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klas I – III szkół podstawowych.</w:t>
      </w:r>
    </w:p>
    <w:p w14:paraId="171D144C"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lastRenderedPageBreak/>
        <w:t xml:space="preserve">Liczba odbiorców: 60 osób </w:t>
      </w:r>
    </w:p>
    <w:p w14:paraId="26E1937E" w14:textId="5631BF1E" w:rsidR="007A33F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list intencyjny, prelekcje, szkolenie.</w:t>
      </w:r>
    </w:p>
    <w:p w14:paraId="108564A6" w14:textId="10B686B4" w:rsidR="00095D7E" w:rsidRPr="00666132" w:rsidRDefault="00095D7E" w:rsidP="00597239">
      <w:pPr>
        <w:pStyle w:val="Nagwek3"/>
        <w:numPr>
          <w:ilvl w:val="1"/>
          <w:numId w:val="55"/>
        </w:numPr>
        <w:spacing w:before="0" w:after="0"/>
        <w:ind w:left="568" w:hanging="284"/>
      </w:pPr>
      <w:bookmarkStart w:id="473" w:name="_Toc194059911"/>
      <w:r w:rsidRPr="00666132">
        <w:t xml:space="preserve">Program „Bieg po </w:t>
      </w:r>
      <w:r w:rsidR="00FD3723" w:rsidRPr="00666132">
        <w:t>zdrowie” -</w:t>
      </w:r>
      <w:r w:rsidRPr="00666132">
        <w:t xml:space="preserve"> PSSE Pyrzyce</w:t>
      </w:r>
      <w:bookmarkEnd w:id="473"/>
    </w:p>
    <w:p w14:paraId="6872F45E"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uczniowie klas IV szkół podstawowych</w:t>
      </w:r>
    </w:p>
    <w:p w14:paraId="1D159F9B"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70 osób</w:t>
      </w:r>
    </w:p>
    <w:p w14:paraId="6198AE89"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w ramach interwencji: narada, list intencyjny, prelekcje, dystrybucji materiałów edukacyjno-informacyjnych, szkolenie.</w:t>
      </w:r>
    </w:p>
    <w:p w14:paraId="708BEC3C" w14:textId="77777777" w:rsidR="007A33FE" w:rsidRPr="00666132" w:rsidRDefault="007A33FE" w:rsidP="00597239">
      <w:pPr>
        <w:spacing w:after="0" w:line="276" w:lineRule="auto"/>
        <w:rPr>
          <w:rFonts w:ascii="Calibri" w:hAnsi="Calibri" w:cs="Calibri"/>
          <w:sz w:val="24"/>
          <w:szCs w:val="24"/>
        </w:rPr>
      </w:pPr>
    </w:p>
    <w:p w14:paraId="396CA492" w14:textId="5A9BBEB0" w:rsidR="00095D7E" w:rsidRPr="00666132" w:rsidRDefault="00095D7E" w:rsidP="00597239">
      <w:pPr>
        <w:pStyle w:val="Nagwek3"/>
        <w:numPr>
          <w:ilvl w:val="1"/>
          <w:numId w:val="55"/>
        </w:numPr>
        <w:spacing w:before="0" w:after="0"/>
        <w:ind w:left="568" w:hanging="284"/>
      </w:pPr>
      <w:bookmarkStart w:id="474" w:name="_Toc194059912"/>
      <w:r w:rsidRPr="00666132">
        <w:t>Profilaktyka pediokulozy</w:t>
      </w:r>
      <w:bookmarkEnd w:id="474"/>
      <w:r w:rsidRPr="00666132">
        <w:t xml:space="preserve"> </w:t>
      </w:r>
    </w:p>
    <w:p w14:paraId="17F256F9"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Liczba odbiorców: 3 913 osób </w:t>
      </w:r>
    </w:p>
    <w:p w14:paraId="46FF5171"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Celem była edukacja w zakresie profilaktyki wszawicy wśród dzieci i młodzieży, w miejscu zamieszkania i w placówkach oświatowo-wychowawczych i edukacyjnych (żłobki, przedszkola, szkoły, ośrodki wychowawcze i opiekuńcze). Realizacja działań odbywała się w razie lokalnych potrzeb, we współpracy z dyrektorami placówek.</w:t>
      </w:r>
    </w:p>
    <w:p w14:paraId="4BE444B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Grupa docelowa: Rodzice dzieci przedszkolnych i szkolnych, pracownicy oświaty </w:t>
      </w:r>
    </w:p>
    <w:p w14:paraId="0F2D63E6"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 w ramach interwencji: prelekcje, stoiska i spotkania dla rodziców, podczas których poruszano problematykę wszawicy: przebieg leczenia i profilaktykę.</w:t>
      </w:r>
    </w:p>
    <w:p w14:paraId="04291FFA" w14:textId="77777777" w:rsidR="007A33FE" w:rsidRPr="00666132" w:rsidRDefault="007A33FE" w:rsidP="00597239">
      <w:pPr>
        <w:spacing w:after="0" w:line="276" w:lineRule="auto"/>
        <w:rPr>
          <w:rFonts w:ascii="Calibri" w:hAnsi="Calibri" w:cs="Calibri"/>
          <w:sz w:val="24"/>
          <w:szCs w:val="24"/>
        </w:rPr>
      </w:pPr>
    </w:p>
    <w:p w14:paraId="5B5E173D" w14:textId="6FF7F330" w:rsidR="00095D7E" w:rsidRPr="00666132" w:rsidRDefault="00095D7E" w:rsidP="00597239">
      <w:pPr>
        <w:pStyle w:val="Nagwek3"/>
        <w:numPr>
          <w:ilvl w:val="1"/>
          <w:numId w:val="55"/>
        </w:numPr>
        <w:spacing w:before="0" w:after="0"/>
        <w:ind w:left="568" w:hanging="284"/>
      </w:pPr>
      <w:bookmarkStart w:id="475" w:name="_Toc194059913"/>
      <w:r w:rsidRPr="00666132">
        <w:t>„Uwaga - kleszcz! Uwaga - borelioza!”, Profilaktyka chorób odkleszczowych (PSSE Drawsko Pomorskie, PSSE Koszalin)</w:t>
      </w:r>
      <w:bookmarkEnd w:id="475"/>
    </w:p>
    <w:p w14:paraId="43AE7133"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lokalna społeczność, uczestnicy spotkań edukacyjnych osoby dorosłe, aktywne zawodowo z wybranych grup społecznych i zawodowych, seniorzy DPS.</w:t>
      </w:r>
    </w:p>
    <w:p w14:paraId="16399CE7"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Liczba odbiorców: 746 osób </w:t>
      </w:r>
    </w:p>
    <w:p w14:paraId="3B45088F"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stoiska informacyjno-edukacyjne, prelekcje. </w:t>
      </w:r>
    </w:p>
    <w:p w14:paraId="62662A18"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Omówiono obszary występowania kleszczy, choroby przenoszone przez kleszcze, zapobieganie, a także szczepienia ochronne.</w:t>
      </w:r>
    </w:p>
    <w:p w14:paraId="31B0D7A6" w14:textId="77777777" w:rsidR="007A33FE" w:rsidRPr="00666132" w:rsidRDefault="007A33FE" w:rsidP="00597239">
      <w:pPr>
        <w:spacing w:after="0" w:line="276" w:lineRule="auto"/>
        <w:rPr>
          <w:rFonts w:ascii="Calibri" w:hAnsi="Calibri" w:cs="Calibri"/>
          <w:sz w:val="24"/>
          <w:szCs w:val="24"/>
        </w:rPr>
      </w:pPr>
    </w:p>
    <w:p w14:paraId="0469B3E3" w14:textId="00773F5A" w:rsidR="00095D7E" w:rsidRPr="00666132" w:rsidRDefault="00095D7E" w:rsidP="00597239">
      <w:pPr>
        <w:pStyle w:val="Nagwek3"/>
        <w:numPr>
          <w:ilvl w:val="1"/>
          <w:numId w:val="55"/>
        </w:numPr>
        <w:spacing w:before="0" w:after="0"/>
        <w:ind w:left="568" w:hanging="284"/>
      </w:pPr>
      <w:bookmarkStart w:id="476" w:name="_Toc194059914"/>
      <w:r w:rsidRPr="00666132">
        <w:t>Festiwal Piosenki o Zdrowiu- PSSE Goleniów</w:t>
      </w:r>
      <w:bookmarkEnd w:id="476"/>
    </w:p>
    <w:p w14:paraId="6626C4C8"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Grupa docelowa: dzieci w wieku 5-9 lat</w:t>
      </w:r>
    </w:p>
    <w:p w14:paraId="78582B22"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325 osób</w:t>
      </w:r>
    </w:p>
    <w:p w14:paraId="697BA891"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Główne działania:</w:t>
      </w:r>
      <w:bookmarkStart w:id="477" w:name="_Hlk192232185"/>
      <w:r w:rsidRPr="00666132">
        <w:rPr>
          <w:rFonts w:ascii="Calibri" w:hAnsi="Calibri" w:cs="Calibri"/>
          <w:sz w:val="24"/>
          <w:szCs w:val="24"/>
        </w:rPr>
        <w:t xml:space="preserve"> W dniu 06 grudnia 2024 roku w Rampie Kultura odbył się Finał V Festiwalu Piosenki o Zdrowiu, zorganizowany przez Państwowego Powiatowego Instruktora Sanitarnego w Goleniowie. Uczestnikami Festiwalu były dzieci przedszkolne występujące jako soliści lub zespoły liczące do 5 osób.</w:t>
      </w:r>
    </w:p>
    <w:p w14:paraId="4AB2CFB2" w14:textId="77777777" w:rsidR="007A33FE" w:rsidRPr="00666132" w:rsidRDefault="007A33FE" w:rsidP="00597239">
      <w:pPr>
        <w:spacing w:after="0" w:line="276" w:lineRule="auto"/>
        <w:rPr>
          <w:rFonts w:ascii="Calibri" w:hAnsi="Calibri" w:cs="Calibri"/>
          <w:sz w:val="24"/>
          <w:szCs w:val="24"/>
        </w:rPr>
      </w:pPr>
    </w:p>
    <w:p w14:paraId="47FEAE33" w14:textId="6547D9F2" w:rsidR="00095D7E" w:rsidRPr="00666132" w:rsidRDefault="00095D7E" w:rsidP="00597239">
      <w:pPr>
        <w:pStyle w:val="Nagwek3"/>
        <w:numPr>
          <w:ilvl w:val="1"/>
          <w:numId w:val="55"/>
        </w:numPr>
        <w:spacing w:before="0" w:after="0"/>
        <w:ind w:left="568" w:hanging="284"/>
      </w:pPr>
      <w:bookmarkStart w:id="478" w:name="_Toc194059915"/>
      <w:bookmarkEnd w:id="477"/>
      <w:r w:rsidRPr="00666132">
        <w:t>Pierwsza pomoc- PSSE Police</w:t>
      </w:r>
      <w:bookmarkEnd w:id="478"/>
    </w:p>
    <w:p w14:paraId="106DA71B"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Grupa docelowa: uczniowie szkół podstawowych </w:t>
      </w:r>
    </w:p>
    <w:p w14:paraId="59B082B6"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Liczba odbiorców: 133 osoby</w:t>
      </w:r>
    </w:p>
    <w:p w14:paraId="63935A07"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w ramach interwencji: </w:t>
      </w:r>
    </w:p>
    <w:p w14:paraId="26F1BD8C"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W ramach interwencji we współpracy z Komendą Powiatową Policji w Policach i ratownikiem medycznym poprowadzono instruktaże udzielania pierwszej pomocy.</w:t>
      </w:r>
    </w:p>
    <w:p w14:paraId="2A4FB9BB" w14:textId="77777777" w:rsidR="007A33FE" w:rsidRPr="00666132" w:rsidRDefault="007A33FE" w:rsidP="00597239">
      <w:pPr>
        <w:spacing w:after="0" w:line="276" w:lineRule="auto"/>
        <w:rPr>
          <w:rFonts w:ascii="Calibri" w:hAnsi="Calibri" w:cs="Calibri"/>
          <w:sz w:val="24"/>
          <w:szCs w:val="24"/>
        </w:rPr>
      </w:pPr>
    </w:p>
    <w:p w14:paraId="23017921" w14:textId="4D7DBBE3" w:rsidR="00095D7E" w:rsidRPr="00666132" w:rsidRDefault="00095D7E" w:rsidP="00597239">
      <w:pPr>
        <w:pStyle w:val="Nagwek3"/>
        <w:numPr>
          <w:ilvl w:val="1"/>
          <w:numId w:val="55"/>
        </w:numPr>
        <w:spacing w:before="0" w:after="0"/>
        <w:ind w:left="568" w:hanging="284"/>
      </w:pPr>
      <w:bookmarkStart w:id="479" w:name="_Toc194059916"/>
      <w:r w:rsidRPr="00666132">
        <w:t>Profilaktyka FAS</w:t>
      </w:r>
      <w:r w:rsidR="004169F9">
        <w:t xml:space="preserve"> </w:t>
      </w:r>
      <w:r w:rsidRPr="00666132">
        <w:t>- PSSE Szczecinek</w:t>
      </w:r>
      <w:bookmarkEnd w:id="479"/>
    </w:p>
    <w:p w14:paraId="0A90B597"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Grupa docelowa: mieszkańcy powiatu szczecineckiego </w:t>
      </w:r>
    </w:p>
    <w:p w14:paraId="6C932A15"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Liczba odbiorców: 551 osób </w:t>
      </w:r>
    </w:p>
    <w:p w14:paraId="64C26BBA"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Główne działania: zorganizowano działania nastawione </w:t>
      </w:r>
    </w:p>
    <w:p w14:paraId="11ABA167"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 xml:space="preserve">na opóźnianie wieku inicjacji alkoholowej, ograniczanie dostępności do substancji </w:t>
      </w:r>
    </w:p>
    <w:p w14:paraId="005BB64D"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sz w:val="24"/>
          <w:szCs w:val="24"/>
        </w:rPr>
        <w:t>psychoaktywnych, korygowanie pozytywnych oczekiwań wobec skutków działania</w:t>
      </w:r>
    </w:p>
    <w:p w14:paraId="596D5F32" w14:textId="77777777"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substancji na matkę i nienarodzone dziecko.</w:t>
      </w:r>
    </w:p>
    <w:p w14:paraId="27F7E25C" w14:textId="77777777" w:rsidR="007A33FE" w:rsidRPr="00666132" w:rsidRDefault="007A33FE" w:rsidP="00597239">
      <w:pPr>
        <w:spacing w:after="0" w:line="276" w:lineRule="auto"/>
        <w:rPr>
          <w:rFonts w:ascii="Calibri" w:hAnsi="Calibri" w:cs="Calibri"/>
          <w:sz w:val="24"/>
          <w:szCs w:val="24"/>
        </w:rPr>
      </w:pPr>
    </w:p>
    <w:p w14:paraId="53E9D5FC" w14:textId="78C87B3D" w:rsidR="00095D7E" w:rsidRPr="00B362C2" w:rsidRDefault="00095D7E" w:rsidP="00597239">
      <w:pPr>
        <w:pStyle w:val="Nagwek3"/>
        <w:numPr>
          <w:ilvl w:val="1"/>
          <w:numId w:val="55"/>
        </w:numPr>
        <w:spacing w:before="0" w:after="0"/>
        <w:ind w:left="568" w:hanging="284"/>
      </w:pPr>
      <w:bookmarkStart w:id="480" w:name="_Toc194059917"/>
      <w:r w:rsidRPr="00B362C2">
        <w:t>Kampania EFSA</w:t>
      </w:r>
      <w:bookmarkEnd w:id="480"/>
      <w:r w:rsidRPr="00B362C2">
        <w:t xml:space="preserve"> </w:t>
      </w:r>
    </w:p>
    <w:p w14:paraId="4CC2FE16" w14:textId="0525BDDE" w:rsidR="00095D7E" w:rsidRPr="00B362C2" w:rsidRDefault="00095D7E" w:rsidP="00597239">
      <w:pPr>
        <w:spacing w:after="0" w:line="276" w:lineRule="auto"/>
        <w:rPr>
          <w:rFonts w:ascii="Calibri" w:hAnsi="Calibri" w:cs="Calibri"/>
          <w:sz w:val="24"/>
          <w:szCs w:val="24"/>
        </w:rPr>
      </w:pPr>
      <w:r w:rsidRPr="00B362C2">
        <w:rPr>
          <w:rFonts w:ascii="Calibri" w:hAnsi="Calibri" w:cs="Calibri"/>
          <w:sz w:val="24"/>
          <w:szCs w:val="24"/>
        </w:rPr>
        <w:t>Grupa docelowa: konsument w wieku 25-45 lat, ze szczególnym uwzględnieniem kobiet i</w:t>
      </w:r>
      <w:r w:rsidR="00495A70">
        <w:rPr>
          <w:rFonts w:ascii="Calibri" w:hAnsi="Calibri" w:cs="Calibri"/>
          <w:sz w:val="24"/>
          <w:szCs w:val="24"/>
        </w:rPr>
        <w:t> </w:t>
      </w:r>
      <w:r w:rsidRPr="00B362C2">
        <w:rPr>
          <w:rFonts w:ascii="Calibri" w:hAnsi="Calibri" w:cs="Calibri"/>
          <w:sz w:val="24"/>
          <w:szCs w:val="24"/>
        </w:rPr>
        <w:t>młodych rodziców</w:t>
      </w:r>
    </w:p>
    <w:p w14:paraId="6F9A6E27" w14:textId="77777777" w:rsidR="00095D7E" w:rsidRPr="00B362C2" w:rsidRDefault="00095D7E" w:rsidP="00597239">
      <w:pPr>
        <w:spacing w:after="0" w:line="276" w:lineRule="auto"/>
        <w:rPr>
          <w:rFonts w:ascii="Calibri" w:hAnsi="Calibri" w:cs="Calibri"/>
          <w:sz w:val="24"/>
          <w:szCs w:val="24"/>
        </w:rPr>
      </w:pPr>
      <w:r w:rsidRPr="00B362C2">
        <w:rPr>
          <w:rFonts w:ascii="Calibri" w:hAnsi="Calibri" w:cs="Calibri"/>
          <w:sz w:val="24"/>
          <w:szCs w:val="24"/>
        </w:rPr>
        <w:t>Liczba odbiorców: 2 603 osób</w:t>
      </w:r>
    </w:p>
    <w:p w14:paraId="1280B80B" w14:textId="397CA641" w:rsidR="00095D7E" w:rsidRPr="00B362C2" w:rsidRDefault="00095D7E" w:rsidP="00597239">
      <w:pPr>
        <w:spacing w:after="0" w:line="276" w:lineRule="auto"/>
        <w:rPr>
          <w:rFonts w:ascii="Calibri" w:hAnsi="Calibri" w:cs="Calibri"/>
          <w:sz w:val="24"/>
          <w:szCs w:val="24"/>
        </w:rPr>
      </w:pPr>
      <w:r w:rsidRPr="00B362C2">
        <w:rPr>
          <w:rFonts w:ascii="Calibri" w:hAnsi="Calibri" w:cs="Calibri"/>
          <w:sz w:val="24"/>
          <w:szCs w:val="24"/>
        </w:rPr>
        <w:t>Główne działania: Celem kampanii #Safe2EatEU było zwiększanie świadomości na temat bezpieczeństwa żywności w Europie. Kampania miała na celu zrozumienie, jak podejmować świadome decyzje dotyczące tego, jaką żywność kupować, spożywać oraz z jakich produktów spożywczych korzystać w bezpieczny i zdrowy sposób każdego dnia. Drugą równorzędnie prowadzoną kampanią EFSA i PIORiN była wieloletnia kampania PlantHealth4Life opracowana na wniosek Komisji Europejskiej oparta na analizie poglądów oraz zachowań związanych ze</w:t>
      </w:r>
      <w:r w:rsidR="00495A70">
        <w:rPr>
          <w:rFonts w:ascii="Calibri" w:hAnsi="Calibri" w:cs="Calibri"/>
          <w:sz w:val="24"/>
          <w:szCs w:val="24"/>
        </w:rPr>
        <w:t> </w:t>
      </w:r>
      <w:r w:rsidRPr="00B362C2">
        <w:rPr>
          <w:rFonts w:ascii="Calibri" w:hAnsi="Calibri" w:cs="Calibri"/>
          <w:sz w:val="24"/>
          <w:szCs w:val="24"/>
        </w:rPr>
        <w:t>zdrowiem roślin w całej Unii Europejskiej. Obie kampanie informacyjne miały swój główny przekaz w przestrzeni medialnej oraz social mediach. Niektóre PSSE przeprowadzały bezpośrednie zajęcia edukacyjne dla wybranych grup docelowych.</w:t>
      </w:r>
    </w:p>
    <w:p w14:paraId="77A988EB" w14:textId="77777777" w:rsidR="00095D7E" w:rsidRPr="00666132" w:rsidRDefault="00095D7E" w:rsidP="00597239">
      <w:pPr>
        <w:spacing w:after="0" w:line="276" w:lineRule="auto"/>
        <w:rPr>
          <w:rFonts w:ascii="Calibri" w:hAnsi="Calibri" w:cs="Calibri"/>
          <w:sz w:val="24"/>
          <w:szCs w:val="24"/>
        </w:rPr>
      </w:pPr>
    </w:p>
    <w:p w14:paraId="3DF69F93" w14:textId="77777777" w:rsidR="00095D7E" w:rsidRPr="00666132" w:rsidRDefault="00095D7E" w:rsidP="00597239">
      <w:pPr>
        <w:spacing w:after="0" w:line="276" w:lineRule="auto"/>
        <w:rPr>
          <w:rFonts w:ascii="Calibri" w:hAnsi="Calibri" w:cs="Calibri"/>
          <w:sz w:val="24"/>
          <w:szCs w:val="24"/>
        </w:rPr>
      </w:pPr>
      <w:r w:rsidRPr="00666132">
        <w:rPr>
          <w:rFonts w:ascii="Calibri" w:hAnsi="Calibri" w:cs="Calibri"/>
          <w:b/>
          <w:bCs/>
          <w:sz w:val="24"/>
          <w:szCs w:val="24"/>
        </w:rPr>
        <w:t>Podsumowanie</w:t>
      </w:r>
    </w:p>
    <w:p w14:paraId="39549C26" w14:textId="0ECE8D0A" w:rsidR="00095D7E" w:rsidRDefault="00095D7E" w:rsidP="00597239">
      <w:pPr>
        <w:spacing w:after="0" w:line="276" w:lineRule="auto"/>
        <w:rPr>
          <w:rFonts w:ascii="Calibri" w:hAnsi="Calibri" w:cs="Calibri"/>
          <w:sz w:val="24"/>
          <w:szCs w:val="24"/>
        </w:rPr>
      </w:pPr>
      <w:r w:rsidRPr="00666132">
        <w:rPr>
          <w:rFonts w:ascii="Calibri" w:hAnsi="Calibri" w:cs="Calibri"/>
          <w:sz w:val="24"/>
          <w:szCs w:val="24"/>
        </w:rPr>
        <w:t>Zakres działalności oświatowo-zdrowotnej i promocji zdrowia w 2024 roku skupiony był na</w:t>
      </w:r>
      <w:r w:rsidR="00495A70">
        <w:rPr>
          <w:rFonts w:ascii="Calibri" w:hAnsi="Calibri" w:cs="Calibri"/>
          <w:sz w:val="24"/>
          <w:szCs w:val="24"/>
        </w:rPr>
        <w:t> </w:t>
      </w:r>
      <w:r w:rsidRPr="00666132">
        <w:rPr>
          <w:rFonts w:ascii="Calibri" w:hAnsi="Calibri" w:cs="Calibri"/>
          <w:sz w:val="24"/>
          <w:szCs w:val="24"/>
        </w:rPr>
        <w:t>realizacji wojewódzkich programów oraz na działaniach akcyjnych wynikających z</w:t>
      </w:r>
      <w:r w:rsidR="007A33FE">
        <w:rPr>
          <w:rFonts w:ascii="Calibri" w:hAnsi="Calibri" w:cs="Calibri"/>
          <w:sz w:val="24"/>
          <w:szCs w:val="24"/>
        </w:rPr>
        <w:t> </w:t>
      </w:r>
      <w:r w:rsidRPr="00666132">
        <w:rPr>
          <w:rFonts w:ascii="Calibri" w:hAnsi="Calibri" w:cs="Calibri"/>
          <w:sz w:val="24"/>
          <w:szCs w:val="24"/>
        </w:rPr>
        <w:t>aktualnych potrzeb epidemiologicznych społeczności województwa. Działania adresowano do szerokiej grupy odbiorców tj. dzieci w wieku przedszkolnym, szkolnym, młodzieży, osób dorosłych mieszkających na terenie województwa oraz przybywających na wypoczynek letni czy zimowy. Współpracowano z Ministerstwem Zdrowia, Zachodniopomorskim Urzędem Wojewódzkim, Kuratorium Oświaty w Szczecinie, Pomorskim Uniwersytetem Medycznym, Uniwersytetem Szczecińskim, urzędami miast i gmin zachodniopomorską, policją, strażą pożarną, Wodnym Ochotniczym Pogotowiem Ratunkowym i stowarzyszeniami na terenie całego województwa zachodniopomorskiego m.in. Stowarzyszeniem Walki z Rakiem Płuca, Legionem HDK Honorowych Dawców Krwi.</w:t>
      </w:r>
    </w:p>
    <w:p w14:paraId="5234AFC6" w14:textId="77777777" w:rsidR="008D0D62" w:rsidRDefault="008D0D62" w:rsidP="00597239">
      <w:pPr>
        <w:spacing w:after="0" w:line="276" w:lineRule="auto"/>
        <w:rPr>
          <w:rFonts w:ascii="Calibri" w:hAnsi="Calibri" w:cs="Calibri"/>
          <w:sz w:val="24"/>
          <w:szCs w:val="24"/>
        </w:rPr>
      </w:pPr>
    </w:p>
    <w:p w14:paraId="4B32EC01" w14:textId="77777777" w:rsidR="008D0D62" w:rsidRPr="00666132" w:rsidRDefault="008D0D62" w:rsidP="00597239">
      <w:pPr>
        <w:spacing w:after="0" w:line="276" w:lineRule="auto"/>
        <w:rPr>
          <w:rFonts w:ascii="Calibri" w:hAnsi="Calibri" w:cs="Calibri"/>
          <w:sz w:val="24"/>
          <w:szCs w:val="24"/>
        </w:rPr>
      </w:pPr>
    </w:p>
    <w:p w14:paraId="2ED71F2F" w14:textId="5044BFF7" w:rsidR="002F2248" w:rsidRDefault="002F2248" w:rsidP="00597239">
      <w:pPr>
        <w:rPr>
          <w:rFonts w:cstheme="minorHAnsi"/>
          <w:sz w:val="24"/>
          <w:szCs w:val="24"/>
          <w:lang w:eastAsia="pl-PL"/>
        </w:rPr>
      </w:pPr>
      <w:r>
        <w:rPr>
          <w:rFonts w:cstheme="minorHAnsi"/>
          <w:sz w:val="24"/>
          <w:szCs w:val="24"/>
          <w:lang w:eastAsia="pl-PL"/>
        </w:rPr>
        <w:br w:type="page"/>
      </w:r>
    </w:p>
    <w:p w14:paraId="788545A9" w14:textId="5B51E584" w:rsidR="00095D7E" w:rsidRDefault="0013436E" w:rsidP="00597239">
      <w:pPr>
        <w:rPr>
          <w:rFonts w:cstheme="minorHAnsi"/>
          <w:sz w:val="24"/>
          <w:szCs w:val="24"/>
          <w:lang w:eastAsia="pl-PL"/>
        </w:rPr>
      </w:pPr>
      <w:r>
        <w:rPr>
          <w:rFonts w:cstheme="minorHAnsi"/>
          <w:sz w:val="24"/>
          <w:szCs w:val="24"/>
          <w:lang w:eastAsia="pl-PL"/>
        </w:rPr>
        <w:lastRenderedPageBreak/>
        <w:t>Spis tabel:</w:t>
      </w:r>
    </w:p>
    <w:p w14:paraId="3555C16B" w14:textId="46228258" w:rsidR="00F446E0" w:rsidRDefault="00FB12E7" w:rsidP="00597239">
      <w:pPr>
        <w:pStyle w:val="Spisilustracji"/>
        <w:rPr>
          <w:rFonts w:asciiTheme="minorHAnsi" w:eastAsiaTheme="minorEastAsia" w:hAnsiTheme="minorHAnsi" w:cstheme="minorBidi"/>
          <w:kern w:val="2"/>
          <w:szCs w:val="24"/>
          <w14:ligatures w14:val="standardContextual"/>
        </w:rPr>
      </w:pPr>
      <w:r>
        <w:rPr>
          <w:rFonts w:cstheme="minorHAnsi"/>
          <w:szCs w:val="24"/>
        </w:rPr>
        <w:fldChar w:fldCharType="begin"/>
      </w:r>
      <w:r>
        <w:rPr>
          <w:rFonts w:cstheme="minorHAnsi"/>
          <w:szCs w:val="24"/>
        </w:rPr>
        <w:instrText xml:space="preserve"> TOC \h \z \c "Tabela" </w:instrText>
      </w:r>
      <w:r>
        <w:rPr>
          <w:rFonts w:cstheme="minorHAnsi"/>
          <w:szCs w:val="24"/>
        </w:rPr>
        <w:fldChar w:fldCharType="separate"/>
      </w:r>
      <w:hyperlink w:anchor="_Toc194059979" w:history="1">
        <w:r w:rsidR="00F446E0" w:rsidRPr="00970E88">
          <w:rPr>
            <w:rStyle w:val="Hipercze"/>
          </w:rPr>
          <w:t>Tabela 1. Wybrane dane epidemiologiczne dotyczące chorób zakaźnych przenoszonych drogą pokarmową w Polsce i woj. zachodniopomorskim w 2024 r.</w:t>
        </w:r>
        <w:r w:rsidR="00F446E0">
          <w:rPr>
            <w:webHidden/>
          </w:rPr>
          <w:tab/>
        </w:r>
        <w:r w:rsidR="00F446E0">
          <w:rPr>
            <w:webHidden/>
          </w:rPr>
          <w:fldChar w:fldCharType="begin"/>
        </w:r>
        <w:r w:rsidR="00F446E0">
          <w:rPr>
            <w:webHidden/>
          </w:rPr>
          <w:instrText xml:space="preserve"> PAGEREF _Toc194059979 \h </w:instrText>
        </w:r>
        <w:r w:rsidR="00F446E0">
          <w:rPr>
            <w:webHidden/>
          </w:rPr>
        </w:r>
        <w:r w:rsidR="00F446E0">
          <w:rPr>
            <w:webHidden/>
          </w:rPr>
          <w:fldChar w:fldCharType="separate"/>
        </w:r>
        <w:r w:rsidR="00F446E0">
          <w:rPr>
            <w:webHidden/>
          </w:rPr>
          <w:t>10</w:t>
        </w:r>
        <w:r w:rsidR="00F446E0">
          <w:rPr>
            <w:webHidden/>
          </w:rPr>
          <w:fldChar w:fldCharType="end"/>
        </w:r>
      </w:hyperlink>
    </w:p>
    <w:p w14:paraId="35E9FF7C" w14:textId="7DF7C17A"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0" w:history="1">
        <w:r w:rsidRPr="00970E88">
          <w:rPr>
            <w:rStyle w:val="Hipercze"/>
          </w:rPr>
          <w:t>Tabela 2. Liczba nosicieli Salmonella typhi i paratyphi B i C w rejestrach PSSE (stan na 31.12.2024 r.).</w:t>
        </w:r>
        <w:r>
          <w:rPr>
            <w:webHidden/>
          </w:rPr>
          <w:tab/>
        </w:r>
        <w:r>
          <w:rPr>
            <w:webHidden/>
          </w:rPr>
          <w:fldChar w:fldCharType="begin"/>
        </w:r>
        <w:r>
          <w:rPr>
            <w:webHidden/>
          </w:rPr>
          <w:instrText xml:space="preserve"> PAGEREF _Toc194059980 \h </w:instrText>
        </w:r>
        <w:r>
          <w:rPr>
            <w:webHidden/>
          </w:rPr>
        </w:r>
        <w:r>
          <w:rPr>
            <w:webHidden/>
          </w:rPr>
          <w:fldChar w:fldCharType="separate"/>
        </w:r>
        <w:r>
          <w:rPr>
            <w:webHidden/>
          </w:rPr>
          <w:t>11</w:t>
        </w:r>
        <w:r>
          <w:rPr>
            <w:webHidden/>
          </w:rPr>
          <w:fldChar w:fldCharType="end"/>
        </w:r>
      </w:hyperlink>
    </w:p>
    <w:p w14:paraId="6CFB1B2D" w14:textId="5AC7A84A"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1" w:history="1">
        <w:r w:rsidRPr="00970E88">
          <w:rPr>
            <w:rStyle w:val="Hipercze"/>
          </w:rPr>
          <w:t>Tabela 3.  Zestawienie liczby ognisk zbiorowych zachorowań na choroby przenoszone drogą pokarmową oraz liczby narażonych i chorych, w tym dzieci do 14 roku życia na terenie woj. zachodniopomorskiego w latach 2020 – 2024.</w:t>
        </w:r>
        <w:r>
          <w:rPr>
            <w:webHidden/>
          </w:rPr>
          <w:tab/>
        </w:r>
        <w:r>
          <w:rPr>
            <w:webHidden/>
          </w:rPr>
          <w:fldChar w:fldCharType="begin"/>
        </w:r>
        <w:r>
          <w:rPr>
            <w:webHidden/>
          </w:rPr>
          <w:instrText xml:space="preserve"> PAGEREF _Toc194059981 \h </w:instrText>
        </w:r>
        <w:r>
          <w:rPr>
            <w:webHidden/>
          </w:rPr>
        </w:r>
        <w:r>
          <w:rPr>
            <w:webHidden/>
          </w:rPr>
          <w:fldChar w:fldCharType="separate"/>
        </w:r>
        <w:r>
          <w:rPr>
            <w:webHidden/>
          </w:rPr>
          <w:t>12</w:t>
        </w:r>
        <w:r>
          <w:rPr>
            <w:webHidden/>
          </w:rPr>
          <w:fldChar w:fldCharType="end"/>
        </w:r>
      </w:hyperlink>
    </w:p>
    <w:p w14:paraId="784E7319" w14:textId="756DDAD1"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2" w:history="1">
        <w:r w:rsidRPr="00970E88">
          <w:rPr>
            <w:rStyle w:val="Hipercze"/>
          </w:rPr>
          <w:t>Tabela 4. Liczba zachorowań i współczynnik zapadalności na wirusowe zapalenia wątroby ogółem w Polsce i woj. zachodniopomorskim w latach 2020-2024.</w:t>
        </w:r>
        <w:r>
          <w:rPr>
            <w:webHidden/>
          </w:rPr>
          <w:tab/>
        </w:r>
        <w:r>
          <w:rPr>
            <w:webHidden/>
          </w:rPr>
          <w:fldChar w:fldCharType="begin"/>
        </w:r>
        <w:r>
          <w:rPr>
            <w:webHidden/>
          </w:rPr>
          <w:instrText xml:space="preserve"> PAGEREF _Toc194059982 \h </w:instrText>
        </w:r>
        <w:r>
          <w:rPr>
            <w:webHidden/>
          </w:rPr>
        </w:r>
        <w:r>
          <w:rPr>
            <w:webHidden/>
          </w:rPr>
          <w:fldChar w:fldCharType="separate"/>
        </w:r>
        <w:r>
          <w:rPr>
            <w:webHidden/>
          </w:rPr>
          <w:t>13</w:t>
        </w:r>
        <w:r>
          <w:rPr>
            <w:webHidden/>
          </w:rPr>
          <w:fldChar w:fldCharType="end"/>
        </w:r>
      </w:hyperlink>
    </w:p>
    <w:p w14:paraId="74A279B2" w14:textId="7A66F129"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3" w:history="1">
        <w:r w:rsidRPr="00970E88">
          <w:rPr>
            <w:rStyle w:val="Hipercze"/>
          </w:rPr>
          <w:t>Tabela 5. Liczba zachorowań i współczynnik zapadalności na wirusowe zapalenie wątroby typu A w Polsce i na terenie woj. zachodniopomorskiego w latach 2020-2024.</w:t>
        </w:r>
        <w:r>
          <w:rPr>
            <w:webHidden/>
          </w:rPr>
          <w:tab/>
        </w:r>
        <w:r>
          <w:rPr>
            <w:webHidden/>
          </w:rPr>
          <w:fldChar w:fldCharType="begin"/>
        </w:r>
        <w:r>
          <w:rPr>
            <w:webHidden/>
          </w:rPr>
          <w:instrText xml:space="preserve"> PAGEREF _Toc194059983 \h </w:instrText>
        </w:r>
        <w:r>
          <w:rPr>
            <w:webHidden/>
          </w:rPr>
        </w:r>
        <w:r>
          <w:rPr>
            <w:webHidden/>
          </w:rPr>
          <w:fldChar w:fldCharType="separate"/>
        </w:r>
        <w:r>
          <w:rPr>
            <w:webHidden/>
          </w:rPr>
          <w:t>13</w:t>
        </w:r>
        <w:r>
          <w:rPr>
            <w:webHidden/>
          </w:rPr>
          <w:fldChar w:fldCharType="end"/>
        </w:r>
      </w:hyperlink>
    </w:p>
    <w:p w14:paraId="182385FF" w14:textId="71E7350E"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4" w:history="1">
        <w:r w:rsidRPr="00970E88">
          <w:rPr>
            <w:rStyle w:val="Hipercze"/>
          </w:rPr>
          <w:t>Tabela 6. Liczba zachorowań i współczynnik zapadalności na wirusowe zapalenie wątroby typu B w latach 2020-2024 w Polsce i woj. zachodniopomorskim.</w:t>
        </w:r>
        <w:r>
          <w:rPr>
            <w:webHidden/>
          </w:rPr>
          <w:tab/>
        </w:r>
        <w:r>
          <w:rPr>
            <w:webHidden/>
          </w:rPr>
          <w:fldChar w:fldCharType="begin"/>
        </w:r>
        <w:r>
          <w:rPr>
            <w:webHidden/>
          </w:rPr>
          <w:instrText xml:space="preserve"> PAGEREF _Toc194059984 \h </w:instrText>
        </w:r>
        <w:r>
          <w:rPr>
            <w:webHidden/>
          </w:rPr>
        </w:r>
        <w:r>
          <w:rPr>
            <w:webHidden/>
          </w:rPr>
          <w:fldChar w:fldCharType="separate"/>
        </w:r>
        <w:r>
          <w:rPr>
            <w:webHidden/>
          </w:rPr>
          <w:t>14</w:t>
        </w:r>
        <w:r>
          <w:rPr>
            <w:webHidden/>
          </w:rPr>
          <w:fldChar w:fldCharType="end"/>
        </w:r>
      </w:hyperlink>
    </w:p>
    <w:p w14:paraId="25D84382" w14:textId="2C0D5241"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5" w:history="1">
        <w:r w:rsidRPr="00970E88">
          <w:rPr>
            <w:rStyle w:val="Hipercze"/>
          </w:rPr>
          <w:t>Tabela 7. Liczba zachorowań i współczynnik zapadalności na wirusowe zapalenie wątroby typu C w latach 2020-2024 w Polsce i woj. zachodniopomorskim.</w:t>
        </w:r>
        <w:r>
          <w:rPr>
            <w:webHidden/>
          </w:rPr>
          <w:tab/>
        </w:r>
        <w:r>
          <w:rPr>
            <w:webHidden/>
          </w:rPr>
          <w:fldChar w:fldCharType="begin"/>
        </w:r>
        <w:r>
          <w:rPr>
            <w:webHidden/>
          </w:rPr>
          <w:instrText xml:space="preserve"> PAGEREF _Toc194059985 \h </w:instrText>
        </w:r>
        <w:r>
          <w:rPr>
            <w:webHidden/>
          </w:rPr>
        </w:r>
        <w:r>
          <w:rPr>
            <w:webHidden/>
          </w:rPr>
          <w:fldChar w:fldCharType="separate"/>
        </w:r>
        <w:r>
          <w:rPr>
            <w:webHidden/>
          </w:rPr>
          <w:t>14</w:t>
        </w:r>
        <w:r>
          <w:rPr>
            <w:webHidden/>
          </w:rPr>
          <w:fldChar w:fldCharType="end"/>
        </w:r>
      </w:hyperlink>
    </w:p>
    <w:p w14:paraId="74A28AB8" w14:textId="6640B4F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6" w:history="1">
        <w:r w:rsidRPr="00970E88">
          <w:rPr>
            <w:rStyle w:val="Hipercze"/>
          </w:rPr>
          <w:t>Tabela 8. Liczba zachorowań (współczynnik zapadalności na 100 tys.) na zakażeń SARS-CoV-2 w Polsce i woj. zachodniopomorskim w latach 2022-2024.</w:t>
        </w:r>
        <w:r>
          <w:rPr>
            <w:webHidden/>
          </w:rPr>
          <w:tab/>
        </w:r>
        <w:r>
          <w:rPr>
            <w:webHidden/>
          </w:rPr>
          <w:fldChar w:fldCharType="begin"/>
        </w:r>
        <w:r>
          <w:rPr>
            <w:webHidden/>
          </w:rPr>
          <w:instrText xml:space="preserve"> PAGEREF _Toc194059986 \h </w:instrText>
        </w:r>
        <w:r>
          <w:rPr>
            <w:webHidden/>
          </w:rPr>
        </w:r>
        <w:r>
          <w:rPr>
            <w:webHidden/>
          </w:rPr>
          <w:fldChar w:fldCharType="separate"/>
        </w:r>
        <w:r>
          <w:rPr>
            <w:webHidden/>
          </w:rPr>
          <w:t>15</w:t>
        </w:r>
        <w:r>
          <w:rPr>
            <w:webHidden/>
          </w:rPr>
          <w:fldChar w:fldCharType="end"/>
        </w:r>
      </w:hyperlink>
    </w:p>
    <w:p w14:paraId="1AB0B366" w14:textId="27445D66"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7" w:history="1">
        <w:r w:rsidRPr="00970E88">
          <w:rPr>
            <w:rStyle w:val="Hipercze"/>
          </w:rPr>
          <w:t>Tabela 9. Liczba zachorowań na krztusiec w latach 2023-2024 ze względu na miejsce zgłoszenia przypadku.</w:t>
        </w:r>
        <w:r>
          <w:rPr>
            <w:webHidden/>
          </w:rPr>
          <w:tab/>
        </w:r>
        <w:r>
          <w:rPr>
            <w:webHidden/>
          </w:rPr>
          <w:fldChar w:fldCharType="begin"/>
        </w:r>
        <w:r>
          <w:rPr>
            <w:webHidden/>
          </w:rPr>
          <w:instrText xml:space="preserve"> PAGEREF _Toc194059987 \h </w:instrText>
        </w:r>
        <w:r>
          <w:rPr>
            <w:webHidden/>
          </w:rPr>
        </w:r>
        <w:r>
          <w:rPr>
            <w:webHidden/>
          </w:rPr>
          <w:fldChar w:fldCharType="separate"/>
        </w:r>
        <w:r>
          <w:rPr>
            <w:webHidden/>
          </w:rPr>
          <w:t>19</w:t>
        </w:r>
        <w:r>
          <w:rPr>
            <w:webHidden/>
          </w:rPr>
          <w:fldChar w:fldCharType="end"/>
        </w:r>
      </w:hyperlink>
    </w:p>
    <w:p w14:paraId="07DF21F4" w14:textId="2B8EEE61"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8" w:history="1">
        <w:r w:rsidRPr="00970E88">
          <w:rPr>
            <w:rStyle w:val="Hipercze"/>
          </w:rPr>
          <w:t>Tabela 10. Liczba zachorowań na krztusiec wg definicji przypadku w latach 2020-2024 w woj. zachodniopomorskim.</w:t>
        </w:r>
        <w:r>
          <w:rPr>
            <w:webHidden/>
          </w:rPr>
          <w:tab/>
        </w:r>
        <w:r>
          <w:rPr>
            <w:webHidden/>
          </w:rPr>
          <w:fldChar w:fldCharType="begin"/>
        </w:r>
        <w:r>
          <w:rPr>
            <w:webHidden/>
          </w:rPr>
          <w:instrText xml:space="preserve"> PAGEREF _Toc194059988 \h </w:instrText>
        </w:r>
        <w:r>
          <w:rPr>
            <w:webHidden/>
          </w:rPr>
        </w:r>
        <w:r>
          <w:rPr>
            <w:webHidden/>
          </w:rPr>
          <w:fldChar w:fldCharType="separate"/>
        </w:r>
        <w:r>
          <w:rPr>
            <w:webHidden/>
          </w:rPr>
          <w:t>20</w:t>
        </w:r>
        <w:r>
          <w:rPr>
            <w:webHidden/>
          </w:rPr>
          <w:fldChar w:fldCharType="end"/>
        </w:r>
      </w:hyperlink>
    </w:p>
    <w:p w14:paraId="16265593" w14:textId="77F2451D"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89" w:history="1">
        <w:r w:rsidRPr="00970E88">
          <w:rPr>
            <w:rStyle w:val="Hipercze"/>
          </w:rPr>
          <w:t>Tabela 11. Liczba zachorowań i współczynnik zapadalności na choroby wieku dziecięcego w Polsce i woj. zachodniopomorskim w latach 2020 – 2024.</w:t>
        </w:r>
        <w:r>
          <w:rPr>
            <w:webHidden/>
          </w:rPr>
          <w:tab/>
        </w:r>
        <w:r>
          <w:rPr>
            <w:webHidden/>
          </w:rPr>
          <w:fldChar w:fldCharType="begin"/>
        </w:r>
        <w:r>
          <w:rPr>
            <w:webHidden/>
          </w:rPr>
          <w:instrText xml:space="preserve"> PAGEREF _Toc194059989 \h </w:instrText>
        </w:r>
        <w:r>
          <w:rPr>
            <w:webHidden/>
          </w:rPr>
        </w:r>
        <w:r>
          <w:rPr>
            <w:webHidden/>
          </w:rPr>
          <w:fldChar w:fldCharType="separate"/>
        </w:r>
        <w:r>
          <w:rPr>
            <w:webHidden/>
          </w:rPr>
          <w:t>21</w:t>
        </w:r>
        <w:r>
          <w:rPr>
            <w:webHidden/>
          </w:rPr>
          <w:fldChar w:fldCharType="end"/>
        </w:r>
      </w:hyperlink>
    </w:p>
    <w:p w14:paraId="57ADAA43" w14:textId="4FB7FFD2"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0" w:history="1">
        <w:r w:rsidRPr="00970E88">
          <w:rPr>
            <w:rStyle w:val="Hipercze"/>
          </w:rPr>
          <w:t>Tabela 12. Liczba zachorowań i współczynnik zapadalności na bakteryjne zapalenie opon mózgowych i/lub mózgu w Polsce i woj. zachodniopomorskim w latach 2023-2024.</w:t>
        </w:r>
        <w:r>
          <w:rPr>
            <w:webHidden/>
          </w:rPr>
          <w:tab/>
        </w:r>
        <w:r>
          <w:rPr>
            <w:webHidden/>
          </w:rPr>
          <w:fldChar w:fldCharType="begin"/>
        </w:r>
        <w:r>
          <w:rPr>
            <w:webHidden/>
          </w:rPr>
          <w:instrText xml:space="preserve"> PAGEREF _Toc194059990 \h </w:instrText>
        </w:r>
        <w:r>
          <w:rPr>
            <w:webHidden/>
          </w:rPr>
        </w:r>
        <w:r>
          <w:rPr>
            <w:webHidden/>
          </w:rPr>
          <w:fldChar w:fldCharType="separate"/>
        </w:r>
        <w:r>
          <w:rPr>
            <w:webHidden/>
          </w:rPr>
          <w:t>22</w:t>
        </w:r>
        <w:r>
          <w:rPr>
            <w:webHidden/>
          </w:rPr>
          <w:fldChar w:fldCharType="end"/>
        </w:r>
      </w:hyperlink>
    </w:p>
    <w:p w14:paraId="3C69BF95" w14:textId="170F2B34"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1" w:history="1">
        <w:r w:rsidRPr="00970E88">
          <w:rPr>
            <w:rStyle w:val="Hipercze"/>
          </w:rPr>
          <w:t>Tabela 13. Inwazyjna choroba meningokokowa w woj. zachodniopomorskim w 2024 r. z uwzględnieniem wieku i miejsca wystąpienia zachorowania.</w:t>
        </w:r>
        <w:r>
          <w:rPr>
            <w:webHidden/>
          </w:rPr>
          <w:tab/>
        </w:r>
        <w:r>
          <w:rPr>
            <w:webHidden/>
          </w:rPr>
          <w:fldChar w:fldCharType="begin"/>
        </w:r>
        <w:r>
          <w:rPr>
            <w:webHidden/>
          </w:rPr>
          <w:instrText xml:space="preserve"> PAGEREF _Toc194059991 \h </w:instrText>
        </w:r>
        <w:r>
          <w:rPr>
            <w:webHidden/>
          </w:rPr>
        </w:r>
        <w:r>
          <w:rPr>
            <w:webHidden/>
          </w:rPr>
          <w:fldChar w:fldCharType="separate"/>
        </w:r>
        <w:r>
          <w:rPr>
            <w:webHidden/>
          </w:rPr>
          <w:t>24</w:t>
        </w:r>
        <w:r>
          <w:rPr>
            <w:webHidden/>
          </w:rPr>
          <w:fldChar w:fldCharType="end"/>
        </w:r>
      </w:hyperlink>
    </w:p>
    <w:p w14:paraId="3FE7788B" w14:textId="35C348AA"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2" w:history="1">
        <w:r w:rsidRPr="00970E88">
          <w:rPr>
            <w:rStyle w:val="Hipercze"/>
          </w:rPr>
          <w:t>Tabela 14. Liczba zachorowań na inwazyjną chorobę meningokokową w latach 2020-2024 ze względu na etiologię.</w:t>
        </w:r>
        <w:r>
          <w:rPr>
            <w:webHidden/>
          </w:rPr>
          <w:tab/>
        </w:r>
        <w:r>
          <w:rPr>
            <w:webHidden/>
          </w:rPr>
          <w:fldChar w:fldCharType="begin"/>
        </w:r>
        <w:r>
          <w:rPr>
            <w:webHidden/>
          </w:rPr>
          <w:instrText xml:space="preserve"> PAGEREF _Toc194059992 \h </w:instrText>
        </w:r>
        <w:r>
          <w:rPr>
            <w:webHidden/>
          </w:rPr>
        </w:r>
        <w:r>
          <w:rPr>
            <w:webHidden/>
          </w:rPr>
          <w:fldChar w:fldCharType="separate"/>
        </w:r>
        <w:r>
          <w:rPr>
            <w:webHidden/>
          </w:rPr>
          <w:t>24</w:t>
        </w:r>
        <w:r>
          <w:rPr>
            <w:webHidden/>
          </w:rPr>
          <w:fldChar w:fldCharType="end"/>
        </w:r>
      </w:hyperlink>
    </w:p>
    <w:p w14:paraId="2E0835ED" w14:textId="1CD8D2DF"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3" w:history="1">
        <w:r w:rsidRPr="00970E88">
          <w:rPr>
            <w:rStyle w:val="Hipercze"/>
          </w:rPr>
          <w:t>Tabela 15. Liczba zachorowań na boreliozę, w tym neuroboreliozę w woj. zachodniopomorskim w latach 2020 – 2024 w ujęciu kwartalnym</w:t>
        </w:r>
        <w:r>
          <w:rPr>
            <w:webHidden/>
          </w:rPr>
          <w:tab/>
        </w:r>
        <w:r>
          <w:rPr>
            <w:webHidden/>
          </w:rPr>
          <w:fldChar w:fldCharType="begin"/>
        </w:r>
        <w:r>
          <w:rPr>
            <w:webHidden/>
          </w:rPr>
          <w:instrText xml:space="preserve"> PAGEREF _Toc194059993 \h </w:instrText>
        </w:r>
        <w:r>
          <w:rPr>
            <w:webHidden/>
          </w:rPr>
        </w:r>
        <w:r>
          <w:rPr>
            <w:webHidden/>
          </w:rPr>
          <w:fldChar w:fldCharType="separate"/>
        </w:r>
        <w:r>
          <w:rPr>
            <w:webHidden/>
          </w:rPr>
          <w:t>25</w:t>
        </w:r>
        <w:r>
          <w:rPr>
            <w:webHidden/>
          </w:rPr>
          <w:fldChar w:fldCharType="end"/>
        </w:r>
      </w:hyperlink>
    </w:p>
    <w:p w14:paraId="0C099F3D" w14:textId="12E7785D"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4" w:history="1">
        <w:r w:rsidRPr="00970E88">
          <w:rPr>
            <w:rStyle w:val="Hipercze"/>
          </w:rPr>
          <w:t>Tabela 16. Liczba przeprowadzonych dochodzeń epidemiologicznych i liczba przypadków styczności i narażenia na wściekliznę zgłoszonych na terenie woj. zachodniopomorskiego, po których wdrożono szczepienia p/wściekliźnie w latach 2020- 2024.</w:t>
        </w:r>
        <w:r>
          <w:rPr>
            <w:webHidden/>
          </w:rPr>
          <w:tab/>
        </w:r>
        <w:r>
          <w:rPr>
            <w:webHidden/>
          </w:rPr>
          <w:fldChar w:fldCharType="begin"/>
        </w:r>
        <w:r>
          <w:rPr>
            <w:webHidden/>
          </w:rPr>
          <w:instrText xml:space="preserve"> PAGEREF _Toc194059994 \h </w:instrText>
        </w:r>
        <w:r>
          <w:rPr>
            <w:webHidden/>
          </w:rPr>
        </w:r>
        <w:r>
          <w:rPr>
            <w:webHidden/>
          </w:rPr>
          <w:fldChar w:fldCharType="separate"/>
        </w:r>
        <w:r>
          <w:rPr>
            <w:webHidden/>
          </w:rPr>
          <w:t>26</w:t>
        </w:r>
        <w:r>
          <w:rPr>
            <w:webHidden/>
          </w:rPr>
          <w:fldChar w:fldCharType="end"/>
        </w:r>
      </w:hyperlink>
    </w:p>
    <w:p w14:paraId="682EAE57" w14:textId="31661015"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5" w:history="1">
        <w:r w:rsidRPr="00970E88">
          <w:rPr>
            <w:rStyle w:val="Hipercze"/>
          </w:rPr>
          <w:t>Tabela 17. Liczba przypadków styczności i narażenia na wściekliznę zgłoszonych w Polsce i na terenie woj. zachodniopomorskiego, po których wdrożono szczepienia p\wściekliźnie w latach 2020–2024.</w:t>
        </w:r>
        <w:r>
          <w:rPr>
            <w:webHidden/>
          </w:rPr>
          <w:tab/>
        </w:r>
        <w:r>
          <w:rPr>
            <w:webHidden/>
          </w:rPr>
          <w:fldChar w:fldCharType="begin"/>
        </w:r>
        <w:r>
          <w:rPr>
            <w:webHidden/>
          </w:rPr>
          <w:instrText xml:space="preserve"> PAGEREF _Toc194059995 \h </w:instrText>
        </w:r>
        <w:r>
          <w:rPr>
            <w:webHidden/>
          </w:rPr>
        </w:r>
        <w:r>
          <w:rPr>
            <w:webHidden/>
          </w:rPr>
          <w:fldChar w:fldCharType="separate"/>
        </w:r>
        <w:r>
          <w:rPr>
            <w:webHidden/>
          </w:rPr>
          <w:t>26</w:t>
        </w:r>
        <w:r>
          <w:rPr>
            <w:webHidden/>
          </w:rPr>
          <w:fldChar w:fldCharType="end"/>
        </w:r>
      </w:hyperlink>
    </w:p>
    <w:p w14:paraId="61E32EDF" w14:textId="470AF40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6" w:history="1">
        <w:r w:rsidRPr="00970E88">
          <w:rPr>
            <w:rStyle w:val="Hipercze"/>
          </w:rPr>
          <w:t>Tabela 18. Liczba zachorowań i współczynnik zapadalności na kiłę w Polsce i woj. zachodniopomorskim w latach 2020-2024.</w:t>
        </w:r>
        <w:r>
          <w:rPr>
            <w:webHidden/>
          </w:rPr>
          <w:tab/>
        </w:r>
        <w:r>
          <w:rPr>
            <w:webHidden/>
          </w:rPr>
          <w:fldChar w:fldCharType="begin"/>
        </w:r>
        <w:r>
          <w:rPr>
            <w:webHidden/>
          </w:rPr>
          <w:instrText xml:space="preserve"> PAGEREF _Toc194059996 \h </w:instrText>
        </w:r>
        <w:r>
          <w:rPr>
            <w:webHidden/>
          </w:rPr>
        </w:r>
        <w:r>
          <w:rPr>
            <w:webHidden/>
          </w:rPr>
          <w:fldChar w:fldCharType="separate"/>
        </w:r>
        <w:r>
          <w:rPr>
            <w:webHidden/>
          </w:rPr>
          <w:t>27</w:t>
        </w:r>
        <w:r>
          <w:rPr>
            <w:webHidden/>
          </w:rPr>
          <w:fldChar w:fldCharType="end"/>
        </w:r>
      </w:hyperlink>
    </w:p>
    <w:p w14:paraId="638A1719" w14:textId="02C4AA4D"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7" w:history="1">
        <w:r w:rsidRPr="00970E88">
          <w:rPr>
            <w:rStyle w:val="Hipercze"/>
          </w:rPr>
          <w:t>Tabela 19. Liczba zachorowań i współczynnik zapadalności na inne choroby przenoszone drogą płciową w Polsce i woj. zachodniopomorskim w latach 2020-2024</w:t>
        </w:r>
        <w:r>
          <w:rPr>
            <w:webHidden/>
          </w:rPr>
          <w:tab/>
        </w:r>
        <w:r>
          <w:rPr>
            <w:webHidden/>
          </w:rPr>
          <w:fldChar w:fldCharType="begin"/>
        </w:r>
        <w:r>
          <w:rPr>
            <w:webHidden/>
          </w:rPr>
          <w:instrText xml:space="preserve"> PAGEREF _Toc194059997 \h </w:instrText>
        </w:r>
        <w:r>
          <w:rPr>
            <w:webHidden/>
          </w:rPr>
        </w:r>
        <w:r>
          <w:rPr>
            <w:webHidden/>
          </w:rPr>
          <w:fldChar w:fldCharType="separate"/>
        </w:r>
        <w:r>
          <w:rPr>
            <w:webHidden/>
          </w:rPr>
          <w:t>27</w:t>
        </w:r>
        <w:r>
          <w:rPr>
            <w:webHidden/>
          </w:rPr>
          <w:fldChar w:fldCharType="end"/>
        </w:r>
      </w:hyperlink>
    </w:p>
    <w:p w14:paraId="43A4FE1D" w14:textId="5427BDEF"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8" w:history="1">
        <w:r w:rsidRPr="00970E88">
          <w:rPr>
            <w:rStyle w:val="Hipercze"/>
          </w:rPr>
          <w:t>Tabela 20. Liczba zachorowań na gruźlicę w woj. zachodniopomorskim w 2024 r. wg płci, grupy wiekowej oraz miejsca zamieszkania.</w:t>
        </w:r>
        <w:r>
          <w:rPr>
            <w:webHidden/>
          </w:rPr>
          <w:tab/>
        </w:r>
        <w:r>
          <w:rPr>
            <w:webHidden/>
          </w:rPr>
          <w:fldChar w:fldCharType="begin"/>
        </w:r>
        <w:r>
          <w:rPr>
            <w:webHidden/>
          </w:rPr>
          <w:instrText xml:space="preserve"> PAGEREF _Toc194059998 \h </w:instrText>
        </w:r>
        <w:r>
          <w:rPr>
            <w:webHidden/>
          </w:rPr>
        </w:r>
        <w:r>
          <w:rPr>
            <w:webHidden/>
          </w:rPr>
          <w:fldChar w:fldCharType="separate"/>
        </w:r>
        <w:r>
          <w:rPr>
            <w:webHidden/>
          </w:rPr>
          <w:t>28</w:t>
        </w:r>
        <w:r>
          <w:rPr>
            <w:webHidden/>
          </w:rPr>
          <w:fldChar w:fldCharType="end"/>
        </w:r>
      </w:hyperlink>
    </w:p>
    <w:p w14:paraId="2BB564D2" w14:textId="7893865C"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99" w:history="1">
        <w:r w:rsidRPr="00970E88">
          <w:rPr>
            <w:rStyle w:val="Hipercze"/>
          </w:rPr>
          <w:t>Tabela 21. Liczba zakażeń HIV, zachorowań na AIDS i zgonów w woj. zachodniopomorskim w latach 1985-2024.</w:t>
        </w:r>
        <w:r>
          <w:rPr>
            <w:webHidden/>
          </w:rPr>
          <w:tab/>
        </w:r>
        <w:r>
          <w:rPr>
            <w:webHidden/>
          </w:rPr>
          <w:fldChar w:fldCharType="begin"/>
        </w:r>
        <w:r>
          <w:rPr>
            <w:webHidden/>
          </w:rPr>
          <w:instrText xml:space="preserve"> PAGEREF _Toc194059999 \h </w:instrText>
        </w:r>
        <w:r>
          <w:rPr>
            <w:webHidden/>
          </w:rPr>
        </w:r>
        <w:r>
          <w:rPr>
            <w:webHidden/>
          </w:rPr>
          <w:fldChar w:fldCharType="separate"/>
        </w:r>
        <w:r>
          <w:rPr>
            <w:webHidden/>
          </w:rPr>
          <w:t>29</w:t>
        </w:r>
        <w:r>
          <w:rPr>
            <w:webHidden/>
          </w:rPr>
          <w:fldChar w:fldCharType="end"/>
        </w:r>
      </w:hyperlink>
    </w:p>
    <w:p w14:paraId="68E98E4C" w14:textId="7B36076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0" w:history="1">
        <w:r w:rsidRPr="00970E88">
          <w:rPr>
            <w:rStyle w:val="Hipercze"/>
          </w:rPr>
          <w:t>Tabela 22. Liczba zachorowań i zapadalność na wybrane choroby zakaźne, zakażenia i zatrucia w woj. zachodniopomorskim w 2024 roku w porównaniu do 2023 roku</w:t>
        </w:r>
        <w:r>
          <w:rPr>
            <w:webHidden/>
          </w:rPr>
          <w:tab/>
        </w:r>
        <w:r>
          <w:rPr>
            <w:webHidden/>
          </w:rPr>
          <w:fldChar w:fldCharType="begin"/>
        </w:r>
        <w:r>
          <w:rPr>
            <w:webHidden/>
          </w:rPr>
          <w:instrText xml:space="preserve"> PAGEREF _Toc194060000 \h </w:instrText>
        </w:r>
        <w:r>
          <w:rPr>
            <w:webHidden/>
          </w:rPr>
        </w:r>
        <w:r>
          <w:rPr>
            <w:webHidden/>
          </w:rPr>
          <w:fldChar w:fldCharType="separate"/>
        </w:r>
        <w:r>
          <w:rPr>
            <w:webHidden/>
          </w:rPr>
          <w:t>31</w:t>
        </w:r>
        <w:r>
          <w:rPr>
            <w:webHidden/>
          </w:rPr>
          <w:fldChar w:fldCharType="end"/>
        </w:r>
      </w:hyperlink>
    </w:p>
    <w:p w14:paraId="6304FAC9" w14:textId="44D3B7A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1" w:history="1">
        <w:r w:rsidRPr="00970E88">
          <w:rPr>
            <w:rStyle w:val="Hipercze"/>
          </w:rPr>
          <w:t>Tabela 23. Stan uodpornienia dzieci i młodzieży w rocznikach podlegających szczepieniom w 2024 r.</w:t>
        </w:r>
        <w:r>
          <w:rPr>
            <w:webHidden/>
          </w:rPr>
          <w:tab/>
        </w:r>
        <w:r>
          <w:rPr>
            <w:webHidden/>
          </w:rPr>
          <w:fldChar w:fldCharType="begin"/>
        </w:r>
        <w:r>
          <w:rPr>
            <w:webHidden/>
          </w:rPr>
          <w:instrText xml:space="preserve"> PAGEREF _Toc194060001 \h </w:instrText>
        </w:r>
        <w:r>
          <w:rPr>
            <w:webHidden/>
          </w:rPr>
        </w:r>
        <w:r>
          <w:rPr>
            <w:webHidden/>
          </w:rPr>
          <w:fldChar w:fldCharType="separate"/>
        </w:r>
        <w:r>
          <w:rPr>
            <w:webHidden/>
          </w:rPr>
          <w:t>36</w:t>
        </w:r>
        <w:r>
          <w:rPr>
            <w:webHidden/>
          </w:rPr>
          <w:fldChar w:fldCharType="end"/>
        </w:r>
      </w:hyperlink>
    </w:p>
    <w:p w14:paraId="5115D08D" w14:textId="4E1AB43D"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2" w:history="1">
        <w:r w:rsidRPr="00970E88">
          <w:rPr>
            <w:rStyle w:val="Hipercze"/>
          </w:rPr>
          <w:t>Tabela 24. Liczba niemowląt nieobjętych szczepieniami przeciw gruźlicy w 1 roku życia w latach 2020-2024 na terenie woj. zachodniopomorskiego</w:t>
        </w:r>
        <w:r>
          <w:rPr>
            <w:webHidden/>
          </w:rPr>
          <w:tab/>
        </w:r>
        <w:r>
          <w:rPr>
            <w:webHidden/>
          </w:rPr>
          <w:fldChar w:fldCharType="begin"/>
        </w:r>
        <w:r>
          <w:rPr>
            <w:webHidden/>
          </w:rPr>
          <w:instrText xml:space="preserve"> PAGEREF _Toc194060002 \h </w:instrText>
        </w:r>
        <w:r>
          <w:rPr>
            <w:webHidden/>
          </w:rPr>
        </w:r>
        <w:r>
          <w:rPr>
            <w:webHidden/>
          </w:rPr>
          <w:fldChar w:fldCharType="separate"/>
        </w:r>
        <w:r>
          <w:rPr>
            <w:webHidden/>
          </w:rPr>
          <w:t>37</w:t>
        </w:r>
        <w:r>
          <w:rPr>
            <w:webHidden/>
          </w:rPr>
          <w:fldChar w:fldCharType="end"/>
        </w:r>
      </w:hyperlink>
    </w:p>
    <w:p w14:paraId="4CEEA1C4" w14:textId="38F36FC9"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3" w:history="1">
        <w:r w:rsidRPr="00970E88">
          <w:rPr>
            <w:rStyle w:val="Hipercze"/>
          </w:rPr>
          <w:t>Tabela 25. Liczba szczepień u osób narażonych w sposób szczególny na zakażenie w roku 2024 na terenie woj. zachodniopomorskiego</w:t>
        </w:r>
        <w:r>
          <w:rPr>
            <w:webHidden/>
          </w:rPr>
          <w:tab/>
        </w:r>
        <w:r>
          <w:rPr>
            <w:webHidden/>
          </w:rPr>
          <w:fldChar w:fldCharType="begin"/>
        </w:r>
        <w:r>
          <w:rPr>
            <w:webHidden/>
          </w:rPr>
          <w:instrText xml:space="preserve"> PAGEREF _Toc194060003 \h </w:instrText>
        </w:r>
        <w:r>
          <w:rPr>
            <w:webHidden/>
          </w:rPr>
        </w:r>
        <w:r>
          <w:rPr>
            <w:webHidden/>
          </w:rPr>
          <w:fldChar w:fldCharType="separate"/>
        </w:r>
        <w:r>
          <w:rPr>
            <w:webHidden/>
          </w:rPr>
          <w:t>37</w:t>
        </w:r>
        <w:r>
          <w:rPr>
            <w:webHidden/>
          </w:rPr>
          <w:fldChar w:fldCharType="end"/>
        </w:r>
      </w:hyperlink>
    </w:p>
    <w:p w14:paraId="79C0AF4C" w14:textId="7C1F0797"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4" w:history="1">
        <w:r w:rsidRPr="00970E88">
          <w:rPr>
            <w:rStyle w:val="Hipercze"/>
          </w:rPr>
          <w:t>Tabela 26. Liczba osób nierealizujących szczepień ochronnych w latach 2012–2024 na terenie woj. zachodniopomorskiego</w:t>
        </w:r>
        <w:r>
          <w:rPr>
            <w:webHidden/>
          </w:rPr>
          <w:tab/>
        </w:r>
        <w:r>
          <w:rPr>
            <w:webHidden/>
          </w:rPr>
          <w:fldChar w:fldCharType="begin"/>
        </w:r>
        <w:r>
          <w:rPr>
            <w:webHidden/>
          </w:rPr>
          <w:instrText xml:space="preserve"> PAGEREF _Toc194060004 \h </w:instrText>
        </w:r>
        <w:r>
          <w:rPr>
            <w:webHidden/>
          </w:rPr>
        </w:r>
        <w:r>
          <w:rPr>
            <w:webHidden/>
          </w:rPr>
          <w:fldChar w:fldCharType="separate"/>
        </w:r>
        <w:r>
          <w:rPr>
            <w:webHidden/>
          </w:rPr>
          <w:t>38</w:t>
        </w:r>
        <w:r>
          <w:rPr>
            <w:webHidden/>
          </w:rPr>
          <w:fldChar w:fldCharType="end"/>
        </w:r>
      </w:hyperlink>
    </w:p>
    <w:p w14:paraId="7011E14E" w14:textId="7C73650A"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5" w:history="1">
        <w:r w:rsidRPr="00970E88">
          <w:rPr>
            <w:rStyle w:val="Hipercze"/>
          </w:rPr>
          <w:t>Tabela 27. Liczba zgłoszonych NOP w latach 2021–2024 na terenie woj. zachodniopomorskiego.</w:t>
        </w:r>
        <w:r>
          <w:rPr>
            <w:webHidden/>
          </w:rPr>
          <w:tab/>
        </w:r>
        <w:r>
          <w:rPr>
            <w:webHidden/>
          </w:rPr>
          <w:fldChar w:fldCharType="begin"/>
        </w:r>
        <w:r>
          <w:rPr>
            <w:webHidden/>
          </w:rPr>
          <w:instrText xml:space="preserve"> PAGEREF _Toc194060005 \h </w:instrText>
        </w:r>
        <w:r>
          <w:rPr>
            <w:webHidden/>
          </w:rPr>
        </w:r>
        <w:r>
          <w:rPr>
            <w:webHidden/>
          </w:rPr>
          <w:fldChar w:fldCharType="separate"/>
        </w:r>
        <w:r>
          <w:rPr>
            <w:webHidden/>
          </w:rPr>
          <w:t>39</w:t>
        </w:r>
        <w:r>
          <w:rPr>
            <w:webHidden/>
          </w:rPr>
          <w:fldChar w:fldCharType="end"/>
        </w:r>
      </w:hyperlink>
    </w:p>
    <w:p w14:paraId="78FD6059" w14:textId="222988BD"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6" w:history="1">
        <w:r w:rsidRPr="00970E88">
          <w:rPr>
            <w:rStyle w:val="Hipercze"/>
          </w:rPr>
          <w:t>Tabela 28. Podmioty działalności leczniczej skontrolowane przez Państwową Inspekcję Sanitarną w woj. zachodniopomorskim w latach 2020-2024</w:t>
        </w:r>
        <w:r>
          <w:rPr>
            <w:webHidden/>
          </w:rPr>
          <w:tab/>
        </w:r>
        <w:r>
          <w:rPr>
            <w:webHidden/>
          </w:rPr>
          <w:fldChar w:fldCharType="begin"/>
        </w:r>
        <w:r>
          <w:rPr>
            <w:webHidden/>
          </w:rPr>
          <w:instrText xml:space="preserve"> PAGEREF _Toc194060006 \h </w:instrText>
        </w:r>
        <w:r>
          <w:rPr>
            <w:webHidden/>
          </w:rPr>
        </w:r>
        <w:r>
          <w:rPr>
            <w:webHidden/>
          </w:rPr>
          <w:fldChar w:fldCharType="separate"/>
        </w:r>
        <w:r>
          <w:rPr>
            <w:webHidden/>
          </w:rPr>
          <w:t>43</w:t>
        </w:r>
        <w:r>
          <w:rPr>
            <w:webHidden/>
          </w:rPr>
          <w:fldChar w:fldCharType="end"/>
        </w:r>
      </w:hyperlink>
    </w:p>
    <w:p w14:paraId="2B662FA4" w14:textId="098A75B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7" w:history="1">
        <w:r w:rsidRPr="00970E88">
          <w:rPr>
            <w:rStyle w:val="Hipercze"/>
          </w:rPr>
          <w:t>Tabela 29. Nadzór nad stanem sanitarnym podmiotów działalności leczniczej wykonujących stacjonarne i ambulatoryjne świadczenia zdrowotne w woj. zachodniopomorskim w 2024 r.</w:t>
        </w:r>
        <w:r>
          <w:rPr>
            <w:webHidden/>
          </w:rPr>
          <w:tab/>
        </w:r>
        <w:r>
          <w:rPr>
            <w:webHidden/>
          </w:rPr>
          <w:fldChar w:fldCharType="begin"/>
        </w:r>
        <w:r>
          <w:rPr>
            <w:webHidden/>
          </w:rPr>
          <w:instrText xml:space="preserve"> PAGEREF _Toc194060007 \h </w:instrText>
        </w:r>
        <w:r>
          <w:rPr>
            <w:webHidden/>
          </w:rPr>
        </w:r>
        <w:r>
          <w:rPr>
            <w:webHidden/>
          </w:rPr>
          <w:fldChar w:fldCharType="separate"/>
        </w:r>
        <w:r>
          <w:rPr>
            <w:webHidden/>
          </w:rPr>
          <w:t>43</w:t>
        </w:r>
        <w:r>
          <w:rPr>
            <w:webHidden/>
          </w:rPr>
          <w:fldChar w:fldCharType="end"/>
        </w:r>
      </w:hyperlink>
    </w:p>
    <w:p w14:paraId="0A3E836B" w14:textId="2E6232C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8" w:history="1">
        <w:r w:rsidRPr="00970E88">
          <w:rPr>
            <w:rStyle w:val="Hipercze"/>
          </w:rPr>
          <w:t>Tabela 30. Wykaz szpitali publicznych i niepublicznych na terenie woj. zachodniopomorskiego będących pod nadzorem PPIS (bez szpitali uzdrowiskowych oraz jednodniowych) - stan na 31.12.2024 r.</w:t>
        </w:r>
        <w:r>
          <w:rPr>
            <w:webHidden/>
          </w:rPr>
          <w:tab/>
        </w:r>
        <w:r>
          <w:rPr>
            <w:webHidden/>
          </w:rPr>
          <w:fldChar w:fldCharType="begin"/>
        </w:r>
        <w:r>
          <w:rPr>
            <w:webHidden/>
          </w:rPr>
          <w:instrText xml:space="preserve"> PAGEREF _Toc194060008 \h </w:instrText>
        </w:r>
        <w:r>
          <w:rPr>
            <w:webHidden/>
          </w:rPr>
        </w:r>
        <w:r>
          <w:rPr>
            <w:webHidden/>
          </w:rPr>
          <w:fldChar w:fldCharType="separate"/>
        </w:r>
        <w:r>
          <w:rPr>
            <w:webHidden/>
          </w:rPr>
          <w:t>44</w:t>
        </w:r>
        <w:r>
          <w:rPr>
            <w:webHidden/>
          </w:rPr>
          <w:fldChar w:fldCharType="end"/>
        </w:r>
      </w:hyperlink>
    </w:p>
    <w:p w14:paraId="1B44555F" w14:textId="7079916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09" w:history="1">
        <w:r w:rsidRPr="00970E88">
          <w:rPr>
            <w:rStyle w:val="Hipercze"/>
          </w:rPr>
          <w:t>Tabela 31. Monitoring procesów sterylizacji w 2024 r. w szpitalach woj. zachodniopomorskiego</w:t>
        </w:r>
        <w:r>
          <w:rPr>
            <w:webHidden/>
          </w:rPr>
          <w:tab/>
        </w:r>
        <w:r>
          <w:rPr>
            <w:webHidden/>
          </w:rPr>
          <w:fldChar w:fldCharType="begin"/>
        </w:r>
        <w:r>
          <w:rPr>
            <w:webHidden/>
          </w:rPr>
          <w:instrText xml:space="preserve"> PAGEREF _Toc194060009 \h </w:instrText>
        </w:r>
        <w:r>
          <w:rPr>
            <w:webHidden/>
          </w:rPr>
        </w:r>
        <w:r>
          <w:rPr>
            <w:webHidden/>
          </w:rPr>
          <w:fldChar w:fldCharType="separate"/>
        </w:r>
        <w:r>
          <w:rPr>
            <w:webHidden/>
          </w:rPr>
          <w:t>52</w:t>
        </w:r>
        <w:r>
          <w:rPr>
            <w:webHidden/>
          </w:rPr>
          <w:fldChar w:fldCharType="end"/>
        </w:r>
      </w:hyperlink>
    </w:p>
    <w:p w14:paraId="278BEB84" w14:textId="3FFA4D29"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0" w:history="1">
        <w:r w:rsidRPr="00970E88">
          <w:rPr>
            <w:rStyle w:val="Hipercze"/>
          </w:rPr>
          <w:t>Tabela 32. Nadzór nad stanem sanitarnym podmiotów działalności leczniczej wykonujących praktykę zawodową w woj. zachodniopomorskim w 2024 r.</w:t>
        </w:r>
        <w:r>
          <w:rPr>
            <w:webHidden/>
          </w:rPr>
          <w:tab/>
        </w:r>
        <w:r>
          <w:rPr>
            <w:webHidden/>
          </w:rPr>
          <w:fldChar w:fldCharType="begin"/>
        </w:r>
        <w:r>
          <w:rPr>
            <w:webHidden/>
          </w:rPr>
          <w:instrText xml:space="preserve"> PAGEREF _Toc194060010 \h </w:instrText>
        </w:r>
        <w:r>
          <w:rPr>
            <w:webHidden/>
          </w:rPr>
        </w:r>
        <w:r>
          <w:rPr>
            <w:webHidden/>
          </w:rPr>
          <w:fldChar w:fldCharType="separate"/>
        </w:r>
        <w:r>
          <w:rPr>
            <w:webHidden/>
          </w:rPr>
          <w:t>55</w:t>
        </w:r>
        <w:r>
          <w:rPr>
            <w:webHidden/>
          </w:rPr>
          <w:fldChar w:fldCharType="end"/>
        </w:r>
      </w:hyperlink>
    </w:p>
    <w:p w14:paraId="3DD6DDCD" w14:textId="012E2397"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1" w:history="1">
        <w:r w:rsidRPr="00970E88">
          <w:rPr>
            <w:rStyle w:val="Hipercze"/>
          </w:rPr>
          <w:t>Tabela 33. Podmioty prowadzące instalacje do termicznego unieszkodliwiania odpadów medycznych na terenie woj. zachodniopomorskiego</w:t>
        </w:r>
        <w:r>
          <w:rPr>
            <w:webHidden/>
          </w:rPr>
          <w:tab/>
        </w:r>
        <w:r>
          <w:rPr>
            <w:webHidden/>
          </w:rPr>
          <w:fldChar w:fldCharType="begin"/>
        </w:r>
        <w:r>
          <w:rPr>
            <w:webHidden/>
          </w:rPr>
          <w:instrText xml:space="preserve"> PAGEREF _Toc194060011 \h </w:instrText>
        </w:r>
        <w:r>
          <w:rPr>
            <w:webHidden/>
          </w:rPr>
        </w:r>
        <w:r>
          <w:rPr>
            <w:webHidden/>
          </w:rPr>
          <w:fldChar w:fldCharType="separate"/>
        </w:r>
        <w:r>
          <w:rPr>
            <w:webHidden/>
          </w:rPr>
          <w:t>56</w:t>
        </w:r>
        <w:r>
          <w:rPr>
            <w:webHidden/>
          </w:rPr>
          <w:fldChar w:fldCharType="end"/>
        </w:r>
      </w:hyperlink>
    </w:p>
    <w:p w14:paraId="7707D9CF" w14:textId="409643C2"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2" w:history="1">
        <w:r w:rsidRPr="00970E88">
          <w:rPr>
            <w:rStyle w:val="Hipercze"/>
          </w:rPr>
          <w:t>Tabela 34. Zestawienie wykonanych w 2024 r. badań fizykochemicznych i mikrobiologicznych środków spożywczych i próbek sanitarnych woj. zachodniopomorskim</w:t>
        </w:r>
        <w:r>
          <w:rPr>
            <w:webHidden/>
          </w:rPr>
          <w:tab/>
        </w:r>
        <w:r>
          <w:rPr>
            <w:webHidden/>
          </w:rPr>
          <w:fldChar w:fldCharType="begin"/>
        </w:r>
        <w:r>
          <w:rPr>
            <w:webHidden/>
          </w:rPr>
          <w:instrText xml:space="preserve"> PAGEREF _Toc194060012 \h </w:instrText>
        </w:r>
        <w:r>
          <w:rPr>
            <w:webHidden/>
          </w:rPr>
        </w:r>
        <w:r>
          <w:rPr>
            <w:webHidden/>
          </w:rPr>
          <w:fldChar w:fldCharType="separate"/>
        </w:r>
        <w:r>
          <w:rPr>
            <w:webHidden/>
          </w:rPr>
          <w:t>62</w:t>
        </w:r>
        <w:r>
          <w:rPr>
            <w:webHidden/>
          </w:rPr>
          <w:fldChar w:fldCharType="end"/>
        </w:r>
      </w:hyperlink>
    </w:p>
    <w:p w14:paraId="033BE053" w14:textId="48FC7C92"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3" w:history="1">
        <w:r w:rsidRPr="00970E88">
          <w:rPr>
            <w:rStyle w:val="Hipercze"/>
          </w:rPr>
          <w:t>Tabela 35. Liczba próbek z województwa zachodniopomorskiego przebadanych w poszczególnych kierunkach</w:t>
        </w:r>
        <w:r>
          <w:rPr>
            <w:webHidden/>
          </w:rPr>
          <w:tab/>
        </w:r>
        <w:r>
          <w:rPr>
            <w:webHidden/>
          </w:rPr>
          <w:fldChar w:fldCharType="begin"/>
        </w:r>
        <w:r>
          <w:rPr>
            <w:webHidden/>
          </w:rPr>
          <w:instrText xml:space="preserve"> PAGEREF _Toc194060013 \h </w:instrText>
        </w:r>
        <w:r>
          <w:rPr>
            <w:webHidden/>
          </w:rPr>
        </w:r>
        <w:r>
          <w:rPr>
            <w:webHidden/>
          </w:rPr>
          <w:fldChar w:fldCharType="separate"/>
        </w:r>
        <w:r>
          <w:rPr>
            <w:webHidden/>
          </w:rPr>
          <w:t>65</w:t>
        </w:r>
        <w:r>
          <w:rPr>
            <w:webHidden/>
          </w:rPr>
          <w:fldChar w:fldCharType="end"/>
        </w:r>
      </w:hyperlink>
    </w:p>
    <w:p w14:paraId="2B198906" w14:textId="299553F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4" w:history="1">
        <w:r w:rsidRPr="00970E88">
          <w:rPr>
            <w:rStyle w:val="Hipercze"/>
          </w:rPr>
          <w:t>Tabela 36. Zestawienie liczbowe wodociągów zaopatrujących ludność w wodę do spożycia na terenie woj. zachodniopomorskiego w 2024 r. - wodociągi w ewidencji organów Państwowej Inspekcji Sanitarnej</w:t>
        </w:r>
        <w:r>
          <w:rPr>
            <w:webHidden/>
          </w:rPr>
          <w:tab/>
        </w:r>
        <w:r>
          <w:rPr>
            <w:webHidden/>
          </w:rPr>
          <w:fldChar w:fldCharType="begin"/>
        </w:r>
        <w:r>
          <w:rPr>
            <w:webHidden/>
          </w:rPr>
          <w:instrText xml:space="preserve"> PAGEREF _Toc194060014 \h </w:instrText>
        </w:r>
        <w:r>
          <w:rPr>
            <w:webHidden/>
          </w:rPr>
        </w:r>
        <w:r>
          <w:rPr>
            <w:webHidden/>
          </w:rPr>
          <w:fldChar w:fldCharType="separate"/>
        </w:r>
        <w:r>
          <w:rPr>
            <w:webHidden/>
          </w:rPr>
          <w:t>73</w:t>
        </w:r>
        <w:r>
          <w:rPr>
            <w:webHidden/>
          </w:rPr>
          <w:fldChar w:fldCharType="end"/>
        </w:r>
      </w:hyperlink>
    </w:p>
    <w:p w14:paraId="0DAA7FDB" w14:textId="0E27D193"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5" w:history="1">
        <w:r w:rsidRPr="00970E88">
          <w:rPr>
            <w:rStyle w:val="Hipercze"/>
          </w:rPr>
          <w:t>Tabela 37. Tymczasowy brak przydatności wody do spożycia przez ludzi, decyzje w woj. zachodniopomorskim w 2024 roku z uwzględnieniem produkcji dobowej wodociągów</w:t>
        </w:r>
        <w:r>
          <w:rPr>
            <w:webHidden/>
          </w:rPr>
          <w:tab/>
        </w:r>
        <w:r>
          <w:rPr>
            <w:webHidden/>
          </w:rPr>
          <w:fldChar w:fldCharType="begin"/>
        </w:r>
        <w:r>
          <w:rPr>
            <w:webHidden/>
          </w:rPr>
          <w:instrText xml:space="preserve"> PAGEREF _Toc194060015 \h </w:instrText>
        </w:r>
        <w:r>
          <w:rPr>
            <w:webHidden/>
          </w:rPr>
        </w:r>
        <w:r>
          <w:rPr>
            <w:webHidden/>
          </w:rPr>
          <w:fldChar w:fldCharType="separate"/>
        </w:r>
        <w:r>
          <w:rPr>
            <w:webHidden/>
          </w:rPr>
          <w:t>75</w:t>
        </w:r>
        <w:r>
          <w:rPr>
            <w:webHidden/>
          </w:rPr>
          <w:fldChar w:fldCharType="end"/>
        </w:r>
      </w:hyperlink>
    </w:p>
    <w:p w14:paraId="60F7A26A" w14:textId="04DFD0CE"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6" w:history="1">
        <w:r w:rsidRPr="00970E88">
          <w:rPr>
            <w:rStyle w:val="Hipercze"/>
          </w:rPr>
          <w:t>Tabela 38. Tymczasowy brak przydatności wody do spożycia przez ludzi, decyzje w woj. zachodniopomorskim w 2024 roku z uwzględnieniem przekroczonego parametru</w:t>
        </w:r>
        <w:r>
          <w:rPr>
            <w:webHidden/>
          </w:rPr>
          <w:tab/>
        </w:r>
        <w:r>
          <w:rPr>
            <w:webHidden/>
          </w:rPr>
          <w:fldChar w:fldCharType="begin"/>
        </w:r>
        <w:r>
          <w:rPr>
            <w:webHidden/>
          </w:rPr>
          <w:instrText xml:space="preserve"> PAGEREF _Toc194060016 \h </w:instrText>
        </w:r>
        <w:r>
          <w:rPr>
            <w:webHidden/>
          </w:rPr>
        </w:r>
        <w:r>
          <w:rPr>
            <w:webHidden/>
          </w:rPr>
          <w:fldChar w:fldCharType="separate"/>
        </w:r>
        <w:r>
          <w:rPr>
            <w:webHidden/>
          </w:rPr>
          <w:t>76</w:t>
        </w:r>
        <w:r>
          <w:rPr>
            <w:webHidden/>
          </w:rPr>
          <w:fldChar w:fldCharType="end"/>
        </w:r>
      </w:hyperlink>
    </w:p>
    <w:p w14:paraId="171E9CA5" w14:textId="065E24F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7" w:history="1">
        <w:r w:rsidRPr="00970E88">
          <w:rPr>
            <w:rStyle w:val="Hipercze"/>
          </w:rPr>
          <w:t>Tabela 39. Decyzje stwierdzające warunkową przydatności wody do spożycia przez ludzi w woj. zachodniopomorskim wydane w 2024 roku, z uwzględnieniem przekroczonego parametru</w:t>
        </w:r>
        <w:r>
          <w:rPr>
            <w:webHidden/>
          </w:rPr>
          <w:tab/>
        </w:r>
        <w:r>
          <w:rPr>
            <w:webHidden/>
          </w:rPr>
          <w:fldChar w:fldCharType="begin"/>
        </w:r>
        <w:r>
          <w:rPr>
            <w:webHidden/>
          </w:rPr>
          <w:instrText xml:space="preserve"> PAGEREF _Toc194060017 \h </w:instrText>
        </w:r>
        <w:r>
          <w:rPr>
            <w:webHidden/>
          </w:rPr>
        </w:r>
        <w:r>
          <w:rPr>
            <w:webHidden/>
          </w:rPr>
          <w:fldChar w:fldCharType="separate"/>
        </w:r>
        <w:r>
          <w:rPr>
            <w:webHidden/>
          </w:rPr>
          <w:t>76</w:t>
        </w:r>
        <w:r>
          <w:rPr>
            <w:webHidden/>
          </w:rPr>
          <w:fldChar w:fldCharType="end"/>
        </w:r>
      </w:hyperlink>
    </w:p>
    <w:p w14:paraId="0C6C1B25" w14:textId="2D64A1E0"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8" w:history="1">
        <w:r w:rsidRPr="00970E88">
          <w:rPr>
            <w:rStyle w:val="Hipercze"/>
          </w:rPr>
          <w:t>Tabela 40. Liczba aparatów rentgenowskich w województwie zachodniopomorskim (stan na 31 grudnia 2024 roku).</w:t>
        </w:r>
        <w:r>
          <w:rPr>
            <w:webHidden/>
          </w:rPr>
          <w:tab/>
        </w:r>
        <w:r>
          <w:rPr>
            <w:webHidden/>
          </w:rPr>
          <w:fldChar w:fldCharType="begin"/>
        </w:r>
        <w:r>
          <w:rPr>
            <w:webHidden/>
          </w:rPr>
          <w:instrText xml:space="preserve"> PAGEREF _Toc194060018 \h </w:instrText>
        </w:r>
        <w:r>
          <w:rPr>
            <w:webHidden/>
          </w:rPr>
        </w:r>
        <w:r>
          <w:rPr>
            <w:webHidden/>
          </w:rPr>
          <w:fldChar w:fldCharType="separate"/>
        </w:r>
        <w:r>
          <w:rPr>
            <w:webHidden/>
          </w:rPr>
          <w:t>106</w:t>
        </w:r>
        <w:r>
          <w:rPr>
            <w:webHidden/>
          </w:rPr>
          <w:fldChar w:fldCharType="end"/>
        </w:r>
      </w:hyperlink>
    </w:p>
    <w:p w14:paraId="2A5A0C92" w14:textId="2F9AEACE"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60019" w:history="1">
        <w:r w:rsidRPr="00970E88">
          <w:rPr>
            <w:rStyle w:val="Hipercze"/>
          </w:rPr>
          <w:t>Tabela 41. Produkty, w których stwierdzono stężenie promieniotwórczego izotopu 137Cs</w:t>
        </w:r>
        <w:r>
          <w:rPr>
            <w:webHidden/>
          </w:rPr>
          <w:tab/>
        </w:r>
        <w:r>
          <w:rPr>
            <w:webHidden/>
          </w:rPr>
          <w:fldChar w:fldCharType="begin"/>
        </w:r>
        <w:r>
          <w:rPr>
            <w:webHidden/>
          </w:rPr>
          <w:instrText xml:space="preserve"> PAGEREF _Toc194060019 \h </w:instrText>
        </w:r>
        <w:r>
          <w:rPr>
            <w:webHidden/>
          </w:rPr>
        </w:r>
        <w:r>
          <w:rPr>
            <w:webHidden/>
          </w:rPr>
          <w:fldChar w:fldCharType="separate"/>
        </w:r>
        <w:r>
          <w:rPr>
            <w:webHidden/>
          </w:rPr>
          <w:t>109</w:t>
        </w:r>
        <w:r>
          <w:rPr>
            <w:webHidden/>
          </w:rPr>
          <w:fldChar w:fldCharType="end"/>
        </w:r>
      </w:hyperlink>
    </w:p>
    <w:p w14:paraId="7DE4DE7C" w14:textId="5BA1045F" w:rsidR="00FB12E7" w:rsidRDefault="00FB12E7" w:rsidP="00597239">
      <w:pPr>
        <w:rPr>
          <w:rFonts w:cstheme="minorHAnsi"/>
          <w:sz w:val="24"/>
          <w:szCs w:val="24"/>
          <w:lang w:eastAsia="pl-PL"/>
        </w:rPr>
      </w:pPr>
      <w:r>
        <w:rPr>
          <w:rFonts w:cstheme="minorHAnsi"/>
          <w:sz w:val="24"/>
          <w:szCs w:val="24"/>
          <w:lang w:eastAsia="pl-PL"/>
        </w:rPr>
        <w:fldChar w:fldCharType="end"/>
      </w:r>
    </w:p>
    <w:p w14:paraId="5BE6560C" w14:textId="75AAE0AB" w:rsidR="0013436E" w:rsidRDefault="0013436E" w:rsidP="00597239">
      <w:pPr>
        <w:rPr>
          <w:rFonts w:cstheme="minorHAnsi"/>
          <w:sz w:val="24"/>
          <w:szCs w:val="24"/>
          <w:lang w:eastAsia="pl-PL"/>
        </w:rPr>
      </w:pPr>
      <w:r>
        <w:rPr>
          <w:rFonts w:cstheme="minorHAnsi"/>
          <w:sz w:val="24"/>
          <w:szCs w:val="24"/>
          <w:lang w:eastAsia="pl-PL"/>
        </w:rPr>
        <w:lastRenderedPageBreak/>
        <w:t>Spis wykresów:</w:t>
      </w:r>
    </w:p>
    <w:p w14:paraId="38830D7B" w14:textId="49D66A8D" w:rsidR="00F446E0" w:rsidRDefault="00FB12E7" w:rsidP="00597239">
      <w:pPr>
        <w:pStyle w:val="Spisilustracji"/>
        <w:rPr>
          <w:rFonts w:asciiTheme="minorHAnsi" w:eastAsiaTheme="minorEastAsia" w:hAnsiTheme="minorHAnsi" w:cstheme="minorBidi"/>
          <w:kern w:val="2"/>
          <w:szCs w:val="24"/>
          <w14:ligatures w14:val="standardContextual"/>
        </w:rPr>
      </w:pPr>
      <w:r>
        <w:rPr>
          <w:rFonts w:cstheme="minorHAnsi"/>
          <w:szCs w:val="24"/>
        </w:rPr>
        <w:fldChar w:fldCharType="begin"/>
      </w:r>
      <w:r>
        <w:rPr>
          <w:rFonts w:cstheme="minorHAnsi"/>
          <w:szCs w:val="24"/>
        </w:rPr>
        <w:instrText xml:space="preserve"> TOC \h \z \c "Wykres" </w:instrText>
      </w:r>
      <w:r>
        <w:rPr>
          <w:rFonts w:cstheme="minorHAnsi"/>
          <w:szCs w:val="24"/>
        </w:rPr>
        <w:fldChar w:fldCharType="separate"/>
      </w:r>
      <w:hyperlink w:anchor="_Toc194059918" w:history="1">
        <w:r w:rsidR="00F446E0" w:rsidRPr="00C706DB">
          <w:rPr>
            <w:rStyle w:val="Hipercze"/>
          </w:rPr>
          <w:t>Wykres 1. Liczba potwierdzonych zachorowań na SARS-CoV-2 z podziałem na meldunki MZ-56 w woj. zachodniopomorskim w latach 2023-2024 (dane zbierane w systemie dwutygodniowym, przy czym pierwsze dwa tygodnie określonego miesiąca oznaczono literą A, a drugi B.</w:t>
        </w:r>
        <w:r w:rsidR="00F446E0">
          <w:rPr>
            <w:webHidden/>
          </w:rPr>
          <w:tab/>
        </w:r>
        <w:r w:rsidR="00F446E0">
          <w:rPr>
            <w:webHidden/>
          </w:rPr>
          <w:fldChar w:fldCharType="begin"/>
        </w:r>
        <w:r w:rsidR="00F446E0">
          <w:rPr>
            <w:webHidden/>
          </w:rPr>
          <w:instrText xml:space="preserve"> PAGEREF _Toc194059918 \h </w:instrText>
        </w:r>
        <w:r w:rsidR="00F446E0">
          <w:rPr>
            <w:webHidden/>
          </w:rPr>
        </w:r>
        <w:r w:rsidR="00F446E0">
          <w:rPr>
            <w:webHidden/>
          </w:rPr>
          <w:fldChar w:fldCharType="separate"/>
        </w:r>
        <w:r w:rsidR="00F446E0">
          <w:rPr>
            <w:webHidden/>
          </w:rPr>
          <w:t>16</w:t>
        </w:r>
        <w:r w:rsidR="00F446E0">
          <w:rPr>
            <w:webHidden/>
          </w:rPr>
          <w:fldChar w:fldCharType="end"/>
        </w:r>
      </w:hyperlink>
    </w:p>
    <w:p w14:paraId="16A901C0" w14:textId="640051EF"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19" w:history="1">
        <w:r w:rsidRPr="00C706DB">
          <w:rPr>
            <w:rStyle w:val="Hipercze"/>
          </w:rPr>
          <w:t>Wykres 2.  Zachorowania na grypę w latach 2023- 2024 w woj. zachodniopomorskim z uwzględnieniem liczby i przypadków diagnozowanych testem molekularnym (PCR) oraz antygenowym.</w:t>
        </w:r>
        <w:r>
          <w:rPr>
            <w:webHidden/>
          </w:rPr>
          <w:tab/>
        </w:r>
        <w:r>
          <w:rPr>
            <w:webHidden/>
          </w:rPr>
          <w:fldChar w:fldCharType="begin"/>
        </w:r>
        <w:r>
          <w:rPr>
            <w:webHidden/>
          </w:rPr>
          <w:instrText xml:space="preserve"> PAGEREF _Toc194059919 \h </w:instrText>
        </w:r>
        <w:r>
          <w:rPr>
            <w:webHidden/>
          </w:rPr>
        </w:r>
        <w:r>
          <w:rPr>
            <w:webHidden/>
          </w:rPr>
          <w:fldChar w:fldCharType="separate"/>
        </w:r>
        <w:r>
          <w:rPr>
            <w:webHidden/>
          </w:rPr>
          <w:t>17</w:t>
        </w:r>
        <w:r>
          <w:rPr>
            <w:webHidden/>
          </w:rPr>
          <w:fldChar w:fldCharType="end"/>
        </w:r>
      </w:hyperlink>
    </w:p>
    <w:p w14:paraId="6CB4E2F6" w14:textId="16591FE4"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0" w:history="1">
        <w:r w:rsidRPr="00C706DB">
          <w:rPr>
            <w:rStyle w:val="Hipercze"/>
          </w:rPr>
          <w:t>Wykres 3. Współczynnik zapadalności na ICHM w Polsce i w woj. zachodniopomorskim w latach 2020-2024.</w:t>
        </w:r>
        <w:r>
          <w:rPr>
            <w:webHidden/>
          </w:rPr>
          <w:tab/>
        </w:r>
        <w:r>
          <w:rPr>
            <w:webHidden/>
          </w:rPr>
          <w:fldChar w:fldCharType="begin"/>
        </w:r>
        <w:r>
          <w:rPr>
            <w:webHidden/>
          </w:rPr>
          <w:instrText xml:space="preserve"> PAGEREF _Toc194059920 \h </w:instrText>
        </w:r>
        <w:r>
          <w:rPr>
            <w:webHidden/>
          </w:rPr>
        </w:r>
        <w:r>
          <w:rPr>
            <w:webHidden/>
          </w:rPr>
          <w:fldChar w:fldCharType="separate"/>
        </w:r>
        <w:r>
          <w:rPr>
            <w:webHidden/>
          </w:rPr>
          <w:t>23</w:t>
        </w:r>
        <w:r>
          <w:rPr>
            <w:webHidden/>
          </w:rPr>
          <w:fldChar w:fldCharType="end"/>
        </w:r>
      </w:hyperlink>
    </w:p>
    <w:p w14:paraId="7273EAC1" w14:textId="4520823C"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1" w:history="1">
        <w:r w:rsidRPr="00C706DB">
          <w:rPr>
            <w:rStyle w:val="Hipercze"/>
          </w:rPr>
          <w:t>Wykres 4. Liczba zachorowań i hospitalizacji z powodu boreliozy w woj. zachodniopomorskim w latach 2020 – 2024</w:t>
        </w:r>
        <w:r>
          <w:rPr>
            <w:webHidden/>
          </w:rPr>
          <w:tab/>
        </w:r>
        <w:r>
          <w:rPr>
            <w:webHidden/>
          </w:rPr>
          <w:fldChar w:fldCharType="begin"/>
        </w:r>
        <w:r>
          <w:rPr>
            <w:webHidden/>
          </w:rPr>
          <w:instrText xml:space="preserve"> PAGEREF _Toc194059921 \h </w:instrText>
        </w:r>
        <w:r>
          <w:rPr>
            <w:webHidden/>
          </w:rPr>
        </w:r>
        <w:r>
          <w:rPr>
            <w:webHidden/>
          </w:rPr>
          <w:fldChar w:fldCharType="separate"/>
        </w:r>
        <w:r>
          <w:rPr>
            <w:webHidden/>
          </w:rPr>
          <w:t>25</w:t>
        </w:r>
        <w:r>
          <w:rPr>
            <w:webHidden/>
          </w:rPr>
          <w:fldChar w:fldCharType="end"/>
        </w:r>
      </w:hyperlink>
    </w:p>
    <w:p w14:paraId="6401E3D3" w14:textId="7FDCFCDD"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2" w:history="1">
        <w:r w:rsidRPr="00C706DB">
          <w:rPr>
            <w:rStyle w:val="Hipercze"/>
          </w:rPr>
          <w:t>Wykres 5. Współczynnik zapadalności na gruźlicę w Polsce i woj. zachodniopomorskim w latach 2019-2024.</w:t>
        </w:r>
        <w:r>
          <w:rPr>
            <w:webHidden/>
          </w:rPr>
          <w:tab/>
        </w:r>
        <w:r>
          <w:rPr>
            <w:webHidden/>
          </w:rPr>
          <w:fldChar w:fldCharType="begin"/>
        </w:r>
        <w:r>
          <w:rPr>
            <w:webHidden/>
          </w:rPr>
          <w:instrText xml:space="preserve"> PAGEREF _Toc194059922 \h </w:instrText>
        </w:r>
        <w:r>
          <w:rPr>
            <w:webHidden/>
          </w:rPr>
        </w:r>
        <w:r>
          <w:rPr>
            <w:webHidden/>
          </w:rPr>
          <w:fldChar w:fldCharType="separate"/>
        </w:r>
        <w:r>
          <w:rPr>
            <w:webHidden/>
          </w:rPr>
          <w:t>28</w:t>
        </w:r>
        <w:r>
          <w:rPr>
            <w:webHidden/>
          </w:rPr>
          <w:fldChar w:fldCharType="end"/>
        </w:r>
      </w:hyperlink>
    </w:p>
    <w:p w14:paraId="378DFD47" w14:textId="711E50B4"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3" w:history="1">
        <w:r w:rsidRPr="00C706DB">
          <w:rPr>
            <w:rStyle w:val="Hipercze"/>
          </w:rPr>
          <w:t>Wykres 6. Liczba wykonanych badań w kierunku HIV w Punktach Konsultacyjno-Diagnostycznych w Szczecinie i Koszalinie w latach 2010 -2024 z uwzględnieniem wyników dodatnich.</w:t>
        </w:r>
        <w:r>
          <w:rPr>
            <w:webHidden/>
          </w:rPr>
          <w:tab/>
        </w:r>
        <w:r>
          <w:rPr>
            <w:webHidden/>
          </w:rPr>
          <w:fldChar w:fldCharType="begin"/>
        </w:r>
        <w:r>
          <w:rPr>
            <w:webHidden/>
          </w:rPr>
          <w:instrText xml:space="preserve"> PAGEREF _Toc194059923 \h </w:instrText>
        </w:r>
        <w:r>
          <w:rPr>
            <w:webHidden/>
          </w:rPr>
        </w:r>
        <w:r>
          <w:rPr>
            <w:webHidden/>
          </w:rPr>
          <w:fldChar w:fldCharType="separate"/>
        </w:r>
        <w:r>
          <w:rPr>
            <w:webHidden/>
          </w:rPr>
          <w:t>30</w:t>
        </w:r>
        <w:r>
          <w:rPr>
            <w:webHidden/>
          </w:rPr>
          <w:fldChar w:fldCharType="end"/>
        </w:r>
      </w:hyperlink>
    </w:p>
    <w:p w14:paraId="5D3A6EA6" w14:textId="18EE421C"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4" w:history="1">
        <w:r w:rsidRPr="00C706DB">
          <w:rPr>
            <w:rStyle w:val="Hipercze"/>
          </w:rPr>
          <w:t>Wykres 7 Liczba ognisk zakażeń szpitalnych w woj. zachodniopomorskim zgłoszonych do Państwowej Inspekcji Sanitarnej w latach 2020 -2024</w:t>
        </w:r>
        <w:r>
          <w:rPr>
            <w:webHidden/>
          </w:rPr>
          <w:tab/>
        </w:r>
        <w:r>
          <w:rPr>
            <w:webHidden/>
          </w:rPr>
          <w:fldChar w:fldCharType="begin"/>
        </w:r>
        <w:r>
          <w:rPr>
            <w:webHidden/>
          </w:rPr>
          <w:instrText xml:space="preserve"> PAGEREF _Toc194059924 \h </w:instrText>
        </w:r>
        <w:r>
          <w:rPr>
            <w:webHidden/>
          </w:rPr>
        </w:r>
        <w:r>
          <w:rPr>
            <w:webHidden/>
          </w:rPr>
          <w:fldChar w:fldCharType="separate"/>
        </w:r>
        <w:r>
          <w:rPr>
            <w:webHidden/>
          </w:rPr>
          <w:t>41</w:t>
        </w:r>
        <w:r>
          <w:rPr>
            <w:webHidden/>
          </w:rPr>
          <w:fldChar w:fldCharType="end"/>
        </w:r>
      </w:hyperlink>
    </w:p>
    <w:p w14:paraId="25B3B8B0" w14:textId="74ED605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5" w:history="1">
        <w:r w:rsidRPr="00C706DB">
          <w:rPr>
            <w:rStyle w:val="Hipercze"/>
          </w:rPr>
          <w:t>Wykres 8.  Zakłady żywności i żywienia ujęte w rejestrach Państwowej Inspekcji Sanitarnej w województwie zachodniopomorskim.</w:t>
        </w:r>
        <w:r>
          <w:rPr>
            <w:webHidden/>
          </w:rPr>
          <w:tab/>
        </w:r>
        <w:r>
          <w:rPr>
            <w:webHidden/>
          </w:rPr>
          <w:fldChar w:fldCharType="begin"/>
        </w:r>
        <w:r>
          <w:rPr>
            <w:webHidden/>
          </w:rPr>
          <w:instrText xml:space="preserve"> PAGEREF _Toc194059925 \h </w:instrText>
        </w:r>
        <w:r>
          <w:rPr>
            <w:webHidden/>
          </w:rPr>
        </w:r>
        <w:r>
          <w:rPr>
            <w:webHidden/>
          </w:rPr>
          <w:fldChar w:fldCharType="separate"/>
        </w:r>
        <w:r>
          <w:rPr>
            <w:webHidden/>
          </w:rPr>
          <w:t>59</w:t>
        </w:r>
        <w:r>
          <w:rPr>
            <w:webHidden/>
          </w:rPr>
          <w:fldChar w:fldCharType="end"/>
        </w:r>
      </w:hyperlink>
    </w:p>
    <w:p w14:paraId="7AC0FE5E" w14:textId="2364A300"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6" w:history="1">
        <w:r w:rsidRPr="00C706DB">
          <w:rPr>
            <w:rStyle w:val="Hipercze"/>
          </w:rPr>
          <w:t>Wykres 9. Zestawienie rodzajów pływalni na terenie woj. zachodniopomorskiego</w:t>
        </w:r>
        <w:r>
          <w:rPr>
            <w:webHidden/>
          </w:rPr>
          <w:tab/>
        </w:r>
        <w:r>
          <w:rPr>
            <w:webHidden/>
          </w:rPr>
          <w:fldChar w:fldCharType="begin"/>
        </w:r>
        <w:r>
          <w:rPr>
            <w:webHidden/>
          </w:rPr>
          <w:instrText xml:space="preserve"> PAGEREF _Toc194059926 \h </w:instrText>
        </w:r>
        <w:r>
          <w:rPr>
            <w:webHidden/>
          </w:rPr>
        </w:r>
        <w:r>
          <w:rPr>
            <w:webHidden/>
          </w:rPr>
          <w:fldChar w:fldCharType="separate"/>
        </w:r>
        <w:r>
          <w:rPr>
            <w:webHidden/>
          </w:rPr>
          <w:t>80</w:t>
        </w:r>
        <w:r>
          <w:rPr>
            <w:webHidden/>
          </w:rPr>
          <w:fldChar w:fldCharType="end"/>
        </w:r>
      </w:hyperlink>
    </w:p>
    <w:p w14:paraId="58EB5276" w14:textId="56B1E982"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7" w:history="1">
        <w:r w:rsidRPr="00C706DB">
          <w:rPr>
            <w:rStyle w:val="Hipercze"/>
          </w:rPr>
          <w:t>Wykres 10. Liczba i rodzaj kąpielisk w latach 2014-2024</w:t>
        </w:r>
        <w:r>
          <w:rPr>
            <w:webHidden/>
          </w:rPr>
          <w:tab/>
        </w:r>
        <w:r>
          <w:rPr>
            <w:webHidden/>
          </w:rPr>
          <w:fldChar w:fldCharType="begin"/>
        </w:r>
        <w:r>
          <w:rPr>
            <w:webHidden/>
          </w:rPr>
          <w:instrText xml:space="preserve"> PAGEREF _Toc194059927 \h </w:instrText>
        </w:r>
        <w:r>
          <w:rPr>
            <w:webHidden/>
          </w:rPr>
        </w:r>
        <w:r>
          <w:rPr>
            <w:webHidden/>
          </w:rPr>
          <w:fldChar w:fldCharType="separate"/>
        </w:r>
        <w:r>
          <w:rPr>
            <w:webHidden/>
          </w:rPr>
          <w:t>82</w:t>
        </w:r>
        <w:r>
          <w:rPr>
            <w:webHidden/>
          </w:rPr>
          <w:fldChar w:fldCharType="end"/>
        </w:r>
      </w:hyperlink>
    </w:p>
    <w:p w14:paraId="56C74B83" w14:textId="73DA486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8" w:history="1">
        <w:r w:rsidRPr="00C706DB">
          <w:rPr>
            <w:rStyle w:val="Hipercze"/>
          </w:rPr>
          <w:t>Wykres 11.  Liczba i rodzaj miejsc okazjonalnie wykorzystywanych do kąpieli w latach 2014-2024</w:t>
        </w:r>
        <w:r>
          <w:rPr>
            <w:webHidden/>
          </w:rPr>
          <w:tab/>
        </w:r>
        <w:r>
          <w:rPr>
            <w:webHidden/>
          </w:rPr>
          <w:fldChar w:fldCharType="begin"/>
        </w:r>
        <w:r>
          <w:rPr>
            <w:webHidden/>
          </w:rPr>
          <w:instrText xml:space="preserve"> PAGEREF _Toc194059928 \h </w:instrText>
        </w:r>
        <w:r>
          <w:rPr>
            <w:webHidden/>
          </w:rPr>
        </w:r>
        <w:r>
          <w:rPr>
            <w:webHidden/>
          </w:rPr>
          <w:fldChar w:fldCharType="separate"/>
        </w:r>
        <w:r>
          <w:rPr>
            <w:webHidden/>
          </w:rPr>
          <w:t>84</w:t>
        </w:r>
        <w:r>
          <w:rPr>
            <w:webHidden/>
          </w:rPr>
          <w:fldChar w:fldCharType="end"/>
        </w:r>
      </w:hyperlink>
    </w:p>
    <w:p w14:paraId="36A8C7D8" w14:textId="037C9585"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29" w:history="1">
        <w:r w:rsidRPr="00C706DB">
          <w:rPr>
            <w:rStyle w:val="Hipercze"/>
          </w:rPr>
          <w:t>Wykres 12. Stan sanitarno-techniczny skontrolowanych obiektów użyteczności publicznej</w:t>
        </w:r>
        <w:r>
          <w:rPr>
            <w:webHidden/>
          </w:rPr>
          <w:tab/>
        </w:r>
        <w:r>
          <w:rPr>
            <w:webHidden/>
          </w:rPr>
          <w:fldChar w:fldCharType="begin"/>
        </w:r>
        <w:r>
          <w:rPr>
            <w:webHidden/>
          </w:rPr>
          <w:instrText xml:space="preserve"> PAGEREF _Toc194059929 \h </w:instrText>
        </w:r>
        <w:r>
          <w:rPr>
            <w:webHidden/>
          </w:rPr>
        </w:r>
        <w:r>
          <w:rPr>
            <w:webHidden/>
          </w:rPr>
          <w:fldChar w:fldCharType="separate"/>
        </w:r>
        <w:r>
          <w:rPr>
            <w:webHidden/>
          </w:rPr>
          <w:t>85</w:t>
        </w:r>
        <w:r>
          <w:rPr>
            <w:webHidden/>
          </w:rPr>
          <w:fldChar w:fldCharType="end"/>
        </w:r>
      </w:hyperlink>
    </w:p>
    <w:p w14:paraId="0407687D" w14:textId="7E73DD3B"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0" w:history="1">
        <w:r w:rsidRPr="00C706DB">
          <w:rPr>
            <w:rStyle w:val="Hipercze"/>
          </w:rPr>
          <w:t>Wykres 13 Liczba pracowników pracujący w przekroczeniach NDS/NDN czynników szkodliwych w środowisku pracy w roku 2024</w:t>
        </w:r>
        <w:r>
          <w:rPr>
            <w:webHidden/>
          </w:rPr>
          <w:tab/>
        </w:r>
        <w:r>
          <w:rPr>
            <w:webHidden/>
          </w:rPr>
          <w:fldChar w:fldCharType="begin"/>
        </w:r>
        <w:r>
          <w:rPr>
            <w:webHidden/>
          </w:rPr>
          <w:instrText xml:space="preserve"> PAGEREF _Toc194059930 \h </w:instrText>
        </w:r>
        <w:r>
          <w:rPr>
            <w:webHidden/>
          </w:rPr>
        </w:r>
        <w:r>
          <w:rPr>
            <w:webHidden/>
          </w:rPr>
          <w:fldChar w:fldCharType="separate"/>
        </w:r>
        <w:r>
          <w:rPr>
            <w:webHidden/>
          </w:rPr>
          <w:t>99</w:t>
        </w:r>
        <w:r>
          <w:rPr>
            <w:webHidden/>
          </w:rPr>
          <w:fldChar w:fldCharType="end"/>
        </w:r>
      </w:hyperlink>
    </w:p>
    <w:p w14:paraId="2B402DAC" w14:textId="098DDE64"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1" w:history="1">
        <w:r w:rsidRPr="00C706DB">
          <w:rPr>
            <w:rStyle w:val="Hipercze"/>
          </w:rPr>
          <w:t>Wykres 14. Zakłady, w których największa liczba pracowników zatrudnionych była w warunkach przekroczenia NDS/NDN wg PKD w latach 2014 – 2024</w:t>
        </w:r>
        <w:r>
          <w:rPr>
            <w:webHidden/>
          </w:rPr>
          <w:tab/>
        </w:r>
        <w:r>
          <w:rPr>
            <w:webHidden/>
          </w:rPr>
          <w:fldChar w:fldCharType="begin"/>
        </w:r>
        <w:r>
          <w:rPr>
            <w:webHidden/>
          </w:rPr>
          <w:instrText xml:space="preserve"> PAGEREF _Toc194059931 \h </w:instrText>
        </w:r>
        <w:r>
          <w:rPr>
            <w:webHidden/>
          </w:rPr>
        </w:r>
        <w:r>
          <w:rPr>
            <w:webHidden/>
          </w:rPr>
          <w:fldChar w:fldCharType="separate"/>
        </w:r>
        <w:r>
          <w:rPr>
            <w:webHidden/>
          </w:rPr>
          <w:t>100</w:t>
        </w:r>
        <w:r>
          <w:rPr>
            <w:webHidden/>
          </w:rPr>
          <w:fldChar w:fldCharType="end"/>
        </w:r>
      </w:hyperlink>
    </w:p>
    <w:p w14:paraId="5824E40B" w14:textId="331FFA9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2" w:history="1">
        <w:r w:rsidRPr="00C706DB">
          <w:rPr>
            <w:rStyle w:val="Hipercze"/>
          </w:rPr>
          <w:t>Wykres 15. Liczba osób narażonych na czynniki rakotwórcze z podziałem na kobiety i mężczyzn w latach 2014 – 2024</w:t>
        </w:r>
        <w:r>
          <w:rPr>
            <w:webHidden/>
          </w:rPr>
          <w:tab/>
        </w:r>
        <w:r>
          <w:rPr>
            <w:webHidden/>
          </w:rPr>
          <w:fldChar w:fldCharType="begin"/>
        </w:r>
        <w:r>
          <w:rPr>
            <w:webHidden/>
          </w:rPr>
          <w:instrText xml:space="preserve"> PAGEREF _Toc194059932 \h </w:instrText>
        </w:r>
        <w:r>
          <w:rPr>
            <w:webHidden/>
          </w:rPr>
        </w:r>
        <w:r>
          <w:rPr>
            <w:webHidden/>
          </w:rPr>
          <w:fldChar w:fldCharType="separate"/>
        </w:r>
        <w:r>
          <w:rPr>
            <w:webHidden/>
          </w:rPr>
          <w:t>101</w:t>
        </w:r>
        <w:r>
          <w:rPr>
            <w:webHidden/>
          </w:rPr>
          <w:fldChar w:fldCharType="end"/>
        </w:r>
      </w:hyperlink>
    </w:p>
    <w:p w14:paraId="1A4D5B8E" w14:textId="441F907A"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3" w:history="1">
        <w:r w:rsidRPr="00C706DB">
          <w:rPr>
            <w:rStyle w:val="Hipercze"/>
          </w:rPr>
          <w:t>Wykres 16. Liczba osób narażonych na czynniki biologiczne, z podziałem na grupy czynników biologicznych w skontrolowanych zakładach, w latach 2014 - 2024</w:t>
        </w:r>
        <w:r>
          <w:rPr>
            <w:webHidden/>
          </w:rPr>
          <w:tab/>
        </w:r>
        <w:r>
          <w:rPr>
            <w:webHidden/>
          </w:rPr>
          <w:fldChar w:fldCharType="begin"/>
        </w:r>
        <w:r>
          <w:rPr>
            <w:webHidden/>
          </w:rPr>
          <w:instrText xml:space="preserve"> PAGEREF _Toc194059933 \h </w:instrText>
        </w:r>
        <w:r>
          <w:rPr>
            <w:webHidden/>
          </w:rPr>
        </w:r>
        <w:r>
          <w:rPr>
            <w:webHidden/>
          </w:rPr>
          <w:fldChar w:fldCharType="separate"/>
        </w:r>
        <w:r>
          <w:rPr>
            <w:webHidden/>
          </w:rPr>
          <w:t>102</w:t>
        </w:r>
        <w:r>
          <w:rPr>
            <w:webHidden/>
          </w:rPr>
          <w:fldChar w:fldCharType="end"/>
        </w:r>
      </w:hyperlink>
    </w:p>
    <w:p w14:paraId="24BE1D18" w14:textId="39131769"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4" w:history="1">
        <w:r w:rsidRPr="00C706DB">
          <w:rPr>
            <w:rStyle w:val="Hipercze"/>
          </w:rPr>
          <w:t>Wykres 17. Liczba stwierdzonych chorób zawodowych w stosunku do liczby zgłoszonych podejrzeń w latach 2014 – 2024</w:t>
        </w:r>
        <w:r>
          <w:rPr>
            <w:webHidden/>
          </w:rPr>
          <w:tab/>
        </w:r>
        <w:r>
          <w:rPr>
            <w:webHidden/>
          </w:rPr>
          <w:fldChar w:fldCharType="begin"/>
        </w:r>
        <w:r>
          <w:rPr>
            <w:webHidden/>
          </w:rPr>
          <w:instrText xml:space="preserve"> PAGEREF _Toc194059934 \h </w:instrText>
        </w:r>
        <w:r>
          <w:rPr>
            <w:webHidden/>
          </w:rPr>
        </w:r>
        <w:r>
          <w:rPr>
            <w:webHidden/>
          </w:rPr>
          <w:fldChar w:fldCharType="separate"/>
        </w:r>
        <w:r>
          <w:rPr>
            <w:webHidden/>
          </w:rPr>
          <w:t>104</w:t>
        </w:r>
        <w:r>
          <w:rPr>
            <w:webHidden/>
          </w:rPr>
          <w:fldChar w:fldCharType="end"/>
        </w:r>
      </w:hyperlink>
    </w:p>
    <w:p w14:paraId="2C6EF8A3" w14:textId="28E315B8"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5" w:history="1">
        <w:r w:rsidRPr="00C706DB">
          <w:rPr>
            <w:rStyle w:val="Hipercze"/>
          </w:rPr>
          <w:t>Wykres 18. Liczba stwierdzonych chorób zakaźnych lub pasożytniczych i boreliozy w latach 2014 – 2024</w:t>
        </w:r>
        <w:r>
          <w:rPr>
            <w:webHidden/>
          </w:rPr>
          <w:tab/>
        </w:r>
        <w:r>
          <w:rPr>
            <w:webHidden/>
          </w:rPr>
          <w:fldChar w:fldCharType="begin"/>
        </w:r>
        <w:r>
          <w:rPr>
            <w:webHidden/>
          </w:rPr>
          <w:instrText xml:space="preserve"> PAGEREF _Toc194059935 \h </w:instrText>
        </w:r>
        <w:r>
          <w:rPr>
            <w:webHidden/>
          </w:rPr>
        </w:r>
        <w:r>
          <w:rPr>
            <w:webHidden/>
          </w:rPr>
          <w:fldChar w:fldCharType="separate"/>
        </w:r>
        <w:r>
          <w:rPr>
            <w:webHidden/>
          </w:rPr>
          <w:t>105</w:t>
        </w:r>
        <w:r>
          <w:rPr>
            <w:webHidden/>
          </w:rPr>
          <w:fldChar w:fldCharType="end"/>
        </w:r>
      </w:hyperlink>
    </w:p>
    <w:p w14:paraId="384553AA" w14:textId="5F34C424"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6" w:history="1">
        <w:r w:rsidRPr="00C706DB">
          <w:rPr>
            <w:rStyle w:val="Hipercze"/>
          </w:rPr>
          <w:t>Wykres 19. Liczba zgłoszeń zatruć/podejrzeń zatruć ŚZ lub NSP w latach 2016 - 2024</w:t>
        </w:r>
        <w:r>
          <w:rPr>
            <w:webHidden/>
          </w:rPr>
          <w:tab/>
        </w:r>
        <w:r>
          <w:rPr>
            <w:webHidden/>
          </w:rPr>
          <w:fldChar w:fldCharType="begin"/>
        </w:r>
        <w:r>
          <w:rPr>
            <w:webHidden/>
          </w:rPr>
          <w:instrText xml:space="preserve"> PAGEREF _Toc194059936 \h </w:instrText>
        </w:r>
        <w:r>
          <w:rPr>
            <w:webHidden/>
          </w:rPr>
        </w:r>
        <w:r>
          <w:rPr>
            <w:webHidden/>
          </w:rPr>
          <w:fldChar w:fldCharType="separate"/>
        </w:r>
        <w:r>
          <w:rPr>
            <w:webHidden/>
          </w:rPr>
          <w:t>113</w:t>
        </w:r>
        <w:r>
          <w:rPr>
            <w:webHidden/>
          </w:rPr>
          <w:fldChar w:fldCharType="end"/>
        </w:r>
      </w:hyperlink>
    </w:p>
    <w:p w14:paraId="56A7816A" w14:textId="57E3DEBA" w:rsidR="00F446E0" w:rsidRDefault="00F446E0" w:rsidP="00597239">
      <w:pPr>
        <w:pStyle w:val="Spisilustracji"/>
        <w:rPr>
          <w:rFonts w:asciiTheme="minorHAnsi" w:eastAsiaTheme="minorEastAsia" w:hAnsiTheme="minorHAnsi" w:cstheme="minorBidi"/>
          <w:kern w:val="2"/>
          <w:szCs w:val="24"/>
          <w14:ligatures w14:val="standardContextual"/>
        </w:rPr>
      </w:pPr>
      <w:hyperlink w:anchor="_Toc194059937" w:history="1">
        <w:r w:rsidRPr="00C706DB">
          <w:rPr>
            <w:rStyle w:val="Hipercze"/>
          </w:rPr>
          <w:t>Wykres 20. Liczba zgłoszeń zatruć/podejrzeń zatruć ŚZ lub NSP z podziałem na osoby do i powyżej 18 r.ż. w latach 2016 – 2024</w:t>
        </w:r>
        <w:r>
          <w:rPr>
            <w:webHidden/>
          </w:rPr>
          <w:tab/>
        </w:r>
        <w:r>
          <w:rPr>
            <w:webHidden/>
          </w:rPr>
          <w:fldChar w:fldCharType="begin"/>
        </w:r>
        <w:r>
          <w:rPr>
            <w:webHidden/>
          </w:rPr>
          <w:instrText xml:space="preserve"> PAGEREF _Toc194059937 \h </w:instrText>
        </w:r>
        <w:r>
          <w:rPr>
            <w:webHidden/>
          </w:rPr>
        </w:r>
        <w:r>
          <w:rPr>
            <w:webHidden/>
          </w:rPr>
          <w:fldChar w:fldCharType="separate"/>
        </w:r>
        <w:r>
          <w:rPr>
            <w:webHidden/>
          </w:rPr>
          <w:t>113</w:t>
        </w:r>
        <w:r>
          <w:rPr>
            <w:webHidden/>
          </w:rPr>
          <w:fldChar w:fldCharType="end"/>
        </w:r>
      </w:hyperlink>
    </w:p>
    <w:p w14:paraId="46915363" w14:textId="731CA57C" w:rsidR="00FB12E7" w:rsidRDefault="00FB12E7" w:rsidP="00597239">
      <w:pPr>
        <w:rPr>
          <w:rFonts w:cstheme="minorHAnsi"/>
          <w:sz w:val="24"/>
          <w:szCs w:val="24"/>
          <w:lang w:eastAsia="pl-PL"/>
        </w:rPr>
      </w:pPr>
      <w:r>
        <w:rPr>
          <w:rFonts w:cstheme="minorHAnsi"/>
          <w:sz w:val="24"/>
          <w:szCs w:val="24"/>
          <w:lang w:eastAsia="pl-PL"/>
        </w:rPr>
        <w:fldChar w:fldCharType="end"/>
      </w:r>
    </w:p>
    <w:sectPr w:rsidR="00FB12E7" w:rsidSect="006846B8">
      <w:headerReference w:type="default" r:id="rId5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F511" w14:textId="77777777" w:rsidR="00754EE7" w:rsidRDefault="00754EE7" w:rsidP="005D1318">
      <w:pPr>
        <w:spacing w:after="0" w:line="240" w:lineRule="auto"/>
      </w:pPr>
      <w:r>
        <w:separator/>
      </w:r>
    </w:p>
    <w:p w14:paraId="556C37BC" w14:textId="77777777" w:rsidR="00754EE7" w:rsidRDefault="00754EE7"/>
  </w:endnote>
  <w:endnote w:type="continuationSeparator" w:id="0">
    <w:p w14:paraId="106C6202" w14:textId="77777777" w:rsidR="00754EE7" w:rsidRDefault="00754EE7" w:rsidP="005D1318">
      <w:pPr>
        <w:spacing w:after="0" w:line="240" w:lineRule="auto"/>
      </w:pPr>
      <w:r>
        <w:continuationSeparator/>
      </w:r>
    </w:p>
    <w:p w14:paraId="28F8AEBC" w14:textId="77777777" w:rsidR="00754EE7" w:rsidRDefault="00754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Segoe UI Symbol"/>
    <w:charset w:val="02"/>
    <w:family w:val="auto"/>
    <w:pitch w:val="default"/>
  </w:font>
  <w:font w:name="Albany">
    <w:altName w:val="Arial"/>
    <w:charset w:val="00"/>
    <w:family w:val="swiss"/>
    <w:pitch w:val="variable"/>
  </w:font>
  <w:font w:name="HG Mincho Light J">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Arial"/>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786829"/>
      <w:docPartObj>
        <w:docPartGallery w:val="Page Numbers (Bottom of Page)"/>
        <w:docPartUnique/>
      </w:docPartObj>
    </w:sdtPr>
    <w:sdtContent>
      <w:p w14:paraId="282BC1E2" w14:textId="77777777" w:rsidR="000B4D72" w:rsidRDefault="000B4D72" w:rsidP="00082376">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D201" w14:textId="77777777" w:rsidR="000B4D72" w:rsidRDefault="000B4D72" w:rsidP="007D04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14:paraId="224B391F" w14:textId="77777777" w:rsidR="000B4D72" w:rsidRDefault="000B4D72">
    <w:pPr>
      <w:pStyle w:val="Stopka"/>
      <w:ind w:right="360"/>
    </w:pPr>
  </w:p>
  <w:p w14:paraId="3ADB1C0D" w14:textId="77777777" w:rsidR="000B4D72" w:rsidRDefault="000B4D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2E062" w14:textId="77777777" w:rsidR="000B4D72" w:rsidRDefault="000B4D72" w:rsidP="007D04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53</w:t>
    </w:r>
    <w:r>
      <w:rPr>
        <w:rStyle w:val="Numerstrony"/>
      </w:rPr>
      <w:fldChar w:fldCharType="end"/>
    </w:r>
  </w:p>
  <w:p w14:paraId="43E6FF06" w14:textId="77777777" w:rsidR="000B4D72" w:rsidRDefault="000B4D7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FAB73" w14:textId="77777777" w:rsidR="00754EE7" w:rsidRDefault="00754EE7" w:rsidP="005D1318">
      <w:pPr>
        <w:spacing w:after="0" w:line="240" w:lineRule="auto"/>
      </w:pPr>
      <w:r>
        <w:separator/>
      </w:r>
    </w:p>
    <w:p w14:paraId="6AD12315" w14:textId="77777777" w:rsidR="00754EE7" w:rsidRDefault="00754EE7"/>
  </w:footnote>
  <w:footnote w:type="continuationSeparator" w:id="0">
    <w:p w14:paraId="3374B884" w14:textId="77777777" w:rsidR="00754EE7" w:rsidRDefault="00754EE7" w:rsidP="005D1318">
      <w:pPr>
        <w:spacing w:after="0" w:line="240" w:lineRule="auto"/>
      </w:pPr>
      <w:r>
        <w:continuationSeparator/>
      </w:r>
    </w:p>
    <w:p w14:paraId="1FD76351" w14:textId="77777777" w:rsidR="00754EE7" w:rsidRDefault="00754E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077A" w14:textId="60E439CD" w:rsidR="009152FD" w:rsidRPr="00EC7E1C" w:rsidRDefault="009152FD" w:rsidP="001E68B2">
    <w:pPr>
      <w:pStyle w:val="Nagwek"/>
      <w:rPr>
        <w:sz w:val="20"/>
        <w:szCs w:val="20"/>
      </w:rPr>
    </w:pPr>
    <w:r w:rsidRPr="005D07F2">
      <w:rPr>
        <w:noProof/>
        <w:color w:val="002060"/>
        <w:sz w:val="20"/>
        <w:szCs w:val="20"/>
      </w:rPr>
      <mc:AlternateContent>
        <mc:Choice Requires="wps">
          <w:drawing>
            <wp:anchor distT="0" distB="0" distL="114300" distR="114300" simplePos="0" relativeHeight="251665408" behindDoc="0" locked="0" layoutInCell="1" allowOverlap="1" wp14:anchorId="40BC8398" wp14:editId="455AB5EA">
              <wp:simplePos x="0" y="0"/>
              <wp:positionH relativeFrom="column">
                <wp:posOffset>-175895</wp:posOffset>
              </wp:positionH>
              <wp:positionV relativeFrom="paragraph">
                <wp:posOffset>159385</wp:posOffset>
              </wp:positionV>
              <wp:extent cx="6096000" cy="0"/>
              <wp:effectExtent l="0" t="0" r="19050" b="38100"/>
              <wp:wrapNone/>
              <wp:docPr id="171704262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75AC3396" id="Łącznik prosty 3" o:spid="_x0000_s1026" alt="&quot;&quot;"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p>
  <w:p w14:paraId="6CBD99A7" w14:textId="77777777" w:rsidR="009152FD" w:rsidRPr="00731D5B" w:rsidRDefault="009152FD" w:rsidP="00731D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D1ED" w14:textId="37C76EEC" w:rsidR="00A64771" w:rsidRPr="00EC7E1C" w:rsidRDefault="00A64771" w:rsidP="001E68B2">
    <w:pPr>
      <w:pStyle w:val="Nagwek"/>
      <w:rPr>
        <w:sz w:val="20"/>
        <w:szCs w:val="20"/>
      </w:rPr>
    </w:pPr>
    <w:r>
      <w:rPr>
        <w:noProof/>
        <w:color w:val="002060"/>
        <w:sz w:val="20"/>
        <w:szCs w:val="20"/>
      </w:rPr>
      <mc:AlternateContent>
        <mc:Choice Requires="wps">
          <w:drawing>
            <wp:anchor distT="0" distB="0" distL="114300" distR="114300" simplePos="0" relativeHeight="251694080" behindDoc="0" locked="0" layoutInCell="1" allowOverlap="1" wp14:anchorId="2FA1ACF6" wp14:editId="4A84EDEA">
              <wp:simplePos x="0" y="0"/>
              <wp:positionH relativeFrom="column">
                <wp:posOffset>-175895</wp:posOffset>
              </wp:positionH>
              <wp:positionV relativeFrom="paragraph">
                <wp:posOffset>159385</wp:posOffset>
              </wp:positionV>
              <wp:extent cx="6096000" cy="0"/>
              <wp:effectExtent l="0" t="0" r="19050" b="38100"/>
              <wp:wrapNone/>
              <wp:docPr id="1102141935"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40FBFC7" id="Łącznik prosty 3" o:spid="_x0000_s1026" alt="&quot;&quot;"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p>
  <w:p w14:paraId="21F78478" w14:textId="77777777" w:rsidR="00A64771" w:rsidRDefault="00A64771" w:rsidP="00731D5B">
    <w:pPr>
      <w:pStyle w:val="Nagwek"/>
    </w:pPr>
  </w:p>
  <w:p w14:paraId="5C654FBF" w14:textId="77777777" w:rsidR="008F25F0" w:rsidRPr="00731D5B" w:rsidRDefault="008F25F0" w:rsidP="00731D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708"/>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2" w15:restartNumberingAfterBreak="0">
    <w:nsid w:val="005A3DEF"/>
    <w:multiLevelType w:val="hybridMultilevel"/>
    <w:tmpl w:val="6A50EE52"/>
    <w:lvl w:ilvl="0" w:tplc="68AC1324">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652A4E"/>
    <w:multiLevelType w:val="hybridMultilevel"/>
    <w:tmpl w:val="70F4BE60"/>
    <w:lvl w:ilvl="0" w:tplc="157E015E">
      <w:start w:val="1"/>
      <w:numFmt w:val="decimal"/>
      <w:pStyle w:val="Styl6"/>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246681F"/>
    <w:multiLevelType w:val="multilevel"/>
    <w:tmpl w:val="987A139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255E28"/>
    <w:multiLevelType w:val="multilevel"/>
    <w:tmpl w:val="0415001F"/>
    <w:styleLink w:val="Styl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3D52506"/>
    <w:multiLevelType w:val="multilevel"/>
    <w:tmpl w:val="427855F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9112ED"/>
    <w:multiLevelType w:val="hybridMultilevel"/>
    <w:tmpl w:val="8016383C"/>
    <w:lvl w:ilvl="0" w:tplc="30D250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D43152"/>
    <w:multiLevelType w:val="hybridMultilevel"/>
    <w:tmpl w:val="D3BAFCD2"/>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99233B"/>
    <w:multiLevelType w:val="hybridMultilevel"/>
    <w:tmpl w:val="62FCDBBC"/>
    <w:lvl w:ilvl="0" w:tplc="6220D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2A54CC"/>
    <w:multiLevelType w:val="multilevel"/>
    <w:tmpl w:val="AF0850D0"/>
    <w:lvl w:ilvl="0">
      <w:start w:val="1"/>
      <w:numFmt w:val="upperRoman"/>
      <w:lvlText w:val="%1."/>
      <w:lvlJc w:val="righ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4778" w:hanging="1800"/>
      </w:pPr>
      <w:rPr>
        <w:rFonts w:hint="default"/>
      </w:rPr>
    </w:lvl>
  </w:abstractNum>
  <w:abstractNum w:abstractNumId="11" w15:restartNumberingAfterBreak="0">
    <w:nsid w:val="090075C3"/>
    <w:multiLevelType w:val="multilevel"/>
    <w:tmpl w:val="AE06B13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9BF215B"/>
    <w:multiLevelType w:val="hybridMultilevel"/>
    <w:tmpl w:val="BCD6D3A8"/>
    <w:lvl w:ilvl="0" w:tplc="9F1EC8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E365267"/>
    <w:multiLevelType w:val="hybridMultilevel"/>
    <w:tmpl w:val="0DBC3B3C"/>
    <w:lvl w:ilvl="0" w:tplc="7152E204">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8C7E72"/>
    <w:multiLevelType w:val="multilevel"/>
    <w:tmpl w:val="C142A5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198352E"/>
    <w:multiLevelType w:val="hybridMultilevel"/>
    <w:tmpl w:val="EBE094A0"/>
    <w:lvl w:ilvl="0" w:tplc="C3CAD5B2">
      <w:start w:val="1"/>
      <w:numFmt w:val="decimal"/>
      <w:pStyle w:val="Styl5"/>
      <w:lvlText w:val="%1."/>
      <w:lvlJc w:val="left"/>
      <w:pPr>
        <w:ind w:left="1997" w:hanging="360"/>
      </w:pPr>
    </w:lvl>
    <w:lvl w:ilvl="1" w:tplc="04150019" w:tentative="1">
      <w:start w:val="1"/>
      <w:numFmt w:val="lowerLetter"/>
      <w:lvlText w:val="%2."/>
      <w:lvlJc w:val="left"/>
      <w:pPr>
        <w:ind w:left="2717" w:hanging="360"/>
      </w:p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16" w15:restartNumberingAfterBreak="0">
    <w:nsid w:val="13B94413"/>
    <w:multiLevelType w:val="hybridMultilevel"/>
    <w:tmpl w:val="C1AEE408"/>
    <w:lvl w:ilvl="0" w:tplc="6EAE6A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3314C2"/>
    <w:multiLevelType w:val="hybridMultilevel"/>
    <w:tmpl w:val="225EB0B2"/>
    <w:lvl w:ilvl="0" w:tplc="DB8299CA">
      <w:start w:val="1"/>
      <w:numFmt w:val="bullet"/>
      <w:pStyle w:val="punktatornastron"/>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54A72A0"/>
    <w:multiLevelType w:val="hybridMultilevel"/>
    <w:tmpl w:val="922AC920"/>
    <w:lvl w:ilvl="0" w:tplc="B73C2F4A">
      <w:start w:val="1"/>
      <w:numFmt w:val="decimal"/>
      <w:lvlText w:val="2.%1."/>
      <w:lvlJc w:val="left"/>
      <w:pPr>
        <w:ind w:left="1004"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AE70A3"/>
    <w:multiLevelType w:val="hybridMultilevel"/>
    <w:tmpl w:val="F7E0EEF6"/>
    <w:lvl w:ilvl="0" w:tplc="508223A4">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735F02"/>
    <w:multiLevelType w:val="hybridMultilevel"/>
    <w:tmpl w:val="15DE6656"/>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6C23BF6"/>
    <w:multiLevelType w:val="multilevel"/>
    <w:tmpl w:val="97EA93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72A5481"/>
    <w:multiLevelType w:val="hybridMultilevel"/>
    <w:tmpl w:val="39CEEE94"/>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8121C86"/>
    <w:multiLevelType w:val="hybridMultilevel"/>
    <w:tmpl w:val="23C0FF36"/>
    <w:lvl w:ilvl="0" w:tplc="74F08206">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81F01C1"/>
    <w:multiLevelType w:val="hybridMultilevel"/>
    <w:tmpl w:val="D1D4681C"/>
    <w:lvl w:ilvl="0" w:tplc="0415000F">
      <w:start w:val="1"/>
      <w:numFmt w:val="decimal"/>
      <w:pStyle w:val="Listapunktowana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101DF9"/>
    <w:multiLevelType w:val="hybridMultilevel"/>
    <w:tmpl w:val="41524030"/>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92A13CE"/>
    <w:multiLevelType w:val="hybridMultilevel"/>
    <w:tmpl w:val="D99CD41A"/>
    <w:lvl w:ilvl="0" w:tplc="BF941846">
      <w:start w:val="10"/>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9614C95"/>
    <w:multiLevelType w:val="hybridMultilevel"/>
    <w:tmpl w:val="5658EF7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0F32F6"/>
    <w:multiLevelType w:val="hybridMultilevel"/>
    <w:tmpl w:val="33524D14"/>
    <w:lvl w:ilvl="0" w:tplc="7450C63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D4F0BC7"/>
    <w:multiLevelType w:val="hybridMultilevel"/>
    <w:tmpl w:val="A70E761C"/>
    <w:lvl w:ilvl="0" w:tplc="B576F83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E154A22"/>
    <w:multiLevelType w:val="multilevel"/>
    <w:tmpl w:val="495C9B4C"/>
    <w:lvl w:ilvl="0">
      <w:start w:val="5"/>
      <w:numFmt w:val="upperRoman"/>
      <w:lvlText w:val="%1."/>
      <w:lvlJc w:val="righ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E9737BA"/>
    <w:multiLevelType w:val="multilevel"/>
    <w:tmpl w:val="B770CDF8"/>
    <w:lvl w:ilvl="0">
      <w:start w:val="7"/>
      <w:numFmt w:val="decimal"/>
      <w:lvlText w:val="%1."/>
      <w:lvlJc w:val="left"/>
      <w:pPr>
        <w:ind w:left="720" w:hanging="360"/>
      </w:pPr>
      <w:rPr>
        <w:rFonts w:hint="default"/>
      </w:rPr>
    </w:lvl>
    <w:lvl w:ilvl="1">
      <w:start w:val="1"/>
      <w:numFmt w:val="decimal"/>
      <w:isLgl/>
      <w:lvlText w:val="%1.%2."/>
      <w:lvlJc w:val="left"/>
      <w:pPr>
        <w:ind w:left="1003"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32" w15:restartNumberingAfterBreak="0">
    <w:nsid w:val="21BF4950"/>
    <w:multiLevelType w:val="hybridMultilevel"/>
    <w:tmpl w:val="8256B9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C81B72"/>
    <w:multiLevelType w:val="hybridMultilevel"/>
    <w:tmpl w:val="AEAA669E"/>
    <w:lvl w:ilvl="0" w:tplc="FD4CE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4807DE9"/>
    <w:multiLevelType w:val="hybridMultilevel"/>
    <w:tmpl w:val="1DBAD386"/>
    <w:lvl w:ilvl="0" w:tplc="6C42C2F4">
      <w:start w:val="1"/>
      <w:numFmt w:val="decimal"/>
      <w:pStyle w:val="StylII11"/>
      <w:lvlText w:val="1.%1."/>
      <w:lvlJc w:val="left"/>
      <w:pPr>
        <w:ind w:left="1437"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5090DBD"/>
    <w:multiLevelType w:val="hybridMultilevel"/>
    <w:tmpl w:val="FC04ADB6"/>
    <w:lvl w:ilvl="0" w:tplc="8B7A31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5381C73"/>
    <w:multiLevelType w:val="hybridMultilevel"/>
    <w:tmpl w:val="6F2A1D56"/>
    <w:lvl w:ilvl="0" w:tplc="7FDE02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6443EDA"/>
    <w:multiLevelType w:val="hybridMultilevel"/>
    <w:tmpl w:val="F8602824"/>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7551506"/>
    <w:multiLevelType w:val="hybridMultilevel"/>
    <w:tmpl w:val="72940890"/>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8A04EE6"/>
    <w:multiLevelType w:val="hybridMultilevel"/>
    <w:tmpl w:val="E012A138"/>
    <w:lvl w:ilvl="0" w:tplc="E2987798">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A291568"/>
    <w:multiLevelType w:val="hybridMultilevel"/>
    <w:tmpl w:val="C6BA45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B620433"/>
    <w:multiLevelType w:val="hybridMultilevel"/>
    <w:tmpl w:val="A68A715A"/>
    <w:lvl w:ilvl="0" w:tplc="5D7A7700">
      <w:start w:val="7"/>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0971EF"/>
    <w:multiLevelType w:val="hybridMultilevel"/>
    <w:tmpl w:val="F9329A50"/>
    <w:lvl w:ilvl="0" w:tplc="89D055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ED26F9A"/>
    <w:multiLevelType w:val="multilevel"/>
    <w:tmpl w:val="9776FD90"/>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EE956BA"/>
    <w:multiLevelType w:val="hybridMultilevel"/>
    <w:tmpl w:val="C85A9F1E"/>
    <w:lvl w:ilvl="0" w:tplc="0CD6D51A">
      <w:start w:val="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FE7622A"/>
    <w:multiLevelType w:val="hybridMultilevel"/>
    <w:tmpl w:val="51D492BC"/>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0AA2F61"/>
    <w:multiLevelType w:val="hybridMultilevel"/>
    <w:tmpl w:val="D584A41C"/>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4B65796"/>
    <w:multiLevelType w:val="hybridMultilevel"/>
    <w:tmpl w:val="38B87AD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5455D1A"/>
    <w:multiLevelType w:val="hybridMultilevel"/>
    <w:tmpl w:val="0DCA3C5E"/>
    <w:lvl w:ilvl="0" w:tplc="940AE1E8">
      <w:start w:val="1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B20F00"/>
    <w:multiLevelType w:val="hybridMultilevel"/>
    <w:tmpl w:val="965A9D12"/>
    <w:lvl w:ilvl="0" w:tplc="65D6402E">
      <w:start w:val="1"/>
      <w:numFmt w:val="decimal"/>
      <w:pStyle w:val="Spis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7CD0006"/>
    <w:multiLevelType w:val="hybridMultilevel"/>
    <w:tmpl w:val="FC96D4F2"/>
    <w:lvl w:ilvl="0" w:tplc="7FDE02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380D08BF"/>
    <w:multiLevelType w:val="hybridMultilevel"/>
    <w:tmpl w:val="6D5A97D6"/>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8AF3EF5"/>
    <w:multiLevelType w:val="multilevel"/>
    <w:tmpl w:val="A4D64B88"/>
    <w:lvl w:ilvl="0">
      <w:start w:val="2"/>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9413D99"/>
    <w:multiLevelType w:val="hybridMultilevel"/>
    <w:tmpl w:val="012A0B7E"/>
    <w:styleLink w:val="11111111"/>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A023054"/>
    <w:multiLevelType w:val="hybridMultilevel"/>
    <w:tmpl w:val="65F4BC6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C402FE1"/>
    <w:multiLevelType w:val="hybridMultilevel"/>
    <w:tmpl w:val="FD787D1C"/>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D22751E"/>
    <w:multiLevelType w:val="hybridMultilevel"/>
    <w:tmpl w:val="A056775C"/>
    <w:lvl w:ilvl="0" w:tplc="79784CBE">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3D843BBC"/>
    <w:multiLevelType w:val="multilevel"/>
    <w:tmpl w:val="7E26D54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DC168F1"/>
    <w:multiLevelType w:val="hybridMultilevel"/>
    <w:tmpl w:val="A482B91E"/>
    <w:styleLink w:val="Styl2"/>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03730D4"/>
    <w:multiLevelType w:val="hybridMultilevel"/>
    <w:tmpl w:val="D7322E10"/>
    <w:lvl w:ilvl="0" w:tplc="7FDE027A">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0" w15:restartNumberingAfterBreak="0">
    <w:nsid w:val="415B0129"/>
    <w:multiLevelType w:val="hybridMultilevel"/>
    <w:tmpl w:val="0CD801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2855BC"/>
    <w:multiLevelType w:val="hybridMultilevel"/>
    <w:tmpl w:val="9D8C9EBE"/>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5E22730"/>
    <w:multiLevelType w:val="hybridMultilevel"/>
    <w:tmpl w:val="23B43B2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623018E"/>
    <w:multiLevelType w:val="hybridMultilevel"/>
    <w:tmpl w:val="91865DA0"/>
    <w:lvl w:ilvl="0" w:tplc="0046F89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113173"/>
    <w:multiLevelType w:val="hybridMultilevel"/>
    <w:tmpl w:val="736A3084"/>
    <w:lvl w:ilvl="0" w:tplc="6220D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C952C71"/>
    <w:multiLevelType w:val="multilevel"/>
    <w:tmpl w:val="E50CACC6"/>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66" w15:restartNumberingAfterBreak="0">
    <w:nsid w:val="508D0941"/>
    <w:multiLevelType w:val="hybridMultilevel"/>
    <w:tmpl w:val="690AFCFE"/>
    <w:lvl w:ilvl="0" w:tplc="E60E5E3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13B0CF2"/>
    <w:multiLevelType w:val="multilevel"/>
    <w:tmpl w:val="83724C70"/>
    <w:lvl w:ilvl="0">
      <w:start w:val="1"/>
      <w:numFmt w:val="decimal"/>
      <w:lvlText w:val="%1."/>
      <w:lvlJc w:val="left"/>
      <w:pPr>
        <w:ind w:left="360" w:hanging="360"/>
      </w:pPr>
      <w:rPr>
        <w:rFonts w:hint="default"/>
      </w:rPr>
    </w:lvl>
    <w:lvl w:ilvl="1">
      <w:start w:val="11"/>
      <w:numFmt w:val="decimal"/>
      <w:isLgl/>
      <w:lvlText w:val="%1.%2."/>
      <w:lvlJc w:val="left"/>
      <w:pPr>
        <w:ind w:left="720"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4778" w:hanging="1800"/>
      </w:pPr>
      <w:rPr>
        <w:rFonts w:hint="default"/>
      </w:rPr>
    </w:lvl>
  </w:abstractNum>
  <w:abstractNum w:abstractNumId="68" w15:restartNumberingAfterBreak="0">
    <w:nsid w:val="554910C8"/>
    <w:multiLevelType w:val="hybridMultilevel"/>
    <w:tmpl w:val="148A3D6E"/>
    <w:lvl w:ilvl="0" w:tplc="BB8A32D8">
      <w:start w:val="8"/>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72D24F4"/>
    <w:multiLevelType w:val="hybridMultilevel"/>
    <w:tmpl w:val="F252CE0A"/>
    <w:styleLink w:val="WW8Num62"/>
    <w:lvl w:ilvl="0" w:tplc="BA68C13E">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AA95670"/>
    <w:multiLevelType w:val="hybridMultilevel"/>
    <w:tmpl w:val="A920A962"/>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CA60B11"/>
    <w:multiLevelType w:val="hybridMultilevel"/>
    <w:tmpl w:val="630C2412"/>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E5E140A"/>
    <w:multiLevelType w:val="hybridMultilevel"/>
    <w:tmpl w:val="14EE428E"/>
    <w:lvl w:ilvl="0" w:tplc="E48A4742">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73" w15:restartNumberingAfterBreak="0">
    <w:nsid w:val="5F033060"/>
    <w:multiLevelType w:val="hybridMultilevel"/>
    <w:tmpl w:val="B046F9B0"/>
    <w:styleLink w:val="Styl21"/>
    <w:lvl w:ilvl="0" w:tplc="A074177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F9B15B6"/>
    <w:multiLevelType w:val="hybridMultilevel"/>
    <w:tmpl w:val="25848C82"/>
    <w:lvl w:ilvl="0" w:tplc="69846ACA">
      <w:start w:val="1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02F3E11"/>
    <w:multiLevelType w:val="hybridMultilevel"/>
    <w:tmpl w:val="7FBCF03C"/>
    <w:lvl w:ilvl="0" w:tplc="0568E40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13E5D79"/>
    <w:multiLevelType w:val="hybridMultilevel"/>
    <w:tmpl w:val="C6B49A1A"/>
    <w:lvl w:ilvl="0" w:tplc="4288BEEE">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7" w15:restartNumberingAfterBreak="0">
    <w:nsid w:val="6158486A"/>
    <w:multiLevelType w:val="hybridMultilevel"/>
    <w:tmpl w:val="3C26F9F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3767511"/>
    <w:multiLevelType w:val="hybridMultilevel"/>
    <w:tmpl w:val="A8FEA190"/>
    <w:lvl w:ilvl="0" w:tplc="4288BEE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9" w15:restartNumberingAfterBreak="0">
    <w:nsid w:val="63DA6B96"/>
    <w:multiLevelType w:val="multilevel"/>
    <w:tmpl w:val="0415001F"/>
    <w:styleLink w:val="Styl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0" w15:restartNumberingAfterBreak="0">
    <w:nsid w:val="64CD58F9"/>
    <w:multiLevelType w:val="hybridMultilevel"/>
    <w:tmpl w:val="FE56C856"/>
    <w:lvl w:ilvl="0" w:tplc="9F1EC8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527542D"/>
    <w:multiLevelType w:val="hybridMultilevel"/>
    <w:tmpl w:val="9F1224D6"/>
    <w:styleLink w:val="1111111"/>
    <w:lvl w:ilvl="0" w:tplc="6D3ADEA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70F0237"/>
    <w:multiLevelType w:val="hybridMultilevel"/>
    <w:tmpl w:val="57DAD07E"/>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AF632A9"/>
    <w:multiLevelType w:val="singleLevel"/>
    <w:tmpl w:val="840414AA"/>
    <w:lvl w:ilvl="0">
      <w:start w:val="1"/>
      <w:numFmt w:val="upperRoman"/>
      <w:pStyle w:val="Nagwek4"/>
      <w:lvlText w:val="%1."/>
      <w:lvlJc w:val="left"/>
      <w:pPr>
        <w:tabs>
          <w:tab w:val="num" w:pos="720"/>
        </w:tabs>
        <w:ind w:left="720" w:hanging="720"/>
      </w:pPr>
      <w:rPr>
        <w:b/>
        <w:i w:val="0"/>
      </w:rPr>
    </w:lvl>
  </w:abstractNum>
  <w:abstractNum w:abstractNumId="84" w15:restartNumberingAfterBreak="0">
    <w:nsid w:val="6C7874CC"/>
    <w:multiLevelType w:val="hybridMultilevel"/>
    <w:tmpl w:val="B588AC9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C990070"/>
    <w:multiLevelType w:val="hybridMultilevel"/>
    <w:tmpl w:val="85242686"/>
    <w:lvl w:ilvl="0" w:tplc="4466810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DE53A01"/>
    <w:multiLevelType w:val="hybridMultilevel"/>
    <w:tmpl w:val="F140EBCA"/>
    <w:lvl w:ilvl="0" w:tplc="0960EB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E2C6738"/>
    <w:multiLevelType w:val="hybridMultilevel"/>
    <w:tmpl w:val="701C3A10"/>
    <w:lvl w:ilvl="0" w:tplc="DF5C4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FEC6F49"/>
    <w:multiLevelType w:val="hybridMultilevel"/>
    <w:tmpl w:val="03D41620"/>
    <w:lvl w:ilvl="0" w:tplc="B634604C">
      <w:start w:val="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04C5C0C"/>
    <w:multiLevelType w:val="hybridMultilevel"/>
    <w:tmpl w:val="FBA80478"/>
    <w:lvl w:ilvl="0" w:tplc="6452120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0" w15:restartNumberingAfterBreak="0">
    <w:nsid w:val="72AC08B0"/>
    <w:multiLevelType w:val="hybridMultilevel"/>
    <w:tmpl w:val="DEEC9778"/>
    <w:lvl w:ilvl="0" w:tplc="D11A8798">
      <w:start w:val="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37E7215"/>
    <w:multiLevelType w:val="multilevel"/>
    <w:tmpl w:val="28A47A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73A003C8"/>
    <w:multiLevelType w:val="hybridMultilevel"/>
    <w:tmpl w:val="A148D6A4"/>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4D55CAE"/>
    <w:multiLevelType w:val="hybridMultilevel"/>
    <w:tmpl w:val="84E26654"/>
    <w:lvl w:ilvl="0" w:tplc="7FDE0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62A0BB6"/>
    <w:multiLevelType w:val="hybridMultilevel"/>
    <w:tmpl w:val="D9FE8072"/>
    <w:lvl w:ilvl="0" w:tplc="8C1E0438">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63C3CA5"/>
    <w:multiLevelType w:val="hybridMultilevel"/>
    <w:tmpl w:val="9DD2EE14"/>
    <w:lvl w:ilvl="0" w:tplc="D9D8F51E">
      <w:start w:val="1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7CE7B8F"/>
    <w:multiLevelType w:val="hybridMultilevel"/>
    <w:tmpl w:val="A1DE3036"/>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9394E43"/>
    <w:multiLevelType w:val="multilevel"/>
    <w:tmpl w:val="D7FA38E4"/>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B9D1A66"/>
    <w:multiLevelType w:val="multilevel"/>
    <w:tmpl w:val="BC22D81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CD12AFD"/>
    <w:multiLevelType w:val="hybridMultilevel"/>
    <w:tmpl w:val="8A6E2DC8"/>
    <w:lvl w:ilvl="0" w:tplc="625A848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E33413C"/>
    <w:multiLevelType w:val="hybridMultilevel"/>
    <w:tmpl w:val="D6647AE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E473B89"/>
    <w:multiLevelType w:val="multilevel"/>
    <w:tmpl w:val="01D493A2"/>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F2E6164"/>
    <w:multiLevelType w:val="hybridMultilevel"/>
    <w:tmpl w:val="DE2CFDBA"/>
    <w:lvl w:ilvl="0" w:tplc="B1520AB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F4E1F5E"/>
    <w:multiLevelType w:val="hybridMultilevel"/>
    <w:tmpl w:val="1E38C544"/>
    <w:lvl w:ilvl="0" w:tplc="9F1EC8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26065643">
    <w:abstractNumId w:val="24"/>
  </w:num>
  <w:num w:numId="2" w16cid:durableId="1352146941">
    <w:abstractNumId w:val="81"/>
  </w:num>
  <w:num w:numId="3" w16cid:durableId="1953634267">
    <w:abstractNumId w:val="73"/>
  </w:num>
  <w:num w:numId="4" w16cid:durableId="639381913">
    <w:abstractNumId w:val="58"/>
  </w:num>
  <w:num w:numId="5" w16cid:durableId="2019770751">
    <w:abstractNumId w:val="83"/>
  </w:num>
  <w:num w:numId="6" w16cid:durableId="1085688370">
    <w:abstractNumId w:val="53"/>
  </w:num>
  <w:num w:numId="7" w16cid:durableId="710154628">
    <w:abstractNumId w:val="5"/>
  </w:num>
  <w:num w:numId="8" w16cid:durableId="140000001">
    <w:abstractNumId w:val="79"/>
  </w:num>
  <w:num w:numId="9" w16cid:durableId="1293636592">
    <w:abstractNumId w:val="34"/>
  </w:num>
  <w:num w:numId="10" w16cid:durableId="1569068568">
    <w:abstractNumId w:val="3"/>
  </w:num>
  <w:num w:numId="11" w16cid:durableId="2023167054">
    <w:abstractNumId w:val="69"/>
  </w:num>
  <w:num w:numId="12" w16cid:durableId="2064407985">
    <w:abstractNumId w:val="49"/>
  </w:num>
  <w:num w:numId="13" w16cid:durableId="534587781">
    <w:abstractNumId w:val="17"/>
  </w:num>
  <w:num w:numId="14" w16cid:durableId="2003729137">
    <w:abstractNumId w:val="61"/>
  </w:num>
  <w:num w:numId="15" w16cid:durableId="1508711322">
    <w:abstractNumId w:val="35"/>
  </w:num>
  <w:num w:numId="16" w16cid:durableId="1204900075">
    <w:abstractNumId w:val="28"/>
  </w:num>
  <w:num w:numId="17" w16cid:durableId="862129338">
    <w:abstractNumId w:val="33"/>
  </w:num>
  <w:num w:numId="18" w16cid:durableId="511603222">
    <w:abstractNumId w:val="10"/>
  </w:num>
  <w:num w:numId="19" w16cid:durableId="1783956516">
    <w:abstractNumId w:val="101"/>
  </w:num>
  <w:num w:numId="20" w16cid:durableId="2104690008">
    <w:abstractNumId w:val="76"/>
  </w:num>
  <w:num w:numId="21" w16cid:durableId="385111528">
    <w:abstractNumId w:val="78"/>
  </w:num>
  <w:num w:numId="22" w16cid:durableId="2005082266">
    <w:abstractNumId w:val="84"/>
  </w:num>
  <w:num w:numId="23" w16cid:durableId="2007858247">
    <w:abstractNumId w:val="100"/>
  </w:num>
  <w:num w:numId="24" w16cid:durableId="750274605">
    <w:abstractNumId w:val="77"/>
  </w:num>
  <w:num w:numId="25" w16cid:durableId="1194880400">
    <w:abstractNumId w:val="96"/>
  </w:num>
  <w:num w:numId="26" w16cid:durableId="770857566">
    <w:abstractNumId w:val="8"/>
  </w:num>
  <w:num w:numId="27" w16cid:durableId="2042853348">
    <w:abstractNumId w:val="47"/>
  </w:num>
  <w:num w:numId="28" w16cid:durableId="337852957">
    <w:abstractNumId w:val="15"/>
  </w:num>
  <w:num w:numId="29" w16cid:durableId="1895043655">
    <w:abstractNumId w:val="72"/>
  </w:num>
  <w:num w:numId="30" w16cid:durableId="1774012263">
    <w:abstractNumId w:val="9"/>
  </w:num>
  <w:num w:numId="31" w16cid:durableId="1484202945">
    <w:abstractNumId w:val="64"/>
  </w:num>
  <w:num w:numId="32" w16cid:durableId="1837382818">
    <w:abstractNumId w:val="85"/>
  </w:num>
  <w:num w:numId="33" w16cid:durableId="83040033">
    <w:abstractNumId w:val="4"/>
  </w:num>
  <w:num w:numId="34" w16cid:durableId="511071127">
    <w:abstractNumId w:val="14"/>
  </w:num>
  <w:num w:numId="35" w16cid:durableId="2063093424">
    <w:abstractNumId w:val="42"/>
  </w:num>
  <w:num w:numId="36" w16cid:durableId="671376832">
    <w:abstractNumId w:val="21"/>
  </w:num>
  <w:num w:numId="37" w16cid:durableId="66341964">
    <w:abstractNumId w:val="67"/>
  </w:num>
  <w:num w:numId="38" w16cid:durableId="1521818168">
    <w:abstractNumId w:val="18"/>
  </w:num>
  <w:num w:numId="39" w16cid:durableId="1956600796">
    <w:abstractNumId w:val="56"/>
  </w:num>
  <w:num w:numId="40" w16cid:durableId="1115057689">
    <w:abstractNumId w:val="23"/>
  </w:num>
  <w:num w:numId="41" w16cid:durableId="40861268">
    <w:abstractNumId w:val="2"/>
  </w:num>
  <w:num w:numId="42" w16cid:durableId="1824421954">
    <w:abstractNumId w:val="63"/>
  </w:num>
  <w:num w:numId="43" w16cid:durableId="1281063098">
    <w:abstractNumId w:val="71"/>
  </w:num>
  <w:num w:numId="44" w16cid:durableId="188183249">
    <w:abstractNumId w:val="16"/>
  </w:num>
  <w:num w:numId="45" w16cid:durableId="965432225">
    <w:abstractNumId w:val="99"/>
  </w:num>
  <w:num w:numId="46" w16cid:durableId="80951029">
    <w:abstractNumId w:val="29"/>
  </w:num>
  <w:num w:numId="47" w16cid:durableId="377439208">
    <w:abstractNumId w:val="75"/>
  </w:num>
  <w:num w:numId="48" w16cid:durableId="19749333">
    <w:abstractNumId w:val="98"/>
  </w:num>
  <w:num w:numId="49" w16cid:durableId="1122110011">
    <w:abstractNumId w:val="43"/>
  </w:num>
  <w:num w:numId="50" w16cid:durableId="107283210">
    <w:abstractNumId w:val="57"/>
  </w:num>
  <w:num w:numId="51" w16cid:durableId="1149250972">
    <w:abstractNumId w:val="6"/>
  </w:num>
  <w:num w:numId="52" w16cid:durableId="1940143254">
    <w:abstractNumId w:val="97"/>
  </w:num>
  <w:num w:numId="53" w16cid:durableId="1382943535">
    <w:abstractNumId w:val="65"/>
  </w:num>
  <w:num w:numId="54" w16cid:durableId="1428624105">
    <w:abstractNumId w:val="31"/>
  </w:num>
  <w:num w:numId="55" w16cid:durableId="305165483">
    <w:abstractNumId w:val="11"/>
  </w:num>
  <w:num w:numId="56" w16cid:durableId="696932383">
    <w:abstractNumId w:val="89"/>
  </w:num>
  <w:num w:numId="57" w16cid:durableId="584538217">
    <w:abstractNumId w:val="102"/>
  </w:num>
  <w:num w:numId="58" w16cid:durableId="848837620">
    <w:abstractNumId w:val="66"/>
  </w:num>
  <w:num w:numId="59" w16cid:durableId="408843012">
    <w:abstractNumId w:val="32"/>
  </w:num>
  <w:num w:numId="60" w16cid:durableId="1204321562">
    <w:abstractNumId w:val="7"/>
  </w:num>
  <w:num w:numId="61" w16cid:durableId="327749689">
    <w:abstractNumId w:val="103"/>
  </w:num>
  <w:num w:numId="62" w16cid:durableId="1285429979">
    <w:abstractNumId w:val="12"/>
  </w:num>
  <w:num w:numId="63" w16cid:durableId="735665714">
    <w:abstractNumId w:val="90"/>
  </w:num>
  <w:num w:numId="64" w16cid:durableId="1972440633">
    <w:abstractNumId w:val="52"/>
  </w:num>
  <w:num w:numId="65" w16cid:durableId="652373299">
    <w:abstractNumId w:val="27"/>
  </w:num>
  <w:num w:numId="66" w16cid:durableId="254870476">
    <w:abstractNumId w:val="80"/>
  </w:num>
  <w:num w:numId="67" w16cid:durableId="72900743">
    <w:abstractNumId w:val="87"/>
  </w:num>
  <w:num w:numId="68" w16cid:durableId="2057316912">
    <w:abstractNumId w:val="44"/>
  </w:num>
  <w:num w:numId="69" w16cid:durableId="245771216">
    <w:abstractNumId w:val="60"/>
  </w:num>
  <w:num w:numId="70" w16cid:durableId="758604715">
    <w:abstractNumId w:val="39"/>
  </w:num>
  <w:num w:numId="71" w16cid:durableId="1291284434">
    <w:abstractNumId w:val="41"/>
  </w:num>
  <w:num w:numId="72" w16cid:durableId="1400442293">
    <w:abstractNumId w:val="86"/>
  </w:num>
  <w:num w:numId="73" w16cid:durableId="1690835329">
    <w:abstractNumId w:val="19"/>
  </w:num>
  <w:num w:numId="74" w16cid:durableId="1687049833">
    <w:abstractNumId w:val="91"/>
  </w:num>
  <w:num w:numId="75" w16cid:durableId="2096583407">
    <w:abstractNumId w:val="68"/>
  </w:num>
  <w:num w:numId="76" w16cid:durableId="1468011099">
    <w:abstractNumId w:val="88"/>
  </w:num>
  <w:num w:numId="77" w16cid:durableId="1472332320">
    <w:abstractNumId w:val="54"/>
  </w:num>
  <w:num w:numId="78" w16cid:durableId="1099834288">
    <w:abstractNumId w:val="62"/>
  </w:num>
  <w:num w:numId="79" w16cid:durableId="197940365">
    <w:abstractNumId w:val="94"/>
  </w:num>
  <w:num w:numId="80" w16cid:durableId="1824203466">
    <w:abstractNumId w:val="40"/>
  </w:num>
  <w:num w:numId="81" w16cid:durableId="795637588">
    <w:abstractNumId w:val="30"/>
  </w:num>
  <w:num w:numId="82" w16cid:durableId="1152016057">
    <w:abstractNumId w:val="26"/>
  </w:num>
  <w:num w:numId="83" w16cid:durableId="803162460">
    <w:abstractNumId w:val="13"/>
  </w:num>
  <w:num w:numId="84" w16cid:durableId="497502182">
    <w:abstractNumId w:val="95"/>
  </w:num>
  <w:num w:numId="85" w16cid:durableId="209076883">
    <w:abstractNumId w:val="48"/>
  </w:num>
  <w:num w:numId="86" w16cid:durableId="460614928">
    <w:abstractNumId w:val="74"/>
  </w:num>
  <w:num w:numId="87" w16cid:durableId="331103102">
    <w:abstractNumId w:val="50"/>
  </w:num>
  <w:num w:numId="88" w16cid:durableId="1939168837">
    <w:abstractNumId w:val="51"/>
  </w:num>
  <w:num w:numId="89" w16cid:durableId="541090631">
    <w:abstractNumId w:val="92"/>
  </w:num>
  <w:num w:numId="90" w16cid:durableId="477495753">
    <w:abstractNumId w:val="36"/>
  </w:num>
  <w:num w:numId="91" w16cid:durableId="1460877476">
    <w:abstractNumId w:val="25"/>
  </w:num>
  <w:num w:numId="92" w16cid:durableId="449016784">
    <w:abstractNumId w:val="46"/>
  </w:num>
  <w:num w:numId="93" w16cid:durableId="1836801648">
    <w:abstractNumId w:val="37"/>
  </w:num>
  <w:num w:numId="94" w16cid:durableId="1481001119">
    <w:abstractNumId w:val="59"/>
  </w:num>
  <w:num w:numId="95" w16cid:durableId="1724939826">
    <w:abstractNumId w:val="22"/>
  </w:num>
  <w:num w:numId="96" w16cid:durableId="566452777">
    <w:abstractNumId w:val="20"/>
  </w:num>
  <w:num w:numId="97" w16cid:durableId="1367020305">
    <w:abstractNumId w:val="45"/>
  </w:num>
  <w:num w:numId="98" w16cid:durableId="1151946282">
    <w:abstractNumId w:val="70"/>
  </w:num>
  <w:num w:numId="99" w16cid:durableId="2003001593">
    <w:abstractNumId w:val="93"/>
  </w:num>
  <w:num w:numId="100" w16cid:durableId="32926419">
    <w:abstractNumId w:val="82"/>
  </w:num>
  <w:num w:numId="101" w16cid:durableId="2034182658">
    <w:abstractNumId w:val="55"/>
  </w:num>
  <w:num w:numId="102" w16cid:durableId="916281413">
    <w:abstractNumId w:val="3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44"/>
    <w:rsid w:val="00001073"/>
    <w:rsid w:val="00002689"/>
    <w:rsid w:val="00005B5A"/>
    <w:rsid w:val="00013248"/>
    <w:rsid w:val="00013A1E"/>
    <w:rsid w:val="000143E4"/>
    <w:rsid w:val="00014537"/>
    <w:rsid w:val="00014D0A"/>
    <w:rsid w:val="000174E4"/>
    <w:rsid w:val="00017DED"/>
    <w:rsid w:val="000200EE"/>
    <w:rsid w:val="00020369"/>
    <w:rsid w:val="00020A86"/>
    <w:rsid w:val="000210F8"/>
    <w:rsid w:val="00021A04"/>
    <w:rsid w:val="00022F4F"/>
    <w:rsid w:val="00026EE5"/>
    <w:rsid w:val="000272A4"/>
    <w:rsid w:val="00031880"/>
    <w:rsid w:val="0003258C"/>
    <w:rsid w:val="00034D5B"/>
    <w:rsid w:val="00035B12"/>
    <w:rsid w:val="000366C6"/>
    <w:rsid w:val="00036790"/>
    <w:rsid w:val="00036C0B"/>
    <w:rsid w:val="00040B4B"/>
    <w:rsid w:val="00042B0C"/>
    <w:rsid w:val="00043F8B"/>
    <w:rsid w:val="00047288"/>
    <w:rsid w:val="00050091"/>
    <w:rsid w:val="0005135D"/>
    <w:rsid w:val="00052746"/>
    <w:rsid w:val="000537F9"/>
    <w:rsid w:val="0005383C"/>
    <w:rsid w:val="000538F5"/>
    <w:rsid w:val="00056F98"/>
    <w:rsid w:val="00061397"/>
    <w:rsid w:val="0006218A"/>
    <w:rsid w:val="0006329F"/>
    <w:rsid w:val="00063783"/>
    <w:rsid w:val="0006425A"/>
    <w:rsid w:val="0006496F"/>
    <w:rsid w:val="00064B0C"/>
    <w:rsid w:val="00065801"/>
    <w:rsid w:val="000658C3"/>
    <w:rsid w:val="00066A73"/>
    <w:rsid w:val="00066BFF"/>
    <w:rsid w:val="0006750A"/>
    <w:rsid w:val="00072023"/>
    <w:rsid w:val="0007206F"/>
    <w:rsid w:val="000739B1"/>
    <w:rsid w:val="00075912"/>
    <w:rsid w:val="00076C93"/>
    <w:rsid w:val="0008053D"/>
    <w:rsid w:val="00080B35"/>
    <w:rsid w:val="00081AC1"/>
    <w:rsid w:val="000821B1"/>
    <w:rsid w:val="00082376"/>
    <w:rsid w:val="00084AF4"/>
    <w:rsid w:val="00085695"/>
    <w:rsid w:val="00085A10"/>
    <w:rsid w:val="00086450"/>
    <w:rsid w:val="0008674A"/>
    <w:rsid w:val="00086E7C"/>
    <w:rsid w:val="00087717"/>
    <w:rsid w:val="00091DF5"/>
    <w:rsid w:val="00091F9E"/>
    <w:rsid w:val="00094189"/>
    <w:rsid w:val="000948F4"/>
    <w:rsid w:val="00094C8E"/>
    <w:rsid w:val="0009554F"/>
    <w:rsid w:val="00095D7E"/>
    <w:rsid w:val="000961D4"/>
    <w:rsid w:val="000A17F1"/>
    <w:rsid w:val="000A26FE"/>
    <w:rsid w:val="000A3871"/>
    <w:rsid w:val="000A3B2D"/>
    <w:rsid w:val="000A43A0"/>
    <w:rsid w:val="000A57C6"/>
    <w:rsid w:val="000A6733"/>
    <w:rsid w:val="000A6B64"/>
    <w:rsid w:val="000A7405"/>
    <w:rsid w:val="000A7618"/>
    <w:rsid w:val="000B0306"/>
    <w:rsid w:val="000B0F64"/>
    <w:rsid w:val="000B1187"/>
    <w:rsid w:val="000B1250"/>
    <w:rsid w:val="000B169A"/>
    <w:rsid w:val="000B2F5B"/>
    <w:rsid w:val="000B3328"/>
    <w:rsid w:val="000B4652"/>
    <w:rsid w:val="000B4D72"/>
    <w:rsid w:val="000B63B1"/>
    <w:rsid w:val="000B6585"/>
    <w:rsid w:val="000B6C60"/>
    <w:rsid w:val="000C0014"/>
    <w:rsid w:val="000C0991"/>
    <w:rsid w:val="000C214C"/>
    <w:rsid w:val="000C2FE6"/>
    <w:rsid w:val="000C3AEF"/>
    <w:rsid w:val="000C75D3"/>
    <w:rsid w:val="000D0853"/>
    <w:rsid w:val="000D1B47"/>
    <w:rsid w:val="000D4268"/>
    <w:rsid w:val="000D61BB"/>
    <w:rsid w:val="000D65C5"/>
    <w:rsid w:val="000D6B4C"/>
    <w:rsid w:val="000D7255"/>
    <w:rsid w:val="000D742D"/>
    <w:rsid w:val="000E0166"/>
    <w:rsid w:val="000E077C"/>
    <w:rsid w:val="000E2B2C"/>
    <w:rsid w:val="000E2BCF"/>
    <w:rsid w:val="000E367A"/>
    <w:rsid w:val="000E4721"/>
    <w:rsid w:val="000E5134"/>
    <w:rsid w:val="000E738B"/>
    <w:rsid w:val="000E7BF2"/>
    <w:rsid w:val="000F0774"/>
    <w:rsid w:val="000F090E"/>
    <w:rsid w:val="000F1BA4"/>
    <w:rsid w:val="000F1F6A"/>
    <w:rsid w:val="000F20FD"/>
    <w:rsid w:val="000F2EDD"/>
    <w:rsid w:val="000F425A"/>
    <w:rsid w:val="000F5E2C"/>
    <w:rsid w:val="000F5F7B"/>
    <w:rsid w:val="000F6CCC"/>
    <w:rsid w:val="00101E59"/>
    <w:rsid w:val="0010313A"/>
    <w:rsid w:val="00104FD4"/>
    <w:rsid w:val="001066E2"/>
    <w:rsid w:val="00106AA1"/>
    <w:rsid w:val="00111815"/>
    <w:rsid w:val="00113D52"/>
    <w:rsid w:val="00114AF0"/>
    <w:rsid w:val="00115A96"/>
    <w:rsid w:val="0011667E"/>
    <w:rsid w:val="00116D69"/>
    <w:rsid w:val="001204A1"/>
    <w:rsid w:val="001208BE"/>
    <w:rsid w:val="00121C13"/>
    <w:rsid w:val="0012206E"/>
    <w:rsid w:val="00122834"/>
    <w:rsid w:val="00122943"/>
    <w:rsid w:val="00122B2F"/>
    <w:rsid w:val="00122D19"/>
    <w:rsid w:val="0012343D"/>
    <w:rsid w:val="00123651"/>
    <w:rsid w:val="00123A90"/>
    <w:rsid w:val="001257CD"/>
    <w:rsid w:val="00126A7E"/>
    <w:rsid w:val="0012718C"/>
    <w:rsid w:val="001271C8"/>
    <w:rsid w:val="00127BCE"/>
    <w:rsid w:val="0013103D"/>
    <w:rsid w:val="00132E24"/>
    <w:rsid w:val="00132ED0"/>
    <w:rsid w:val="001332FA"/>
    <w:rsid w:val="0013334E"/>
    <w:rsid w:val="001336FF"/>
    <w:rsid w:val="0013436E"/>
    <w:rsid w:val="00134552"/>
    <w:rsid w:val="00134F3E"/>
    <w:rsid w:val="0013552D"/>
    <w:rsid w:val="00135809"/>
    <w:rsid w:val="00135BAE"/>
    <w:rsid w:val="00136688"/>
    <w:rsid w:val="0013689F"/>
    <w:rsid w:val="001373C9"/>
    <w:rsid w:val="00137BF0"/>
    <w:rsid w:val="00142EAE"/>
    <w:rsid w:val="001435F5"/>
    <w:rsid w:val="00145644"/>
    <w:rsid w:val="00147E32"/>
    <w:rsid w:val="00151A92"/>
    <w:rsid w:val="00152D22"/>
    <w:rsid w:val="001538D5"/>
    <w:rsid w:val="00153AEB"/>
    <w:rsid w:val="00153BD8"/>
    <w:rsid w:val="001540FD"/>
    <w:rsid w:val="00154EB5"/>
    <w:rsid w:val="0015627A"/>
    <w:rsid w:val="00156D9B"/>
    <w:rsid w:val="001578B3"/>
    <w:rsid w:val="001601E2"/>
    <w:rsid w:val="00162081"/>
    <w:rsid w:val="0016237B"/>
    <w:rsid w:val="00163217"/>
    <w:rsid w:val="0016356B"/>
    <w:rsid w:val="00163815"/>
    <w:rsid w:val="00163DB5"/>
    <w:rsid w:val="001641AD"/>
    <w:rsid w:val="001641CE"/>
    <w:rsid w:val="00164E45"/>
    <w:rsid w:val="00165442"/>
    <w:rsid w:val="0017028E"/>
    <w:rsid w:val="00172122"/>
    <w:rsid w:val="001728A2"/>
    <w:rsid w:val="0017452D"/>
    <w:rsid w:val="00174804"/>
    <w:rsid w:val="00175E8F"/>
    <w:rsid w:val="00176657"/>
    <w:rsid w:val="00176976"/>
    <w:rsid w:val="00176FD3"/>
    <w:rsid w:val="001810AB"/>
    <w:rsid w:val="001814E9"/>
    <w:rsid w:val="00181861"/>
    <w:rsid w:val="00182722"/>
    <w:rsid w:val="00182CE2"/>
    <w:rsid w:val="00183954"/>
    <w:rsid w:val="001850E9"/>
    <w:rsid w:val="0018672D"/>
    <w:rsid w:val="00190B1B"/>
    <w:rsid w:val="0019354A"/>
    <w:rsid w:val="00193C44"/>
    <w:rsid w:val="001941C7"/>
    <w:rsid w:val="00195DB6"/>
    <w:rsid w:val="00195DE7"/>
    <w:rsid w:val="00197745"/>
    <w:rsid w:val="001A004B"/>
    <w:rsid w:val="001A0C2F"/>
    <w:rsid w:val="001A121E"/>
    <w:rsid w:val="001A3A8D"/>
    <w:rsid w:val="001A5097"/>
    <w:rsid w:val="001A5CD3"/>
    <w:rsid w:val="001A7C08"/>
    <w:rsid w:val="001A7D4E"/>
    <w:rsid w:val="001B04A8"/>
    <w:rsid w:val="001B33FB"/>
    <w:rsid w:val="001B5C32"/>
    <w:rsid w:val="001B73B7"/>
    <w:rsid w:val="001B7FCE"/>
    <w:rsid w:val="001C0C33"/>
    <w:rsid w:val="001C10B1"/>
    <w:rsid w:val="001C2345"/>
    <w:rsid w:val="001C25A8"/>
    <w:rsid w:val="001C396A"/>
    <w:rsid w:val="001C4441"/>
    <w:rsid w:val="001C5525"/>
    <w:rsid w:val="001C56FA"/>
    <w:rsid w:val="001D01E7"/>
    <w:rsid w:val="001D085D"/>
    <w:rsid w:val="001D08ED"/>
    <w:rsid w:val="001D0A27"/>
    <w:rsid w:val="001D19DD"/>
    <w:rsid w:val="001D1E94"/>
    <w:rsid w:val="001D24B1"/>
    <w:rsid w:val="001D4892"/>
    <w:rsid w:val="001D56AB"/>
    <w:rsid w:val="001D648C"/>
    <w:rsid w:val="001D6822"/>
    <w:rsid w:val="001E20C4"/>
    <w:rsid w:val="001E20D3"/>
    <w:rsid w:val="001E223F"/>
    <w:rsid w:val="001E3510"/>
    <w:rsid w:val="001E4D92"/>
    <w:rsid w:val="001E68B2"/>
    <w:rsid w:val="001E7E36"/>
    <w:rsid w:val="001F43DA"/>
    <w:rsid w:val="001F4759"/>
    <w:rsid w:val="001F4FAE"/>
    <w:rsid w:val="001F64FF"/>
    <w:rsid w:val="001F6B6F"/>
    <w:rsid w:val="001F7695"/>
    <w:rsid w:val="002011E2"/>
    <w:rsid w:val="00201AE8"/>
    <w:rsid w:val="00202098"/>
    <w:rsid w:val="002028D0"/>
    <w:rsid w:val="002029FD"/>
    <w:rsid w:val="00202CD9"/>
    <w:rsid w:val="002068F4"/>
    <w:rsid w:val="00210B27"/>
    <w:rsid w:val="00211D71"/>
    <w:rsid w:val="002127DE"/>
    <w:rsid w:val="00212B5B"/>
    <w:rsid w:val="00212FD9"/>
    <w:rsid w:val="00213100"/>
    <w:rsid w:val="002139DF"/>
    <w:rsid w:val="00215241"/>
    <w:rsid w:val="00216925"/>
    <w:rsid w:val="002226B2"/>
    <w:rsid w:val="00222AD9"/>
    <w:rsid w:val="00223AB3"/>
    <w:rsid w:val="002249CF"/>
    <w:rsid w:val="00225268"/>
    <w:rsid w:val="0022532B"/>
    <w:rsid w:val="00226AF9"/>
    <w:rsid w:val="00227565"/>
    <w:rsid w:val="0022759C"/>
    <w:rsid w:val="002309F9"/>
    <w:rsid w:val="002322B5"/>
    <w:rsid w:val="002325DE"/>
    <w:rsid w:val="00233A8A"/>
    <w:rsid w:val="002343CB"/>
    <w:rsid w:val="0023467C"/>
    <w:rsid w:val="00235C1D"/>
    <w:rsid w:val="00235F33"/>
    <w:rsid w:val="002454B2"/>
    <w:rsid w:val="00245E50"/>
    <w:rsid w:val="00245ED6"/>
    <w:rsid w:val="002469DC"/>
    <w:rsid w:val="0025188C"/>
    <w:rsid w:val="00252B97"/>
    <w:rsid w:val="00253343"/>
    <w:rsid w:val="002561A4"/>
    <w:rsid w:val="002569D6"/>
    <w:rsid w:val="00256A13"/>
    <w:rsid w:val="00256E8D"/>
    <w:rsid w:val="0025700D"/>
    <w:rsid w:val="00261508"/>
    <w:rsid w:val="00261686"/>
    <w:rsid w:val="00261A86"/>
    <w:rsid w:val="00262B03"/>
    <w:rsid w:val="00262DB3"/>
    <w:rsid w:val="00262DC6"/>
    <w:rsid w:val="002634CC"/>
    <w:rsid w:val="00264229"/>
    <w:rsid w:val="00265092"/>
    <w:rsid w:val="00270F06"/>
    <w:rsid w:val="0027187C"/>
    <w:rsid w:val="00271F93"/>
    <w:rsid w:val="00272840"/>
    <w:rsid w:val="00272FD0"/>
    <w:rsid w:val="00273AAF"/>
    <w:rsid w:val="00274348"/>
    <w:rsid w:val="00274B9F"/>
    <w:rsid w:val="0027511D"/>
    <w:rsid w:val="00275DC1"/>
    <w:rsid w:val="00276083"/>
    <w:rsid w:val="002768EF"/>
    <w:rsid w:val="00276986"/>
    <w:rsid w:val="00276D83"/>
    <w:rsid w:val="002830D4"/>
    <w:rsid w:val="0028520F"/>
    <w:rsid w:val="00286DDE"/>
    <w:rsid w:val="002879D9"/>
    <w:rsid w:val="002915F4"/>
    <w:rsid w:val="002925A5"/>
    <w:rsid w:val="002926B2"/>
    <w:rsid w:val="00292791"/>
    <w:rsid w:val="00294EAD"/>
    <w:rsid w:val="00295CBF"/>
    <w:rsid w:val="002975C3"/>
    <w:rsid w:val="00297C6F"/>
    <w:rsid w:val="002A17A6"/>
    <w:rsid w:val="002A1B3B"/>
    <w:rsid w:val="002A20E9"/>
    <w:rsid w:val="002A4351"/>
    <w:rsid w:val="002A6551"/>
    <w:rsid w:val="002B0714"/>
    <w:rsid w:val="002B1670"/>
    <w:rsid w:val="002B38A7"/>
    <w:rsid w:val="002B46EC"/>
    <w:rsid w:val="002B568E"/>
    <w:rsid w:val="002B602D"/>
    <w:rsid w:val="002B65B8"/>
    <w:rsid w:val="002B765A"/>
    <w:rsid w:val="002C11FA"/>
    <w:rsid w:val="002C1F6F"/>
    <w:rsid w:val="002C4666"/>
    <w:rsid w:val="002C5F9D"/>
    <w:rsid w:val="002C643A"/>
    <w:rsid w:val="002C6C8C"/>
    <w:rsid w:val="002C7047"/>
    <w:rsid w:val="002C74B7"/>
    <w:rsid w:val="002C7C5A"/>
    <w:rsid w:val="002D0131"/>
    <w:rsid w:val="002D0C9B"/>
    <w:rsid w:val="002D210A"/>
    <w:rsid w:val="002D2D80"/>
    <w:rsid w:val="002D3714"/>
    <w:rsid w:val="002D51DB"/>
    <w:rsid w:val="002D7A64"/>
    <w:rsid w:val="002E0640"/>
    <w:rsid w:val="002E1F9D"/>
    <w:rsid w:val="002E25E5"/>
    <w:rsid w:val="002E3661"/>
    <w:rsid w:val="002E39B6"/>
    <w:rsid w:val="002E3CF9"/>
    <w:rsid w:val="002E3E62"/>
    <w:rsid w:val="002E5F66"/>
    <w:rsid w:val="002E60E5"/>
    <w:rsid w:val="002E6D67"/>
    <w:rsid w:val="002E7246"/>
    <w:rsid w:val="002F0B46"/>
    <w:rsid w:val="002F0E21"/>
    <w:rsid w:val="002F11DF"/>
    <w:rsid w:val="002F1C0C"/>
    <w:rsid w:val="002F1D35"/>
    <w:rsid w:val="002F2248"/>
    <w:rsid w:val="002F2A37"/>
    <w:rsid w:val="002F37E1"/>
    <w:rsid w:val="002F3904"/>
    <w:rsid w:val="002F3F59"/>
    <w:rsid w:val="002F4D15"/>
    <w:rsid w:val="002F4D20"/>
    <w:rsid w:val="003004C1"/>
    <w:rsid w:val="00301245"/>
    <w:rsid w:val="003035CA"/>
    <w:rsid w:val="00303BE2"/>
    <w:rsid w:val="00303DBB"/>
    <w:rsid w:val="003044DF"/>
    <w:rsid w:val="003044F3"/>
    <w:rsid w:val="00304F39"/>
    <w:rsid w:val="00305090"/>
    <w:rsid w:val="003051ED"/>
    <w:rsid w:val="00305CF2"/>
    <w:rsid w:val="003068B1"/>
    <w:rsid w:val="00306C3C"/>
    <w:rsid w:val="00311ADD"/>
    <w:rsid w:val="003123E5"/>
    <w:rsid w:val="003133ED"/>
    <w:rsid w:val="003136FB"/>
    <w:rsid w:val="0031405A"/>
    <w:rsid w:val="00314A72"/>
    <w:rsid w:val="00314D8D"/>
    <w:rsid w:val="0031567E"/>
    <w:rsid w:val="00316D2C"/>
    <w:rsid w:val="00317658"/>
    <w:rsid w:val="00317E66"/>
    <w:rsid w:val="003200A9"/>
    <w:rsid w:val="00321236"/>
    <w:rsid w:val="00323CD4"/>
    <w:rsid w:val="00323D61"/>
    <w:rsid w:val="00327545"/>
    <w:rsid w:val="003311AE"/>
    <w:rsid w:val="003326B1"/>
    <w:rsid w:val="00333D9D"/>
    <w:rsid w:val="00335BA2"/>
    <w:rsid w:val="00340883"/>
    <w:rsid w:val="00340BF5"/>
    <w:rsid w:val="0034156E"/>
    <w:rsid w:val="00345730"/>
    <w:rsid w:val="00345794"/>
    <w:rsid w:val="00345AB3"/>
    <w:rsid w:val="00346938"/>
    <w:rsid w:val="00350F12"/>
    <w:rsid w:val="00351B7A"/>
    <w:rsid w:val="00355F85"/>
    <w:rsid w:val="00356602"/>
    <w:rsid w:val="00357ACF"/>
    <w:rsid w:val="00357F01"/>
    <w:rsid w:val="00361B3C"/>
    <w:rsid w:val="00362F42"/>
    <w:rsid w:val="00365CC7"/>
    <w:rsid w:val="003665A9"/>
    <w:rsid w:val="003700E1"/>
    <w:rsid w:val="003712DF"/>
    <w:rsid w:val="00372E94"/>
    <w:rsid w:val="00375692"/>
    <w:rsid w:val="00376DD8"/>
    <w:rsid w:val="00377847"/>
    <w:rsid w:val="00381827"/>
    <w:rsid w:val="00381CAF"/>
    <w:rsid w:val="00382283"/>
    <w:rsid w:val="00382736"/>
    <w:rsid w:val="00386277"/>
    <w:rsid w:val="003863C6"/>
    <w:rsid w:val="00387010"/>
    <w:rsid w:val="00387460"/>
    <w:rsid w:val="00387E05"/>
    <w:rsid w:val="00390546"/>
    <w:rsid w:val="00391DB5"/>
    <w:rsid w:val="00392212"/>
    <w:rsid w:val="0039278F"/>
    <w:rsid w:val="0039303A"/>
    <w:rsid w:val="00394C62"/>
    <w:rsid w:val="0039610A"/>
    <w:rsid w:val="00396CBE"/>
    <w:rsid w:val="003970FD"/>
    <w:rsid w:val="003A1904"/>
    <w:rsid w:val="003A1B2E"/>
    <w:rsid w:val="003A2906"/>
    <w:rsid w:val="003A4F2E"/>
    <w:rsid w:val="003A53E1"/>
    <w:rsid w:val="003A5622"/>
    <w:rsid w:val="003A66B4"/>
    <w:rsid w:val="003A6D44"/>
    <w:rsid w:val="003A74E2"/>
    <w:rsid w:val="003A750D"/>
    <w:rsid w:val="003A7A89"/>
    <w:rsid w:val="003B07C4"/>
    <w:rsid w:val="003B166C"/>
    <w:rsid w:val="003B16D1"/>
    <w:rsid w:val="003B34BF"/>
    <w:rsid w:val="003B687B"/>
    <w:rsid w:val="003B6CDC"/>
    <w:rsid w:val="003B7583"/>
    <w:rsid w:val="003C179F"/>
    <w:rsid w:val="003C1CCE"/>
    <w:rsid w:val="003C1E9D"/>
    <w:rsid w:val="003C28B7"/>
    <w:rsid w:val="003C2A1F"/>
    <w:rsid w:val="003C5571"/>
    <w:rsid w:val="003D08C1"/>
    <w:rsid w:val="003D0BC5"/>
    <w:rsid w:val="003D0FE5"/>
    <w:rsid w:val="003D15D4"/>
    <w:rsid w:val="003D212B"/>
    <w:rsid w:val="003D2BF2"/>
    <w:rsid w:val="003D324B"/>
    <w:rsid w:val="003D39A9"/>
    <w:rsid w:val="003D39C8"/>
    <w:rsid w:val="003E0B47"/>
    <w:rsid w:val="003E27F0"/>
    <w:rsid w:val="003E41C7"/>
    <w:rsid w:val="003E4616"/>
    <w:rsid w:val="003E57B8"/>
    <w:rsid w:val="003E5AA5"/>
    <w:rsid w:val="003E608C"/>
    <w:rsid w:val="003E6F62"/>
    <w:rsid w:val="003E7B59"/>
    <w:rsid w:val="003F1CA0"/>
    <w:rsid w:val="003F433B"/>
    <w:rsid w:val="003F4356"/>
    <w:rsid w:val="003F4651"/>
    <w:rsid w:val="003F5048"/>
    <w:rsid w:val="003F5AAE"/>
    <w:rsid w:val="003F7A55"/>
    <w:rsid w:val="003F7CEF"/>
    <w:rsid w:val="004014AB"/>
    <w:rsid w:val="00401D4A"/>
    <w:rsid w:val="004021FA"/>
    <w:rsid w:val="004027AE"/>
    <w:rsid w:val="004035B9"/>
    <w:rsid w:val="00404FE6"/>
    <w:rsid w:val="004054B6"/>
    <w:rsid w:val="0040798D"/>
    <w:rsid w:val="00407BB3"/>
    <w:rsid w:val="00407ECD"/>
    <w:rsid w:val="00407EDB"/>
    <w:rsid w:val="0041038D"/>
    <w:rsid w:val="00410BDB"/>
    <w:rsid w:val="004117B7"/>
    <w:rsid w:val="004127D2"/>
    <w:rsid w:val="00414DF5"/>
    <w:rsid w:val="004156CF"/>
    <w:rsid w:val="004169F9"/>
    <w:rsid w:val="004203B5"/>
    <w:rsid w:val="00420EED"/>
    <w:rsid w:val="00421DD4"/>
    <w:rsid w:val="004228A3"/>
    <w:rsid w:val="00424012"/>
    <w:rsid w:val="004242A1"/>
    <w:rsid w:val="004245A4"/>
    <w:rsid w:val="004255E3"/>
    <w:rsid w:val="004302A0"/>
    <w:rsid w:val="0043094C"/>
    <w:rsid w:val="00430F49"/>
    <w:rsid w:val="00430F58"/>
    <w:rsid w:val="00431DAC"/>
    <w:rsid w:val="004340BD"/>
    <w:rsid w:val="00434479"/>
    <w:rsid w:val="00435C64"/>
    <w:rsid w:val="00436335"/>
    <w:rsid w:val="00436347"/>
    <w:rsid w:val="00436452"/>
    <w:rsid w:val="004364EF"/>
    <w:rsid w:val="004370AA"/>
    <w:rsid w:val="004404D2"/>
    <w:rsid w:val="00442224"/>
    <w:rsid w:val="00442686"/>
    <w:rsid w:val="00445E09"/>
    <w:rsid w:val="00451B2D"/>
    <w:rsid w:val="004533CB"/>
    <w:rsid w:val="00454D2B"/>
    <w:rsid w:val="004562D0"/>
    <w:rsid w:val="00456962"/>
    <w:rsid w:val="004601FA"/>
    <w:rsid w:val="00460DB9"/>
    <w:rsid w:val="00464057"/>
    <w:rsid w:val="004648B8"/>
    <w:rsid w:val="00464C1D"/>
    <w:rsid w:val="0046541E"/>
    <w:rsid w:val="00466FAD"/>
    <w:rsid w:val="00470D36"/>
    <w:rsid w:val="004731B1"/>
    <w:rsid w:val="00473E2A"/>
    <w:rsid w:val="00473F59"/>
    <w:rsid w:val="004740DC"/>
    <w:rsid w:val="004747E5"/>
    <w:rsid w:val="00474D39"/>
    <w:rsid w:val="00475232"/>
    <w:rsid w:val="00475675"/>
    <w:rsid w:val="00475E61"/>
    <w:rsid w:val="00476462"/>
    <w:rsid w:val="00476C17"/>
    <w:rsid w:val="00477EAA"/>
    <w:rsid w:val="004829C0"/>
    <w:rsid w:val="00485C48"/>
    <w:rsid w:val="00485D50"/>
    <w:rsid w:val="00485FDD"/>
    <w:rsid w:val="00486814"/>
    <w:rsid w:val="00487447"/>
    <w:rsid w:val="004910D0"/>
    <w:rsid w:val="00492030"/>
    <w:rsid w:val="004921A4"/>
    <w:rsid w:val="00494BDE"/>
    <w:rsid w:val="00495452"/>
    <w:rsid w:val="004954DE"/>
    <w:rsid w:val="00495A70"/>
    <w:rsid w:val="00495CA6"/>
    <w:rsid w:val="00496EC8"/>
    <w:rsid w:val="004A019B"/>
    <w:rsid w:val="004A2A1E"/>
    <w:rsid w:val="004A37D3"/>
    <w:rsid w:val="004A5277"/>
    <w:rsid w:val="004A52BF"/>
    <w:rsid w:val="004A628A"/>
    <w:rsid w:val="004A6CE2"/>
    <w:rsid w:val="004A7137"/>
    <w:rsid w:val="004B0067"/>
    <w:rsid w:val="004B0EF4"/>
    <w:rsid w:val="004B11C8"/>
    <w:rsid w:val="004B20D4"/>
    <w:rsid w:val="004B3412"/>
    <w:rsid w:val="004B3BBA"/>
    <w:rsid w:val="004B442A"/>
    <w:rsid w:val="004B4A32"/>
    <w:rsid w:val="004B4F88"/>
    <w:rsid w:val="004B6184"/>
    <w:rsid w:val="004B61AF"/>
    <w:rsid w:val="004B76DF"/>
    <w:rsid w:val="004C2549"/>
    <w:rsid w:val="004C3269"/>
    <w:rsid w:val="004C34C4"/>
    <w:rsid w:val="004C34C6"/>
    <w:rsid w:val="004C4261"/>
    <w:rsid w:val="004C72D2"/>
    <w:rsid w:val="004C7DE2"/>
    <w:rsid w:val="004D11D3"/>
    <w:rsid w:val="004D1EFA"/>
    <w:rsid w:val="004D324E"/>
    <w:rsid w:val="004D4EAD"/>
    <w:rsid w:val="004D53EF"/>
    <w:rsid w:val="004D59AE"/>
    <w:rsid w:val="004D6DA7"/>
    <w:rsid w:val="004D74AA"/>
    <w:rsid w:val="004D795D"/>
    <w:rsid w:val="004D7E6C"/>
    <w:rsid w:val="004E1BC8"/>
    <w:rsid w:val="004E2C2B"/>
    <w:rsid w:val="004E31CE"/>
    <w:rsid w:val="004E45C9"/>
    <w:rsid w:val="004E4A48"/>
    <w:rsid w:val="004E53F2"/>
    <w:rsid w:val="004E5976"/>
    <w:rsid w:val="004E68B1"/>
    <w:rsid w:val="004E6A53"/>
    <w:rsid w:val="004E77B7"/>
    <w:rsid w:val="004F062C"/>
    <w:rsid w:val="004F2253"/>
    <w:rsid w:val="004F3A11"/>
    <w:rsid w:val="004F46C4"/>
    <w:rsid w:val="004F50A7"/>
    <w:rsid w:val="004F6E0C"/>
    <w:rsid w:val="00502C45"/>
    <w:rsid w:val="00503ADB"/>
    <w:rsid w:val="00504EF7"/>
    <w:rsid w:val="00504F7A"/>
    <w:rsid w:val="00506244"/>
    <w:rsid w:val="00506514"/>
    <w:rsid w:val="0050667B"/>
    <w:rsid w:val="005066E7"/>
    <w:rsid w:val="00507610"/>
    <w:rsid w:val="00511854"/>
    <w:rsid w:val="00511C38"/>
    <w:rsid w:val="005128CD"/>
    <w:rsid w:val="00516625"/>
    <w:rsid w:val="005219DA"/>
    <w:rsid w:val="00525FA3"/>
    <w:rsid w:val="005304C3"/>
    <w:rsid w:val="00531BA4"/>
    <w:rsid w:val="00532D7B"/>
    <w:rsid w:val="00535AC4"/>
    <w:rsid w:val="00537985"/>
    <w:rsid w:val="00537B64"/>
    <w:rsid w:val="00537E5B"/>
    <w:rsid w:val="005424CF"/>
    <w:rsid w:val="005447B5"/>
    <w:rsid w:val="00547C70"/>
    <w:rsid w:val="005500C2"/>
    <w:rsid w:val="00550317"/>
    <w:rsid w:val="00551A69"/>
    <w:rsid w:val="00551F74"/>
    <w:rsid w:val="00552DB1"/>
    <w:rsid w:val="00555856"/>
    <w:rsid w:val="005605B5"/>
    <w:rsid w:val="00561C01"/>
    <w:rsid w:val="00561F1E"/>
    <w:rsid w:val="005630C5"/>
    <w:rsid w:val="005633E1"/>
    <w:rsid w:val="005654CC"/>
    <w:rsid w:val="00570002"/>
    <w:rsid w:val="0057057F"/>
    <w:rsid w:val="005707E6"/>
    <w:rsid w:val="0057187C"/>
    <w:rsid w:val="0057398C"/>
    <w:rsid w:val="00573CFD"/>
    <w:rsid w:val="00573D22"/>
    <w:rsid w:val="005741EE"/>
    <w:rsid w:val="00574BD4"/>
    <w:rsid w:val="005777C2"/>
    <w:rsid w:val="00583153"/>
    <w:rsid w:val="00584A77"/>
    <w:rsid w:val="00584D89"/>
    <w:rsid w:val="00585D0A"/>
    <w:rsid w:val="00587C00"/>
    <w:rsid w:val="00591496"/>
    <w:rsid w:val="00594253"/>
    <w:rsid w:val="00594DD7"/>
    <w:rsid w:val="00595553"/>
    <w:rsid w:val="00595C5C"/>
    <w:rsid w:val="00596DB9"/>
    <w:rsid w:val="00597239"/>
    <w:rsid w:val="005974E1"/>
    <w:rsid w:val="005A0095"/>
    <w:rsid w:val="005A0C82"/>
    <w:rsid w:val="005A31F2"/>
    <w:rsid w:val="005A3B73"/>
    <w:rsid w:val="005A59CB"/>
    <w:rsid w:val="005A5A82"/>
    <w:rsid w:val="005A5DE5"/>
    <w:rsid w:val="005A7AD9"/>
    <w:rsid w:val="005B1504"/>
    <w:rsid w:val="005B2533"/>
    <w:rsid w:val="005B26ED"/>
    <w:rsid w:val="005B364E"/>
    <w:rsid w:val="005B3955"/>
    <w:rsid w:val="005C136E"/>
    <w:rsid w:val="005C1F84"/>
    <w:rsid w:val="005C2318"/>
    <w:rsid w:val="005C299C"/>
    <w:rsid w:val="005C2C8B"/>
    <w:rsid w:val="005C4592"/>
    <w:rsid w:val="005C58A4"/>
    <w:rsid w:val="005C60E5"/>
    <w:rsid w:val="005C6F26"/>
    <w:rsid w:val="005C7E53"/>
    <w:rsid w:val="005D06CA"/>
    <w:rsid w:val="005D07F2"/>
    <w:rsid w:val="005D1318"/>
    <w:rsid w:val="005D14EF"/>
    <w:rsid w:val="005D1B09"/>
    <w:rsid w:val="005D41F3"/>
    <w:rsid w:val="005D45D0"/>
    <w:rsid w:val="005D6206"/>
    <w:rsid w:val="005D6DAE"/>
    <w:rsid w:val="005E0335"/>
    <w:rsid w:val="005E16CC"/>
    <w:rsid w:val="005E1AF9"/>
    <w:rsid w:val="005E1BFD"/>
    <w:rsid w:val="005E25DB"/>
    <w:rsid w:val="005E39AF"/>
    <w:rsid w:val="005E41C7"/>
    <w:rsid w:val="005E502E"/>
    <w:rsid w:val="005E5B30"/>
    <w:rsid w:val="005E62AA"/>
    <w:rsid w:val="005E7AC8"/>
    <w:rsid w:val="005E7D46"/>
    <w:rsid w:val="005F15E8"/>
    <w:rsid w:val="005F194B"/>
    <w:rsid w:val="005F1DB2"/>
    <w:rsid w:val="005F2F23"/>
    <w:rsid w:val="005F3A32"/>
    <w:rsid w:val="005F514E"/>
    <w:rsid w:val="005F568E"/>
    <w:rsid w:val="005F574F"/>
    <w:rsid w:val="005F610F"/>
    <w:rsid w:val="005F6B95"/>
    <w:rsid w:val="005F7E9B"/>
    <w:rsid w:val="006016D5"/>
    <w:rsid w:val="00602045"/>
    <w:rsid w:val="00602379"/>
    <w:rsid w:val="00602A92"/>
    <w:rsid w:val="006039D5"/>
    <w:rsid w:val="00603C86"/>
    <w:rsid w:val="00603D35"/>
    <w:rsid w:val="0060528A"/>
    <w:rsid w:val="006062C1"/>
    <w:rsid w:val="0060661B"/>
    <w:rsid w:val="00607003"/>
    <w:rsid w:val="00607447"/>
    <w:rsid w:val="00607D6B"/>
    <w:rsid w:val="006108ED"/>
    <w:rsid w:val="0061294C"/>
    <w:rsid w:val="0061755D"/>
    <w:rsid w:val="006175DC"/>
    <w:rsid w:val="00620FF7"/>
    <w:rsid w:val="0062240B"/>
    <w:rsid w:val="006225E7"/>
    <w:rsid w:val="00622A85"/>
    <w:rsid w:val="00622C34"/>
    <w:rsid w:val="0062304C"/>
    <w:rsid w:val="00627256"/>
    <w:rsid w:val="0063018D"/>
    <w:rsid w:val="006302BA"/>
    <w:rsid w:val="00630D6B"/>
    <w:rsid w:val="006320C7"/>
    <w:rsid w:val="0063266A"/>
    <w:rsid w:val="0063333E"/>
    <w:rsid w:val="006336DB"/>
    <w:rsid w:val="00634238"/>
    <w:rsid w:val="0063448D"/>
    <w:rsid w:val="00634B6F"/>
    <w:rsid w:val="00636A9D"/>
    <w:rsid w:val="00636DED"/>
    <w:rsid w:val="006405E1"/>
    <w:rsid w:val="00640ADC"/>
    <w:rsid w:val="006412F5"/>
    <w:rsid w:val="006415C8"/>
    <w:rsid w:val="00641620"/>
    <w:rsid w:val="00642511"/>
    <w:rsid w:val="00643167"/>
    <w:rsid w:val="006442EF"/>
    <w:rsid w:val="00644733"/>
    <w:rsid w:val="00645250"/>
    <w:rsid w:val="00646CC8"/>
    <w:rsid w:val="0065074D"/>
    <w:rsid w:val="00650751"/>
    <w:rsid w:val="0065225E"/>
    <w:rsid w:val="00652AAA"/>
    <w:rsid w:val="00654E9B"/>
    <w:rsid w:val="00655541"/>
    <w:rsid w:val="00656641"/>
    <w:rsid w:val="00656ADD"/>
    <w:rsid w:val="00656D27"/>
    <w:rsid w:val="0065717B"/>
    <w:rsid w:val="006575C3"/>
    <w:rsid w:val="00657CB0"/>
    <w:rsid w:val="00660D8C"/>
    <w:rsid w:val="00662156"/>
    <w:rsid w:val="006629A5"/>
    <w:rsid w:val="00663D37"/>
    <w:rsid w:val="00664142"/>
    <w:rsid w:val="00666DA9"/>
    <w:rsid w:val="006679BC"/>
    <w:rsid w:val="00670711"/>
    <w:rsid w:val="00673A46"/>
    <w:rsid w:val="00673FA3"/>
    <w:rsid w:val="00674945"/>
    <w:rsid w:val="00675DAD"/>
    <w:rsid w:val="006767FA"/>
    <w:rsid w:val="0067775B"/>
    <w:rsid w:val="00677A13"/>
    <w:rsid w:val="00677E35"/>
    <w:rsid w:val="00681313"/>
    <w:rsid w:val="006846B8"/>
    <w:rsid w:val="006858EC"/>
    <w:rsid w:val="00687103"/>
    <w:rsid w:val="006900E8"/>
    <w:rsid w:val="0069033D"/>
    <w:rsid w:val="00690C3F"/>
    <w:rsid w:val="0069101F"/>
    <w:rsid w:val="006920B0"/>
    <w:rsid w:val="006921B5"/>
    <w:rsid w:val="006938EE"/>
    <w:rsid w:val="00694084"/>
    <w:rsid w:val="006945CE"/>
    <w:rsid w:val="00695D24"/>
    <w:rsid w:val="00696911"/>
    <w:rsid w:val="00696997"/>
    <w:rsid w:val="00696D65"/>
    <w:rsid w:val="00696E88"/>
    <w:rsid w:val="00697C13"/>
    <w:rsid w:val="006A0B75"/>
    <w:rsid w:val="006A3B06"/>
    <w:rsid w:val="006A46C2"/>
    <w:rsid w:val="006A51C7"/>
    <w:rsid w:val="006A62B2"/>
    <w:rsid w:val="006A7748"/>
    <w:rsid w:val="006B000C"/>
    <w:rsid w:val="006B1A71"/>
    <w:rsid w:val="006B52EB"/>
    <w:rsid w:val="006B6096"/>
    <w:rsid w:val="006B685C"/>
    <w:rsid w:val="006B6BBB"/>
    <w:rsid w:val="006B7755"/>
    <w:rsid w:val="006C0F4D"/>
    <w:rsid w:val="006C3935"/>
    <w:rsid w:val="006C4000"/>
    <w:rsid w:val="006C4428"/>
    <w:rsid w:val="006C54C3"/>
    <w:rsid w:val="006C640B"/>
    <w:rsid w:val="006C6588"/>
    <w:rsid w:val="006C6D44"/>
    <w:rsid w:val="006C7A91"/>
    <w:rsid w:val="006D0372"/>
    <w:rsid w:val="006D0906"/>
    <w:rsid w:val="006D28C6"/>
    <w:rsid w:val="006D37FC"/>
    <w:rsid w:val="006D5013"/>
    <w:rsid w:val="006D7E0A"/>
    <w:rsid w:val="006E0693"/>
    <w:rsid w:val="006E11AD"/>
    <w:rsid w:val="006E225B"/>
    <w:rsid w:val="006E28E1"/>
    <w:rsid w:val="006E2A0B"/>
    <w:rsid w:val="006E6F29"/>
    <w:rsid w:val="006F046C"/>
    <w:rsid w:val="006F12F0"/>
    <w:rsid w:val="006F1517"/>
    <w:rsid w:val="006F2395"/>
    <w:rsid w:val="006F2AE5"/>
    <w:rsid w:val="006F2CE8"/>
    <w:rsid w:val="006F36FF"/>
    <w:rsid w:val="006F46E9"/>
    <w:rsid w:val="006F5199"/>
    <w:rsid w:val="006F6235"/>
    <w:rsid w:val="006F62FA"/>
    <w:rsid w:val="006F701E"/>
    <w:rsid w:val="006F7783"/>
    <w:rsid w:val="00700A70"/>
    <w:rsid w:val="00701115"/>
    <w:rsid w:val="00701455"/>
    <w:rsid w:val="00701CCE"/>
    <w:rsid w:val="00702259"/>
    <w:rsid w:val="0070243B"/>
    <w:rsid w:val="00703A99"/>
    <w:rsid w:val="00704BEA"/>
    <w:rsid w:val="00704DF0"/>
    <w:rsid w:val="007053D6"/>
    <w:rsid w:val="00707066"/>
    <w:rsid w:val="007107B9"/>
    <w:rsid w:val="00711E51"/>
    <w:rsid w:val="0071371E"/>
    <w:rsid w:val="0071384E"/>
    <w:rsid w:val="0071524B"/>
    <w:rsid w:val="00716DA5"/>
    <w:rsid w:val="00723515"/>
    <w:rsid w:val="00723692"/>
    <w:rsid w:val="00725741"/>
    <w:rsid w:val="00725760"/>
    <w:rsid w:val="00725778"/>
    <w:rsid w:val="00725B64"/>
    <w:rsid w:val="0072704D"/>
    <w:rsid w:val="007270D0"/>
    <w:rsid w:val="007277BF"/>
    <w:rsid w:val="0072784F"/>
    <w:rsid w:val="007301FD"/>
    <w:rsid w:val="0073089A"/>
    <w:rsid w:val="00731D5B"/>
    <w:rsid w:val="00732301"/>
    <w:rsid w:val="00733065"/>
    <w:rsid w:val="007355C4"/>
    <w:rsid w:val="007359F8"/>
    <w:rsid w:val="00735ED0"/>
    <w:rsid w:val="00735F55"/>
    <w:rsid w:val="00736CC0"/>
    <w:rsid w:val="007449EE"/>
    <w:rsid w:val="00745720"/>
    <w:rsid w:val="00746969"/>
    <w:rsid w:val="00746F2A"/>
    <w:rsid w:val="00750444"/>
    <w:rsid w:val="007519EA"/>
    <w:rsid w:val="007525A0"/>
    <w:rsid w:val="0075339E"/>
    <w:rsid w:val="0075473A"/>
    <w:rsid w:val="00754EE7"/>
    <w:rsid w:val="00755158"/>
    <w:rsid w:val="007563AF"/>
    <w:rsid w:val="00756A76"/>
    <w:rsid w:val="00756B93"/>
    <w:rsid w:val="00757A8D"/>
    <w:rsid w:val="00761314"/>
    <w:rsid w:val="007630C8"/>
    <w:rsid w:val="00763373"/>
    <w:rsid w:val="00764055"/>
    <w:rsid w:val="00770150"/>
    <w:rsid w:val="00770B12"/>
    <w:rsid w:val="00771841"/>
    <w:rsid w:val="00773A58"/>
    <w:rsid w:val="00773D5B"/>
    <w:rsid w:val="007773F7"/>
    <w:rsid w:val="00777D94"/>
    <w:rsid w:val="00780600"/>
    <w:rsid w:val="00780699"/>
    <w:rsid w:val="007835EA"/>
    <w:rsid w:val="0078373F"/>
    <w:rsid w:val="00783CCD"/>
    <w:rsid w:val="007846FC"/>
    <w:rsid w:val="007858D6"/>
    <w:rsid w:val="00785908"/>
    <w:rsid w:val="00786501"/>
    <w:rsid w:val="00790504"/>
    <w:rsid w:val="007906BA"/>
    <w:rsid w:val="007907AF"/>
    <w:rsid w:val="0079108F"/>
    <w:rsid w:val="00791523"/>
    <w:rsid w:val="00791C7B"/>
    <w:rsid w:val="00791DEE"/>
    <w:rsid w:val="007941CC"/>
    <w:rsid w:val="00794385"/>
    <w:rsid w:val="007943A7"/>
    <w:rsid w:val="007945EA"/>
    <w:rsid w:val="00794607"/>
    <w:rsid w:val="00794C5E"/>
    <w:rsid w:val="0079506F"/>
    <w:rsid w:val="007A01F3"/>
    <w:rsid w:val="007A0338"/>
    <w:rsid w:val="007A10A8"/>
    <w:rsid w:val="007A33FE"/>
    <w:rsid w:val="007A52C4"/>
    <w:rsid w:val="007A57A5"/>
    <w:rsid w:val="007A596A"/>
    <w:rsid w:val="007A6593"/>
    <w:rsid w:val="007A7B67"/>
    <w:rsid w:val="007B0047"/>
    <w:rsid w:val="007B0072"/>
    <w:rsid w:val="007B17C7"/>
    <w:rsid w:val="007B1BEB"/>
    <w:rsid w:val="007B23C3"/>
    <w:rsid w:val="007B2BB9"/>
    <w:rsid w:val="007B3FCE"/>
    <w:rsid w:val="007B48BD"/>
    <w:rsid w:val="007B4BC2"/>
    <w:rsid w:val="007B4EAA"/>
    <w:rsid w:val="007B5624"/>
    <w:rsid w:val="007B57A7"/>
    <w:rsid w:val="007B5872"/>
    <w:rsid w:val="007B6248"/>
    <w:rsid w:val="007C13ED"/>
    <w:rsid w:val="007C2C8B"/>
    <w:rsid w:val="007C3033"/>
    <w:rsid w:val="007C4279"/>
    <w:rsid w:val="007C4720"/>
    <w:rsid w:val="007C58C9"/>
    <w:rsid w:val="007C594C"/>
    <w:rsid w:val="007C71C7"/>
    <w:rsid w:val="007C7E27"/>
    <w:rsid w:val="007D26A2"/>
    <w:rsid w:val="007D2F90"/>
    <w:rsid w:val="007D31F5"/>
    <w:rsid w:val="007D33B5"/>
    <w:rsid w:val="007D3D64"/>
    <w:rsid w:val="007D420C"/>
    <w:rsid w:val="007D4F32"/>
    <w:rsid w:val="007D4F52"/>
    <w:rsid w:val="007D5783"/>
    <w:rsid w:val="007D5DBA"/>
    <w:rsid w:val="007D718E"/>
    <w:rsid w:val="007D7238"/>
    <w:rsid w:val="007D7595"/>
    <w:rsid w:val="007E0D3F"/>
    <w:rsid w:val="007E1775"/>
    <w:rsid w:val="007E191C"/>
    <w:rsid w:val="007E1983"/>
    <w:rsid w:val="007E2828"/>
    <w:rsid w:val="007E4A46"/>
    <w:rsid w:val="007E5A29"/>
    <w:rsid w:val="007E5B72"/>
    <w:rsid w:val="007E5BC2"/>
    <w:rsid w:val="007E607E"/>
    <w:rsid w:val="007F20E1"/>
    <w:rsid w:val="007F2613"/>
    <w:rsid w:val="007F268C"/>
    <w:rsid w:val="007F2B58"/>
    <w:rsid w:val="007F3C16"/>
    <w:rsid w:val="007F42A2"/>
    <w:rsid w:val="007F432C"/>
    <w:rsid w:val="007F4777"/>
    <w:rsid w:val="007F5B39"/>
    <w:rsid w:val="007F5E17"/>
    <w:rsid w:val="007F6BD1"/>
    <w:rsid w:val="00800BE9"/>
    <w:rsid w:val="00802184"/>
    <w:rsid w:val="008026E4"/>
    <w:rsid w:val="00802836"/>
    <w:rsid w:val="00803710"/>
    <w:rsid w:val="0080384E"/>
    <w:rsid w:val="0080472B"/>
    <w:rsid w:val="008071BF"/>
    <w:rsid w:val="0081011B"/>
    <w:rsid w:val="00811CFE"/>
    <w:rsid w:val="00812AF2"/>
    <w:rsid w:val="008140E7"/>
    <w:rsid w:val="00814FE6"/>
    <w:rsid w:val="008167F2"/>
    <w:rsid w:val="00820779"/>
    <w:rsid w:val="00821817"/>
    <w:rsid w:val="00822341"/>
    <w:rsid w:val="00823D02"/>
    <w:rsid w:val="008242A7"/>
    <w:rsid w:val="0082780F"/>
    <w:rsid w:val="00830734"/>
    <w:rsid w:val="0083146D"/>
    <w:rsid w:val="00831548"/>
    <w:rsid w:val="0083180F"/>
    <w:rsid w:val="00833FB2"/>
    <w:rsid w:val="0083565F"/>
    <w:rsid w:val="00835EA9"/>
    <w:rsid w:val="00836319"/>
    <w:rsid w:val="00836429"/>
    <w:rsid w:val="00836C77"/>
    <w:rsid w:val="00836D6A"/>
    <w:rsid w:val="00837120"/>
    <w:rsid w:val="00841381"/>
    <w:rsid w:val="008442BB"/>
    <w:rsid w:val="00844AE7"/>
    <w:rsid w:val="00844C86"/>
    <w:rsid w:val="00845389"/>
    <w:rsid w:val="0084538F"/>
    <w:rsid w:val="00845A5C"/>
    <w:rsid w:val="00845D0F"/>
    <w:rsid w:val="00845F8B"/>
    <w:rsid w:val="008474DB"/>
    <w:rsid w:val="008500CF"/>
    <w:rsid w:val="00850313"/>
    <w:rsid w:val="008517D3"/>
    <w:rsid w:val="00851A5B"/>
    <w:rsid w:val="00851EAF"/>
    <w:rsid w:val="00851F01"/>
    <w:rsid w:val="00854C3D"/>
    <w:rsid w:val="00855251"/>
    <w:rsid w:val="00857860"/>
    <w:rsid w:val="00861512"/>
    <w:rsid w:val="00863009"/>
    <w:rsid w:val="00863B75"/>
    <w:rsid w:val="00863CAC"/>
    <w:rsid w:val="00864CEE"/>
    <w:rsid w:val="00865059"/>
    <w:rsid w:val="008675E3"/>
    <w:rsid w:val="0086761E"/>
    <w:rsid w:val="00870C98"/>
    <w:rsid w:val="008720D1"/>
    <w:rsid w:val="00873BE5"/>
    <w:rsid w:val="008766CB"/>
    <w:rsid w:val="0087791D"/>
    <w:rsid w:val="008830CD"/>
    <w:rsid w:val="00883B61"/>
    <w:rsid w:val="008841C2"/>
    <w:rsid w:val="00884C56"/>
    <w:rsid w:val="00885B56"/>
    <w:rsid w:val="00885CEF"/>
    <w:rsid w:val="00886843"/>
    <w:rsid w:val="008875B9"/>
    <w:rsid w:val="00887FEC"/>
    <w:rsid w:val="00890579"/>
    <w:rsid w:val="008909A1"/>
    <w:rsid w:val="008914A5"/>
    <w:rsid w:val="008917B4"/>
    <w:rsid w:val="008926FB"/>
    <w:rsid w:val="008928F8"/>
    <w:rsid w:val="00892961"/>
    <w:rsid w:val="008938C2"/>
    <w:rsid w:val="00894DF6"/>
    <w:rsid w:val="00895B16"/>
    <w:rsid w:val="00896454"/>
    <w:rsid w:val="008A05D4"/>
    <w:rsid w:val="008A143D"/>
    <w:rsid w:val="008A1F5A"/>
    <w:rsid w:val="008A2F1C"/>
    <w:rsid w:val="008A3EA8"/>
    <w:rsid w:val="008A4948"/>
    <w:rsid w:val="008A636B"/>
    <w:rsid w:val="008A638A"/>
    <w:rsid w:val="008A6686"/>
    <w:rsid w:val="008A6A57"/>
    <w:rsid w:val="008B0050"/>
    <w:rsid w:val="008B1DBA"/>
    <w:rsid w:val="008B2734"/>
    <w:rsid w:val="008B3C1E"/>
    <w:rsid w:val="008B4269"/>
    <w:rsid w:val="008B4E19"/>
    <w:rsid w:val="008B530B"/>
    <w:rsid w:val="008B6CB0"/>
    <w:rsid w:val="008B7B04"/>
    <w:rsid w:val="008C0349"/>
    <w:rsid w:val="008C1703"/>
    <w:rsid w:val="008C3F93"/>
    <w:rsid w:val="008C54FE"/>
    <w:rsid w:val="008C595F"/>
    <w:rsid w:val="008C7860"/>
    <w:rsid w:val="008D0265"/>
    <w:rsid w:val="008D0D62"/>
    <w:rsid w:val="008D1983"/>
    <w:rsid w:val="008D4417"/>
    <w:rsid w:val="008D5364"/>
    <w:rsid w:val="008D6324"/>
    <w:rsid w:val="008D6CCB"/>
    <w:rsid w:val="008D76A0"/>
    <w:rsid w:val="008E08E5"/>
    <w:rsid w:val="008E1709"/>
    <w:rsid w:val="008E176E"/>
    <w:rsid w:val="008E1C96"/>
    <w:rsid w:val="008E32F3"/>
    <w:rsid w:val="008E3727"/>
    <w:rsid w:val="008E3BFF"/>
    <w:rsid w:val="008E4C6A"/>
    <w:rsid w:val="008E7AC9"/>
    <w:rsid w:val="008F0D84"/>
    <w:rsid w:val="008F0E4B"/>
    <w:rsid w:val="008F25F0"/>
    <w:rsid w:val="008F2D46"/>
    <w:rsid w:val="008F50C2"/>
    <w:rsid w:val="008F56BD"/>
    <w:rsid w:val="008F5F22"/>
    <w:rsid w:val="008F680E"/>
    <w:rsid w:val="008F6EAE"/>
    <w:rsid w:val="008F765D"/>
    <w:rsid w:val="008F7F1E"/>
    <w:rsid w:val="009025FF"/>
    <w:rsid w:val="0090325A"/>
    <w:rsid w:val="00904CCD"/>
    <w:rsid w:val="00905086"/>
    <w:rsid w:val="00905E1D"/>
    <w:rsid w:val="00905EA8"/>
    <w:rsid w:val="009076BB"/>
    <w:rsid w:val="00910100"/>
    <w:rsid w:val="0091012D"/>
    <w:rsid w:val="0091080E"/>
    <w:rsid w:val="00910B42"/>
    <w:rsid w:val="00911FF5"/>
    <w:rsid w:val="00912DF7"/>
    <w:rsid w:val="00914595"/>
    <w:rsid w:val="00914744"/>
    <w:rsid w:val="009152FD"/>
    <w:rsid w:val="00916313"/>
    <w:rsid w:val="00916A99"/>
    <w:rsid w:val="009175C9"/>
    <w:rsid w:val="009175FA"/>
    <w:rsid w:val="00920752"/>
    <w:rsid w:val="0092111D"/>
    <w:rsid w:val="00922CF5"/>
    <w:rsid w:val="009232D1"/>
    <w:rsid w:val="00925143"/>
    <w:rsid w:val="00925A70"/>
    <w:rsid w:val="009337D9"/>
    <w:rsid w:val="0093491D"/>
    <w:rsid w:val="0093639D"/>
    <w:rsid w:val="0093714E"/>
    <w:rsid w:val="00937778"/>
    <w:rsid w:val="00937F3E"/>
    <w:rsid w:val="009403D6"/>
    <w:rsid w:val="009410E2"/>
    <w:rsid w:val="0094460F"/>
    <w:rsid w:val="00944A24"/>
    <w:rsid w:val="00945056"/>
    <w:rsid w:val="00945618"/>
    <w:rsid w:val="009458AC"/>
    <w:rsid w:val="00945BCB"/>
    <w:rsid w:val="0094641E"/>
    <w:rsid w:val="00946860"/>
    <w:rsid w:val="00946C23"/>
    <w:rsid w:val="0094767E"/>
    <w:rsid w:val="00947816"/>
    <w:rsid w:val="00951FCE"/>
    <w:rsid w:val="009527E2"/>
    <w:rsid w:val="00953855"/>
    <w:rsid w:val="00953978"/>
    <w:rsid w:val="009543CC"/>
    <w:rsid w:val="0095593E"/>
    <w:rsid w:val="009605E1"/>
    <w:rsid w:val="00960683"/>
    <w:rsid w:val="00961A5B"/>
    <w:rsid w:val="00961E58"/>
    <w:rsid w:val="009634CB"/>
    <w:rsid w:val="009642D0"/>
    <w:rsid w:val="00964BAA"/>
    <w:rsid w:val="009650DB"/>
    <w:rsid w:val="009654A8"/>
    <w:rsid w:val="009661E7"/>
    <w:rsid w:val="00970CD6"/>
    <w:rsid w:val="00972469"/>
    <w:rsid w:val="00972685"/>
    <w:rsid w:val="0097291B"/>
    <w:rsid w:val="009737B1"/>
    <w:rsid w:val="00973CBF"/>
    <w:rsid w:val="00974826"/>
    <w:rsid w:val="00974879"/>
    <w:rsid w:val="00974CD9"/>
    <w:rsid w:val="00975982"/>
    <w:rsid w:val="00975D1F"/>
    <w:rsid w:val="009764A2"/>
    <w:rsid w:val="00976FE5"/>
    <w:rsid w:val="00977986"/>
    <w:rsid w:val="0098016E"/>
    <w:rsid w:val="00980D5A"/>
    <w:rsid w:val="00982073"/>
    <w:rsid w:val="009843C2"/>
    <w:rsid w:val="00985465"/>
    <w:rsid w:val="009870CA"/>
    <w:rsid w:val="009876C5"/>
    <w:rsid w:val="00987D83"/>
    <w:rsid w:val="00990146"/>
    <w:rsid w:val="009901B6"/>
    <w:rsid w:val="00990D58"/>
    <w:rsid w:val="009929EA"/>
    <w:rsid w:val="00992B44"/>
    <w:rsid w:val="00993942"/>
    <w:rsid w:val="00993BBA"/>
    <w:rsid w:val="00997D63"/>
    <w:rsid w:val="009A0285"/>
    <w:rsid w:val="009A0A59"/>
    <w:rsid w:val="009A60BE"/>
    <w:rsid w:val="009A678E"/>
    <w:rsid w:val="009A695E"/>
    <w:rsid w:val="009A6D6B"/>
    <w:rsid w:val="009A6FCF"/>
    <w:rsid w:val="009A7624"/>
    <w:rsid w:val="009A7DE0"/>
    <w:rsid w:val="009B1DEC"/>
    <w:rsid w:val="009B4B0D"/>
    <w:rsid w:val="009B53F4"/>
    <w:rsid w:val="009B6BB7"/>
    <w:rsid w:val="009C193D"/>
    <w:rsid w:val="009C23F2"/>
    <w:rsid w:val="009C2EEA"/>
    <w:rsid w:val="009C38A7"/>
    <w:rsid w:val="009C4F17"/>
    <w:rsid w:val="009C6697"/>
    <w:rsid w:val="009C7B3C"/>
    <w:rsid w:val="009D0800"/>
    <w:rsid w:val="009D0CAE"/>
    <w:rsid w:val="009D1A45"/>
    <w:rsid w:val="009D27BC"/>
    <w:rsid w:val="009D3011"/>
    <w:rsid w:val="009D329B"/>
    <w:rsid w:val="009D5218"/>
    <w:rsid w:val="009D6895"/>
    <w:rsid w:val="009D788E"/>
    <w:rsid w:val="009E0F10"/>
    <w:rsid w:val="009E1AB3"/>
    <w:rsid w:val="009E1BC1"/>
    <w:rsid w:val="009E1D86"/>
    <w:rsid w:val="009E30D3"/>
    <w:rsid w:val="009E33D6"/>
    <w:rsid w:val="009E3F04"/>
    <w:rsid w:val="009E49AA"/>
    <w:rsid w:val="009E61D2"/>
    <w:rsid w:val="009E6A4A"/>
    <w:rsid w:val="009E7FBB"/>
    <w:rsid w:val="009F0DBC"/>
    <w:rsid w:val="009F1ABE"/>
    <w:rsid w:val="009F50B6"/>
    <w:rsid w:val="009F524C"/>
    <w:rsid w:val="009F5EA8"/>
    <w:rsid w:val="009F6F1D"/>
    <w:rsid w:val="009F78F5"/>
    <w:rsid w:val="009F7C5F"/>
    <w:rsid w:val="00A00DB8"/>
    <w:rsid w:val="00A02064"/>
    <w:rsid w:val="00A0262F"/>
    <w:rsid w:val="00A0654C"/>
    <w:rsid w:val="00A07503"/>
    <w:rsid w:val="00A078A1"/>
    <w:rsid w:val="00A0798F"/>
    <w:rsid w:val="00A1023B"/>
    <w:rsid w:val="00A1116F"/>
    <w:rsid w:val="00A12037"/>
    <w:rsid w:val="00A1305A"/>
    <w:rsid w:val="00A14027"/>
    <w:rsid w:val="00A16C66"/>
    <w:rsid w:val="00A17127"/>
    <w:rsid w:val="00A17784"/>
    <w:rsid w:val="00A17EB1"/>
    <w:rsid w:val="00A20FF3"/>
    <w:rsid w:val="00A217E6"/>
    <w:rsid w:val="00A2217A"/>
    <w:rsid w:val="00A22CFF"/>
    <w:rsid w:val="00A22D15"/>
    <w:rsid w:val="00A23791"/>
    <w:rsid w:val="00A23BD1"/>
    <w:rsid w:val="00A23DAF"/>
    <w:rsid w:val="00A248C8"/>
    <w:rsid w:val="00A25156"/>
    <w:rsid w:val="00A25604"/>
    <w:rsid w:val="00A2614C"/>
    <w:rsid w:val="00A266F2"/>
    <w:rsid w:val="00A27647"/>
    <w:rsid w:val="00A30639"/>
    <w:rsid w:val="00A30BD0"/>
    <w:rsid w:val="00A30F09"/>
    <w:rsid w:val="00A34E7D"/>
    <w:rsid w:val="00A36A91"/>
    <w:rsid w:val="00A37644"/>
    <w:rsid w:val="00A45053"/>
    <w:rsid w:val="00A47FE9"/>
    <w:rsid w:val="00A51131"/>
    <w:rsid w:val="00A523BC"/>
    <w:rsid w:val="00A53790"/>
    <w:rsid w:val="00A537AC"/>
    <w:rsid w:val="00A538B4"/>
    <w:rsid w:val="00A5547D"/>
    <w:rsid w:val="00A57A6A"/>
    <w:rsid w:val="00A606EC"/>
    <w:rsid w:val="00A60C36"/>
    <w:rsid w:val="00A60F46"/>
    <w:rsid w:val="00A61195"/>
    <w:rsid w:val="00A6467B"/>
    <w:rsid w:val="00A64771"/>
    <w:rsid w:val="00A65EA8"/>
    <w:rsid w:val="00A678C5"/>
    <w:rsid w:val="00A67D51"/>
    <w:rsid w:val="00A71D58"/>
    <w:rsid w:val="00A73B50"/>
    <w:rsid w:val="00A7490D"/>
    <w:rsid w:val="00A74AD6"/>
    <w:rsid w:val="00A77BF9"/>
    <w:rsid w:val="00A80BEA"/>
    <w:rsid w:val="00A81907"/>
    <w:rsid w:val="00A81B01"/>
    <w:rsid w:val="00A828D8"/>
    <w:rsid w:val="00A82B3D"/>
    <w:rsid w:val="00A82C37"/>
    <w:rsid w:val="00A83D83"/>
    <w:rsid w:val="00A8463C"/>
    <w:rsid w:val="00A849F5"/>
    <w:rsid w:val="00A84CC6"/>
    <w:rsid w:val="00A86B70"/>
    <w:rsid w:val="00A87D67"/>
    <w:rsid w:val="00A90D89"/>
    <w:rsid w:val="00A9183A"/>
    <w:rsid w:val="00A93901"/>
    <w:rsid w:val="00A95751"/>
    <w:rsid w:val="00AA1609"/>
    <w:rsid w:val="00AA53BF"/>
    <w:rsid w:val="00AB0281"/>
    <w:rsid w:val="00AB0B17"/>
    <w:rsid w:val="00AB1A7A"/>
    <w:rsid w:val="00AB2119"/>
    <w:rsid w:val="00AB243C"/>
    <w:rsid w:val="00AB25DE"/>
    <w:rsid w:val="00AB2923"/>
    <w:rsid w:val="00AB4FE8"/>
    <w:rsid w:val="00AB6FCA"/>
    <w:rsid w:val="00AC0C78"/>
    <w:rsid w:val="00AC26B4"/>
    <w:rsid w:val="00AC33B5"/>
    <w:rsid w:val="00AC37F3"/>
    <w:rsid w:val="00AC3903"/>
    <w:rsid w:val="00AC3F81"/>
    <w:rsid w:val="00AC51EB"/>
    <w:rsid w:val="00AC5AC3"/>
    <w:rsid w:val="00AC627B"/>
    <w:rsid w:val="00AC68A3"/>
    <w:rsid w:val="00AC6B1E"/>
    <w:rsid w:val="00AC7857"/>
    <w:rsid w:val="00AC7E43"/>
    <w:rsid w:val="00AC7FBB"/>
    <w:rsid w:val="00AD01D3"/>
    <w:rsid w:val="00AD2054"/>
    <w:rsid w:val="00AD49B8"/>
    <w:rsid w:val="00AD5151"/>
    <w:rsid w:val="00AD5D5D"/>
    <w:rsid w:val="00AD6237"/>
    <w:rsid w:val="00AD6E9E"/>
    <w:rsid w:val="00AD7AB9"/>
    <w:rsid w:val="00AD7B0B"/>
    <w:rsid w:val="00AD7B28"/>
    <w:rsid w:val="00AE055F"/>
    <w:rsid w:val="00AE1E55"/>
    <w:rsid w:val="00AE23AF"/>
    <w:rsid w:val="00AE23CA"/>
    <w:rsid w:val="00AE47E9"/>
    <w:rsid w:val="00AE5696"/>
    <w:rsid w:val="00AE5F6E"/>
    <w:rsid w:val="00AE7299"/>
    <w:rsid w:val="00AE73F5"/>
    <w:rsid w:val="00AF1ACF"/>
    <w:rsid w:val="00AF21F2"/>
    <w:rsid w:val="00AF39D9"/>
    <w:rsid w:val="00AF5B21"/>
    <w:rsid w:val="00AF5F81"/>
    <w:rsid w:val="00AF649A"/>
    <w:rsid w:val="00B006D3"/>
    <w:rsid w:val="00B0158A"/>
    <w:rsid w:val="00B015BB"/>
    <w:rsid w:val="00B01EB9"/>
    <w:rsid w:val="00B026DB"/>
    <w:rsid w:val="00B02E9B"/>
    <w:rsid w:val="00B04D4C"/>
    <w:rsid w:val="00B05A64"/>
    <w:rsid w:val="00B076CB"/>
    <w:rsid w:val="00B07724"/>
    <w:rsid w:val="00B10AA2"/>
    <w:rsid w:val="00B13140"/>
    <w:rsid w:val="00B13162"/>
    <w:rsid w:val="00B165AE"/>
    <w:rsid w:val="00B16EA6"/>
    <w:rsid w:val="00B1708A"/>
    <w:rsid w:val="00B221C2"/>
    <w:rsid w:val="00B235FA"/>
    <w:rsid w:val="00B23D53"/>
    <w:rsid w:val="00B30724"/>
    <w:rsid w:val="00B33363"/>
    <w:rsid w:val="00B34713"/>
    <w:rsid w:val="00B35D55"/>
    <w:rsid w:val="00B362B3"/>
    <w:rsid w:val="00B37BC5"/>
    <w:rsid w:val="00B40814"/>
    <w:rsid w:val="00B40E26"/>
    <w:rsid w:val="00B40F78"/>
    <w:rsid w:val="00B41039"/>
    <w:rsid w:val="00B412DF"/>
    <w:rsid w:val="00B41E55"/>
    <w:rsid w:val="00B4209E"/>
    <w:rsid w:val="00B420A6"/>
    <w:rsid w:val="00B449A4"/>
    <w:rsid w:val="00B477E8"/>
    <w:rsid w:val="00B50182"/>
    <w:rsid w:val="00B50E60"/>
    <w:rsid w:val="00B520D6"/>
    <w:rsid w:val="00B53C88"/>
    <w:rsid w:val="00B5641E"/>
    <w:rsid w:val="00B60261"/>
    <w:rsid w:val="00B60B45"/>
    <w:rsid w:val="00B60EBD"/>
    <w:rsid w:val="00B639A3"/>
    <w:rsid w:val="00B65DF5"/>
    <w:rsid w:val="00B6660E"/>
    <w:rsid w:val="00B66ADF"/>
    <w:rsid w:val="00B671AD"/>
    <w:rsid w:val="00B70571"/>
    <w:rsid w:val="00B732CE"/>
    <w:rsid w:val="00B74BBF"/>
    <w:rsid w:val="00B7553C"/>
    <w:rsid w:val="00B76903"/>
    <w:rsid w:val="00B77E74"/>
    <w:rsid w:val="00B80DF6"/>
    <w:rsid w:val="00B80E98"/>
    <w:rsid w:val="00B80EA1"/>
    <w:rsid w:val="00B82275"/>
    <w:rsid w:val="00B8379E"/>
    <w:rsid w:val="00B84251"/>
    <w:rsid w:val="00B84DEC"/>
    <w:rsid w:val="00B84E00"/>
    <w:rsid w:val="00B87D1E"/>
    <w:rsid w:val="00B87EF1"/>
    <w:rsid w:val="00B90285"/>
    <w:rsid w:val="00B92ACE"/>
    <w:rsid w:val="00B937BE"/>
    <w:rsid w:val="00B94CDA"/>
    <w:rsid w:val="00B97455"/>
    <w:rsid w:val="00B97F4A"/>
    <w:rsid w:val="00BA104F"/>
    <w:rsid w:val="00BA1446"/>
    <w:rsid w:val="00BA257F"/>
    <w:rsid w:val="00BA3AEE"/>
    <w:rsid w:val="00BA4523"/>
    <w:rsid w:val="00BA495B"/>
    <w:rsid w:val="00BA5E39"/>
    <w:rsid w:val="00BA6242"/>
    <w:rsid w:val="00BA6328"/>
    <w:rsid w:val="00BA718E"/>
    <w:rsid w:val="00BB11F2"/>
    <w:rsid w:val="00BB286F"/>
    <w:rsid w:val="00BB2F80"/>
    <w:rsid w:val="00BB4C35"/>
    <w:rsid w:val="00BB51CE"/>
    <w:rsid w:val="00BB5ABA"/>
    <w:rsid w:val="00BB5F52"/>
    <w:rsid w:val="00BB77F8"/>
    <w:rsid w:val="00BC0BC3"/>
    <w:rsid w:val="00BC0E73"/>
    <w:rsid w:val="00BC15A5"/>
    <w:rsid w:val="00BC189C"/>
    <w:rsid w:val="00BC2071"/>
    <w:rsid w:val="00BC2A43"/>
    <w:rsid w:val="00BC4C89"/>
    <w:rsid w:val="00BC6949"/>
    <w:rsid w:val="00BC6A01"/>
    <w:rsid w:val="00BD0865"/>
    <w:rsid w:val="00BD5543"/>
    <w:rsid w:val="00BD55E3"/>
    <w:rsid w:val="00BD6B68"/>
    <w:rsid w:val="00BD7A3D"/>
    <w:rsid w:val="00BE1781"/>
    <w:rsid w:val="00BE2134"/>
    <w:rsid w:val="00BE2476"/>
    <w:rsid w:val="00BE261D"/>
    <w:rsid w:val="00BE3410"/>
    <w:rsid w:val="00BE4685"/>
    <w:rsid w:val="00BE64A2"/>
    <w:rsid w:val="00BE6700"/>
    <w:rsid w:val="00BE6CE6"/>
    <w:rsid w:val="00BF17BE"/>
    <w:rsid w:val="00BF1D6B"/>
    <w:rsid w:val="00BF49AA"/>
    <w:rsid w:val="00BF51BC"/>
    <w:rsid w:val="00BF5B07"/>
    <w:rsid w:val="00BF7D60"/>
    <w:rsid w:val="00BF7E30"/>
    <w:rsid w:val="00BF7EC7"/>
    <w:rsid w:val="00BF7F5F"/>
    <w:rsid w:val="00C01D94"/>
    <w:rsid w:val="00C0214A"/>
    <w:rsid w:val="00C0266D"/>
    <w:rsid w:val="00C029A8"/>
    <w:rsid w:val="00C02DD6"/>
    <w:rsid w:val="00C02FEF"/>
    <w:rsid w:val="00C03631"/>
    <w:rsid w:val="00C0406B"/>
    <w:rsid w:val="00C04144"/>
    <w:rsid w:val="00C059CE"/>
    <w:rsid w:val="00C05EA2"/>
    <w:rsid w:val="00C06C73"/>
    <w:rsid w:val="00C10D6C"/>
    <w:rsid w:val="00C1230A"/>
    <w:rsid w:val="00C145C6"/>
    <w:rsid w:val="00C14E79"/>
    <w:rsid w:val="00C15BCD"/>
    <w:rsid w:val="00C177E1"/>
    <w:rsid w:val="00C179D8"/>
    <w:rsid w:val="00C205A5"/>
    <w:rsid w:val="00C21A8C"/>
    <w:rsid w:val="00C22B1D"/>
    <w:rsid w:val="00C23914"/>
    <w:rsid w:val="00C24AB2"/>
    <w:rsid w:val="00C25FD2"/>
    <w:rsid w:val="00C279E3"/>
    <w:rsid w:val="00C32555"/>
    <w:rsid w:val="00C32A37"/>
    <w:rsid w:val="00C32DCE"/>
    <w:rsid w:val="00C341BD"/>
    <w:rsid w:val="00C35927"/>
    <w:rsid w:val="00C35BBD"/>
    <w:rsid w:val="00C3619D"/>
    <w:rsid w:val="00C364D6"/>
    <w:rsid w:val="00C36F1F"/>
    <w:rsid w:val="00C36F6F"/>
    <w:rsid w:val="00C37599"/>
    <w:rsid w:val="00C4088E"/>
    <w:rsid w:val="00C418C9"/>
    <w:rsid w:val="00C42F4F"/>
    <w:rsid w:val="00C42F6D"/>
    <w:rsid w:val="00C43A73"/>
    <w:rsid w:val="00C51E51"/>
    <w:rsid w:val="00C52836"/>
    <w:rsid w:val="00C52E14"/>
    <w:rsid w:val="00C534F3"/>
    <w:rsid w:val="00C53F6E"/>
    <w:rsid w:val="00C545E2"/>
    <w:rsid w:val="00C5467C"/>
    <w:rsid w:val="00C54F94"/>
    <w:rsid w:val="00C5712D"/>
    <w:rsid w:val="00C574D9"/>
    <w:rsid w:val="00C57D81"/>
    <w:rsid w:val="00C613CE"/>
    <w:rsid w:val="00C618A9"/>
    <w:rsid w:val="00C6422F"/>
    <w:rsid w:val="00C66547"/>
    <w:rsid w:val="00C67429"/>
    <w:rsid w:val="00C711A4"/>
    <w:rsid w:val="00C719C9"/>
    <w:rsid w:val="00C72C93"/>
    <w:rsid w:val="00C73AAB"/>
    <w:rsid w:val="00C745BE"/>
    <w:rsid w:val="00C755B4"/>
    <w:rsid w:val="00C7648B"/>
    <w:rsid w:val="00C76616"/>
    <w:rsid w:val="00C77A5A"/>
    <w:rsid w:val="00C804DE"/>
    <w:rsid w:val="00C8196D"/>
    <w:rsid w:val="00C83906"/>
    <w:rsid w:val="00C83EBD"/>
    <w:rsid w:val="00C84C52"/>
    <w:rsid w:val="00C90768"/>
    <w:rsid w:val="00C91458"/>
    <w:rsid w:val="00C91BE2"/>
    <w:rsid w:val="00C91EB9"/>
    <w:rsid w:val="00C91EBB"/>
    <w:rsid w:val="00C921D4"/>
    <w:rsid w:val="00C92E0B"/>
    <w:rsid w:val="00C92F96"/>
    <w:rsid w:val="00CA03C6"/>
    <w:rsid w:val="00CA0F7A"/>
    <w:rsid w:val="00CA0FA6"/>
    <w:rsid w:val="00CA19FD"/>
    <w:rsid w:val="00CA21C9"/>
    <w:rsid w:val="00CA30EF"/>
    <w:rsid w:val="00CA358D"/>
    <w:rsid w:val="00CA3928"/>
    <w:rsid w:val="00CA3949"/>
    <w:rsid w:val="00CA39FC"/>
    <w:rsid w:val="00CA3C75"/>
    <w:rsid w:val="00CA785E"/>
    <w:rsid w:val="00CB03E9"/>
    <w:rsid w:val="00CB186D"/>
    <w:rsid w:val="00CB1B16"/>
    <w:rsid w:val="00CB3E0C"/>
    <w:rsid w:val="00CB4DD3"/>
    <w:rsid w:val="00CB5D38"/>
    <w:rsid w:val="00CB723B"/>
    <w:rsid w:val="00CB7387"/>
    <w:rsid w:val="00CB767D"/>
    <w:rsid w:val="00CC03E3"/>
    <w:rsid w:val="00CC5046"/>
    <w:rsid w:val="00CC509D"/>
    <w:rsid w:val="00CC564D"/>
    <w:rsid w:val="00CC64DB"/>
    <w:rsid w:val="00CC70BC"/>
    <w:rsid w:val="00CC7186"/>
    <w:rsid w:val="00CC7275"/>
    <w:rsid w:val="00CC7511"/>
    <w:rsid w:val="00CC7919"/>
    <w:rsid w:val="00CD0916"/>
    <w:rsid w:val="00CD17ED"/>
    <w:rsid w:val="00CD21BB"/>
    <w:rsid w:val="00CD2E7B"/>
    <w:rsid w:val="00CD4C19"/>
    <w:rsid w:val="00CD52BF"/>
    <w:rsid w:val="00CD55AD"/>
    <w:rsid w:val="00CD5D2B"/>
    <w:rsid w:val="00CD7C9C"/>
    <w:rsid w:val="00CE0BB8"/>
    <w:rsid w:val="00CE1317"/>
    <w:rsid w:val="00CE2392"/>
    <w:rsid w:val="00CE271D"/>
    <w:rsid w:val="00CE4B79"/>
    <w:rsid w:val="00CE6137"/>
    <w:rsid w:val="00CE7DDD"/>
    <w:rsid w:val="00CF1C65"/>
    <w:rsid w:val="00CF1F54"/>
    <w:rsid w:val="00CF2A80"/>
    <w:rsid w:val="00CF481D"/>
    <w:rsid w:val="00CF4B95"/>
    <w:rsid w:val="00CF5E8F"/>
    <w:rsid w:val="00CF6131"/>
    <w:rsid w:val="00CF708F"/>
    <w:rsid w:val="00CF7D6F"/>
    <w:rsid w:val="00D020F3"/>
    <w:rsid w:val="00D03EC1"/>
    <w:rsid w:val="00D044DD"/>
    <w:rsid w:val="00D0494A"/>
    <w:rsid w:val="00D04F3C"/>
    <w:rsid w:val="00D05E5B"/>
    <w:rsid w:val="00D10A3A"/>
    <w:rsid w:val="00D123BC"/>
    <w:rsid w:val="00D14114"/>
    <w:rsid w:val="00D158E2"/>
    <w:rsid w:val="00D1749B"/>
    <w:rsid w:val="00D204D1"/>
    <w:rsid w:val="00D21BDA"/>
    <w:rsid w:val="00D22F0F"/>
    <w:rsid w:val="00D23123"/>
    <w:rsid w:val="00D23BC6"/>
    <w:rsid w:val="00D25D37"/>
    <w:rsid w:val="00D25F3E"/>
    <w:rsid w:val="00D264CD"/>
    <w:rsid w:val="00D268B5"/>
    <w:rsid w:val="00D27EF2"/>
    <w:rsid w:val="00D30B6D"/>
    <w:rsid w:val="00D31CB8"/>
    <w:rsid w:val="00D33BFF"/>
    <w:rsid w:val="00D34AA2"/>
    <w:rsid w:val="00D355AA"/>
    <w:rsid w:val="00D35CE4"/>
    <w:rsid w:val="00D40F7F"/>
    <w:rsid w:val="00D410B8"/>
    <w:rsid w:val="00D425BC"/>
    <w:rsid w:val="00D42F0A"/>
    <w:rsid w:val="00D431D0"/>
    <w:rsid w:val="00D4602D"/>
    <w:rsid w:val="00D505CC"/>
    <w:rsid w:val="00D50C34"/>
    <w:rsid w:val="00D531CE"/>
    <w:rsid w:val="00D5374A"/>
    <w:rsid w:val="00D559A9"/>
    <w:rsid w:val="00D56E81"/>
    <w:rsid w:val="00D6023B"/>
    <w:rsid w:val="00D61BC4"/>
    <w:rsid w:val="00D62D15"/>
    <w:rsid w:val="00D63CA8"/>
    <w:rsid w:val="00D64996"/>
    <w:rsid w:val="00D65330"/>
    <w:rsid w:val="00D65BD0"/>
    <w:rsid w:val="00D6619C"/>
    <w:rsid w:val="00D67957"/>
    <w:rsid w:val="00D70470"/>
    <w:rsid w:val="00D70A3D"/>
    <w:rsid w:val="00D7299B"/>
    <w:rsid w:val="00D72C01"/>
    <w:rsid w:val="00D730AE"/>
    <w:rsid w:val="00D736F0"/>
    <w:rsid w:val="00D73838"/>
    <w:rsid w:val="00D74105"/>
    <w:rsid w:val="00D74354"/>
    <w:rsid w:val="00D764D3"/>
    <w:rsid w:val="00D76902"/>
    <w:rsid w:val="00D7754D"/>
    <w:rsid w:val="00D77A1F"/>
    <w:rsid w:val="00D821E1"/>
    <w:rsid w:val="00D82567"/>
    <w:rsid w:val="00D8294E"/>
    <w:rsid w:val="00D82BE4"/>
    <w:rsid w:val="00D835A2"/>
    <w:rsid w:val="00D835A5"/>
    <w:rsid w:val="00D84754"/>
    <w:rsid w:val="00D8552B"/>
    <w:rsid w:val="00D86717"/>
    <w:rsid w:val="00D86749"/>
    <w:rsid w:val="00D8688C"/>
    <w:rsid w:val="00D8702E"/>
    <w:rsid w:val="00D87E7E"/>
    <w:rsid w:val="00D903EC"/>
    <w:rsid w:val="00D910E0"/>
    <w:rsid w:val="00D915F4"/>
    <w:rsid w:val="00D922E6"/>
    <w:rsid w:val="00D92A39"/>
    <w:rsid w:val="00D94307"/>
    <w:rsid w:val="00D967BD"/>
    <w:rsid w:val="00D9742F"/>
    <w:rsid w:val="00D9771F"/>
    <w:rsid w:val="00DA0097"/>
    <w:rsid w:val="00DA04B2"/>
    <w:rsid w:val="00DA16DE"/>
    <w:rsid w:val="00DA292C"/>
    <w:rsid w:val="00DA3AF6"/>
    <w:rsid w:val="00DA3F08"/>
    <w:rsid w:val="00DA45D5"/>
    <w:rsid w:val="00DA55B8"/>
    <w:rsid w:val="00DA7118"/>
    <w:rsid w:val="00DA73DF"/>
    <w:rsid w:val="00DB5282"/>
    <w:rsid w:val="00DB7594"/>
    <w:rsid w:val="00DC081B"/>
    <w:rsid w:val="00DC08CF"/>
    <w:rsid w:val="00DC2271"/>
    <w:rsid w:val="00DC42B0"/>
    <w:rsid w:val="00DC53E9"/>
    <w:rsid w:val="00DC7373"/>
    <w:rsid w:val="00DC7407"/>
    <w:rsid w:val="00DD2675"/>
    <w:rsid w:val="00DD3D40"/>
    <w:rsid w:val="00DD3EBB"/>
    <w:rsid w:val="00DD4658"/>
    <w:rsid w:val="00DD5864"/>
    <w:rsid w:val="00DD6581"/>
    <w:rsid w:val="00DD71EA"/>
    <w:rsid w:val="00DD750A"/>
    <w:rsid w:val="00DE2587"/>
    <w:rsid w:val="00DE3DDC"/>
    <w:rsid w:val="00DE3E6D"/>
    <w:rsid w:val="00DF11E0"/>
    <w:rsid w:val="00DF1E2B"/>
    <w:rsid w:val="00DF21B5"/>
    <w:rsid w:val="00DF27FE"/>
    <w:rsid w:val="00DF3054"/>
    <w:rsid w:val="00DF3F15"/>
    <w:rsid w:val="00DF6160"/>
    <w:rsid w:val="00DF6286"/>
    <w:rsid w:val="00DF75FD"/>
    <w:rsid w:val="00DF7DC3"/>
    <w:rsid w:val="00E01BFB"/>
    <w:rsid w:val="00E023F7"/>
    <w:rsid w:val="00E027AB"/>
    <w:rsid w:val="00E05358"/>
    <w:rsid w:val="00E05979"/>
    <w:rsid w:val="00E101C6"/>
    <w:rsid w:val="00E12202"/>
    <w:rsid w:val="00E1236C"/>
    <w:rsid w:val="00E125C3"/>
    <w:rsid w:val="00E13880"/>
    <w:rsid w:val="00E140AE"/>
    <w:rsid w:val="00E16AA6"/>
    <w:rsid w:val="00E16EF7"/>
    <w:rsid w:val="00E17CFD"/>
    <w:rsid w:val="00E25B71"/>
    <w:rsid w:val="00E27043"/>
    <w:rsid w:val="00E2794C"/>
    <w:rsid w:val="00E27B61"/>
    <w:rsid w:val="00E32F45"/>
    <w:rsid w:val="00E32F97"/>
    <w:rsid w:val="00E337A6"/>
    <w:rsid w:val="00E33F13"/>
    <w:rsid w:val="00E34062"/>
    <w:rsid w:val="00E35017"/>
    <w:rsid w:val="00E35480"/>
    <w:rsid w:val="00E3598B"/>
    <w:rsid w:val="00E37C64"/>
    <w:rsid w:val="00E421E2"/>
    <w:rsid w:val="00E422B3"/>
    <w:rsid w:val="00E4263E"/>
    <w:rsid w:val="00E44C90"/>
    <w:rsid w:val="00E4760B"/>
    <w:rsid w:val="00E5152C"/>
    <w:rsid w:val="00E5195A"/>
    <w:rsid w:val="00E521C8"/>
    <w:rsid w:val="00E52C5D"/>
    <w:rsid w:val="00E54D38"/>
    <w:rsid w:val="00E55811"/>
    <w:rsid w:val="00E558DF"/>
    <w:rsid w:val="00E55E0F"/>
    <w:rsid w:val="00E5622B"/>
    <w:rsid w:val="00E5650E"/>
    <w:rsid w:val="00E61247"/>
    <w:rsid w:val="00E6289E"/>
    <w:rsid w:val="00E632A9"/>
    <w:rsid w:val="00E65922"/>
    <w:rsid w:val="00E65E3C"/>
    <w:rsid w:val="00E66620"/>
    <w:rsid w:val="00E70433"/>
    <w:rsid w:val="00E71033"/>
    <w:rsid w:val="00E712BA"/>
    <w:rsid w:val="00E71E04"/>
    <w:rsid w:val="00E73B28"/>
    <w:rsid w:val="00E75D31"/>
    <w:rsid w:val="00E80DB7"/>
    <w:rsid w:val="00E81BE5"/>
    <w:rsid w:val="00E826F1"/>
    <w:rsid w:val="00E85861"/>
    <w:rsid w:val="00E8660B"/>
    <w:rsid w:val="00E8713A"/>
    <w:rsid w:val="00E9294A"/>
    <w:rsid w:val="00E93C08"/>
    <w:rsid w:val="00E95F29"/>
    <w:rsid w:val="00E9607B"/>
    <w:rsid w:val="00E96F41"/>
    <w:rsid w:val="00E979CE"/>
    <w:rsid w:val="00EA07BF"/>
    <w:rsid w:val="00EA114E"/>
    <w:rsid w:val="00EA21C9"/>
    <w:rsid w:val="00EA46D8"/>
    <w:rsid w:val="00EA6A80"/>
    <w:rsid w:val="00EA7638"/>
    <w:rsid w:val="00EB0118"/>
    <w:rsid w:val="00EB19E8"/>
    <w:rsid w:val="00EB364E"/>
    <w:rsid w:val="00EB365F"/>
    <w:rsid w:val="00EC12FF"/>
    <w:rsid w:val="00EC25B2"/>
    <w:rsid w:val="00EC2D78"/>
    <w:rsid w:val="00EC6748"/>
    <w:rsid w:val="00EC781D"/>
    <w:rsid w:val="00EC7E1C"/>
    <w:rsid w:val="00ED266B"/>
    <w:rsid w:val="00ED2966"/>
    <w:rsid w:val="00ED296F"/>
    <w:rsid w:val="00ED3249"/>
    <w:rsid w:val="00ED3D66"/>
    <w:rsid w:val="00ED5222"/>
    <w:rsid w:val="00ED53E0"/>
    <w:rsid w:val="00ED5D20"/>
    <w:rsid w:val="00ED5E7F"/>
    <w:rsid w:val="00ED5F8C"/>
    <w:rsid w:val="00ED62DB"/>
    <w:rsid w:val="00EE0268"/>
    <w:rsid w:val="00EE10B7"/>
    <w:rsid w:val="00EE16EC"/>
    <w:rsid w:val="00EE1F30"/>
    <w:rsid w:val="00EE2B50"/>
    <w:rsid w:val="00EE3510"/>
    <w:rsid w:val="00EE452F"/>
    <w:rsid w:val="00EE4883"/>
    <w:rsid w:val="00EE51D9"/>
    <w:rsid w:val="00EE7BBA"/>
    <w:rsid w:val="00EE7D1B"/>
    <w:rsid w:val="00EF006A"/>
    <w:rsid w:val="00EF0145"/>
    <w:rsid w:val="00EF19A4"/>
    <w:rsid w:val="00EF1F8E"/>
    <w:rsid w:val="00EF21B6"/>
    <w:rsid w:val="00EF2875"/>
    <w:rsid w:val="00EF3364"/>
    <w:rsid w:val="00EF38DE"/>
    <w:rsid w:val="00EF3D07"/>
    <w:rsid w:val="00F004CC"/>
    <w:rsid w:val="00F00B12"/>
    <w:rsid w:val="00F0193A"/>
    <w:rsid w:val="00F02D68"/>
    <w:rsid w:val="00F04B84"/>
    <w:rsid w:val="00F073EC"/>
    <w:rsid w:val="00F07477"/>
    <w:rsid w:val="00F101F2"/>
    <w:rsid w:val="00F10367"/>
    <w:rsid w:val="00F10449"/>
    <w:rsid w:val="00F118C8"/>
    <w:rsid w:val="00F11E9B"/>
    <w:rsid w:val="00F12551"/>
    <w:rsid w:val="00F15D9A"/>
    <w:rsid w:val="00F20304"/>
    <w:rsid w:val="00F203A3"/>
    <w:rsid w:val="00F20A73"/>
    <w:rsid w:val="00F21237"/>
    <w:rsid w:val="00F22EBA"/>
    <w:rsid w:val="00F2346A"/>
    <w:rsid w:val="00F24074"/>
    <w:rsid w:val="00F25C61"/>
    <w:rsid w:val="00F26409"/>
    <w:rsid w:val="00F26E17"/>
    <w:rsid w:val="00F26F51"/>
    <w:rsid w:val="00F30818"/>
    <w:rsid w:val="00F318B3"/>
    <w:rsid w:val="00F33027"/>
    <w:rsid w:val="00F3379E"/>
    <w:rsid w:val="00F33B1C"/>
    <w:rsid w:val="00F349DA"/>
    <w:rsid w:val="00F35FB6"/>
    <w:rsid w:val="00F362C1"/>
    <w:rsid w:val="00F36FBD"/>
    <w:rsid w:val="00F408E5"/>
    <w:rsid w:val="00F4392E"/>
    <w:rsid w:val="00F43B12"/>
    <w:rsid w:val="00F446E0"/>
    <w:rsid w:val="00F46B11"/>
    <w:rsid w:val="00F50859"/>
    <w:rsid w:val="00F52316"/>
    <w:rsid w:val="00F53504"/>
    <w:rsid w:val="00F5377D"/>
    <w:rsid w:val="00F53E15"/>
    <w:rsid w:val="00F56DA4"/>
    <w:rsid w:val="00F57981"/>
    <w:rsid w:val="00F6090B"/>
    <w:rsid w:val="00F61369"/>
    <w:rsid w:val="00F61C4F"/>
    <w:rsid w:val="00F62721"/>
    <w:rsid w:val="00F6318C"/>
    <w:rsid w:val="00F6330D"/>
    <w:rsid w:val="00F63FBD"/>
    <w:rsid w:val="00F64C4C"/>
    <w:rsid w:val="00F64E87"/>
    <w:rsid w:val="00F65D1B"/>
    <w:rsid w:val="00F66363"/>
    <w:rsid w:val="00F67401"/>
    <w:rsid w:val="00F677D7"/>
    <w:rsid w:val="00F70648"/>
    <w:rsid w:val="00F73265"/>
    <w:rsid w:val="00F735B3"/>
    <w:rsid w:val="00F737DF"/>
    <w:rsid w:val="00F74787"/>
    <w:rsid w:val="00F76E0F"/>
    <w:rsid w:val="00F779B5"/>
    <w:rsid w:val="00F805E3"/>
    <w:rsid w:val="00F80782"/>
    <w:rsid w:val="00F82ED9"/>
    <w:rsid w:val="00F84168"/>
    <w:rsid w:val="00F84E85"/>
    <w:rsid w:val="00F85A04"/>
    <w:rsid w:val="00F865A1"/>
    <w:rsid w:val="00F86C77"/>
    <w:rsid w:val="00F86F65"/>
    <w:rsid w:val="00F876A0"/>
    <w:rsid w:val="00F87EA9"/>
    <w:rsid w:val="00F90AB3"/>
    <w:rsid w:val="00F91CD2"/>
    <w:rsid w:val="00F92119"/>
    <w:rsid w:val="00F92A2E"/>
    <w:rsid w:val="00F931F7"/>
    <w:rsid w:val="00F935F7"/>
    <w:rsid w:val="00F953E8"/>
    <w:rsid w:val="00F97F93"/>
    <w:rsid w:val="00FA1500"/>
    <w:rsid w:val="00FA2D06"/>
    <w:rsid w:val="00FA40CD"/>
    <w:rsid w:val="00FB0559"/>
    <w:rsid w:val="00FB0773"/>
    <w:rsid w:val="00FB07F0"/>
    <w:rsid w:val="00FB0802"/>
    <w:rsid w:val="00FB08CC"/>
    <w:rsid w:val="00FB12E7"/>
    <w:rsid w:val="00FB1957"/>
    <w:rsid w:val="00FB1B6F"/>
    <w:rsid w:val="00FB24BA"/>
    <w:rsid w:val="00FB3052"/>
    <w:rsid w:val="00FB3896"/>
    <w:rsid w:val="00FB390C"/>
    <w:rsid w:val="00FB44E3"/>
    <w:rsid w:val="00FB4C17"/>
    <w:rsid w:val="00FB6F6A"/>
    <w:rsid w:val="00FB731D"/>
    <w:rsid w:val="00FC129E"/>
    <w:rsid w:val="00FC398E"/>
    <w:rsid w:val="00FC3F76"/>
    <w:rsid w:val="00FC60C6"/>
    <w:rsid w:val="00FC75E8"/>
    <w:rsid w:val="00FC77EF"/>
    <w:rsid w:val="00FD17BC"/>
    <w:rsid w:val="00FD2085"/>
    <w:rsid w:val="00FD293B"/>
    <w:rsid w:val="00FD2953"/>
    <w:rsid w:val="00FD29D5"/>
    <w:rsid w:val="00FD3723"/>
    <w:rsid w:val="00FD4B05"/>
    <w:rsid w:val="00FD4F30"/>
    <w:rsid w:val="00FD6B15"/>
    <w:rsid w:val="00FE0381"/>
    <w:rsid w:val="00FE0FDB"/>
    <w:rsid w:val="00FE1359"/>
    <w:rsid w:val="00FE1781"/>
    <w:rsid w:val="00FE3D9E"/>
    <w:rsid w:val="00FE5E21"/>
    <w:rsid w:val="00FF01F1"/>
    <w:rsid w:val="00FF0421"/>
    <w:rsid w:val="00FF078B"/>
    <w:rsid w:val="00FF1251"/>
    <w:rsid w:val="00FF245D"/>
    <w:rsid w:val="00FF2483"/>
    <w:rsid w:val="00FF39C8"/>
    <w:rsid w:val="00FF3E03"/>
    <w:rsid w:val="00FF45EA"/>
    <w:rsid w:val="00FF4EEC"/>
    <w:rsid w:val="00FF50CD"/>
    <w:rsid w:val="00FF5579"/>
    <w:rsid w:val="00FF61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E30B"/>
  <w15:chartTrackingRefBased/>
  <w15:docId w15:val="{9C7FF7FB-CDBC-4C38-83FE-116A5A69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023B"/>
  </w:style>
  <w:style w:type="paragraph" w:styleId="Nagwek1">
    <w:name w:val="heading 1"/>
    <w:aliases w:val="Nagłówek 1 Znak Znak"/>
    <w:basedOn w:val="Normalny"/>
    <w:next w:val="Normalny"/>
    <w:link w:val="Nagwek1Znak"/>
    <w:qFormat/>
    <w:rsid w:val="004B0067"/>
    <w:pPr>
      <w:keepNext/>
      <w:keepLines/>
      <w:spacing w:before="240" w:after="240" w:line="276" w:lineRule="auto"/>
      <w:ind w:left="284" w:hanging="284"/>
      <w:jc w:val="both"/>
      <w:outlineLvl w:val="0"/>
    </w:pPr>
    <w:rPr>
      <w:rFonts w:ascii="Calibri" w:eastAsiaTheme="majorEastAsia" w:hAnsi="Calibri" w:cstheme="minorHAnsi"/>
      <w:b/>
      <w:color w:val="44546A" w:themeColor="text2"/>
      <w:sz w:val="28"/>
      <w:szCs w:val="32"/>
    </w:rPr>
  </w:style>
  <w:style w:type="paragraph" w:styleId="Nagwek2">
    <w:name w:val="heading 2"/>
    <w:basedOn w:val="Normalny"/>
    <w:next w:val="Normalny"/>
    <w:link w:val="Nagwek2Znak"/>
    <w:uiPriority w:val="9"/>
    <w:unhideWhenUsed/>
    <w:qFormat/>
    <w:rsid w:val="004D795D"/>
    <w:pPr>
      <w:keepNext/>
      <w:keepLines/>
      <w:spacing w:before="240" w:after="240" w:line="276" w:lineRule="auto"/>
      <w:ind w:left="284" w:right="284" w:hanging="284"/>
      <w:jc w:val="both"/>
      <w:outlineLvl w:val="1"/>
    </w:pPr>
    <w:rPr>
      <w:rFonts w:eastAsiaTheme="majorEastAsia" w:cstheme="minorHAnsi"/>
      <w:b/>
      <w:bCs/>
      <w:sz w:val="24"/>
      <w:szCs w:val="24"/>
    </w:rPr>
  </w:style>
  <w:style w:type="paragraph" w:styleId="Nagwek3">
    <w:name w:val="heading 3"/>
    <w:basedOn w:val="Normalny"/>
    <w:next w:val="Normalny"/>
    <w:link w:val="Nagwek3Znak"/>
    <w:uiPriority w:val="9"/>
    <w:unhideWhenUsed/>
    <w:qFormat/>
    <w:rsid w:val="00176657"/>
    <w:pPr>
      <w:keepNext/>
      <w:keepLines/>
      <w:spacing w:before="120" w:after="120" w:line="276" w:lineRule="auto"/>
      <w:ind w:left="568" w:right="284" w:hanging="284"/>
      <w:outlineLvl w:val="2"/>
    </w:pPr>
    <w:rPr>
      <w:rFonts w:eastAsiaTheme="majorEastAsia" w:cstheme="majorBidi"/>
      <w:b/>
      <w:color w:val="000000" w:themeColor="text1"/>
      <w:sz w:val="24"/>
      <w:szCs w:val="24"/>
    </w:rPr>
  </w:style>
  <w:style w:type="paragraph" w:styleId="Nagwek4">
    <w:name w:val="heading 4"/>
    <w:basedOn w:val="Normalny"/>
    <w:next w:val="Normalny"/>
    <w:link w:val="Nagwek4Znak"/>
    <w:uiPriority w:val="9"/>
    <w:qFormat/>
    <w:rsid w:val="00B40E26"/>
    <w:pPr>
      <w:keepNext/>
      <w:numPr>
        <w:numId w:val="5"/>
      </w:numPr>
      <w:tabs>
        <w:tab w:val="clear" w:pos="720"/>
        <w:tab w:val="num" w:pos="426"/>
      </w:tabs>
      <w:spacing w:after="0" w:line="240" w:lineRule="auto"/>
      <w:ind w:left="426" w:hanging="426"/>
      <w:jc w:val="both"/>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uiPriority w:val="9"/>
    <w:qFormat/>
    <w:rsid w:val="00B40E26"/>
    <w:pPr>
      <w:keepNext/>
      <w:spacing w:after="0" w:line="380" w:lineRule="atLeast"/>
      <w:jc w:val="both"/>
      <w:outlineLvl w:val="4"/>
    </w:pPr>
    <w:rPr>
      <w:rFonts w:ascii="Times New Roman" w:eastAsia="Times New Roman" w:hAnsi="Times New Roman" w:cs="Times New Roman"/>
      <w:b/>
      <w:sz w:val="24"/>
      <w:szCs w:val="20"/>
      <w:lang w:eastAsia="pl-PL"/>
    </w:rPr>
  </w:style>
  <w:style w:type="paragraph" w:styleId="Nagwek6">
    <w:name w:val="heading 6"/>
    <w:basedOn w:val="Normalny"/>
    <w:next w:val="Normalny"/>
    <w:link w:val="Nagwek6Znak"/>
    <w:uiPriority w:val="9"/>
    <w:qFormat/>
    <w:rsid w:val="00B40E26"/>
    <w:pPr>
      <w:keepNext/>
      <w:spacing w:after="0" w:line="240" w:lineRule="auto"/>
      <w:jc w:val="center"/>
      <w:outlineLvl w:val="5"/>
    </w:pPr>
    <w:rPr>
      <w:rFonts w:ascii="Times New Roman" w:eastAsia="Times New Roman" w:hAnsi="Times New Roman" w:cs="Times New Roman"/>
      <w:b/>
      <w:sz w:val="20"/>
      <w:szCs w:val="20"/>
      <w:lang w:eastAsia="pl-PL"/>
    </w:rPr>
  </w:style>
  <w:style w:type="paragraph" w:styleId="Nagwek7">
    <w:name w:val="heading 7"/>
    <w:basedOn w:val="Normalny"/>
    <w:next w:val="Normalny"/>
    <w:link w:val="Nagwek7Znak"/>
    <w:uiPriority w:val="9"/>
    <w:qFormat/>
    <w:rsid w:val="00B40E26"/>
    <w:pPr>
      <w:keepNext/>
      <w:spacing w:after="0" w:line="240" w:lineRule="auto"/>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uiPriority w:val="9"/>
    <w:qFormat/>
    <w:rsid w:val="00B40E26"/>
    <w:pPr>
      <w:keepNext/>
      <w:spacing w:after="0" w:line="240" w:lineRule="auto"/>
      <w:jc w:val="center"/>
      <w:outlineLvl w:val="7"/>
    </w:pPr>
    <w:rPr>
      <w:rFonts w:ascii="Times New Roman" w:eastAsia="Times New Roman" w:hAnsi="Times New Roman" w:cs="Times New Roman"/>
      <w:b/>
      <w:sz w:val="18"/>
      <w:szCs w:val="20"/>
      <w:lang w:eastAsia="pl-PL"/>
    </w:rPr>
  </w:style>
  <w:style w:type="paragraph" w:styleId="Nagwek9">
    <w:name w:val="heading 9"/>
    <w:basedOn w:val="Normalny"/>
    <w:next w:val="Normalny"/>
    <w:link w:val="Nagwek9Znak"/>
    <w:uiPriority w:val="9"/>
    <w:qFormat/>
    <w:rsid w:val="00B40E26"/>
    <w:pPr>
      <w:keepNext/>
      <w:spacing w:after="0" w:line="420" w:lineRule="atLeast"/>
      <w:ind w:left="510" w:right="-284" w:firstLine="483"/>
      <w:jc w:val="both"/>
      <w:outlineLvl w:val="8"/>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 Znak Znak"/>
    <w:basedOn w:val="Domylnaczcionkaakapitu"/>
    <w:link w:val="Nagwek1"/>
    <w:rsid w:val="004B0067"/>
    <w:rPr>
      <w:rFonts w:ascii="Calibri" w:eastAsiaTheme="majorEastAsia" w:hAnsi="Calibri" w:cstheme="minorHAnsi"/>
      <w:b/>
      <w:color w:val="44546A" w:themeColor="text2"/>
      <w:sz w:val="28"/>
      <w:szCs w:val="32"/>
    </w:rPr>
  </w:style>
  <w:style w:type="paragraph" w:styleId="Nagwekspisutreci">
    <w:name w:val="TOC Heading"/>
    <w:basedOn w:val="Nagwek1"/>
    <w:next w:val="Normalny"/>
    <w:uiPriority w:val="39"/>
    <w:unhideWhenUsed/>
    <w:qFormat/>
    <w:rsid w:val="006F12F0"/>
    <w:pPr>
      <w:outlineLvl w:val="9"/>
    </w:pPr>
    <w:rPr>
      <w:lang w:eastAsia="pl-PL"/>
    </w:rPr>
  </w:style>
  <w:style w:type="paragraph" w:styleId="Spistreci1">
    <w:name w:val="toc 1"/>
    <w:basedOn w:val="Normalny"/>
    <w:next w:val="Normalny"/>
    <w:autoRedefine/>
    <w:uiPriority w:val="39"/>
    <w:unhideWhenUsed/>
    <w:rsid w:val="005D1B09"/>
    <w:pPr>
      <w:tabs>
        <w:tab w:val="left" w:pos="567"/>
        <w:tab w:val="right" w:leader="dot" w:pos="9062"/>
      </w:tabs>
      <w:spacing w:after="100"/>
    </w:pPr>
    <w:rPr>
      <w:b/>
      <w:bCs/>
      <w:noProof/>
      <w:color w:val="44546A" w:themeColor="text2"/>
    </w:rPr>
  </w:style>
  <w:style w:type="character" w:styleId="Hipercze">
    <w:name w:val="Hyperlink"/>
    <w:basedOn w:val="Domylnaczcionkaakapitu"/>
    <w:uiPriority w:val="99"/>
    <w:unhideWhenUsed/>
    <w:rsid w:val="006F12F0"/>
    <w:rPr>
      <w:color w:val="0563C1" w:themeColor="hyperlink"/>
      <w:u w:val="single"/>
    </w:rPr>
  </w:style>
  <w:style w:type="paragraph" w:styleId="Akapitzlist">
    <w:name w:val="List Paragraph"/>
    <w:basedOn w:val="Normalny"/>
    <w:link w:val="AkapitzlistZnak"/>
    <w:uiPriority w:val="34"/>
    <w:qFormat/>
    <w:rsid w:val="006F12F0"/>
    <w:pPr>
      <w:ind w:left="720"/>
      <w:contextualSpacing/>
    </w:pPr>
  </w:style>
  <w:style w:type="character" w:customStyle="1" w:styleId="Nagwek2Znak">
    <w:name w:val="Nagłówek 2 Znak"/>
    <w:basedOn w:val="Domylnaczcionkaakapitu"/>
    <w:link w:val="Nagwek2"/>
    <w:uiPriority w:val="9"/>
    <w:rsid w:val="004D795D"/>
    <w:rPr>
      <w:rFonts w:eastAsiaTheme="majorEastAsia" w:cstheme="minorHAnsi"/>
      <w:b/>
      <w:bCs/>
      <w:sz w:val="24"/>
      <w:szCs w:val="24"/>
    </w:rPr>
  </w:style>
  <w:style w:type="character" w:customStyle="1" w:styleId="Nagwek3Znak">
    <w:name w:val="Nagłówek 3 Znak"/>
    <w:basedOn w:val="Domylnaczcionkaakapitu"/>
    <w:link w:val="Nagwek3"/>
    <w:uiPriority w:val="9"/>
    <w:rsid w:val="00176657"/>
    <w:rPr>
      <w:rFonts w:eastAsiaTheme="majorEastAsia" w:cstheme="majorBidi"/>
      <w:b/>
      <w:color w:val="000000" w:themeColor="text1"/>
      <w:sz w:val="24"/>
      <w:szCs w:val="24"/>
    </w:rPr>
  </w:style>
  <w:style w:type="paragraph" w:styleId="Spistreci2">
    <w:name w:val="toc 2"/>
    <w:basedOn w:val="Normalny"/>
    <w:next w:val="Normalny"/>
    <w:autoRedefine/>
    <w:uiPriority w:val="39"/>
    <w:unhideWhenUsed/>
    <w:rsid w:val="00D73838"/>
    <w:pPr>
      <w:tabs>
        <w:tab w:val="left" w:pos="567"/>
        <w:tab w:val="right" w:leader="dot" w:pos="9062"/>
      </w:tabs>
      <w:spacing w:after="100"/>
      <w:ind w:left="567" w:hanging="567"/>
    </w:pPr>
  </w:style>
  <w:style w:type="paragraph" w:styleId="Spistreci3">
    <w:name w:val="toc 3"/>
    <w:basedOn w:val="Normalny"/>
    <w:next w:val="Normalny"/>
    <w:autoRedefine/>
    <w:uiPriority w:val="39"/>
    <w:unhideWhenUsed/>
    <w:rsid w:val="00D73838"/>
    <w:pPr>
      <w:tabs>
        <w:tab w:val="left" w:pos="567"/>
        <w:tab w:val="right" w:leader="dot" w:pos="9062"/>
      </w:tabs>
      <w:spacing w:after="100"/>
      <w:ind w:left="567" w:hanging="567"/>
    </w:pPr>
  </w:style>
  <w:style w:type="paragraph" w:styleId="Legenda">
    <w:name w:val="caption"/>
    <w:basedOn w:val="Normalny"/>
    <w:next w:val="Normalny"/>
    <w:uiPriority w:val="35"/>
    <w:unhideWhenUsed/>
    <w:qFormat/>
    <w:rsid w:val="007301FD"/>
    <w:pPr>
      <w:spacing w:after="200" w:line="240" w:lineRule="auto"/>
    </w:pPr>
    <w:rPr>
      <w:i/>
      <w:iCs/>
      <w:color w:val="44546A" w:themeColor="text2"/>
      <w:sz w:val="18"/>
      <w:szCs w:val="18"/>
    </w:rPr>
  </w:style>
  <w:style w:type="paragraph" w:styleId="Nagwek">
    <w:name w:val="header"/>
    <w:basedOn w:val="Normalny"/>
    <w:link w:val="NagwekZnak"/>
    <w:unhideWhenUsed/>
    <w:rsid w:val="005D1318"/>
    <w:pPr>
      <w:tabs>
        <w:tab w:val="center" w:pos="4536"/>
        <w:tab w:val="right" w:pos="9072"/>
      </w:tabs>
      <w:spacing w:after="0" w:line="240" w:lineRule="auto"/>
    </w:pPr>
  </w:style>
  <w:style w:type="character" w:customStyle="1" w:styleId="NagwekZnak">
    <w:name w:val="Nagłówek Znak"/>
    <w:basedOn w:val="Domylnaczcionkaakapitu"/>
    <w:link w:val="Nagwek"/>
    <w:rsid w:val="005D1318"/>
  </w:style>
  <w:style w:type="paragraph" w:styleId="Stopka">
    <w:name w:val="footer"/>
    <w:basedOn w:val="Normalny"/>
    <w:link w:val="StopkaZnak"/>
    <w:uiPriority w:val="99"/>
    <w:unhideWhenUsed/>
    <w:rsid w:val="005D13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1318"/>
  </w:style>
  <w:style w:type="paragraph" w:customStyle="1" w:styleId="Styl1">
    <w:name w:val="Styl1"/>
    <w:basedOn w:val="Normalny"/>
    <w:link w:val="Styl1Znak"/>
    <w:qFormat/>
    <w:rsid w:val="00C91EBB"/>
    <w:pPr>
      <w:spacing w:before="120" w:after="240" w:line="276" w:lineRule="auto"/>
      <w:ind w:firstLine="567"/>
      <w:jc w:val="both"/>
    </w:pPr>
    <w:rPr>
      <w:sz w:val="24"/>
      <w:szCs w:val="24"/>
    </w:rPr>
  </w:style>
  <w:style w:type="character" w:customStyle="1" w:styleId="Styl1Znak">
    <w:name w:val="Styl1 Znak"/>
    <w:basedOn w:val="Domylnaczcionkaakapitu"/>
    <w:link w:val="Styl1"/>
    <w:rsid w:val="00C91EBB"/>
    <w:rPr>
      <w:sz w:val="24"/>
      <w:szCs w:val="24"/>
    </w:rPr>
  </w:style>
  <w:style w:type="paragraph" w:styleId="Bezodstpw">
    <w:name w:val="No Spacing"/>
    <w:uiPriority w:val="1"/>
    <w:qFormat/>
    <w:rsid w:val="00552DB1"/>
    <w:pPr>
      <w:spacing w:after="0" w:line="240" w:lineRule="auto"/>
    </w:pPr>
  </w:style>
  <w:style w:type="table" w:styleId="Tabela-Siatka">
    <w:name w:val="Table Grid"/>
    <w:basedOn w:val="Standardowy"/>
    <w:uiPriority w:val="39"/>
    <w:rsid w:val="00552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82376"/>
  </w:style>
  <w:style w:type="paragraph" w:styleId="NormalnyWeb">
    <w:name w:val="Normal (Web)"/>
    <w:basedOn w:val="Normalny"/>
    <w:link w:val="NormalnyWebZnak"/>
    <w:uiPriority w:val="99"/>
    <w:qFormat/>
    <w:rsid w:val="00211D7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nyWebZnak">
    <w:name w:val="Normalny (Web) Znak"/>
    <w:link w:val="NormalnyWeb"/>
    <w:uiPriority w:val="99"/>
    <w:locked/>
    <w:rsid w:val="00211D71"/>
    <w:rPr>
      <w:rFonts w:ascii="Times New Roman" w:eastAsia="Times New Roman" w:hAnsi="Times New Roman" w:cs="Times New Roman"/>
      <w:sz w:val="24"/>
      <w:szCs w:val="24"/>
      <w:lang w:eastAsia="pl-PL"/>
    </w:rPr>
  </w:style>
  <w:style w:type="character" w:customStyle="1" w:styleId="hgkelc">
    <w:name w:val="hgkelc"/>
    <w:basedOn w:val="Domylnaczcionkaakapitu"/>
    <w:rsid w:val="00211D71"/>
  </w:style>
  <w:style w:type="character" w:customStyle="1" w:styleId="lrzxr">
    <w:name w:val="lrzxr"/>
    <w:basedOn w:val="Domylnaczcionkaakapitu"/>
    <w:rsid w:val="00603D35"/>
  </w:style>
  <w:style w:type="table" w:styleId="Zwykatabela2">
    <w:name w:val="Plain Table 2"/>
    <w:basedOn w:val="Standardowy"/>
    <w:uiPriority w:val="42"/>
    <w:rsid w:val="00603D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gwek4Znak">
    <w:name w:val="Nagłówek 4 Znak"/>
    <w:basedOn w:val="Domylnaczcionkaakapitu"/>
    <w:link w:val="Nagwek4"/>
    <w:uiPriority w:val="9"/>
    <w:rsid w:val="00B40E26"/>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rsid w:val="00B40E26"/>
    <w:rPr>
      <w:rFonts w:ascii="Times New Roman" w:eastAsia="Times New Roman" w:hAnsi="Times New Roman" w:cs="Times New Roman"/>
      <w:b/>
      <w:sz w:val="24"/>
      <w:szCs w:val="20"/>
      <w:lang w:eastAsia="pl-PL"/>
    </w:rPr>
  </w:style>
  <w:style w:type="character" w:customStyle="1" w:styleId="Nagwek6Znak">
    <w:name w:val="Nagłówek 6 Znak"/>
    <w:basedOn w:val="Domylnaczcionkaakapitu"/>
    <w:link w:val="Nagwek6"/>
    <w:uiPriority w:val="9"/>
    <w:rsid w:val="00B40E26"/>
    <w:rPr>
      <w:rFonts w:ascii="Times New Roman" w:eastAsia="Times New Roman" w:hAnsi="Times New Roman" w:cs="Times New Roman"/>
      <w:b/>
      <w:sz w:val="20"/>
      <w:szCs w:val="20"/>
      <w:lang w:eastAsia="pl-PL"/>
    </w:rPr>
  </w:style>
  <w:style w:type="character" w:customStyle="1" w:styleId="Nagwek7Znak">
    <w:name w:val="Nagłówek 7 Znak"/>
    <w:basedOn w:val="Domylnaczcionkaakapitu"/>
    <w:link w:val="Nagwek7"/>
    <w:uiPriority w:val="9"/>
    <w:rsid w:val="00B40E26"/>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uiPriority w:val="9"/>
    <w:rsid w:val="00B40E26"/>
    <w:rPr>
      <w:rFonts w:ascii="Times New Roman" w:eastAsia="Times New Roman" w:hAnsi="Times New Roman" w:cs="Times New Roman"/>
      <w:b/>
      <w:sz w:val="18"/>
      <w:szCs w:val="20"/>
      <w:lang w:eastAsia="pl-PL"/>
    </w:rPr>
  </w:style>
  <w:style w:type="character" w:customStyle="1" w:styleId="Nagwek9Znak">
    <w:name w:val="Nagłówek 9 Znak"/>
    <w:basedOn w:val="Domylnaczcionkaakapitu"/>
    <w:link w:val="Nagwek9"/>
    <w:uiPriority w:val="9"/>
    <w:rsid w:val="00B40E26"/>
    <w:rPr>
      <w:rFonts w:ascii="Times New Roman" w:eastAsia="Times New Roman" w:hAnsi="Times New Roman" w:cs="Times New Roman"/>
      <w:sz w:val="28"/>
      <w:szCs w:val="20"/>
      <w:lang w:eastAsia="pl-PL"/>
    </w:rPr>
  </w:style>
  <w:style w:type="numbering" w:customStyle="1" w:styleId="Bezlisty1">
    <w:name w:val="Bez listy1"/>
    <w:next w:val="Bezlisty"/>
    <w:uiPriority w:val="99"/>
    <w:semiHidden/>
    <w:rsid w:val="00B40E26"/>
  </w:style>
  <w:style w:type="character" w:styleId="Numerstrony">
    <w:name w:val="page number"/>
    <w:basedOn w:val="Domylnaczcionkaakapitu"/>
    <w:rsid w:val="00B40E26"/>
  </w:style>
  <w:style w:type="paragraph" w:styleId="Tekstpodstawowy">
    <w:name w:val="Body Text"/>
    <w:basedOn w:val="Normalny"/>
    <w:link w:val="TekstpodstawowyZnak1"/>
    <w:rsid w:val="00B40E26"/>
    <w:pPr>
      <w:tabs>
        <w:tab w:val="left" w:pos="567"/>
      </w:tabs>
      <w:spacing w:after="0" w:line="380" w:lineRule="atLeast"/>
      <w:jc w:val="both"/>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uiPriority w:val="99"/>
    <w:rsid w:val="00B40E26"/>
  </w:style>
  <w:style w:type="character" w:customStyle="1" w:styleId="TekstpodstawowyZnak1">
    <w:name w:val="Tekst podstawowy Znak1"/>
    <w:link w:val="Tekstpodstawowy"/>
    <w:rsid w:val="00B40E26"/>
    <w:rPr>
      <w:rFonts w:ascii="Times New Roman" w:eastAsia="Times New Roman" w:hAnsi="Times New Roman" w:cs="Times New Roman"/>
      <w:b/>
      <w:sz w:val="24"/>
      <w:szCs w:val="20"/>
      <w:lang w:eastAsia="pl-PL"/>
    </w:rPr>
  </w:style>
  <w:style w:type="paragraph" w:customStyle="1" w:styleId="aStyl1">
    <w:name w:val="aStyl1"/>
    <w:basedOn w:val="Normalny"/>
    <w:uiPriority w:val="99"/>
    <w:rsid w:val="00B40E26"/>
    <w:pPr>
      <w:spacing w:after="0" w:line="240" w:lineRule="auto"/>
      <w:jc w:val="center"/>
    </w:pPr>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B40E26"/>
    <w:pPr>
      <w:spacing w:after="0" w:line="380" w:lineRule="atLeast"/>
      <w:ind w:left="426"/>
      <w:jc w:val="center"/>
    </w:pPr>
    <w:rPr>
      <w:rFonts w:ascii="Times New Roman" w:eastAsia="Times New Roman" w:hAnsi="Times New Roman" w:cs="Times New Roman"/>
      <w:b/>
      <w:bCs/>
      <w:smallCaps/>
      <w:sz w:val="36"/>
      <w:szCs w:val="20"/>
      <w:lang w:eastAsia="pl-PL"/>
    </w:rPr>
  </w:style>
  <w:style w:type="character" w:customStyle="1" w:styleId="TekstpodstawowywcityZnak">
    <w:name w:val="Tekst podstawowy wcięty Znak"/>
    <w:basedOn w:val="Domylnaczcionkaakapitu"/>
    <w:link w:val="Tekstpodstawowywcity"/>
    <w:rsid w:val="00B40E26"/>
    <w:rPr>
      <w:rFonts w:ascii="Times New Roman" w:eastAsia="Times New Roman" w:hAnsi="Times New Roman" w:cs="Times New Roman"/>
      <w:b/>
      <w:bCs/>
      <w:smallCaps/>
      <w:sz w:val="36"/>
      <w:szCs w:val="20"/>
      <w:lang w:eastAsia="pl-PL"/>
    </w:rPr>
  </w:style>
  <w:style w:type="paragraph" w:styleId="Tekstpodstawowywcity3">
    <w:name w:val="Body Text Indent 3"/>
    <w:basedOn w:val="Normalny"/>
    <w:link w:val="Tekstpodstawowywcity3Znak"/>
    <w:rsid w:val="00B40E26"/>
    <w:pPr>
      <w:spacing w:after="0" w:line="360" w:lineRule="auto"/>
      <w:ind w:firstLine="709"/>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B40E26"/>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B40E26"/>
    <w:pPr>
      <w:spacing w:after="0" w:line="240" w:lineRule="auto"/>
      <w:jc w:val="center"/>
    </w:pPr>
    <w:rPr>
      <w:rFonts w:ascii="Times New Roman" w:eastAsia="Times New Roman" w:hAnsi="Times New Roman" w:cs="Times New Roman"/>
      <w:b/>
      <w:bCs/>
      <w:smallCaps/>
      <w:sz w:val="40"/>
      <w:szCs w:val="20"/>
      <w:lang w:eastAsia="pl-PL"/>
    </w:rPr>
  </w:style>
  <w:style w:type="character" w:customStyle="1" w:styleId="Tekstpodstawowy2Znak">
    <w:name w:val="Tekst podstawowy 2 Znak"/>
    <w:basedOn w:val="Domylnaczcionkaakapitu"/>
    <w:link w:val="Tekstpodstawowy2"/>
    <w:rsid w:val="00B40E26"/>
    <w:rPr>
      <w:rFonts w:ascii="Times New Roman" w:eastAsia="Times New Roman" w:hAnsi="Times New Roman" w:cs="Times New Roman"/>
      <w:b/>
      <w:bCs/>
      <w:smallCaps/>
      <w:sz w:val="40"/>
      <w:szCs w:val="20"/>
      <w:lang w:eastAsia="pl-PL"/>
    </w:rPr>
  </w:style>
  <w:style w:type="paragraph" w:customStyle="1" w:styleId="Tekstpodstawowywcity31">
    <w:name w:val="Tekst podstawowy wcięty 31"/>
    <w:basedOn w:val="Normalny"/>
    <w:rsid w:val="00B40E26"/>
    <w:pPr>
      <w:spacing w:after="0" w:line="360" w:lineRule="auto"/>
      <w:ind w:firstLine="709"/>
      <w:jc w:val="both"/>
    </w:pPr>
    <w:rPr>
      <w:rFonts w:ascii="Times New Roman" w:eastAsia="Times New Roman" w:hAnsi="Times New Roman" w:cs="Times New Roman"/>
      <w:sz w:val="24"/>
      <w:szCs w:val="20"/>
      <w:lang w:eastAsia="pl-PL"/>
    </w:rPr>
  </w:style>
  <w:style w:type="paragraph" w:styleId="Tekstblokowy">
    <w:name w:val="Block Text"/>
    <w:basedOn w:val="Normalny"/>
    <w:rsid w:val="00B40E26"/>
    <w:pPr>
      <w:spacing w:after="0" w:line="240" w:lineRule="auto"/>
      <w:ind w:left="360" w:right="-567"/>
    </w:pPr>
    <w:rPr>
      <w:rFonts w:ascii="Times New Roman" w:eastAsia="Times New Roman" w:hAnsi="Times New Roman" w:cs="Times New Roman"/>
      <w:sz w:val="28"/>
      <w:szCs w:val="20"/>
      <w:lang w:eastAsia="pl-PL"/>
    </w:rPr>
  </w:style>
  <w:style w:type="paragraph" w:styleId="Tekstpodstawowywcity2">
    <w:name w:val="Body Text Indent 2"/>
    <w:basedOn w:val="Normalny"/>
    <w:link w:val="Tekstpodstawowywcity2Znak"/>
    <w:rsid w:val="00B40E26"/>
    <w:pPr>
      <w:spacing w:after="0" w:line="420" w:lineRule="atLeast"/>
      <w:ind w:right="-284" w:firstLine="993"/>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B40E26"/>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B40E26"/>
    <w:pPr>
      <w:spacing w:after="0" w:line="380" w:lineRule="atLeast"/>
      <w:jc w:val="both"/>
    </w:pPr>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rsid w:val="00B40E26"/>
    <w:rPr>
      <w:rFonts w:ascii="Times New Roman" w:eastAsia="Times New Roman" w:hAnsi="Times New Roman" w:cs="Times New Roman"/>
      <w:sz w:val="24"/>
      <w:szCs w:val="20"/>
      <w:lang w:eastAsia="pl-PL"/>
    </w:rPr>
  </w:style>
  <w:style w:type="paragraph" w:customStyle="1" w:styleId="FR1">
    <w:name w:val="FR1"/>
    <w:rsid w:val="00B40E26"/>
    <w:pPr>
      <w:widowControl w:val="0"/>
      <w:spacing w:before="200" w:after="0" w:line="300" w:lineRule="auto"/>
      <w:ind w:left="80" w:firstLine="840"/>
      <w:jc w:val="both"/>
    </w:pPr>
    <w:rPr>
      <w:rFonts w:ascii="Arial" w:eastAsia="Times New Roman" w:hAnsi="Arial" w:cs="Times New Roman"/>
      <w:szCs w:val="20"/>
      <w:lang w:eastAsia="pl-PL"/>
    </w:rPr>
  </w:style>
  <w:style w:type="paragraph" w:customStyle="1" w:styleId="Tekstpodstawowy21">
    <w:name w:val="Tekst podstawowy 21"/>
    <w:basedOn w:val="Normalny"/>
    <w:rsid w:val="00B40E26"/>
    <w:pPr>
      <w:spacing w:after="0" w:line="240" w:lineRule="auto"/>
      <w:ind w:firstLine="360"/>
      <w:jc w:val="both"/>
    </w:pPr>
    <w:rPr>
      <w:rFonts w:ascii="Times New Roman" w:eastAsia="Times New Roman" w:hAnsi="Times New Roman" w:cs="Times New Roman"/>
      <w:sz w:val="24"/>
      <w:szCs w:val="20"/>
      <w:lang w:eastAsia="pl-PL"/>
    </w:rPr>
  </w:style>
  <w:style w:type="table" w:customStyle="1" w:styleId="Tabela-Siatka1">
    <w:name w:val="Tabela - Siatka1"/>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ZnakZnak">
    <w:name w:val="Zawartość tabeli Znak Znak"/>
    <w:basedOn w:val="Tekstpodstawowy"/>
    <w:link w:val="ZawartotabeliZnakZnakZnak"/>
    <w:rsid w:val="00B40E26"/>
    <w:pPr>
      <w:suppressLineNumbers/>
      <w:tabs>
        <w:tab w:val="clear" w:pos="567"/>
      </w:tabs>
      <w:suppressAutoHyphens/>
      <w:spacing w:line="240" w:lineRule="auto"/>
      <w:jc w:val="left"/>
    </w:pPr>
    <w:rPr>
      <w:sz w:val="28"/>
      <w:u w:val="single"/>
    </w:rPr>
  </w:style>
  <w:style w:type="character" w:customStyle="1" w:styleId="ZawartotabeliZnakZnakZnak">
    <w:name w:val="Zawartość tabeli Znak Znak Znak"/>
    <w:link w:val="ZawartotabeliZnakZnak"/>
    <w:rsid w:val="00B40E26"/>
    <w:rPr>
      <w:rFonts w:ascii="Times New Roman" w:eastAsia="Times New Roman" w:hAnsi="Times New Roman" w:cs="Times New Roman"/>
      <w:b/>
      <w:sz w:val="28"/>
      <w:szCs w:val="20"/>
      <w:u w:val="single"/>
      <w:lang w:eastAsia="pl-PL"/>
    </w:rPr>
  </w:style>
  <w:style w:type="paragraph" w:customStyle="1" w:styleId="TytutabeliZnakZnak">
    <w:name w:val="Tytuł tabeli Znak Znak"/>
    <w:basedOn w:val="ZawartotabeliZnakZnak"/>
    <w:link w:val="TytutabeliZnakZnakZnak"/>
    <w:rsid w:val="00B40E26"/>
    <w:pPr>
      <w:jc w:val="center"/>
    </w:pPr>
    <w:rPr>
      <w:i/>
    </w:rPr>
  </w:style>
  <w:style w:type="character" w:customStyle="1" w:styleId="TytutabeliZnakZnakZnak">
    <w:name w:val="Tytuł tabeli Znak Znak Znak"/>
    <w:link w:val="TytutabeliZnakZnak"/>
    <w:rsid w:val="00B40E26"/>
    <w:rPr>
      <w:rFonts w:ascii="Times New Roman" w:eastAsia="Times New Roman" w:hAnsi="Times New Roman" w:cs="Times New Roman"/>
      <w:b/>
      <w:i/>
      <w:sz w:val="28"/>
      <w:szCs w:val="20"/>
      <w:u w:val="single"/>
      <w:lang w:eastAsia="pl-PL"/>
    </w:rPr>
  </w:style>
  <w:style w:type="paragraph" w:styleId="Tekstprzypisudolnego">
    <w:name w:val="footnote text"/>
    <w:basedOn w:val="Normalny"/>
    <w:link w:val="TekstprzypisudolnegoZnak"/>
    <w:semiHidden/>
    <w:rsid w:val="00B40E2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E26"/>
    <w:rPr>
      <w:rFonts w:ascii="Times New Roman" w:eastAsia="Times New Roman" w:hAnsi="Times New Roman" w:cs="Times New Roman"/>
      <w:sz w:val="20"/>
      <w:szCs w:val="20"/>
      <w:lang w:eastAsia="pl-PL"/>
    </w:rPr>
  </w:style>
  <w:style w:type="paragraph" w:styleId="Zwykytekst">
    <w:name w:val="Plain Text"/>
    <w:basedOn w:val="Normalny"/>
    <w:link w:val="ZwykytekstZnak"/>
    <w:rsid w:val="00B40E26"/>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B40E26"/>
    <w:rPr>
      <w:rFonts w:ascii="Courier New" w:eastAsia="Times New Roman" w:hAnsi="Courier New" w:cs="Times New Roman"/>
      <w:sz w:val="20"/>
      <w:szCs w:val="20"/>
      <w:lang w:eastAsia="pl-PL"/>
    </w:rPr>
  </w:style>
  <w:style w:type="character" w:customStyle="1" w:styleId="WW-Domylnaczcionkaakapitu">
    <w:name w:val="WW-Domyślna czcionka akapitu"/>
    <w:rsid w:val="00B40E26"/>
  </w:style>
  <w:style w:type="paragraph" w:styleId="Tytu">
    <w:name w:val="Title"/>
    <w:basedOn w:val="Normalny"/>
    <w:link w:val="TytuZnak"/>
    <w:uiPriority w:val="10"/>
    <w:qFormat/>
    <w:rsid w:val="00B40E26"/>
    <w:pPr>
      <w:spacing w:after="0" w:line="240" w:lineRule="auto"/>
      <w:jc w:val="center"/>
    </w:pPr>
    <w:rPr>
      <w:rFonts w:ascii="Times New Roman" w:eastAsia="Times New Roman" w:hAnsi="Times New Roman" w:cs="Times New Roman"/>
      <w:sz w:val="32"/>
      <w:szCs w:val="20"/>
      <w:u w:val="single"/>
      <w:lang w:eastAsia="pl-PL"/>
    </w:rPr>
  </w:style>
  <w:style w:type="character" w:customStyle="1" w:styleId="TytuZnak">
    <w:name w:val="Tytuł Znak"/>
    <w:basedOn w:val="Domylnaczcionkaakapitu"/>
    <w:link w:val="Tytu"/>
    <w:uiPriority w:val="10"/>
    <w:rsid w:val="00B40E26"/>
    <w:rPr>
      <w:rFonts w:ascii="Times New Roman" w:eastAsia="Times New Roman" w:hAnsi="Times New Roman" w:cs="Times New Roman"/>
      <w:sz w:val="32"/>
      <w:szCs w:val="20"/>
      <w:u w:val="single"/>
      <w:lang w:eastAsia="pl-PL"/>
    </w:rPr>
  </w:style>
  <w:style w:type="paragraph" w:styleId="Tekstdymka">
    <w:name w:val="Balloon Text"/>
    <w:basedOn w:val="Normalny"/>
    <w:link w:val="TekstdymkaZnak"/>
    <w:rsid w:val="00B40E2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40E26"/>
    <w:rPr>
      <w:rFonts w:ascii="Tahoma" w:eastAsia="Times New Roman" w:hAnsi="Tahoma" w:cs="Tahoma"/>
      <w:sz w:val="16"/>
      <w:szCs w:val="16"/>
      <w:lang w:eastAsia="pl-PL"/>
    </w:rPr>
  </w:style>
  <w:style w:type="paragraph" w:customStyle="1" w:styleId="WW-Tekstpodstawowy2">
    <w:name w:val="WW-Tekst podstawowy 2"/>
    <w:basedOn w:val="Normalny"/>
    <w:rsid w:val="00B40E26"/>
    <w:pPr>
      <w:suppressAutoHyphens/>
      <w:spacing w:after="120" w:line="480" w:lineRule="auto"/>
    </w:pPr>
    <w:rPr>
      <w:rFonts w:ascii="Times New Roman" w:eastAsia="Times New Roman" w:hAnsi="Times New Roman" w:cs="Times New Roman"/>
      <w:sz w:val="24"/>
      <w:szCs w:val="20"/>
      <w:lang w:eastAsia="pl-PL"/>
    </w:rPr>
  </w:style>
  <w:style w:type="paragraph" w:customStyle="1" w:styleId="WW-NormalnyWeb">
    <w:name w:val="WW-Normalny (Web)"/>
    <w:basedOn w:val="Normalny"/>
    <w:rsid w:val="00B40E26"/>
    <w:pPr>
      <w:suppressAutoHyphens/>
      <w:spacing w:before="280" w:after="119" w:line="240" w:lineRule="auto"/>
    </w:pPr>
    <w:rPr>
      <w:rFonts w:ascii="Times New Roman" w:eastAsia="Times New Roman" w:hAnsi="Times New Roman" w:cs="Times New Roman"/>
      <w:sz w:val="24"/>
      <w:szCs w:val="24"/>
      <w:lang w:eastAsia="ar-SA"/>
    </w:rPr>
  </w:style>
  <w:style w:type="character" w:customStyle="1" w:styleId="WW8Num3z0">
    <w:name w:val="WW8Num3z0"/>
    <w:rsid w:val="00B40E26"/>
    <w:rPr>
      <w:rFonts w:ascii="StarSymbol" w:eastAsia="StarSymbol" w:hAnsi="StarSymbol"/>
      <w:sz w:val="18"/>
    </w:rPr>
  </w:style>
  <w:style w:type="character" w:styleId="UyteHipercze">
    <w:name w:val="FollowedHyperlink"/>
    <w:rsid w:val="00B40E26"/>
    <w:rPr>
      <w:color w:val="800000"/>
      <w:u w:val="single"/>
    </w:rPr>
  </w:style>
  <w:style w:type="paragraph" w:customStyle="1" w:styleId="Tytu1">
    <w:name w:val="Tytuł1"/>
    <w:basedOn w:val="Normalny"/>
    <w:next w:val="Tekstpodstawowy"/>
    <w:rsid w:val="00B40E26"/>
    <w:pPr>
      <w:keepNext/>
      <w:suppressAutoHyphens/>
      <w:spacing w:before="240" w:after="120" w:line="240" w:lineRule="auto"/>
    </w:pPr>
    <w:rPr>
      <w:rFonts w:ascii="Albany" w:eastAsia="HG Mincho Light J" w:hAnsi="Albany" w:cs="Times New Roman"/>
      <w:sz w:val="28"/>
      <w:szCs w:val="20"/>
      <w:lang w:eastAsia="pl-PL"/>
    </w:rPr>
  </w:style>
  <w:style w:type="paragraph" w:customStyle="1" w:styleId="WW-Tekstdymka">
    <w:name w:val="WW-Tekst dymka"/>
    <w:basedOn w:val="Normalny"/>
    <w:rsid w:val="00B40E26"/>
    <w:pPr>
      <w:suppressAutoHyphens/>
      <w:spacing w:after="0" w:line="240" w:lineRule="auto"/>
    </w:pPr>
    <w:rPr>
      <w:rFonts w:ascii="Tahoma" w:eastAsia="Times New Roman" w:hAnsi="Tahoma" w:cs="Times New Roman"/>
      <w:sz w:val="16"/>
      <w:szCs w:val="20"/>
      <w:lang w:eastAsia="pl-PL"/>
    </w:rPr>
  </w:style>
  <w:style w:type="paragraph" w:customStyle="1" w:styleId="Zawartoramki">
    <w:name w:val="Zawartość ramki"/>
    <w:basedOn w:val="Tekstpodstawowy"/>
    <w:rsid w:val="00B40E26"/>
    <w:pPr>
      <w:tabs>
        <w:tab w:val="clear" w:pos="567"/>
      </w:tabs>
      <w:suppressAutoHyphens/>
      <w:spacing w:after="120" w:line="240" w:lineRule="auto"/>
      <w:jc w:val="left"/>
    </w:pPr>
    <w:rPr>
      <w:b w:val="0"/>
      <w:sz w:val="20"/>
    </w:rPr>
  </w:style>
  <w:style w:type="paragraph" w:customStyle="1" w:styleId="Zawartotabeli">
    <w:name w:val="Zawartość tabeli"/>
    <w:basedOn w:val="Tekstpodstawowy"/>
    <w:rsid w:val="00B40E26"/>
    <w:pPr>
      <w:suppressLineNumbers/>
      <w:tabs>
        <w:tab w:val="clear" w:pos="567"/>
      </w:tabs>
      <w:suppressAutoHyphens/>
      <w:spacing w:after="120" w:line="240" w:lineRule="auto"/>
      <w:jc w:val="left"/>
    </w:pPr>
    <w:rPr>
      <w:b w:val="0"/>
      <w:sz w:val="20"/>
    </w:rPr>
  </w:style>
  <w:style w:type="paragraph" w:customStyle="1" w:styleId="Tytutabeli">
    <w:name w:val="Tytuł tabeli"/>
    <w:basedOn w:val="Zawartotabeli"/>
    <w:uiPriority w:val="99"/>
    <w:rsid w:val="00B40E26"/>
    <w:pPr>
      <w:jc w:val="center"/>
    </w:pPr>
    <w:rPr>
      <w:b/>
      <w:i/>
    </w:rPr>
  </w:style>
  <w:style w:type="paragraph" w:styleId="Tekstprzypisukocowego">
    <w:name w:val="endnote text"/>
    <w:basedOn w:val="Normalny"/>
    <w:link w:val="TekstprzypisukocowegoZnak"/>
    <w:rsid w:val="00B40E2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B40E26"/>
    <w:rPr>
      <w:rFonts w:ascii="Times New Roman" w:eastAsia="Times New Roman" w:hAnsi="Times New Roman" w:cs="Times New Roman"/>
      <w:sz w:val="20"/>
      <w:szCs w:val="20"/>
      <w:lang w:eastAsia="pl-PL"/>
    </w:rPr>
  </w:style>
  <w:style w:type="character" w:styleId="Odwoanieprzypisukocowego">
    <w:name w:val="endnote reference"/>
    <w:rsid w:val="00B40E26"/>
    <w:rPr>
      <w:vertAlign w:val="superscript"/>
    </w:rPr>
  </w:style>
  <w:style w:type="character" w:styleId="Pogrubienie">
    <w:name w:val="Strong"/>
    <w:qFormat/>
    <w:rsid w:val="00B40E26"/>
    <w:rPr>
      <w:b/>
      <w:bCs/>
      <w:color w:val="000000"/>
      <w:sz w:val="20"/>
      <w:szCs w:val="20"/>
    </w:rPr>
  </w:style>
  <w:style w:type="paragraph" w:customStyle="1" w:styleId="a">
    <w:basedOn w:val="Normalny"/>
    <w:next w:val="Mapadokumentu"/>
    <w:link w:val="PlandokumentuZnak"/>
    <w:rsid w:val="00B40E26"/>
    <w:pPr>
      <w:shd w:val="clear" w:color="auto" w:fill="000080"/>
      <w:spacing w:after="0" w:line="240" w:lineRule="auto"/>
    </w:pPr>
    <w:rPr>
      <w:rFonts w:ascii="Tahoma" w:hAnsi="Tahoma" w:cs="Tahoma"/>
    </w:rPr>
  </w:style>
  <w:style w:type="paragraph" w:customStyle="1" w:styleId="text">
    <w:name w:val="text"/>
    <w:basedOn w:val="Normalny"/>
    <w:rsid w:val="00B40E26"/>
    <w:pPr>
      <w:spacing w:before="100" w:beforeAutospacing="1" w:after="100" w:afterAutospacing="1" w:line="240" w:lineRule="auto"/>
      <w:ind w:left="150" w:right="75"/>
    </w:pPr>
    <w:rPr>
      <w:rFonts w:ascii="Verdana" w:eastAsia="Times New Roman" w:hAnsi="Verdana" w:cs="Times New Roman"/>
      <w:sz w:val="18"/>
      <w:szCs w:val="18"/>
      <w:lang w:eastAsia="pl-PL"/>
    </w:rPr>
  </w:style>
  <w:style w:type="character" w:customStyle="1" w:styleId="tytul">
    <w:name w:val="tytul"/>
    <w:basedOn w:val="Domylnaczcionkaakapitu"/>
    <w:rsid w:val="00B40E26"/>
  </w:style>
  <w:style w:type="numbering" w:styleId="111111">
    <w:name w:val="Outline List 2"/>
    <w:basedOn w:val="Bezlisty"/>
    <w:rsid w:val="00B40E26"/>
  </w:style>
  <w:style w:type="numbering" w:customStyle="1" w:styleId="Styl2">
    <w:name w:val="Styl2"/>
    <w:basedOn w:val="Bezlisty"/>
    <w:rsid w:val="00B40E26"/>
    <w:pPr>
      <w:numPr>
        <w:numId w:val="4"/>
      </w:numPr>
    </w:pPr>
  </w:style>
  <w:style w:type="character" w:customStyle="1" w:styleId="klinika1">
    <w:name w:val="klinika1"/>
    <w:rsid w:val="00B40E26"/>
    <w:rPr>
      <w:rFonts w:ascii="Verdana" w:hAnsi="Verdana" w:hint="default"/>
      <w:sz w:val="18"/>
      <w:szCs w:val="18"/>
    </w:rPr>
  </w:style>
  <w:style w:type="table" w:styleId="Tabela-Elegancki">
    <w:name w:val="Table Elegant"/>
    <w:basedOn w:val="Standardowy"/>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przypisudolnego">
    <w:name w:val="footnote reference"/>
    <w:semiHidden/>
    <w:rsid w:val="00B40E26"/>
    <w:rPr>
      <w:vertAlign w:val="superscript"/>
    </w:rPr>
  </w:style>
  <w:style w:type="paragraph" w:customStyle="1" w:styleId="2">
    <w:name w:val="2"/>
    <w:basedOn w:val="Normalny"/>
    <w:next w:val="Nagwek"/>
    <w:rsid w:val="00B40E2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ZawartotabeliZnak">
    <w:name w:val="Zawartość tabeli Znak"/>
    <w:basedOn w:val="Tekstpodstawowy"/>
    <w:rsid w:val="00B40E26"/>
    <w:pPr>
      <w:suppressLineNumbers/>
      <w:tabs>
        <w:tab w:val="clear" w:pos="567"/>
      </w:tabs>
      <w:suppressAutoHyphens/>
      <w:spacing w:line="240" w:lineRule="auto"/>
      <w:jc w:val="left"/>
    </w:pPr>
    <w:rPr>
      <w:sz w:val="28"/>
      <w:u w:val="single"/>
    </w:rPr>
  </w:style>
  <w:style w:type="paragraph" w:customStyle="1" w:styleId="1">
    <w:name w:val="1"/>
    <w:basedOn w:val="Normalny"/>
    <w:next w:val="Nagwek"/>
    <w:rsid w:val="00B40E2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Styl4">
    <w:name w:val="Styl4"/>
    <w:basedOn w:val="Nagwek3"/>
    <w:next w:val="Tekstpodstawowy"/>
    <w:link w:val="Styl4Znak"/>
    <w:autoRedefine/>
    <w:qFormat/>
    <w:rsid w:val="00B40E26"/>
    <w:pPr>
      <w:keepLines w:val="0"/>
      <w:tabs>
        <w:tab w:val="num" w:pos="1440"/>
      </w:tabs>
      <w:spacing w:line="240" w:lineRule="auto"/>
      <w:ind w:left="1224" w:hanging="504"/>
      <w:jc w:val="center"/>
    </w:pPr>
    <w:rPr>
      <w:rFonts w:ascii="Arial" w:eastAsia="Times New Roman" w:hAnsi="Arial" w:cs="Times New Roman"/>
      <w:sz w:val="22"/>
      <w:szCs w:val="20"/>
      <w:lang w:eastAsia="pl-PL"/>
    </w:rPr>
  </w:style>
  <w:style w:type="paragraph" w:customStyle="1" w:styleId="bgmodul1">
    <w:name w:val="bgmodul1"/>
    <w:basedOn w:val="Normalny"/>
    <w:rsid w:val="00B40E2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B40E26"/>
    <w:pPr>
      <w:spacing w:after="0" w:line="240" w:lineRule="auto"/>
      <w:ind w:firstLine="426"/>
      <w:jc w:val="both"/>
    </w:pPr>
    <w:rPr>
      <w:rFonts w:ascii="Times New Roman" w:eastAsia="Times New Roman" w:hAnsi="Times New Roman" w:cs="Times New Roman"/>
      <w:sz w:val="24"/>
      <w:szCs w:val="20"/>
      <w:lang w:eastAsia="pl-PL"/>
    </w:rPr>
  </w:style>
  <w:style w:type="paragraph" w:styleId="Podtytu">
    <w:name w:val="Subtitle"/>
    <w:basedOn w:val="Normalny"/>
    <w:link w:val="PodtytuZnak"/>
    <w:uiPriority w:val="11"/>
    <w:qFormat/>
    <w:rsid w:val="00B40E2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uiPriority w:val="11"/>
    <w:rsid w:val="00B40E26"/>
    <w:rPr>
      <w:rFonts w:ascii="Arial" w:eastAsia="Times New Roman" w:hAnsi="Arial" w:cs="Arial"/>
      <w:sz w:val="24"/>
      <w:szCs w:val="24"/>
      <w:lang w:eastAsia="pl-PL"/>
    </w:rPr>
  </w:style>
  <w:style w:type="paragraph" w:customStyle="1" w:styleId="DomylnaczcionkaakapituAkapitZnak">
    <w:name w:val="Domyślna czcionka akapitu Akapit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Tekstpodstawowy210">
    <w:name w:val="Tekst podstawowy 21"/>
    <w:basedOn w:val="Normalny"/>
    <w:rsid w:val="00B40E2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DomylnaczcionkaakapituAkapitZnakZnakZnakZnakZnakZnak1Znak">
    <w:name w:val="Domyślna czcionka akapitu Akapit Znak Znak Znak Znak Znak Znak1 Znak"/>
    <w:basedOn w:val="Normalny"/>
    <w:link w:val="DomylnaczcionkaakapituAkapitZnakZnakZnakZnakZnakZnak1ZnakZnak"/>
    <w:rsid w:val="00B40E26"/>
    <w:pPr>
      <w:spacing w:after="0" w:line="240" w:lineRule="auto"/>
    </w:pPr>
    <w:rPr>
      <w:rFonts w:ascii="Times New Roman" w:eastAsia="Times New Roman" w:hAnsi="Times New Roman" w:cs="Times New Roman"/>
      <w:sz w:val="24"/>
      <w:szCs w:val="24"/>
      <w:lang w:eastAsia="pl-PL"/>
    </w:rPr>
  </w:style>
  <w:style w:type="character" w:customStyle="1" w:styleId="DomylnaczcionkaakapituAkapitZnakZnakZnakZnakZnakZnak1ZnakZnak">
    <w:name w:val="Domyślna czcionka akapitu Akapit Znak Znak Znak Znak Znak Znak1 Znak Znak"/>
    <w:link w:val="DomylnaczcionkaakapituAkapitZnakZnakZnakZnakZnakZnak1Znak"/>
    <w:rsid w:val="00B40E26"/>
    <w:rPr>
      <w:rFonts w:ascii="Times New Roman" w:eastAsia="Times New Roman" w:hAnsi="Times New Roman" w:cs="Times New Roman"/>
      <w:sz w:val="24"/>
      <w:szCs w:val="24"/>
      <w:lang w:eastAsia="pl-PL"/>
    </w:rPr>
  </w:style>
  <w:style w:type="paragraph" w:styleId="Adreszwrotnynakopercie">
    <w:name w:val="envelope return"/>
    <w:basedOn w:val="Normalny"/>
    <w:rsid w:val="00B40E26"/>
    <w:pPr>
      <w:suppressAutoHyphens/>
      <w:spacing w:after="0" w:line="240" w:lineRule="auto"/>
    </w:pPr>
    <w:rPr>
      <w:rFonts w:ascii="Times New Roman" w:eastAsia="Times New Roman" w:hAnsi="Times New Roman" w:cs="Times New Roman"/>
      <w:sz w:val="28"/>
      <w:szCs w:val="20"/>
    </w:rPr>
  </w:style>
  <w:style w:type="paragraph" w:customStyle="1" w:styleId="Standard">
    <w:name w:val="Standard"/>
    <w:rsid w:val="00B40E26"/>
    <w:pPr>
      <w:spacing w:after="0" w:line="240" w:lineRule="auto"/>
    </w:pPr>
    <w:rPr>
      <w:rFonts w:ascii="Times New Roman" w:eastAsia="Times New Roman" w:hAnsi="Times New Roman" w:cs="Times New Roman"/>
      <w:sz w:val="24"/>
      <w:szCs w:val="20"/>
      <w:lang w:eastAsia="pl-PL"/>
    </w:rPr>
  </w:style>
  <w:style w:type="paragraph" w:customStyle="1" w:styleId="Domylnie">
    <w:name w:val="Domyślnie"/>
    <w:rsid w:val="00B40E26"/>
    <w:pPr>
      <w:widowControl w:val="0"/>
      <w:autoSpaceDE w:val="0"/>
      <w:autoSpaceDN w:val="0"/>
      <w:spacing w:after="0" w:line="240" w:lineRule="auto"/>
    </w:pPr>
    <w:rPr>
      <w:rFonts w:ascii="Times New Roman" w:eastAsia="Times New Roman" w:hAnsi="Times New Roman" w:cs="Times New Roman"/>
      <w:sz w:val="20"/>
      <w:szCs w:val="20"/>
      <w:lang w:eastAsia="pl-PL"/>
    </w:rPr>
  </w:style>
  <w:style w:type="paragraph" w:customStyle="1" w:styleId="Tekstblokowy1">
    <w:name w:val="Tekst blokowy1"/>
    <w:basedOn w:val="Normalny"/>
    <w:rsid w:val="00B40E26"/>
    <w:pPr>
      <w:suppressAutoHyphens/>
      <w:spacing w:after="0" w:line="240" w:lineRule="auto"/>
      <w:ind w:left="720" w:right="-567"/>
    </w:pPr>
    <w:rPr>
      <w:rFonts w:ascii="Times New Roman" w:eastAsia="Times New Roman" w:hAnsi="Times New Roman" w:cs="Times New Roman"/>
      <w:sz w:val="28"/>
      <w:szCs w:val="20"/>
      <w:lang w:eastAsia="ar-SA"/>
    </w:rPr>
  </w:style>
  <w:style w:type="paragraph" w:styleId="Tekstpodstawowyzwciciem">
    <w:name w:val="Body Text First Indent"/>
    <w:basedOn w:val="Tekstpodstawowy"/>
    <w:link w:val="TekstpodstawowyzwciciemZnak"/>
    <w:rsid w:val="00B40E26"/>
    <w:pPr>
      <w:tabs>
        <w:tab w:val="clear" w:pos="567"/>
      </w:tabs>
      <w:spacing w:after="120" w:line="240" w:lineRule="auto"/>
      <w:ind w:firstLine="210"/>
      <w:jc w:val="left"/>
    </w:pPr>
    <w:rPr>
      <w:b w:val="0"/>
      <w:szCs w:val="24"/>
    </w:rPr>
  </w:style>
  <w:style w:type="character" w:customStyle="1" w:styleId="TekstpodstawowyzwciciemZnak">
    <w:name w:val="Tekst podstawowy z wcięciem Znak"/>
    <w:basedOn w:val="TekstpodstawowyZnak"/>
    <w:link w:val="Tekstpodstawowyzwciciem"/>
    <w:rsid w:val="00B40E26"/>
    <w:rPr>
      <w:rFonts w:ascii="Times New Roman" w:eastAsia="Times New Roman" w:hAnsi="Times New Roman" w:cs="Times New Roman"/>
      <w:sz w:val="24"/>
      <w:szCs w:val="24"/>
      <w:lang w:eastAsia="pl-PL"/>
    </w:rPr>
  </w:style>
  <w:style w:type="paragraph" w:customStyle="1" w:styleId="Tekstpodstawowywcity210">
    <w:name w:val="Tekst podstawowy wcięty 21"/>
    <w:basedOn w:val="Normalny"/>
    <w:uiPriority w:val="99"/>
    <w:rsid w:val="00B40E26"/>
    <w:pPr>
      <w:suppressAutoHyphens/>
      <w:spacing w:after="0" w:line="240" w:lineRule="auto"/>
      <w:ind w:left="780"/>
      <w:jc w:val="both"/>
    </w:pPr>
    <w:rPr>
      <w:rFonts w:ascii="Times New Roman" w:eastAsia="Times New Roman" w:hAnsi="Times New Roman" w:cs="Times New Roman"/>
      <w:sz w:val="28"/>
      <w:szCs w:val="20"/>
      <w:lang w:eastAsia="ar-SA"/>
    </w:rPr>
  </w:style>
  <w:style w:type="paragraph" w:styleId="Listapunktowana2">
    <w:name w:val="List Bullet 2"/>
    <w:basedOn w:val="Normalny"/>
    <w:rsid w:val="00B40E26"/>
    <w:pPr>
      <w:numPr>
        <w:numId w:val="1"/>
      </w:numPr>
      <w:spacing w:after="0" w:line="240" w:lineRule="auto"/>
    </w:pPr>
    <w:rPr>
      <w:rFonts w:ascii="Calibri" w:eastAsia="Calibri" w:hAnsi="Calibri" w:cs="Times New Roman"/>
    </w:rPr>
  </w:style>
  <w:style w:type="paragraph" w:customStyle="1" w:styleId="Tekstpodstawowywcity310">
    <w:name w:val="Tekst podstawowy wcięty 31"/>
    <w:basedOn w:val="Normalny"/>
    <w:rsid w:val="00B40E26"/>
    <w:pPr>
      <w:suppressAutoHyphens/>
      <w:spacing w:after="0" w:line="240" w:lineRule="auto"/>
      <w:ind w:left="720" w:firstLine="709"/>
      <w:jc w:val="both"/>
    </w:pPr>
    <w:rPr>
      <w:rFonts w:ascii="Times New Roman" w:eastAsia="Times New Roman" w:hAnsi="Times New Roman" w:cs="Times New Roman"/>
      <w:sz w:val="28"/>
      <w:szCs w:val="20"/>
      <w:lang w:eastAsia="ar-SA"/>
    </w:rPr>
  </w:style>
  <w:style w:type="paragraph" w:customStyle="1" w:styleId="Tekstpodstawowy22">
    <w:name w:val="Tekst podstawowy 22"/>
    <w:basedOn w:val="Normalny"/>
    <w:rsid w:val="00B40E26"/>
    <w:pPr>
      <w:suppressAutoHyphens/>
      <w:spacing w:after="120" w:line="480" w:lineRule="auto"/>
    </w:pPr>
    <w:rPr>
      <w:rFonts w:ascii="Times New Roman" w:eastAsia="Times New Roman" w:hAnsi="Times New Roman" w:cs="Times New Roman"/>
      <w:sz w:val="20"/>
      <w:szCs w:val="20"/>
      <w:lang w:eastAsia="ar-SA"/>
    </w:rPr>
  </w:style>
  <w:style w:type="paragraph" w:customStyle="1" w:styleId="ZnakZnakZnak">
    <w:name w:val="Znak Znak Znak"/>
    <w:basedOn w:val="Normalny"/>
    <w:rsid w:val="00B40E26"/>
    <w:pPr>
      <w:suppressAutoHyphens/>
      <w:spacing w:after="0" w:line="240" w:lineRule="auto"/>
    </w:pPr>
    <w:rPr>
      <w:rFonts w:ascii="Times New Roman" w:eastAsia="Times New Roman" w:hAnsi="Times New Roman" w:cs="Times New Roman"/>
      <w:sz w:val="24"/>
      <w:szCs w:val="24"/>
      <w:lang w:eastAsia="ar-SA"/>
    </w:rPr>
  </w:style>
  <w:style w:type="paragraph" w:customStyle="1" w:styleId="DomylnaczcionkaakapituAkapitZnakZnakZnakZnak">
    <w:name w:val="Domyślna czcionka akapitu Akapit Znak Znak Znak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menu">
    <w:name w:val="menu"/>
    <w:basedOn w:val="Normalny"/>
    <w:rsid w:val="00B40E26"/>
    <w:pPr>
      <w:spacing w:before="100" w:beforeAutospacing="1" w:after="100" w:afterAutospacing="1" w:line="240" w:lineRule="auto"/>
    </w:pPr>
    <w:rPr>
      <w:rFonts w:ascii="Verdana" w:eastAsia="Times New Roman" w:hAnsi="Verdana" w:cs="Times New Roman"/>
      <w:color w:val="003366"/>
      <w:sz w:val="13"/>
      <w:szCs w:val="13"/>
      <w:lang w:eastAsia="pl-PL"/>
    </w:rPr>
  </w:style>
  <w:style w:type="paragraph" w:styleId="Listapunktowana">
    <w:name w:val="List Bullet"/>
    <w:basedOn w:val="Normalny"/>
    <w:rsid w:val="00B40E26"/>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pl-PL"/>
    </w:rPr>
  </w:style>
  <w:style w:type="paragraph" w:customStyle="1" w:styleId="WW-Tekstpodstawowy3">
    <w:name w:val="WW-Tekst podstawowy 3"/>
    <w:basedOn w:val="Normalny"/>
    <w:rsid w:val="00B40E26"/>
    <w:pPr>
      <w:suppressAutoHyphens/>
      <w:spacing w:after="0" w:line="240" w:lineRule="auto"/>
      <w:jc w:val="both"/>
    </w:pPr>
    <w:rPr>
      <w:rFonts w:ascii="Arial" w:eastAsia="Times New Roman" w:hAnsi="Arial" w:cs="Times New Roman"/>
      <w:szCs w:val="20"/>
    </w:rPr>
  </w:style>
  <w:style w:type="paragraph" w:customStyle="1" w:styleId="ZnakZnakZnakZnak">
    <w:name w:val="Znak Znak Znak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western">
    <w:name w:val="western"/>
    <w:basedOn w:val="Normalny"/>
    <w:rsid w:val="00B40E26"/>
    <w:pPr>
      <w:suppressAutoHyphens/>
      <w:spacing w:before="100" w:after="119" w:line="240" w:lineRule="auto"/>
    </w:pPr>
    <w:rPr>
      <w:rFonts w:ascii="Times New Roman" w:eastAsia="Times New Roman" w:hAnsi="Times New Roman" w:cs="Times New Roman"/>
      <w:sz w:val="24"/>
      <w:szCs w:val="20"/>
      <w:lang w:eastAsia="pl-PL"/>
    </w:rPr>
  </w:style>
  <w:style w:type="paragraph" w:styleId="Spisilustracji">
    <w:name w:val="table of figures"/>
    <w:aliases w:val="Spis tabel"/>
    <w:basedOn w:val="Normalny"/>
    <w:next w:val="Normalny"/>
    <w:autoRedefine/>
    <w:uiPriority w:val="99"/>
    <w:rsid w:val="008F2D46"/>
    <w:pPr>
      <w:tabs>
        <w:tab w:val="right" w:leader="dot" w:pos="9062"/>
      </w:tabs>
      <w:spacing w:after="0" w:line="240" w:lineRule="auto"/>
      <w:ind w:left="851" w:hanging="851"/>
    </w:pPr>
    <w:rPr>
      <w:rFonts w:ascii="Calibri" w:eastAsia="Times New Roman" w:hAnsi="Calibri" w:cs="Times New Roman"/>
      <w:noProof/>
      <w:sz w:val="24"/>
      <w:szCs w:val="20"/>
      <w:lang w:eastAsia="pl-PL"/>
    </w:rPr>
  </w:style>
  <w:style w:type="paragraph" w:customStyle="1" w:styleId="Nagwektabeli">
    <w:name w:val="Nagłówek tabeli"/>
    <w:basedOn w:val="Zawartotabeli"/>
    <w:rsid w:val="00B40E26"/>
    <w:pPr>
      <w:jc w:val="center"/>
    </w:pPr>
    <w:rPr>
      <w:b/>
      <w:bCs/>
      <w:i/>
      <w:iCs/>
    </w:rPr>
  </w:style>
  <w:style w:type="paragraph" w:customStyle="1" w:styleId="Nagwek114pt">
    <w:name w:val="Nagłówek 1 + 14 pt"/>
    <w:aliases w:val="Nie Kapitaliki,Zagęszczone o  1 pt"/>
    <w:basedOn w:val="Normalny"/>
    <w:rsid w:val="00B40E26"/>
    <w:pPr>
      <w:spacing w:after="0" w:line="360" w:lineRule="auto"/>
      <w:ind w:left="567" w:hanging="567"/>
      <w:jc w:val="both"/>
    </w:pPr>
    <w:rPr>
      <w:rFonts w:ascii="Times New Roman" w:eastAsia="Times New Roman" w:hAnsi="Times New Roman" w:cs="Times New Roman"/>
      <w:b/>
      <w:smallCaps/>
      <w:sz w:val="28"/>
      <w:szCs w:val="28"/>
      <w:lang w:eastAsia="pl-PL"/>
    </w:rPr>
  </w:style>
  <w:style w:type="paragraph" w:customStyle="1" w:styleId="msonormalcxspdrugie">
    <w:name w:val="msonormalcxspdrugie"/>
    <w:basedOn w:val="Normalny"/>
    <w:rsid w:val="00B40E26"/>
    <w:pPr>
      <w:spacing w:before="100" w:beforeAutospacing="1" w:after="100" w:afterAutospacing="1" w:line="240" w:lineRule="auto"/>
    </w:pPr>
    <w:rPr>
      <w:rFonts w:ascii="Times New Roman" w:eastAsia="Times New Roman" w:hAnsi="Times New Roman" w:cs="Times New Roman"/>
      <w:sz w:val="24"/>
      <w:szCs w:val="24"/>
      <w:lang w:eastAsia="pl-PL" w:bidi="pa-IN"/>
    </w:rPr>
  </w:style>
  <w:style w:type="paragraph" w:styleId="Lista">
    <w:name w:val="List"/>
    <w:basedOn w:val="Normalny"/>
    <w:rsid w:val="00B40E26"/>
    <w:pPr>
      <w:spacing w:after="200" w:line="276" w:lineRule="auto"/>
      <w:ind w:left="283" w:hanging="283"/>
      <w:contextualSpacing/>
    </w:pPr>
    <w:rPr>
      <w:rFonts w:ascii="Calibri" w:eastAsia="Times New Roman" w:hAnsi="Calibri" w:cs="Times New Roman"/>
      <w:lang w:val="en-US" w:bidi="en-US"/>
    </w:rPr>
  </w:style>
  <w:style w:type="character" w:customStyle="1" w:styleId="style3">
    <w:name w:val="style3"/>
    <w:basedOn w:val="Domylnaczcionkaakapitu"/>
    <w:rsid w:val="00B40E26"/>
  </w:style>
  <w:style w:type="character" w:customStyle="1" w:styleId="style7">
    <w:name w:val="style7"/>
    <w:basedOn w:val="Domylnaczcionkaakapitu"/>
    <w:rsid w:val="00B40E26"/>
  </w:style>
  <w:style w:type="character" w:customStyle="1" w:styleId="ZnakZnak">
    <w:name w:val="Znak Znak"/>
    <w:rsid w:val="00B40E26"/>
    <w:rPr>
      <w:b/>
      <w:sz w:val="24"/>
      <w:lang w:val="pl-PL" w:eastAsia="pl-PL" w:bidi="ar-SA"/>
    </w:rPr>
  </w:style>
  <w:style w:type="character" w:customStyle="1" w:styleId="TytutabeliZnak">
    <w:name w:val="Tytuł tabeli Znak"/>
    <w:rsid w:val="00B40E26"/>
    <w:rPr>
      <w:b/>
      <w:i/>
      <w:sz w:val="28"/>
      <w:u w:val="single"/>
      <w:lang w:val="pl-PL" w:eastAsia="pl-PL" w:bidi="ar-SA"/>
    </w:rPr>
  </w:style>
  <w:style w:type="character" w:customStyle="1" w:styleId="Znak">
    <w:name w:val="Znak"/>
    <w:rsid w:val="00B40E26"/>
    <w:rPr>
      <w:b/>
      <w:sz w:val="24"/>
      <w:lang w:val="pl-PL" w:eastAsia="pl-PL" w:bidi="ar-SA"/>
    </w:rPr>
  </w:style>
  <w:style w:type="character" w:customStyle="1" w:styleId="t31">
    <w:name w:val="t31"/>
    <w:rsid w:val="00B40E26"/>
    <w:rPr>
      <w:rFonts w:ascii="Courier New" w:hAnsi="Courier New" w:cs="Courier New" w:hint="default"/>
    </w:rPr>
  </w:style>
  <w:style w:type="character" w:customStyle="1" w:styleId="tw4winTerm">
    <w:name w:val="tw4winTerm"/>
    <w:rsid w:val="00B40E26"/>
    <w:rPr>
      <w:color w:val="0000FF"/>
    </w:rPr>
  </w:style>
  <w:style w:type="paragraph" w:styleId="Tekstkomentarza">
    <w:name w:val="annotation text"/>
    <w:basedOn w:val="Normalny"/>
    <w:link w:val="TekstkomentarzaZnak"/>
    <w:rsid w:val="00B40E2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40E26"/>
    <w:rPr>
      <w:rFonts w:ascii="Times New Roman" w:eastAsia="Times New Roman" w:hAnsi="Times New Roman" w:cs="Times New Roman"/>
      <w:sz w:val="20"/>
      <w:szCs w:val="20"/>
      <w:lang w:eastAsia="pl-PL"/>
    </w:rPr>
  </w:style>
  <w:style w:type="character" w:styleId="Odwoaniedokomentarza">
    <w:name w:val="annotation reference"/>
    <w:rsid w:val="00B40E26"/>
    <w:rPr>
      <w:sz w:val="16"/>
      <w:szCs w:val="16"/>
    </w:rPr>
  </w:style>
  <w:style w:type="paragraph" w:styleId="Tematkomentarza">
    <w:name w:val="annotation subject"/>
    <w:basedOn w:val="Tekstkomentarza"/>
    <w:next w:val="Tekstkomentarza"/>
    <w:link w:val="TematkomentarzaZnak"/>
    <w:rsid w:val="00B40E26"/>
    <w:rPr>
      <w:b/>
      <w:bCs/>
    </w:rPr>
  </w:style>
  <w:style w:type="character" w:customStyle="1" w:styleId="TematkomentarzaZnak">
    <w:name w:val="Temat komentarza Znak"/>
    <w:basedOn w:val="TekstkomentarzaZnak"/>
    <w:link w:val="Tematkomentarza"/>
    <w:rsid w:val="00B40E26"/>
    <w:rPr>
      <w:rFonts w:ascii="Times New Roman" w:eastAsia="Times New Roman" w:hAnsi="Times New Roman" w:cs="Times New Roman"/>
      <w:b/>
      <w:bCs/>
      <w:sz w:val="20"/>
      <w:szCs w:val="20"/>
      <w:lang w:eastAsia="pl-PL"/>
    </w:rPr>
  </w:style>
  <w:style w:type="character" w:customStyle="1" w:styleId="st">
    <w:name w:val="st"/>
    <w:basedOn w:val="Domylnaczcionkaakapitu"/>
    <w:rsid w:val="00B40E26"/>
  </w:style>
  <w:style w:type="character" w:customStyle="1" w:styleId="PlandokumentuZnak">
    <w:name w:val="Plan dokumentu Znak"/>
    <w:link w:val="a"/>
    <w:semiHidden/>
    <w:rsid w:val="00B40E26"/>
    <w:rPr>
      <w:rFonts w:ascii="Tahoma" w:hAnsi="Tahoma" w:cs="Tahoma"/>
      <w:shd w:val="clear" w:color="auto" w:fill="000080"/>
    </w:rPr>
  </w:style>
  <w:style w:type="paragraph" w:customStyle="1" w:styleId="ZnakZnakZnak0">
    <w:name w:val="Znak Znak Znak"/>
    <w:basedOn w:val="Normalny"/>
    <w:rsid w:val="00B40E26"/>
    <w:pPr>
      <w:suppressAutoHyphens/>
      <w:spacing w:after="0" w:line="240" w:lineRule="auto"/>
    </w:pPr>
    <w:rPr>
      <w:rFonts w:ascii="Times New Roman" w:eastAsia="Times New Roman" w:hAnsi="Times New Roman" w:cs="Times New Roman"/>
      <w:sz w:val="24"/>
      <w:szCs w:val="24"/>
      <w:lang w:eastAsia="ar-SA"/>
    </w:rPr>
  </w:style>
  <w:style w:type="character" w:customStyle="1" w:styleId="ZnakZnak0">
    <w:name w:val="Znak Znak"/>
    <w:rsid w:val="00B40E26"/>
    <w:rPr>
      <w:b/>
      <w:sz w:val="24"/>
      <w:lang w:val="pl-PL" w:eastAsia="pl-PL" w:bidi="ar-SA"/>
    </w:rPr>
  </w:style>
  <w:style w:type="character" w:customStyle="1" w:styleId="Znak0">
    <w:name w:val="Znak"/>
    <w:rsid w:val="00B40E26"/>
    <w:rPr>
      <w:b/>
      <w:sz w:val="24"/>
      <w:lang w:val="pl-PL" w:eastAsia="pl-PL" w:bidi="ar-SA"/>
    </w:rPr>
  </w:style>
  <w:style w:type="character" w:customStyle="1" w:styleId="Teksttreci">
    <w:name w:val="Tekst treści"/>
    <w:rsid w:val="00B40E26"/>
    <w:rPr>
      <w:rFonts w:ascii="Garamond" w:eastAsia="Garamond" w:hAnsi="Garamond" w:cs="Garamond"/>
      <w:spacing w:val="0"/>
      <w:sz w:val="22"/>
      <w:szCs w:val="22"/>
    </w:rPr>
  </w:style>
  <w:style w:type="character" w:customStyle="1" w:styleId="Nagwek1Znak1">
    <w:name w:val="Nagłówek 1 Znak1"/>
    <w:aliases w:val="Nagłówek 1 Znak Znak Znak1"/>
    <w:rsid w:val="00B40E26"/>
    <w:rPr>
      <w:rFonts w:ascii="Cambria" w:eastAsia="Times New Roman" w:hAnsi="Cambria" w:cs="Times New Roman"/>
      <w:b/>
      <w:bCs/>
      <w:color w:val="365F91"/>
      <w:sz w:val="28"/>
      <w:szCs w:val="28"/>
    </w:rPr>
  </w:style>
  <w:style w:type="paragraph" w:customStyle="1" w:styleId="Akapitzlist1">
    <w:name w:val="Akapit z listą1"/>
    <w:basedOn w:val="Normalny"/>
    <w:rsid w:val="00B40E26"/>
    <w:pPr>
      <w:spacing w:after="200" w:line="276" w:lineRule="auto"/>
      <w:ind w:left="720"/>
      <w:contextualSpacing/>
    </w:pPr>
    <w:rPr>
      <w:rFonts w:ascii="Calibri" w:eastAsia="Times New Roman" w:hAnsi="Calibri" w:cs="Times New Roman"/>
    </w:rPr>
  </w:style>
  <w:style w:type="numbering" w:customStyle="1" w:styleId="Bezlisty11">
    <w:name w:val="Bez listy11"/>
    <w:next w:val="Bezlisty"/>
    <w:uiPriority w:val="99"/>
    <w:semiHidden/>
    <w:unhideWhenUsed/>
    <w:rsid w:val="00B40E26"/>
  </w:style>
  <w:style w:type="numbering" w:customStyle="1" w:styleId="Bezlisty111">
    <w:name w:val="Bez listy111"/>
    <w:next w:val="Bezlisty"/>
    <w:uiPriority w:val="99"/>
    <w:semiHidden/>
    <w:rsid w:val="00B40E26"/>
  </w:style>
  <w:style w:type="numbering" w:customStyle="1" w:styleId="1111111">
    <w:name w:val="1 / 1.1 / 1.1.11"/>
    <w:basedOn w:val="Bezlisty"/>
    <w:next w:val="111111"/>
    <w:rsid w:val="00B40E26"/>
    <w:pPr>
      <w:numPr>
        <w:numId w:val="2"/>
      </w:numPr>
    </w:pPr>
  </w:style>
  <w:style w:type="numbering" w:customStyle="1" w:styleId="Styl21">
    <w:name w:val="Styl21"/>
    <w:basedOn w:val="Bezlisty"/>
    <w:rsid w:val="00B40E26"/>
    <w:pPr>
      <w:numPr>
        <w:numId w:val="3"/>
      </w:numPr>
    </w:pPr>
  </w:style>
  <w:style w:type="table" w:customStyle="1" w:styleId="Tabela-Elegancki1">
    <w:name w:val="Tabela - Elegancki1"/>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
    <w:name w:val="Mapa dokumentu Znak"/>
    <w:uiPriority w:val="99"/>
    <w:semiHidden/>
    <w:rsid w:val="00B40E26"/>
    <w:rPr>
      <w:rFonts w:ascii="Tahoma" w:hAnsi="Tahoma" w:cs="Tahoma"/>
      <w:sz w:val="16"/>
      <w:szCs w:val="16"/>
    </w:rPr>
  </w:style>
  <w:style w:type="numbering" w:customStyle="1" w:styleId="Bezlisty2">
    <w:name w:val="Bez listy2"/>
    <w:next w:val="Bezlisty"/>
    <w:uiPriority w:val="99"/>
    <w:semiHidden/>
    <w:unhideWhenUsed/>
    <w:rsid w:val="00B40E26"/>
  </w:style>
  <w:style w:type="numbering" w:customStyle="1" w:styleId="Bezlisty12">
    <w:name w:val="Bez listy12"/>
    <w:next w:val="Bezlisty"/>
    <w:uiPriority w:val="99"/>
    <w:semiHidden/>
    <w:unhideWhenUsed/>
    <w:rsid w:val="00B40E26"/>
  </w:style>
  <w:style w:type="table" w:customStyle="1" w:styleId="Tabela-Siatka2">
    <w:name w:val="Tabela - Siatka2"/>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Bezlisty"/>
    <w:next w:val="111111"/>
    <w:rsid w:val="00B40E26"/>
  </w:style>
  <w:style w:type="numbering" w:customStyle="1" w:styleId="Styl22">
    <w:name w:val="Styl22"/>
    <w:basedOn w:val="Bezlisty"/>
    <w:rsid w:val="00B40E26"/>
    <w:pPr>
      <w:numPr>
        <w:numId w:val="8"/>
      </w:numPr>
    </w:pPr>
  </w:style>
  <w:style w:type="table" w:customStyle="1" w:styleId="Tabela-Elegancki2">
    <w:name w:val="Tabela - Elegancki2"/>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Bezlisty1111">
    <w:name w:val="Bez listy1111"/>
    <w:next w:val="Bezlisty"/>
    <w:uiPriority w:val="99"/>
    <w:semiHidden/>
    <w:unhideWhenUsed/>
    <w:rsid w:val="00B40E26"/>
  </w:style>
  <w:style w:type="numbering" w:customStyle="1" w:styleId="Bezlisty11111">
    <w:name w:val="Bez listy11111"/>
    <w:next w:val="Bezlisty"/>
    <w:uiPriority w:val="99"/>
    <w:semiHidden/>
    <w:rsid w:val="00B40E26"/>
  </w:style>
  <w:style w:type="table" w:customStyle="1" w:styleId="Tabela-Siatka11">
    <w:name w:val="Tabela - Siatka11"/>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Bezlisty"/>
    <w:next w:val="111111"/>
    <w:rsid w:val="00B40E26"/>
    <w:pPr>
      <w:numPr>
        <w:numId w:val="6"/>
      </w:numPr>
    </w:pPr>
  </w:style>
  <w:style w:type="numbering" w:customStyle="1" w:styleId="Styl211">
    <w:name w:val="Styl211"/>
    <w:basedOn w:val="Bezlisty"/>
    <w:rsid w:val="00B40E26"/>
    <w:pPr>
      <w:numPr>
        <w:numId w:val="7"/>
      </w:numPr>
    </w:pPr>
  </w:style>
  <w:style w:type="table" w:customStyle="1" w:styleId="Tabela-Elegancki11">
    <w:name w:val="Tabela - Elegancki11"/>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1">
    <w:name w:val="Mapa dokumentu Znak1"/>
    <w:uiPriority w:val="99"/>
    <w:semiHidden/>
    <w:rsid w:val="00B40E26"/>
    <w:rPr>
      <w:rFonts w:ascii="Tahoma" w:eastAsia="Times New Roman" w:hAnsi="Tahoma" w:cs="Tahoma"/>
      <w:sz w:val="16"/>
      <w:szCs w:val="16"/>
      <w:lang w:eastAsia="pl-PL"/>
    </w:rPr>
  </w:style>
  <w:style w:type="character" w:styleId="Uwydatnienie">
    <w:name w:val="Emphasis"/>
    <w:uiPriority w:val="20"/>
    <w:qFormat/>
    <w:rsid w:val="00B40E26"/>
    <w:rPr>
      <w:i/>
      <w:iCs/>
    </w:rPr>
  </w:style>
  <w:style w:type="character" w:styleId="Nierozpoznanawzmianka">
    <w:name w:val="Unresolved Mention"/>
    <w:uiPriority w:val="99"/>
    <w:semiHidden/>
    <w:unhideWhenUsed/>
    <w:rsid w:val="00B40E26"/>
    <w:rPr>
      <w:color w:val="605E5C"/>
      <w:shd w:val="clear" w:color="auto" w:fill="E1DFDD"/>
    </w:rPr>
  </w:style>
  <w:style w:type="table" w:customStyle="1" w:styleId="Tabela-Siatka3">
    <w:name w:val="Tabela - Siatka3"/>
    <w:basedOn w:val="Standardowy"/>
    <w:next w:val="Tabela-Siatka"/>
    <w:uiPriority w:val="39"/>
    <w:rsid w:val="00B40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5">
    <w:name w:val="Grid Table 5 Dark Accent 5"/>
    <w:basedOn w:val="Standardowy"/>
    <w:uiPriority w:val="50"/>
    <w:rsid w:val="00B40E26"/>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Mapadokumentu">
    <w:name w:val="Document Map"/>
    <w:basedOn w:val="Normalny"/>
    <w:link w:val="MapadokumentuZnak2"/>
    <w:uiPriority w:val="99"/>
    <w:semiHidden/>
    <w:unhideWhenUsed/>
    <w:rsid w:val="00B40E26"/>
    <w:pPr>
      <w:spacing w:after="0" w:line="240" w:lineRule="auto"/>
    </w:pPr>
    <w:rPr>
      <w:rFonts w:ascii="Segoe UI" w:hAnsi="Segoe UI" w:cs="Segoe UI"/>
      <w:sz w:val="16"/>
      <w:szCs w:val="16"/>
    </w:rPr>
  </w:style>
  <w:style w:type="character" w:customStyle="1" w:styleId="MapadokumentuZnak2">
    <w:name w:val="Mapa dokumentu Znak2"/>
    <w:basedOn w:val="Domylnaczcionkaakapitu"/>
    <w:link w:val="Mapadokumentu"/>
    <w:uiPriority w:val="99"/>
    <w:semiHidden/>
    <w:rsid w:val="00B40E26"/>
    <w:rPr>
      <w:rFonts w:ascii="Segoe UI" w:hAnsi="Segoe UI" w:cs="Segoe UI"/>
      <w:sz w:val="16"/>
      <w:szCs w:val="16"/>
    </w:rPr>
  </w:style>
  <w:style w:type="character" w:customStyle="1" w:styleId="Styl3Znak">
    <w:name w:val="Styl3 Znak"/>
    <w:basedOn w:val="Domylnaczcionkaakapitu"/>
    <w:link w:val="Styl3"/>
    <w:locked/>
    <w:rsid w:val="003E4616"/>
    <w:rPr>
      <w:rFonts w:cstheme="minorHAnsi"/>
      <w:b/>
      <w:bCs/>
      <w:sz w:val="24"/>
      <w:szCs w:val="24"/>
    </w:rPr>
  </w:style>
  <w:style w:type="paragraph" w:customStyle="1" w:styleId="Styl3">
    <w:name w:val="Styl3"/>
    <w:basedOn w:val="Styl1"/>
    <w:link w:val="Styl3Znak"/>
    <w:qFormat/>
    <w:rsid w:val="003E4616"/>
    <w:pPr>
      <w:keepNext/>
      <w:spacing w:before="0" w:after="0" w:line="240" w:lineRule="auto"/>
      <w:ind w:left="720" w:hanging="360"/>
      <w:outlineLvl w:val="2"/>
    </w:pPr>
    <w:rPr>
      <w:rFonts w:cstheme="minorHAnsi"/>
      <w:b/>
      <w:bCs/>
    </w:rPr>
  </w:style>
  <w:style w:type="character" w:customStyle="1" w:styleId="WW8Num2z0">
    <w:name w:val="WW8Num2z0"/>
    <w:rsid w:val="00014D0A"/>
    <w:rPr>
      <w:rFonts w:ascii="Wingdings" w:hAnsi="Wingdings"/>
    </w:rPr>
  </w:style>
  <w:style w:type="character" w:customStyle="1" w:styleId="WW8Num4z0">
    <w:name w:val="WW8Num4z0"/>
    <w:rsid w:val="00014D0A"/>
    <w:rPr>
      <w:rFonts w:ascii="Symbol" w:hAnsi="Symbol"/>
    </w:rPr>
  </w:style>
  <w:style w:type="character" w:customStyle="1" w:styleId="WW8Num5z0">
    <w:name w:val="WW8Num5z0"/>
    <w:rsid w:val="00014D0A"/>
    <w:rPr>
      <w:rFonts w:ascii="Symbol" w:hAnsi="Symbol"/>
    </w:rPr>
  </w:style>
  <w:style w:type="character" w:customStyle="1" w:styleId="WW8Num6z0">
    <w:name w:val="WW8Num6z0"/>
    <w:rsid w:val="00014D0A"/>
    <w:rPr>
      <w:rFonts w:ascii="Symbol" w:hAnsi="Symbol"/>
    </w:rPr>
  </w:style>
  <w:style w:type="character" w:customStyle="1" w:styleId="WW8Num8z0">
    <w:name w:val="WW8Num8z0"/>
    <w:rsid w:val="00014D0A"/>
    <w:rPr>
      <w:rFonts w:ascii="Symbol" w:hAnsi="Symbol"/>
    </w:rPr>
  </w:style>
  <w:style w:type="character" w:customStyle="1" w:styleId="WW8Num9z0">
    <w:name w:val="WW8Num9z0"/>
    <w:rsid w:val="00014D0A"/>
    <w:rPr>
      <w:rFonts w:ascii="Symbol" w:hAnsi="Symbol"/>
    </w:rPr>
  </w:style>
  <w:style w:type="character" w:customStyle="1" w:styleId="WW8Num10z0">
    <w:name w:val="WW8Num10z0"/>
    <w:rsid w:val="00014D0A"/>
    <w:rPr>
      <w:rFonts w:ascii="Symbol" w:hAnsi="Symbol"/>
    </w:rPr>
  </w:style>
  <w:style w:type="character" w:customStyle="1" w:styleId="WW8Num11z0">
    <w:name w:val="WW8Num11z0"/>
    <w:rsid w:val="00014D0A"/>
    <w:rPr>
      <w:rFonts w:ascii="Wingdings" w:hAnsi="Wingdings"/>
    </w:rPr>
  </w:style>
  <w:style w:type="character" w:customStyle="1" w:styleId="Domylnaczcionkaakapitu2">
    <w:name w:val="Domyślna czcionka akapitu2"/>
    <w:rsid w:val="00014D0A"/>
  </w:style>
  <w:style w:type="character" w:customStyle="1" w:styleId="Absatz-Standardschriftart">
    <w:name w:val="Absatz-Standardschriftart"/>
    <w:rsid w:val="00014D0A"/>
  </w:style>
  <w:style w:type="character" w:customStyle="1" w:styleId="WW-Absatz-Standardschriftart">
    <w:name w:val="WW-Absatz-Standardschriftart"/>
    <w:rsid w:val="00014D0A"/>
  </w:style>
  <w:style w:type="character" w:customStyle="1" w:styleId="WW8Num1z0">
    <w:name w:val="WW8Num1z0"/>
    <w:rsid w:val="00014D0A"/>
    <w:rPr>
      <w:rFonts w:ascii="Wingdings" w:hAnsi="Wingdings"/>
    </w:rPr>
  </w:style>
  <w:style w:type="character" w:customStyle="1" w:styleId="WW8Num3z1">
    <w:name w:val="WW8Num3z1"/>
    <w:rsid w:val="00014D0A"/>
    <w:rPr>
      <w:rFonts w:ascii="Courier New" w:hAnsi="Courier New" w:cs="Courier New"/>
    </w:rPr>
  </w:style>
  <w:style w:type="character" w:customStyle="1" w:styleId="WW8Num3z2">
    <w:name w:val="WW8Num3z2"/>
    <w:rsid w:val="00014D0A"/>
    <w:rPr>
      <w:rFonts w:ascii="Wingdings" w:hAnsi="Wingdings"/>
    </w:rPr>
  </w:style>
  <w:style w:type="character" w:customStyle="1" w:styleId="WW8Num4z1">
    <w:name w:val="WW8Num4z1"/>
    <w:rsid w:val="00014D0A"/>
    <w:rPr>
      <w:rFonts w:ascii="Courier New" w:hAnsi="Courier New" w:cs="Courier New"/>
    </w:rPr>
  </w:style>
  <w:style w:type="character" w:customStyle="1" w:styleId="WW8Num4z2">
    <w:name w:val="WW8Num4z2"/>
    <w:rsid w:val="00014D0A"/>
    <w:rPr>
      <w:rFonts w:ascii="Wingdings" w:hAnsi="Wingdings"/>
    </w:rPr>
  </w:style>
  <w:style w:type="character" w:customStyle="1" w:styleId="WW8Num5z2">
    <w:name w:val="WW8Num5z2"/>
    <w:rsid w:val="00014D0A"/>
    <w:rPr>
      <w:rFonts w:ascii="Wingdings" w:hAnsi="Wingdings"/>
    </w:rPr>
  </w:style>
  <w:style w:type="character" w:customStyle="1" w:styleId="WW8Num5z4">
    <w:name w:val="WW8Num5z4"/>
    <w:rsid w:val="00014D0A"/>
    <w:rPr>
      <w:rFonts w:ascii="Courier New" w:hAnsi="Courier New" w:cs="Courier New"/>
    </w:rPr>
  </w:style>
  <w:style w:type="character" w:customStyle="1" w:styleId="WW8Num6z1">
    <w:name w:val="WW8Num6z1"/>
    <w:rsid w:val="00014D0A"/>
    <w:rPr>
      <w:rFonts w:ascii="Courier New" w:hAnsi="Courier New" w:cs="Courier New"/>
    </w:rPr>
  </w:style>
  <w:style w:type="character" w:customStyle="1" w:styleId="WW8Num6z2">
    <w:name w:val="WW8Num6z2"/>
    <w:rsid w:val="00014D0A"/>
    <w:rPr>
      <w:rFonts w:ascii="Wingdings" w:hAnsi="Wingdings"/>
    </w:rPr>
  </w:style>
  <w:style w:type="character" w:customStyle="1" w:styleId="WW8Num7z0">
    <w:name w:val="WW8Num7z0"/>
    <w:rsid w:val="00014D0A"/>
    <w:rPr>
      <w:rFonts w:ascii="Symbol" w:hAnsi="Symbol"/>
    </w:rPr>
  </w:style>
  <w:style w:type="character" w:customStyle="1" w:styleId="WW8Num7z2">
    <w:name w:val="WW8Num7z2"/>
    <w:rsid w:val="00014D0A"/>
    <w:rPr>
      <w:rFonts w:ascii="Wingdings" w:hAnsi="Wingdings"/>
    </w:rPr>
  </w:style>
  <w:style w:type="character" w:customStyle="1" w:styleId="WW8Num7z4">
    <w:name w:val="WW8Num7z4"/>
    <w:rsid w:val="00014D0A"/>
    <w:rPr>
      <w:rFonts w:ascii="Courier New" w:hAnsi="Courier New" w:cs="Courier New"/>
    </w:rPr>
  </w:style>
  <w:style w:type="character" w:customStyle="1" w:styleId="WW8Num8z1">
    <w:name w:val="WW8Num8z1"/>
    <w:rsid w:val="00014D0A"/>
    <w:rPr>
      <w:rFonts w:ascii="Courier New" w:hAnsi="Courier New" w:cs="Courier New"/>
    </w:rPr>
  </w:style>
  <w:style w:type="character" w:customStyle="1" w:styleId="WW8Num8z2">
    <w:name w:val="WW8Num8z2"/>
    <w:rsid w:val="00014D0A"/>
    <w:rPr>
      <w:rFonts w:ascii="Wingdings" w:hAnsi="Wingdings"/>
    </w:rPr>
  </w:style>
  <w:style w:type="character" w:customStyle="1" w:styleId="WW8Num10z1">
    <w:name w:val="WW8Num10z1"/>
    <w:rsid w:val="00014D0A"/>
    <w:rPr>
      <w:rFonts w:ascii="Courier New" w:hAnsi="Courier New" w:cs="Courier New"/>
    </w:rPr>
  </w:style>
  <w:style w:type="character" w:customStyle="1" w:styleId="WW8Num10z2">
    <w:name w:val="WW8Num10z2"/>
    <w:rsid w:val="00014D0A"/>
    <w:rPr>
      <w:rFonts w:ascii="Wingdings" w:hAnsi="Wingdings"/>
    </w:rPr>
  </w:style>
  <w:style w:type="character" w:customStyle="1" w:styleId="WW8Num11z3">
    <w:name w:val="WW8Num11z3"/>
    <w:rsid w:val="00014D0A"/>
    <w:rPr>
      <w:rFonts w:ascii="Symbol" w:hAnsi="Symbol"/>
    </w:rPr>
  </w:style>
  <w:style w:type="character" w:customStyle="1" w:styleId="WW8Num11z4">
    <w:name w:val="WW8Num11z4"/>
    <w:rsid w:val="00014D0A"/>
    <w:rPr>
      <w:rFonts w:ascii="Courier New" w:hAnsi="Courier New" w:cs="Courier New"/>
    </w:rPr>
  </w:style>
  <w:style w:type="character" w:customStyle="1" w:styleId="WW8Num12z0">
    <w:name w:val="WW8Num12z0"/>
    <w:rsid w:val="00014D0A"/>
    <w:rPr>
      <w:rFonts w:ascii="Symbol" w:hAnsi="Symbol"/>
    </w:rPr>
  </w:style>
  <w:style w:type="character" w:customStyle="1" w:styleId="WW8Num12z2">
    <w:name w:val="WW8Num12z2"/>
    <w:rsid w:val="00014D0A"/>
    <w:rPr>
      <w:rFonts w:ascii="Wingdings" w:hAnsi="Wingdings"/>
    </w:rPr>
  </w:style>
  <w:style w:type="character" w:customStyle="1" w:styleId="WW8Num12z4">
    <w:name w:val="WW8Num12z4"/>
    <w:rsid w:val="00014D0A"/>
    <w:rPr>
      <w:rFonts w:ascii="Courier New" w:hAnsi="Courier New" w:cs="Courier New"/>
    </w:rPr>
  </w:style>
  <w:style w:type="character" w:customStyle="1" w:styleId="WW8Num13z0">
    <w:name w:val="WW8Num13z0"/>
    <w:rsid w:val="00014D0A"/>
    <w:rPr>
      <w:rFonts w:ascii="Symbol" w:hAnsi="Symbol"/>
    </w:rPr>
  </w:style>
  <w:style w:type="character" w:customStyle="1" w:styleId="WW8Num13z1">
    <w:name w:val="WW8Num13z1"/>
    <w:rsid w:val="00014D0A"/>
    <w:rPr>
      <w:rFonts w:ascii="Courier New" w:hAnsi="Courier New" w:cs="Courier New"/>
    </w:rPr>
  </w:style>
  <w:style w:type="character" w:customStyle="1" w:styleId="WW8Num13z2">
    <w:name w:val="WW8Num13z2"/>
    <w:rsid w:val="00014D0A"/>
    <w:rPr>
      <w:rFonts w:ascii="Wingdings" w:hAnsi="Wingdings"/>
    </w:rPr>
  </w:style>
  <w:style w:type="character" w:customStyle="1" w:styleId="WW8Num14z0">
    <w:name w:val="WW8Num14z0"/>
    <w:rsid w:val="00014D0A"/>
    <w:rPr>
      <w:rFonts w:ascii="Symbol" w:hAnsi="Symbol"/>
    </w:rPr>
  </w:style>
  <w:style w:type="character" w:customStyle="1" w:styleId="WW8Num14z2">
    <w:name w:val="WW8Num14z2"/>
    <w:rsid w:val="00014D0A"/>
    <w:rPr>
      <w:rFonts w:ascii="Wingdings" w:hAnsi="Wingdings"/>
    </w:rPr>
  </w:style>
  <w:style w:type="character" w:customStyle="1" w:styleId="WW8Num14z4">
    <w:name w:val="WW8Num14z4"/>
    <w:rsid w:val="00014D0A"/>
    <w:rPr>
      <w:rFonts w:ascii="Courier New" w:hAnsi="Courier New" w:cs="Courier New"/>
    </w:rPr>
  </w:style>
  <w:style w:type="character" w:customStyle="1" w:styleId="WW8Num15z0">
    <w:name w:val="WW8Num15z0"/>
    <w:rsid w:val="00014D0A"/>
    <w:rPr>
      <w:rFonts w:ascii="Symbol" w:hAnsi="Symbol"/>
    </w:rPr>
  </w:style>
  <w:style w:type="character" w:customStyle="1" w:styleId="WW8Num15z1">
    <w:name w:val="WW8Num15z1"/>
    <w:rsid w:val="00014D0A"/>
    <w:rPr>
      <w:rFonts w:ascii="Courier New" w:hAnsi="Courier New" w:cs="Courier New"/>
    </w:rPr>
  </w:style>
  <w:style w:type="character" w:customStyle="1" w:styleId="WW8Num15z2">
    <w:name w:val="WW8Num15z2"/>
    <w:rsid w:val="00014D0A"/>
    <w:rPr>
      <w:rFonts w:ascii="Wingdings" w:hAnsi="Wingdings"/>
    </w:rPr>
  </w:style>
  <w:style w:type="character" w:customStyle="1" w:styleId="WW8Num16z0">
    <w:name w:val="WW8Num16z0"/>
    <w:rsid w:val="00014D0A"/>
    <w:rPr>
      <w:rFonts w:ascii="Symbol" w:hAnsi="Symbol"/>
    </w:rPr>
  </w:style>
  <w:style w:type="character" w:customStyle="1" w:styleId="WW8Num16z1">
    <w:name w:val="WW8Num16z1"/>
    <w:rsid w:val="00014D0A"/>
    <w:rPr>
      <w:rFonts w:ascii="Courier New" w:hAnsi="Courier New" w:cs="Courier New"/>
    </w:rPr>
  </w:style>
  <w:style w:type="character" w:customStyle="1" w:styleId="WW8Num16z2">
    <w:name w:val="WW8Num16z2"/>
    <w:rsid w:val="00014D0A"/>
    <w:rPr>
      <w:rFonts w:ascii="Wingdings" w:hAnsi="Wingdings"/>
    </w:rPr>
  </w:style>
  <w:style w:type="character" w:customStyle="1" w:styleId="WW8Num17z0">
    <w:name w:val="WW8Num17z0"/>
    <w:rsid w:val="00014D0A"/>
    <w:rPr>
      <w:rFonts w:ascii="Symbol" w:hAnsi="Symbol"/>
    </w:rPr>
  </w:style>
  <w:style w:type="character" w:customStyle="1" w:styleId="WW8Num17z1">
    <w:name w:val="WW8Num17z1"/>
    <w:rsid w:val="00014D0A"/>
    <w:rPr>
      <w:rFonts w:ascii="Courier New" w:hAnsi="Courier New" w:cs="Courier New"/>
    </w:rPr>
  </w:style>
  <w:style w:type="character" w:customStyle="1" w:styleId="WW8Num17z2">
    <w:name w:val="WW8Num17z2"/>
    <w:rsid w:val="00014D0A"/>
    <w:rPr>
      <w:rFonts w:ascii="Wingdings" w:hAnsi="Wingdings"/>
    </w:rPr>
  </w:style>
  <w:style w:type="character" w:customStyle="1" w:styleId="WW8Num18z0">
    <w:name w:val="WW8Num18z0"/>
    <w:rsid w:val="00014D0A"/>
    <w:rPr>
      <w:rFonts w:ascii="Symbol" w:hAnsi="Symbol"/>
    </w:rPr>
  </w:style>
  <w:style w:type="character" w:customStyle="1" w:styleId="WW8Num18z1">
    <w:name w:val="WW8Num18z1"/>
    <w:rsid w:val="00014D0A"/>
    <w:rPr>
      <w:rFonts w:ascii="Courier New" w:hAnsi="Courier New" w:cs="Courier New"/>
    </w:rPr>
  </w:style>
  <w:style w:type="character" w:customStyle="1" w:styleId="WW8Num18z2">
    <w:name w:val="WW8Num18z2"/>
    <w:rsid w:val="00014D0A"/>
    <w:rPr>
      <w:rFonts w:ascii="Wingdings" w:hAnsi="Wingdings"/>
    </w:rPr>
  </w:style>
  <w:style w:type="character" w:customStyle="1" w:styleId="WW8Num19z0">
    <w:name w:val="WW8Num19z0"/>
    <w:rsid w:val="00014D0A"/>
    <w:rPr>
      <w:rFonts w:ascii="Symbol" w:hAnsi="Symbol"/>
    </w:rPr>
  </w:style>
  <w:style w:type="character" w:customStyle="1" w:styleId="WW8Num19z1">
    <w:name w:val="WW8Num19z1"/>
    <w:rsid w:val="00014D0A"/>
    <w:rPr>
      <w:rFonts w:ascii="Courier New" w:hAnsi="Courier New" w:cs="Courier New"/>
    </w:rPr>
  </w:style>
  <w:style w:type="character" w:customStyle="1" w:styleId="WW8Num19z2">
    <w:name w:val="WW8Num19z2"/>
    <w:rsid w:val="00014D0A"/>
    <w:rPr>
      <w:rFonts w:ascii="Wingdings" w:hAnsi="Wingdings"/>
    </w:rPr>
  </w:style>
  <w:style w:type="character" w:customStyle="1" w:styleId="WW8Num20z0">
    <w:name w:val="WW8Num20z0"/>
    <w:rsid w:val="00014D0A"/>
    <w:rPr>
      <w:rFonts w:ascii="Symbol" w:hAnsi="Symbol"/>
    </w:rPr>
  </w:style>
  <w:style w:type="character" w:customStyle="1" w:styleId="WW8Num20z1">
    <w:name w:val="WW8Num20z1"/>
    <w:rsid w:val="00014D0A"/>
    <w:rPr>
      <w:rFonts w:ascii="Courier New" w:hAnsi="Courier New" w:cs="Courier New"/>
    </w:rPr>
  </w:style>
  <w:style w:type="character" w:customStyle="1" w:styleId="WW8Num20z2">
    <w:name w:val="WW8Num20z2"/>
    <w:rsid w:val="00014D0A"/>
    <w:rPr>
      <w:rFonts w:ascii="Wingdings" w:hAnsi="Wingdings"/>
    </w:rPr>
  </w:style>
  <w:style w:type="character" w:customStyle="1" w:styleId="WW8Num21z0">
    <w:name w:val="WW8Num21z0"/>
    <w:rsid w:val="00014D0A"/>
    <w:rPr>
      <w:rFonts w:ascii="Symbol" w:hAnsi="Symbol"/>
    </w:rPr>
  </w:style>
  <w:style w:type="character" w:customStyle="1" w:styleId="WW8Num21z1">
    <w:name w:val="WW8Num21z1"/>
    <w:rsid w:val="00014D0A"/>
    <w:rPr>
      <w:rFonts w:ascii="Courier New" w:hAnsi="Courier New" w:cs="Courier New"/>
    </w:rPr>
  </w:style>
  <w:style w:type="character" w:customStyle="1" w:styleId="WW8Num21z2">
    <w:name w:val="WW8Num21z2"/>
    <w:rsid w:val="00014D0A"/>
    <w:rPr>
      <w:rFonts w:ascii="Wingdings" w:hAnsi="Wingdings"/>
    </w:rPr>
  </w:style>
  <w:style w:type="character" w:customStyle="1" w:styleId="WW8Num22z0">
    <w:name w:val="WW8Num22z0"/>
    <w:rsid w:val="00014D0A"/>
    <w:rPr>
      <w:rFonts w:ascii="Symbol" w:hAnsi="Symbol"/>
    </w:rPr>
  </w:style>
  <w:style w:type="character" w:customStyle="1" w:styleId="WW8Num22z1">
    <w:name w:val="WW8Num22z1"/>
    <w:rsid w:val="00014D0A"/>
    <w:rPr>
      <w:rFonts w:ascii="Courier New" w:hAnsi="Courier New" w:cs="Courier New"/>
    </w:rPr>
  </w:style>
  <w:style w:type="character" w:customStyle="1" w:styleId="WW8Num22z2">
    <w:name w:val="WW8Num22z2"/>
    <w:rsid w:val="00014D0A"/>
    <w:rPr>
      <w:rFonts w:ascii="Wingdings" w:hAnsi="Wingdings"/>
    </w:rPr>
  </w:style>
  <w:style w:type="character" w:customStyle="1" w:styleId="WW8Num23z0">
    <w:name w:val="WW8Num23z0"/>
    <w:rsid w:val="00014D0A"/>
    <w:rPr>
      <w:rFonts w:ascii="Symbol" w:hAnsi="Symbol"/>
    </w:rPr>
  </w:style>
  <w:style w:type="character" w:customStyle="1" w:styleId="WW8Num23z1">
    <w:name w:val="WW8Num23z1"/>
    <w:rsid w:val="00014D0A"/>
    <w:rPr>
      <w:rFonts w:ascii="Courier New" w:hAnsi="Courier New" w:cs="Courier New"/>
    </w:rPr>
  </w:style>
  <w:style w:type="character" w:customStyle="1" w:styleId="WW8Num23z2">
    <w:name w:val="WW8Num23z2"/>
    <w:rsid w:val="00014D0A"/>
    <w:rPr>
      <w:rFonts w:ascii="Wingdings" w:hAnsi="Wingdings"/>
    </w:rPr>
  </w:style>
  <w:style w:type="character" w:customStyle="1" w:styleId="WW8Num24z0">
    <w:name w:val="WW8Num24z0"/>
    <w:rsid w:val="00014D0A"/>
    <w:rPr>
      <w:rFonts w:ascii="Symbol" w:hAnsi="Symbol"/>
    </w:rPr>
  </w:style>
  <w:style w:type="character" w:customStyle="1" w:styleId="WW8Num24z1">
    <w:name w:val="WW8Num24z1"/>
    <w:rsid w:val="00014D0A"/>
    <w:rPr>
      <w:rFonts w:ascii="Courier New" w:hAnsi="Courier New" w:cs="Courier New"/>
    </w:rPr>
  </w:style>
  <w:style w:type="character" w:customStyle="1" w:styleId="WW8Num24z2">
    <w:name w:val="WW8Num24z2"/>
    <w:rsid w:val="00014D0A"/>
    <w:rPr>
      <w:rFonts w:ascii="Wingdings" w:hAnsi="Wingdings"/>
    </w:rPr>
  </w:style>
  <w:style w:type="character" w:customStyle="1" w:styleId="WW8Num25z0">
    <w:name w:val="WW8Num25z0"/>
    <w:rsid w:val="00014D0A"/>
    <w:rPr>
      <w:rFonts w:ascii="Symbol" w:hAnsi="Symbol"/>
    </w:rPr>
  </w:style>
  <w:style w:type="character" w:customStyle="1" w:styleId="WW8Num25z2">
    <w:name w:val="WW8Num25z2"/>
    <w:rsid w:val="00014D0A"/>
    <w:rPr>
      <w:rFonts w:ascii="Wingdings" w:hAnsi="Wingdings"/>
    </w:rPr>
  </w:style>
  <w:style w:type="character" w:customStyle="1" w:styleId="WW8Num25z4">
    <w:name w:val="WW8Num25z4"/>
    <w:rsid w:val="00014D0A"/>
    <w:rPr>
      <w:rFonts w:ascii="Courier New" w:hAnsi="Courier New" w:cs="Courier New"/>
    </w:rPr>
  </w:style>
  <w:style w:type="character" w:customStyle="1" w:styleId="WW8Num27z0">
    <w:name w:val="WW8Num27z0"/>
    <w:rsid w:val="00014D0A"/>
    <w:rPr>
      <w:rFonts w:ascii="Symbol" w:hAnsi="Symbol"/>
    </w:rPr>
  </w:style>
  <w:style w:type="character" w:customStyle="1" w:styleId="WW8Num27z1">
    <w:name w:val="WW8Num27z1"/>
    <w:rsid w:val="00014D0A"/>
    <w:rPr>
      <w:rFonts w:ascii="Courier New" w:hAnsi="Courier New" w:cs="Courier New"/>
    </w:rPr>
  </w:style>
  <w:style w:type="character" w:customStyle="1" w:styleId="WW8Num27z2">
    <w:name w:val="WW8Num27z2"/>
    <w:rsid w:val="00014D0A"/>
    <w:rPr>
      <w:rFonts w:ascii="Wingdings" w:hAnsi="Wingdings"/>
    </w:rPr>
  </w:style>
  <w:style w:type="character" w:customStyle="1" w:styleId="WW8Num28z0">
    <w:name w:val="WW8Num28z0"/>
    <w:rsid w:val="00014D0A"/>
    <w:rPr>
      <w:rFonts w:ascii="Symbol" w:hAnsi="Symbol"/>
    </w:rPr>
  </w:style>
  <w:style w:type="character" w:customStyle="1" w:styleId="WW8Num28z1">
    <w:name w:val="WW8Num28z1"/>
    <w:rsid w:val="00014D0A"/>
    <w:rPr>
      <w:rFonts w:ascii="Courier New" w:hAnsi="Courier New" w:cs="Courier New"/>
    </w:rPr>
  </w:style>
  <w:style w:type="character" w:customStyle="1" w:styleId="WW8Num28z2">
    <w:name w:val="WW8Num28z2"/>
    <w:rsid w:val="00014D0A"/>
    <w:rPr>
      <w:rFonts w:ascii="Wingdings" w:hAnsi="Wingdings"/>
    </w:rPr>
  </w:style>
  <w:style w:type="character" w:customStyle="1" w:styleId="WW8Num29z0">
    <w:name w:val="WW8Num29z0"/>
    <w:rsid w:val="00014D0A"/>
    <w:rPr>
      <w:rFonts w:ascii="Arial" w:hAnsi="Arial"/>
    </w:rPr>
  </w:style>
  <w:style w:type="character" w:customStyle="1" w:styleId="WW8Num30z0">
    <w:name w:val="WW8Num30z0"/>
    <w:rsid w:val="00014D0A"/>
    <w:rPr>
      <w:rFonts w:ascii="Symbol" w:hAnsi="Symbol"/>
    </w:rPr>
  </w:style>
  <w:style w:type="character" w:customStyle="1" w:styleId="WW8Num30z2">
    <w:name w:val="WW8Num30z2"/>
    <w:rsid w:val="00014D0A"/>
    <w:rPr>
      <w:rFonts w:ascii="Wingdings" w:hAnsi="Wingdings"/>
    </w:rPr>
  </w:style>
  <w:style w:type="character" w:customStyle="1" w:styleId="WW8Num30z4">
    <w:name w:val="WW8Num30z4"/>
    <w:rsid w:val="00014D0A"/>
    <w:rPr>
      <w:rFonts w:ascii="Courier New" w:hAnsi="Courier New" w:cs="Courier New"/>
    </w:rPr>
  </w:style>
  <w:style w:type="character" w:customStyle="1" w:styleId="WW8Num31z0">
    <w:name w:val="WW8Num31z0"/>
    <w:rsid w:val="00014D0A"/>
    <w:rPr>
      <w:rFonts w:ascii="Arial" w:hAnsi="Arial"/>
    </w:rPr>
  </w:style>
  <w:style w:type="character" w:customStyle="1" w:styleId="WW8Num32z0">
    <w:name w:val="WW8Num32z0"/>
    <w:rsid w:val="00014D0A"/>
    <w:rPr>
      <w:rFonts w:ascii="Symbol" w:hAnsi="Symbol"/>
    </w:rPr>
  </w:style>
  <w:style w:type="character" w:customStyle="1" w:styleId="WW8Num32z2">
    <w:name w:val="WW8Num32z2"/>
    <w:rsid w:val="00014D0A"/>
    <w:rPr>
      <w:rFonts w:ascii="Wingdings" w:hAnsi="Wingdings"/>
    </w:rPr>
  </w:style>
  <w:style w:type="character" w:customStyle="1" w:styleId="WW8Num32z4">
    <w:name w:val="WW8Num32z4"/>
    <w:rsid w:val="00014D0A"/>
    <w:rPr>
      <w:rFonts w:ascii="Courier New" w:hAnsi="Courier New" w:cs="Courier New"/>
    </w:rPr>
  </w:style>
  <w:style w:type="character" w:customStyle="1" w:styleId="WW8Num33z0">
    <w:name w:val="WW8Num33z0"/>
    <w:rsid w:val="00014D0A"/>
    <w:rPr>
      <w:rFonts w:ascii="Symbol" w:hAnsi="Symbol"/>
    </w:rPr>
  </w:style>
  <w:style w:type="character" w:customStyle="1" w:styleId="WW8Num33z1">
    <w:name w:val="WW8Num33z1"/>
    <w:rsid w:val="00014D0A"/>
    <w:rPr>
      <w:rFonts w:ascii="Courier New" w:hAnsi="Courier New" w:cs="Courier New"/>
    </w:rPr>
  </w:style>
  <w:style w:type="character" w:customStyle="1" w:styleId="WW8Num33z2">
    <w:name w:val="WW8Num33z2"/>
    <w:rsid w:val="00014D0A"/>
    <w:rPr>
      <w:rFonts w:ascii="Wingdings" w:hAnsi="Wingdings"/>
    </w:rPr>
  </w:style>
  <w:style w:type="character" w:customStyle="1" w:styleId="WW8Num34z0">
    <w:name w:val="WW8Num34z0"/>
    <w:rsid w:val="00014D0A"/>
    <w:rPr>
      <w:rFonts w:ascii="Symbol" w:hAnsi="Symbol"/>
    </w:rPr>
  </w:style>
  <w:style w:type="character" w:customStyle="1" w:styleId="WW8Num34z1">
    <w:name w:val="WW8Num34z1"/>
    <w:rsid w:val="00014D0A"/>
    <w:rPr>
      <w:rFonts w:ascii="Courier New" w:hAnsi="Courier New" w:cs="Courier New"/>
    </w:rPr>
  </w:style>
  <w:style w:type="character" w:customStyle="1" w:styleId="WW8Num34z2">
    <w:name w:val="WW8Num34z2"/>
    <w:rsid w:val="00014D0A"/>
    <w:rPr>
      <w:rFonts w:ascii="Wingdings" w:hAnsi="Wingdings"/>
    </w:rPr>
  </w:style>
  <w:style w:type="character" w:customStyle="1" w:styleId="WW8Num35z0">
    <w:name w:val="WW8Num35z0"/>
    <w:rsid w:val="00014D0A"/>
    <w:rPr>
      <w:rFonts w:ascii="Symbol" w:hAnsi="Symbol"/>
    </w:rPr>
  </w:style>
  <w:style w:type="character" w:customStyle="1" w:styleId="WW8Num35z1">
    <w:name w:val="WW8Num35z1"/>
    <w:rsid w:val="00014D0A"/>
    <w:rPr>
      <w:rFonts w:ascii="Courier New" w:hAnsi="Courier New" w:cs="Courier New"/>
    </w:rPr>
  </w:style>
  <w:style w:type="character" w:customStyle="1" w:styleId="WW8Num35z2">
    <w:name w:val="WW8Num35z2"/>
    <w:rsid w:val="00014D0A"/>
    <w:rPr>
      <w:rFonts w:ascii="Wingdings" w:hAnsi="Wingdings"/>
    </w:rPr>
  </w:style>
  <w:style w:type="character" w:customStyle="1" w:styleId="WW8Num36z0">
    <w:name w:val="WW8Num36z0"/>
    <w:rsid w:val="00014D0A"/>
    <w:rPr>
      <w:rFonts w:ascii="Symbol" w:hAnsi="Symbol"/>
    </w:rPr>
  </w:style>
  <w:style w:type="character" w:customStyle="1" w:styleId="WW8Num36z1">
    <w:name w:val="WW8Num36z1"/>
    <w:rsid w:val="00014D0A"/>
    <w:rPr>
      <w:rFonts w:ascii="Courier New" w:hAnsi="Courier New" w:cs="Courier New"/>
    </w:rPr>
  </w:style>
  <w:style w:type="character" w:customStyle="1" w:styleId="WW8Num36z2">
    <w:name w:val="WW8Num36z2"/>
    <w:rsid w:val="00014D0A"/>
    <w:rPr>
      <w:rFonts w:ascii="Wingdings" w:hAnsi="Wingdings"/>
    </w:rPr>
  </w:style>
  <w:style w:type="character" w:customStyle="1" w:styleId="WW8Num37z0">
    <w:name w:val="WW8Num37z0"/>
    <w:rsid w:val="00014D0A"/>
    <w:rPr>
      <w:rFonts w:ascii="Symbol" w:hAnsi="Symbol"/>
    </w:rPr>
  </w:style>
  <w:style w:type="character" w:customStyle="1" w:styleId="WW8Num37z1">
    <w:name w:val="WW8Num37z1"/>
    <w:rsid w:val="00014D0A"/>
    <w:rPr>
      <w:rFonts w:ascii="Courier New" w:hAnsi="Courier New" w:cs="Courier New"/>
    </w:rPr>
  </w:style>
  <w:style w:type="character" w:customStyle="1" w:styleId="WW8Num37z2">
    <w:name w:val="WW8Num37z2"/>
    <w:rsid w:val="00014D0A"/>
    <w:rPr>
      <w:rFonts w:ascii="Wingdings" w:hAnsi="Wingdings"/>
    </w:rPr>
  </w:style>
  <w:style w:type="character" w:customStyle="1" w:styleId="Domylnaczcionkaakapitu1">
    <w:name w:val="Domyślna czcionka akapitu1"/>
    <w:rsid w:val="00014D0A"/>
  </w:style>
  <w:style w:type="character" w:customStyle="1" w:styleId="Znakiprzypiswkocowych">
    <w:name w:val="Znaki przypisów końcowych"/>
    <w:rsid w:val="00014D0A"/>
    <w:rPr>
      <w:vertAlign w:val="superscript"/>
    </w:rPr>
  </w:style>
  <w:style w:type="character" w:customStyle="1" w:styleId="style31">
    <w:name w:val="style31"/>
    <w:rsid w:val="00014D0A"/>
    <w:rPr>
      <w:color w:val="000033"/>
    </w:rPr>
  </w:style>
  <w:style w:type="character" w:customStyle="1" w:styleId="style51">
    <w:name w:val="style51"/>
    <w:rsid w:val="00014D0A"/>
    <w:rPr>
      <w:color w:val="000033"/>
      <w:sz w:val="21"/>
      <w:szCs w:val="21"/>
    </w:rPr>
  </w:style>
  <w:style w:type="character" w:customStyle="1" w:styleId="style41">
    <w:name w:val="style41"/>
    <w:rsid w:val="00014D0A"/>
    <w:rPr>
      <w:sz w:val="21"/>
      <w:szCs w:val="21"/>
    </w:rPr>
  </w:style>
  <w:style w:type="paragraph" w:customStyle="1" w:styleId="Nagwek20">
    <w:name w:val="Nagłówek2"/>
    <w:basedOn w:val="Normalny"/>
    <w:next w:val="Tekstpodstawowy"/>
    <w:rsid w:val="00014D0A"/>
    <w:pPr>
      <w:keepNext/>
      <w:suppressAutoHyphens/>
      <w:spacing w:before="240" w:after="120" w:line="240" w:lineRule="auto"/>
    </w:pPr>
    <w:rPr>
      <w:rFonts w:ascii="Arial" w:eastAsia="Microsoft YaHei" w:hAnsi="Arial" w:cs="Mangal"/>
      <w:sz w:val="28"/>
      <w:szCs w:val="28"/>
      <w:lang w:eastAsia="ar-SA"/>
    </w:rPr>
  </w:style>
  <w:style w:type="paragraph" w:customStyle="1" w:styleId="Podpis2">
    <w:name w:val="Podpis2"/>
    <w:basedOn w:val="Normalny"/>
    <w:rsid w:val="00014D0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rsid w:val="00014D0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Nagwek10">
    <w:name w:val="Nagłówek1"/>
    <w:basedOn w:val="Normalny"/>
    <w:next w:val="Tekstpodstawowy"/>
    <w:rsid w:val="00014D0A"/>
    <w:pPr>
      <w:keepNext/>
      <w:suppressAutoHyphens/>
      <w:spacing w:before="240" w:after="120" w:line="240" w:lineRule="auto"/>
    </w:pPr>
    <w:rPr>
      <w:rFonts w:ascii="Arial" w:eastAsia="Microsoft YaHei" w:hAnsi="Arial" w:cs="Mangal"/>
      <w:sz w:val="28"/>
      <w:szCs w:val="28"/>
      <w:lang w:eastAsia="ar-SA"/>
    </w:rPr>
  </w:style>
  <w:style w:type="paragraph" w:customStyle="1" w:styleId="Podpis1">
    <w:name w:val="Podpis1"/>
    <w:basedOn w:val="Normalny"/>
    <w:rsid w:val="00014D0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Tekstpodstawowy31">
    <w:name w:val="Tekst podstawowy 31"/>
    <w:basedOn w:val="Normalny"/>
    <w:rsid w:val="00014D0A"/>
    <w:pPr>
      <w:suppressAutoHyphens/>
      <w:spacing w:after="0" w:line="380" w:lineRule="atLeast"/>
      <w:jc w:val="both"/>
    </w:pPr>
    <w:rPr>
      <w:rFonts w:ascii="Times New Roman" w:eastAsia="Times New Roman" w:hAnsi="Times New Roman" w:cs="Times New Roman"/>
      <w:sz w:val="24"/>
      <w:szCs w:val="20"/>
      <w:lang w:eastAsia="ar-SA"/>
    </w:rPr>
  </w:style>
  <w:style w:type="paragraph" w:customStyle="1" w:styleId="Domylnie0">
    <w:name w:val="Domy?lnie"/>
    <w:rsid w:val="00014D0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Tahoma" w:hAnsi="Tahoma" w:cs="Times New Roman"/>
      <w:color w:val="000000"/>
      <w:sz w:val="36"/>
      <w:szCs w:val="36"/>
      <w:lang w:eastAsia="ar-SA"/>
    </w:rPr>
  </w:style>
  <w:style w:type="paragraph" w:customStyle="1" w:styleId="Zwykytekst1">
    <w:name w:val="Zwykły tekst1"/>
    <w:basedOn w:val="Normalny"/>
    <w:rsid w:val="00014D0A"/>
    <w:pPr>
      <w:suppressAutoHyphens/>
      <w:spacing w:after="0" w:line="240" w:lineRule="auto"/>
    </w:pPr>
    <w:rPr>
      <w:rFonts w:ascii="Courier New" w:eastAsia="Times New Roman" w:hAnsi="Courier New" w:cs="Times New Roman"/>
      <w:sz w:val="20"/>
      <w:szCs w:val="20"/>
      <w:lang w:eastAsia="ar-SA"/>
    </w:rPr>
  </w:style>
  <w:style w:type="paragraph" w:customStyle="1" w:styleId="Default">
    <w:name w:val="Default"/>
    <w:rsid w:val="00014D0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RTartustawynprozporzdzenia">
    <w:name w:val="ART(§) – art. ustawy (§ np. rozporządzenia)"/>
    <w:uiPriority w:val="99"/>
    <w:rsid w:val="00014D0A"/>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Teksttreci2Kursywa">
    <w:name w:val="Tekst treści (2) + Kursywa"/>
    <w:rsid w:val="00014D0A"/>
    <w:rPr>
      <w:i/>
      <w:iCs/>
      <w:color w:val="000000"/>
      <w:spacing w:val="0"/>
      <w:w w:val="100"/>
      <w:position w:val="0"/>
      <w:sz w:val="24"/>
      <w:szCs w:val="24"/>
      <w:lang w:val="pl-PL" w:eastAsia="pl-PL" w:bidi="ar-SA"/>
    </w:rPr>
  </w:style>
  <w:style w:type="character" w:customStyle="1" w:styleId="markedcontent">
    <w:name w:val="markedcontent"/>
    <w:basedOn w:val="Domylnaczcionkaakapitu"/>
    <w:rsid w:val="00014D0A"/>
  </w:style>
  <w:style w:type="paragraph" w:customStyle="1" w:styleId="StylII11">
    <w:name w:val="Styl II 1.1"/>
    <w:basedOn w:val="Normalny"/>
    <w:link w:val="StylII11Znak"/>
    <w:qFormat/>
    <w:rsid w:val="00165442"/>
    <w:pPr>
      <w:numPr>
        <w:numId w:val="9"/>
      </w:numPr>
      <w:spacing w:after="0" w:line="240" w:lineRule="auto"/>
      <w:ind w:left="1077" w:hanging="357"/>
      <w:contextualSpacing/>
    </w:pPr>
    <w:rPr>
      <w:rFonts w:ascii="Calibri" w:eastAsia="Times New Roman" w:hAnsi="Calibri" w:cs="Times New Roman"/>
      <w:szCs w:val="20"/>
      <w:lang w:eastAsia="pl-PL"/>
    </w:rPr>
  </w:style>
  <w:style w:type="character" w:customStyle="1" w:styleId="StylII11Znak">
    <w:name w:val="Styl II 1.1 Znak"/>
    <w:basedOn w:val="Domylnaczcionkaakapitu"/>
    <w:link w:val="StylII11"/>
    <w:rsid w:val="00165442"/>
    <w:rPr>
      <w:rFonts w:ascii="Calibri" w:eastAsia="Times New Roman" w:hAnsi="Calibri" w:cs="Times New Roman"/>
      <w:szCs w:val="20"/>
      <w:lang w:eastAsia="pl-PL"/>
    </w:rPr>
  </w:style>
  <w:style w:type="character" w:customStyle="1" w:styleId="Styl2Znak">
    <w:name w:val="Styl2 Znak"/>
    <w:basedOn w:val="Domylnaczcionkaakapitu"/>
    <w:rsid w:val="00165442"/>
    <w:rPr>
      <w:rFonts w:ascii="Calibri" w:eastAsia="Times New Roman" w:hAnsi="Calibri" w:cs="Times New Roman"/>
      <w:b/>
      <w:sz w:val="24"/>
      <w:szCs w:val="20"/>
      <w:lang w:eastAsia="pl-PL"/>
    </w:rPr>
  </w:style>
  <w:style w:type="paragraph" w:customStyle="1" w:styleId="Styl6">
    <w:name w:val="Styl6"/>
    <w:basedOn w:val="Normalny"/>
    <w:link w:val="Styl6Znak"/>
    <w:qFormat/>
    <w:rsid w:val="00165442"/>
    <w:pPr>
      <w:keepNext/>
      <w:numPr>
        <w:numId w:val="10"/>
      </w:numPr>
      <w:tabs>
        <w:tab w:val="left" w:pos="357"/>
      </w:tabs>
      <w:spacing w:after="0" w:line="240" w:lineRule="auto"/>
      <w:jc w:val="both"/>
      <w:outlineLvl w:val="2"/>
    </w:pPr>
    <w:rPr>
      <w:rFonts w:eastAsia="Times New Roman" w:cstheme="minorHAnsi"/>
      <w:b/>
      <w:bCs/>
      <w:sz w:val="24"/>
      <w:szCs w:val="24"/>
      <w:lang w:eastAsia="pl-PL"/>
    </w:rPr>
  </w:style>
  <w:style w:type="character" w:customStyle="1" w:styleId="Styl6Znak">
    <w:name w:val="Styl6 Znak"/>
    <w:basedOn w:val="Domylnaczcionkaakapitu"/>
    <w:link w:val="Styl6"/>
    <w:rsid w:val="00165442"/>
    <w:rPr>
      <w:rFonts w:eastAsia="Times New Roman" w:cstheme="minorHAnsi"/>
      <w:b/>
      <w:bCs/>
      <w:sz w:val="24"/>
      <w:szCs w:val="24"/>
      <w:lang w:eastAsia="pl-PL"/>
    </w:rPr>
  </w:style>
  <w:style w:type="numbering" w:customStyle="1" w:styleId="WW8Num62">
    <w:name w:val="WW8Num62"/>
    <w:rsid w:val="00165442"/>
    <w:pPr>
      <w:numPr>
        <w:numId w:val="11"/>
      </w:numPr>
    </w:pPr>
  </w:style>
  <w:style w:type="paragraph" w:customStyle="1" w:styleId="Spis1">
    <w:name w:val="Spis1"/>
    <w:basedOn w:val="Normalny"/>
    <w:qFormat/>
    <w:rsid w:val="00165442"/>
    <w:pPr>
      <w:numPr>
        <w:numId w:val="12"/>
      </w:numPr>
      <w:spacing w:after="0" w:line="240" w:lineRule="auto"/>
      <w:ind w:left="284" w:hanging="284"/>
    </w:pPr>
    <w:rPr>
      <w:rFonts w:ascii="Times New Roman" w:eastAsia="Times New Roman" w:hAnsi="Times New Roman" w:cs="Times New Roman"/>
      <w:b/>
      <w:sz w:val="28"/>
      <w:szCs w:val="28"/>
      <w:lang w:eastAsia="pl-PL"/>
    </w:rPr>
  </w:style>
  <w:style w:type="character" w:customStyle="1" w:styleId="Styl4Znak">
    <w:name w:val="Styl4 Znak"/>
    <w:basedOn w:val="Domylnaczcionkaakapitu"/>
    <w:link w:val="Styl4"/>
    <w:rsid w:val="00C05EA2"/>
    <w:rPr>
      <w:rFonts w:ascii="Arial" w:eastAsia="Times New Roman" w:hAnsi="Arial" w:cs="Times New Roman"/>
      <w:b/>
      <w:szCs w:val="20"/>
      <w:lang w:eastAsia="pl-PL"/>
    </w:rPr>
  </w:style>
  <w:style w:type="paragraph" w:customStyle="1" w:styleId="Znak2Znak">
    <w:name w:val="Znak2 Znak"/>
    <w:basedOn w:val="Normalny"/>
    <w:rsid w:val="00F63FBD"/>
    <w:pPr>
      <w:spacing w:after="0" w:line="240" w:lineRule="auto"/>
    </w:pPr>
    <w:rPr>
      <w:rFonts w:ascii="Times New Roman" w:eastAsia="Times New Roman" w:hAnsi="Times New Roman" w:cs="Times New Roman"/>
      <w:sz w:val="24"/>
      <w:szCs w:val="24"/>
      <w:lang w:eastAsia="pl-PL"/>
    </w:rPr>
  </w:style>
  <w:style w:type="paragraph" w:customStyle="1" w:styleId="Normalny1">
    <w:name w:val="Normalny1"/>
    <w:rsid w:val="00F63FBD"/>
    <w:pPr>
      <w:suppressAutoHyphens/>
      <w:autoSpaceDN w:val="0"/>
      <w:spacing w:after="0" w:line="240" w:lineRule="auto"/>
      <w:textAlignment w:val="baseline"/>
    </w:pPr>
    <w:rPr>
      <w:rFonts w:ascii="Times New Roman" w:eastAsia="Times New Roman" w:hAnsi="Times New Roman" w:cs="Times New Roman"/>
      <w:sz w:val="24"/>
      <w:szCs w:val="24"/>
      <w:lang w:eastAsia="zh-CN"/>
    </w:rPr>
  </w:style>
  <w:style w:type="paragraph" w:styleId="Spistreci4">
    <w:name w:val="toc 4"/>
    <w:basedOn w:val="Normalny"/>
    <w:next w:val="Normalny"/>
    <w:autoRedefine/>
    <w:uiPriority w:val="39"/>
    <w:unhideWhenUsed/>
    <w:rsid w:val="002F0E21"/>
    <w:pPr>
      <w:spacing w:after="100"/>
      <w:ind w:left="660"/>
    </w:pPr>
    <w:rPr>
      <w:rFonts w:eastAsiaTheme="minorEastAsia"/>
      <w:lang w:eastAsia="pl-PL"/>
    </w:rPr>
  </w:style>
  <w:style w:type="paragraph" w:styleId="Spistreci5">
    <w:name w:val="toc 5"/>
    <w:basedOn w:val="Normalny"/>
    <w:next w:val="Normalny"/>
    <w:autoRedefine/>
    <w:uiPriority w:val="39"/>
    <w:unhideWhenUsed/>
    <w:rsid w:val="002F0E21"/>
    <w:pPr>
      <w:spacing w:after="100"/>
      <w:ind w:left="880"/>
    </w:pPr>
    <w:rPr>
      <w:rFonts w:eastAsiaTheme="minorEastAsia"/>
      <w:lang w:eastAsia="pl-PL"/>
    </w:rPr>
  </w:style>
  <w:style w:type="paragraph" w:styleId="Spistreci6">
    <w:name w:val="toc 6"/>
    <w:basedOn w:val="Normalny"/>
    <w:next w:val="Normalny"/>
    <w:autoRedefine/>
    <w:uiPriority w:val="39"/>
    <w:unhideWhenUsed/>
    <w:rsid w:val="002F0E21"/>
    <w:pPr>
      <w:spacing w:after="100"/>
      <w:ind w:left="1100"/>
    </w:pPr>
    <w:rPr>
      <w:rFonts w:eastAsiaTheme="minorEastAsia"/>
      <w:lang w:eastAsia="pl-PL"/>
    </w:rPr>
  </w:style>
  <w:style w:type="paragraph" w:styleId="Spistreci7">
    <w:name w:val="toc 7"/>
    <w:basedOn w:val="Normalny"/>
    <w:next w:val="Normalny"/>
    <w:autoRedefine/>
    <w:uiPriority w:val="39"/>
    <w:unhideWhenUsed/>
    <w:rsid w:val="002F0E21"/>
    <w:pPr>
      <w:spacing w:after="100"/>
      <w:ind w:left="1320"/>
    </w:pPr>
    <w:rPr>
      <w:rFonts w:eastAsiaTheme="minorEastAsia"/>
      <w:lang w:eastAsia="pl-PL"/>
    </w:rPr>
  </w:style>
  <w:style w:type="paragraph" w:styleId="Spistreci8">
    <w:name w:val="toc 8"/>
    <w:basedOn w:val="Normalny"/>
    <w:next w:val="Normalny"/>
    <w:autoRedefine/>
    <w:uiPriority w:val="39"/>
    <w:unhideWhenUsed/>
    <w:rsid w:val="002F0E21"/>
    <w:pPr>
      <w:spacing w:after="100"/>
      <w:ind w:left="1540"/>
    </w:pPr>
    <w:rPr>
      <w:rFonts w:eastAsiaTheme="minorEastAsia"/>
      <w:lang w:eastAsia="pl-PL"/>
    </w:rPr>
  </w:style>
  <w:style w:type="paragraph" w:styleId="Spistreci9">
    <w:name w:val="toc 9"/>
    <w:basedOn w:val="Normalny"/>
    <w:next w:val="Normalny"/>
    <w:autoRedefine/>
    <w:uiPriority w:val="39"/>
    <w:unhideWhenUsed/>
    <w:rsid w:val="002F0E21"/>
    <w:pPr>
      <w:spacing w:after="100"/>
      <w:ind w:left="1760"/>
    </w:pPr>
    <w:rPr>
      <w:rFonts w:eastAsiaTheme="minorEastAsia"/>
      <w:lang w:eastAsia="pl-PL"/>
    </w:rPr>
  </w:style>
  <w:style w:type="character" w:styleId="Tekstzastpczy">
    <w:name w:val="Placeholder Text"/>
    <w:basedOn w:val="Domylnaczcionkaakapitu"/>
    <w:uiPriority w:val="99"/>
    <w:semiHidden/>
    <w:rsid w:val="00773A58"/>
    <w:rPr>
      <w:color w:val="808080"/>
    </w:rPr>
  </w:style>
  <w:style w:type="paragraph" w:customStyle="1" w:styleId="Stylnastroninternet">
    <w:name w:val="Styl na stronę internet."/>
    <w:basedOn w:val="Normalny"/>
    <w:link w:val="StylnastroninternetZnak"/>
    <w:qFormat/>
    <w:rsid w:val="002D2D80"/>
    <w:pPr>
      <w:spacing w:after="0" w:line="276" w:lineRule="auto"/>
      <w:ind w:firstLine="709"/>
    </w:pPr>
    <w:rPr>
      <w:sz w:val="24"/>
    </w:rPr>
  </w:style>
  <w:style w:type="paragraph" w:customStyle="1" w:styleId="punktatornastron">
    <w:name w:val="punktator na stronę"/>
    <w:basedOn w:val="Stylnastroninternet"/>
    <w:link w:val="punktatornastronZnak"/>
    <w:qFormat/>
    <w:rsid w:val="00163217"/>
    <w:pPr>
      <w:numPr>
        <w:numId w:val="13"/>
      </w:numPr>
      <w:tabs>
        <w:tab w:val="left" w:pos="357"/>
      </w:tabs>
      <w:ind w:left="584" w:hanging="357"/>
    </w:pPr>
  </w:style>
  <w:style w:type="character" w:customStyle="1" w:styleId="StylnastroninternetZnak">
    <w:name w:val="Styl na stronę internet. Znak"/>
    <w:basedOn w:val="Domylnaczcionkaakapitu"/>
    <w:link w:val="Stylnastroninternet"/>
    <w:rsid w:val="002D2D80"/>
    <w:rPr>
      <w:sz w:val="24"/>
    </w:rPr>
  </w:style>
  <w:style w:type="character" w:customStyle="1" w:styleId="punktatornastronZnak">
    <w:name w:val="punktator na stronę Znak"/>
    <w:basedOn w:val="StylnastroninternetZnak"/>
    <w:link w:val="punktatornastron"/>
    <w:rsid w:val="00163217"/>
    <w:rPr>
      <w:sz w:val="24"/>
    </w:rPr>
  </w:style>
  <w:style w:type="table" w:styleId="Siatkatabelijasna">
    <w:name w:val="Grid Table Light"/>
    <w:basedOn w:val="Standardowy"/>
    <w:uiPriority w:val="40"/>
    <w:rsid w:val="00C41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
    <w:name w:val="Siatka tabeli — jasna1"/>
    <w:basedOn w:val="Standardowy"/>
    <w:next w:val="Siatkatabelijasna"/>
    <w:uiPriority w:val="40"/>
    <w:rsid w:val="00DD71E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rmaltextrun">
    <w:name w:val="normaltextrun"/>
    <w:basedOn w:val="Domylnaczcionkaakapitu"/>
    <w:qFormat/>
    <w:rsid w:val="00AC3F81"/>
  </w:style>
  <w:style w:type="paragraph" w:customStyle="1" w:styleId="Textbody">
    <w:name w:val="Text body"/>
    <w:basedOn w:val="Normalny"/>
    <w:rsid w:val="00AC3F81"/>
    <w:pPr>
      <w:suppressAutoHyphens/>
      <w:autoSpaceDN w:val="0"/>
      <w:spacing w:after="120" w:line="240" w:lineRule="auto"/>
      <w:textAlignment w:val="baseline"/>
    </w:pPr>
    <w:rPr>
      <w:rFonts w:ascii="Times New Roman" w:eastAsia="Times New Roman" w:hAnsi="Times New Roman" w:cs="Times New Roman"/>
      <w:kern w:val="3"/>
      <w:sz w:val="24"/>
      <w:szCs w:val="24"/>
      <w:lang w:eastAsia="pl-PL"/>
    </w:rPr>
  </w:style>
  <w:style w:type="character" w:customStyle="1" w:styleId="ng-binding">
    <w:name w:val="ng-binding"/>
    <w:basedOn w:val="Domylnaczcionkaakapitu"/>
    <w:rsid w:val="007525A0"/>
  </w:style>
  <w:style w:type="paragraph" w:customStyle="1" w:styleId="Styl5">
    <w:name w:val="Styl5"/>
    <w:basedOn w:val="Normalny"/>
    <w:link w:val="Styl5Znak"/>
    <w:qFormat/>
    <w:rsid w:val="000B63B1"/>
    <w:pPr>
      <w:keepNext/>
      <w:numPr>
        <w:numId w:val="28"/>
      </w:numPr>
      <w:spacing w:after="0" w:line="240" w:lineRule="auto"/>
      <w:jc w:val="both"/>
      <w:outlineLvl w:val="2"/>
    </w:pPr>
    <w:rPr>
      <w:rFonts w:ascii="Calibri" w:eastAsia="Times New Roman" w:hAnsi="Calibri" w:cs="Calibri"/>
      <w:b/>
      <w:bCs/>
      <w:sz w:val="24"/>
      <w:szCs w:val="24"/>
      <w:lang w:eastAsia="pl-PL"/>
    </w:rPr>
  </w:style>
  <w:style w:type="character" w:customStyle="1" w:styleId="Styl5Znak">
    <w:name w:val="Styl5 Znak"/>
    <w:link w:val="Styl5"/>
    <w:rsid w:val="000B63B1"/>
    <w:rPr>
      <w:rFonts w:ascii="Calibri" w:eastAsia="Times New Roman" w:hAnsi="Calibri" w:cs="Calibri"/>
      <w:b/>
      <w:bCs/>
      <w:sz w:val="24"/>
      <w:szCs w:val="24"/>
      <w:lang w:eastAsia="pl-PL"/>
    </w:rPr>
  </w:style>
  <w:style w:type="paragraph" w:styleId="Cytat">
    <w:name w:val="Quote"/>
    <w:basedOn w:val="Normalny"/>
    <w:next w:val="Normalny"/>
    <w:link w:val="CytatZnak"/>
    <w:uiPriority w:val="29"/>
    <w:qFormat/>
    <w:rsid w:val="002915F4"/>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2915F4"/>
    <w:rPr>
      <w:i/>
      <w:iCs/>
      <w:color w:val="404040" w:themeColor="text1" w:themeTint="BF"/>
      <w:kern w:val="2"/>
      <w:sz w:val="24"/>
      <w:szCs w:val="24"/>
      <w14:ligatures w14:val="standardContextual"/>
    </w:rPr>
  </w:style>
  <w:style w:type="character" w:styleId="Wyrnienieintensywne">
    <w:name w:val="Intense Emphasis"/>
    <w:basedOn w:val="Domylnaczcionkaakapitu"/>
    <w:uiPriority w:val="21"/>
    <w:qFormat/>
    <w:rsid w:val="002915F4"/>
    <w:rPr>
      <w:i/>
      <w:iCs/>
      <w:color w:val="2F5496" w:themeColor="accent1" w:themeShade="BF"/>
    </w:rPr>
  </w:style>
  <w:style w:type="paragraph" w:styleId="Cytatintensywny">
    <w:name w:val="Intense Quote"/>
    <w:basedOn w:val="Normalny"/>
    <w:next w:val="Normalny"/>
    <w:link w:val="CytatintensywnyZnak"/>
    <w:uiPriority w:val="30"/>
    <w:qFormat/>
    <w:rsid w:val="002915F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2915F4"/>
    <w:rPr>
      <w:i/>
      <w:iCs/>
      <w:color w:val="2F5496" w:themeColor="accent1" w:themeShade="BF"/>
      <w:kern w:val="2"/>
      <w:sz w:val="24"/>
      <w:szCs w:val="24"/>
      <w14:ligatures w14:val="standardContextual"/>
    </w:rPr>
  </w:style>
  <w:style w:type="character" w:styleId="Odwoanieintensywne">
    <w:name w:val="Intense Reference"/>
    <w:basedOn w:val="Domylnaczcionkaakapitu"/>
    <w:uiPriority w:val="32"/>
    <w:qFormat/>
    <w:rsid w:val="002915F4"/>
    <w:rPr>
      <w:b/>
      <w:bCs/>
      <w:smallCaps/>
      <w:color w:val="2F5496" w:themeColor="accent1" w:themeShade="BF"/>
      <w:spacing w:val="5"/>
    </w:rPr>
  </w:style>
  <w:style w:type="table" w:styleId="Tabelasiatki4akcent1">
    <w:name w:val="Grid Table 4 Accent 1"/>
    <w:basedOn w:val="Standardowy"/>
    <w:uiPriority w:val="49"/>
    <w:rsid w:val="00C7661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Zwykatabela3">
    <w:name w:val="Plain Table 3"/>
    <w:basedOn w:val="Standardowy"/>
    <w:uiPriority w:val="43"/>
    <w:rsid w:val="00CA39F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627543">
      <w:bodyDiv w:val="1"/>
      <w:marLeft w:val="0"/>
      <w:marRight w:val="0"/>
      <w:marTop w:val="0"/>
      <w:marBottom w:val="0"/>
      <w:divBdr>
        <w:top w:val="none" w:sz="0" w:space="0" w:color="auto"/>
        <w:left w:val="none" w:sz="0" w:space="0" w:color="auto"/>
        <w:bottom w:val="none" w:sz="0" w:space="0" w:color="auto"/>
        <w:right w:val="none" w:sz="0" w:space="0" w:color="auto"/>
      </w:divBdr>
    </w:div>
    <w:div w:id="429357102">
      <w:bodyDiv w:val="1"/>
      <w:marLeft w:val="0"/>
      <w:marRight w:val="0"/>
      <w:marTop w:val="0"/>
      <w:marBottom w:val="0"/>
      <w:divBdr>
        <w:top w:val="none" w:sz="0" w:space="0" w:color="auto"/>
        <w:left w:val="none" w:sz="0" w:space="0" w:color="auto"/>
        <w:bottom w:val="none" w:sz="0" w:space="0" w:color="auto"/>
        <w:right w:val="none" w:sz="0" w:space="0" w:color="auto"/>
      </w:divBdr>
    </w:div>
    <w:div w:id="467089054">
      <w:bodyDiv w:val="1"/>
      <w:marLeft w:val="0"/>
      <w:marRight w:val="0"/>
      <w:marTop w:val="0"/>
      <w:marBottom w:val="0"/>
      <w:divBdr>
        <w:top w:val="none" w:sz="0" w:space="0" w:color="auto"/>
        <w:left w:val="none" w:sz="0" w:space="0" w:color="auto"/>
        <w:bottom w:val="none" w:sz="0" w:space="0" w:color="auto"/>
        <w:right w:val="none" w:sz="0" w:space="0" w:color="auto"/>
      </w:divBdr>
      <w:divsChild>
        <w:div w:id="2055421193">
          <w:marLeft w:val="0"/>
          <w:marRight w:val="0"/>
          <w:marTop w:val="0"/>
          <w:marBottom w:val="0"/>
          <w:divBdr>
            <w:top w:val="none" w:sz="0" w:space="0" w:color="auto"/>
            <w:left w:val="none" w:sz="0" w:space="0" w:color="auto"/>
            <w:bottom w:val="none" w:sz="0" w:space="0" w:color="auto"/>
            <w:right w:val="none" w:sz="0" w:space="0" w:color="auto"/>
          </w:divBdr>
        </w:div>
      </w:divsChild>
    </w:div>
    <w:div w:id="504983041">
      <w:bodyDiv w:val="1"/>
      <w:marLeft w:val="0"/>
      <w:marRight w:val="0"/>
      <w:marTop w:val="0"/>
      <w:marBottom w:val="0"/>
      <w:divBdr>
        <w:top w:val="none" w:sz="0" w:space="0" w:color="auto"/>
        <w:left w:val="none" w:sz="0" w:space="0" w:color="auto"/>
        <w:bottom w:val="none" w:sz="0" w:space="0" w:color="auto"/>
        <w:right w:val="none" w:sz="0" w:space="0" w:color="auto"/>
      </w:divBdr>
    </w:div>
    <w:div w:id="618417004">
      <w:bodyDiv w:val="1"/>
      <w:marLeft w:val="0"/>
      <w:marRight w:val="0"/>
      <w:marTop w:val="0"/>
      <w:marBottom w:val="0"/>
      <w:divBdr>
        <w:top w:val="none" w:sz="0" w:space="0" w:color="auto"/>
        <w:left w:val="none" w:sz="0" w:space="0" w:color="auto"/>
        <w:bottom w:val="none" w:sz="0" w:space="0" w:color="auto"/>
        <w:right w:val="none" w:sz="0" w:space="0" w:color="auto"/>
      </w:divBdr>
    </w:div>
    <w:div w:id="653144488">
      <w:bodyDiv w:val="1"/>
      <w:marLeft w:val="0"/>
      <w:marRight w:val="0"/>
      <w:marTop w:val="0"/>
      <w:marBottom w:val="0"/>
      <w:divBdr>
        <w:top w:val="none" w:sz="0" w:space="0" w:color="auto"/>
        <w:left w:val="none" w:sz="0" w:space="0" w:color="auto"/>
        <w:bottom w:val="none" w:sz="0" w:space="0" w:color="auto"/>
        <w:right w:val="none" w:sz="0" w:space="0" w:color="auto"/>
      </w:divBdr>
    </w:div>
    <w:div w:id="1031959652">
      <w:bodyDiv w:val="1"/>
      <w:marLeft w:val="0"/>
      <w:marRight w:val="0"/>
      <w:marTop w:val="0"/>
      <w:marBottom w:val="0"/>
      <w:divBdr>
        <w:top w:val="none" w:sz="0" w:space="0" w:color="auto"/>
        <w:left w:val="none" w:sz="0" w:space="0" w:color="auto"/>
        <w:bottom w:val="none" w:sz="0" w:space="0" w:color="auto"/>
        <w:right w:val="none" w:sz="0" w:space="0" w:color="auto"/>
      </w:divBdr>
      <w:divsChild>
        <w:div w:id="1940134612">
          <w:marLeft w:val="0"/>
          <w:marRight w:val="0"/>
          <w:marTop w:val="0"/>
          <w:marBottom w:val="0"/>
          <w:divBdr>
            <w:top w:val="none" w:sz="0" w:space="0" w:color="auto"/>
            <w:left w:val="none" w:sz="0" w:space="0" w:color="auto"/>
            <w:bottom w:val="none" w:sz="0" w:space="0" w:color="auto"/>
            <w:right w:val="none" w:sz="0" w:space="0" w:color="auto"/>
          </w:divBdr>
        </w:div>
      </w:divsChild>
    </w:div>
    <w:div w:id="1445996329">
      <w:bodyDiv w:val="1"/>
      <w:marLeft w:val="0"/>
      <w:marRight w:val="0"/>
      <w:marTop w:val="0"/>
      <w:marBottom w:val="0"/>
      <w:divBdr>
        <w:top w:val="none" w:sz="0" w:space="0" w:color="auto"/>
        <w:left w:val="none" w:sz="0" w:space="0" w:color="auto"/>
        <w:bottom w:val="none" w:sz="0" w:space="0" w:color="auto"/>
        <w:right w:val="none" w:sz="0" w:space="0" w:color="auto"/>
      </w:divBdr>
    </w:div>
    <w:div w:id="1596472538">
      <w:bodyDiv w:val="1"/>
      <w:marLeft w:val="0"/>
      <w:marRight w:val="0"/>
      <w:marTop w:val="0"/>
      <w:marBottom w:val="0"/>
      <w:divBdr>
        <w:top w:val="none" w:sz="0" w:space="0" w:color="auto"/>
        <w:left w:val="none" w:sz="0" w:space="0" w:color="auto"/>
        <w:bottom w:val="none" w:sz="0" w:space="0" w:color="auto"/>
        <w:right w:val="none" w:sz="0" w:space="0" w:color="auto"/>
      </w:divBdr>
    </w:div>
    <w:div w:id="1639533476">
      <w:bodyDiv w:val="1"/>
      <w:marLeft w:val="0"/>
      <w:marRight w:val="0"/>
      <w:marTop w:val="0"/>
      <w:marBottom w:val="0"/>
      <w:divBdr>
        <w:top w:val="none" w:sz="0" w:space="0" w:color="auto"/>
        <w:left w:val="none" w:sz="0" w:space="0" w:color="auto"/>
        <w:bottom w:val="none" w:sz="0" w:space="0" w:color="auto"/>
        <w:right w:val="none" w:sz="0" w:space="0" w:color="auto"/>
      </w:divBdr>
    </w:div>
    <w:div w:id="2052680329">
      <w:bodyDiv w:val="1"/>
      <w:marLeft w:val="0"/>
      <w:marRight w:val="0"/>
      <w:marTop w:val="0"/>
      <w:marBottom w:val="0"/>
      <w:divBdr>
        <w:top w:val="none" w:sz="0" w:space="0" w:color="auto"/>
        <w:left w:val="none" w:sz="0" w:space="0" w:color="auto"/>
        <w:bottom w:val="none" w:sz="0" w:space="0" w:color="auto"/>
        <w:right w:val="none" w:sz="0" w:space="0" w:color="auto"/>
      </w:divBdr>
    </w:div>
    <w:div w:id="209990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3.xml"/><Relationship Id="rId26" Type="http://schemas.openxmlformats.org/officeDocument/2006/relationships/chart" Target="charts/chart8.xml"/><Relationship Id="rId39" Type="http://schemas.openxmlformats.org/officeDocument/2006/relationships/chart" Target="charts/chart16.xml"/><Relationship Id="rId21" Type="http://schemas.openxmlformats.org/officeDocument/2006/relationships/chart" Target="charts/chart5.xml"/><Relationship Id="rId34" Type="http://schemas.openxmlformats.org/officeDocument/2006/relationships/image" Target="media/image6.jpeg"/><Relationship Id="rId42" Type="http://schemas.openxmlformats.org/officeDocument/2006/relationships/image" Target="media/image8.jpg"/><Relationship Id="rId47" Type="http://schemas.openxmlformats.org/officeDocument/2006/relationships/image" Target="media/image11.jpeg"/><Relationship Id="rId50" Type="http://schemas.openxmlformats.org/officeDocument/2006/relationships/image" Target="media/image14.png"/><Relationship Id="rId55" Type="http://schemas.openxmlformats.org/officeDocument/2006/relationships/image" Target="media/image19.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chart" Target="charts/chart10.xml"/><Relationship Id="rId11" Type="http://schemas.openxmlformats.org/officeDocument/2006/relationships/image" Target="media/image1.gif"/><Relationship Id="rId24" Type="http://schemas.openxmlformats.org/officeDocument/2006/relationships/chart" Target="charts/chart7.xml"/><Relationship Id="rId32" Type="http://schemas.openxmlformats.org/officeDocument/2006/relationships/chart" Target="charts/chart12.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image" Target="media/image9.jpeg"/><Relationship Id="rId53" Type="http://schemas.openxmlformats.org/officeDocument/2006/relationships/image" Target="media/image17.jpeg"/><Relationship Id="rId58"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image" Target="media/image4.jpeg"/><Relationship Id="rId30" Type="http://schemas.openxmlformats.org/officeDocument/2006/relationships/chart" Target="charts/chart11.xml"/><Relationship Id="rId35" Type="http://schemas.openxmlformats.org/officeDocument/2006/relationships/image" Target="media/image7.jpeg"/><Relationship Id="rId43" Type="http://schemas.openxmlformats.org/officeDocument/2006/relationships/chart" Target="charts/chart19.xml"/><Relationship Id="rId48" Type="http://schemas.openxmlformats.org/officeDocument/2006/relationships/image" Target="media/image12.jpeg"/><Relationship Id="rId56" Type="http://schemas.openxmlformats.org/officeDocument/2006/relationships/image" Target="media/image20.jpeg"/><Relationship Id="rId8" Type="http://schemas.openxmlformats.org/officeDocument/2006/relationships/webSettings" Target="web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3.jpeg"/><Relationship Id="rId33" Type="http://schemas.openxmlformats.org/officeDocument/2006/relationships/image" Target="media/image5.jpg"/><Relationship Id="rId38" Type="http://schemas.openxmlformats.org/officeDocument/2006/relationships/chart" Target="charts/chart15.xml"/><Relationship Id="rId46" Type="http://schemas.openxmlformats.org/officeDocument/2006/relationships/image" Target="media/image10.jpeg"/><Relationship Id="rId59" Type="http://schemas.openxmlformats.org/officeDocument/2006/relationships/fontTable" Target="fontTable.xml"/><Relationship Id="rId20" Type="http://schemas.openxmlformats.org/officeDocument/2006/relationships/chart" Target="charts/chart4.xml"/><Relationship Id="rId41" Type="http://schemas.openxmlformats.org/officeDocument/2006/relationships/chart" Target="charts/chart18.xml"/><Relationship Id="rId54"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hyperlink" Target="https://www.gov.pl/web/wsse-szczecin/oddzial-epidemiologii-szczepienia-ochronne" TargetMode="External"/><Relationship Id="rId28" Type="http://schemas.openxmlformats.org/officeDocument/2006/relationships/chart" Target="charts/chart9.xml"/><Relationship Id="rId36" Type="http://schemas.openxmlformats.org/officeDocument/2006/relationships/chart" Target="charts/chart13.xml"/><Relationship Id="rId49" Type="http://schemas.openxmlformats.org/officeDocument/2006/relationships/image" Target="media/image13.jpeg"/><Relationship Id="rId57" Type="http://schemas.openxmlformats.org/officeDocument/2006/relationships/image" Target="media/image21.jpeg"/><Relationship Id="rId10" Type="http://schemas.openxmlformats.org/officeDocument/2006/relationships/endnotes" Target="endnotes.xml"/><Relationship Id="rId31" Type="http://schemas.openxmlformats.org/officeDocument/2006/relationships/hyperlink" Target="https://www.gov.pl/web/wsse-szczecin" TargetMode="External"/><Relationship Id="rId44" Type="http://schemas.openxmlformats.org/officeDocument/2006/relationships/chart" Target="charts/chart20.xml"/><Relationship Id="rId52" Type="http://schemas.openxmlformats.org/officeDocument/2006/relationships/image" Target="media/image16.png"/><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1" Type="http://schemas.openxmlformats.org/officeDocument/2006/relationships/oleObject" Target="file:///\\wsseszczecin\dokumenty\Szczecin\NHP\_WSP\SPRAWOZDANIA\Ocena%20WOJEW&#211;DZTWA\wykresy%20roczne%20i%20p&#243;&#322;rocz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6.xml.rels><?xml version="1.0" encoding="UTF-8" standalone="yes"?>
<Relationships xmlns="http://schemas.openxmlformats.org/package/2006/relationships"><Relationship Id="rId1" Type="http://schemas.openxmlformats.org/officeDocument/2006/relationships/oleObject" Target="file:///\\wsseszczecin\dokumenty\Szczecin\NHP\_WSP\SPRAWOZDANIA\Sprawozdanie%202024\wykresy%20do%20sprawozdania\wykresy%20do%20sprawozdania.xlsx" TargetMode="Externa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oleObject" Target="file:///\\wsseszczecin\dokumenty\Szczecin\NCH\_WSP\OCENA%20WOJEW&#211;DZTWA\za%202024\wykresy%20roczne.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wsseszczecin\dokumenty\Szczecin\NCH\_WSP\OCENA%20WOJEW&#211;DZTWA\za%202024\wykresy%20roczne.xlsx" TargetMode="External"/><Relationship Id="rId2" Type="http://schemas.microsoft.com/office/2011/relationships/chartColorStyle" Target="colors12.xml"/><Relationship Id="rId1" Type="http://schemas.microsoft.com/office/2011/relationships/chartStyle" Target="style1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oleObject" Target="file:///C:\Users\p.wawruszczak\Desktop\Zeszyt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2023</c:v>
                </c:pt>
              </c:strCache>
            </c:strRef>
          </c:tx>
          <c:spPr>
            <a:solidFill>
              <a:srgbClr val="064B9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1A</c:v>
                </c:pt>
                <c:pt idx="1">
                  <c:v>1B</c:v>
                </c:pt>
                <c:pt idx="2">
                  <c:v>2A</c:v>
                </c:pt>
                <c:pt idx="3">
                  <c:v>2B</c:v>
                </c:pt>
                <c:pt idx="4">
                  <c:v>3A</c:v>
                </c:pt>
                <c:pt idx="5">
                  <c:v>3B</c:v>
                </c:pt>
                <c:pt idx="6">
                  <c:v>4A</c:v>
                </c:pt>
                <c:pt idx="7">
                  <c:v>4B</c:v>
                </c:pt>
                <c:pt idx="8">
                  <c:v>5A</c:v>
                </c:pt>
                <c:pt idx="9">
                  <c:v>5B</c:v>
                </c:pt>
                <c:pt idx="10">
                  <c:v>6A</c:v>
                </c:pt>
                <c:pt idx="11">
                  <c:v>6B</c:v>
                </c:pt>
                <c:pt idx="12">
                  <c:v>7A</c:v>
                </c:pt>
                <c:pt idx="13">
                  <c:v>7B</c:v>
                </c:pt>
                <c:pt idx="14">
                  <c:v>8A</c:v>
                </c:pt>
                <c:pt idx="15">
                  <c:v>8B</c:v>
                </c:pt>
                <c:pt idx="16">
                  <c:v>9A</c:v>
                </c:pt>
                <c:pt idx="17">
                  <c:v>9B</c:v>
                </c:pt>
                <c:pt idx="18">
                  <c:v>10A</c:v>
                </c:pt>
                <c:pt idx="19">
                  <c:v>10B</c:v>
                </c:pt>
                <c:pt idx="20">
                  <c:v>11A</c:v>
                </c:pt>
                <c:pt idx="21">
                  <c:v>11B</c:v>
                </c:pt>
                <c:pt idx="22">
                  <c:v>12A</c:v>
                </c:pt>
                <c:pt idx="23">
                  <c:v>12B</c:v>
                </c:pt>
              </c:strCache>
            </c:strRef>
          </c:cat>
          <c:val>
            <c:numRef>
              <c:f>Arkusz1!$B$2:$B$25</c:f>
              <c:numCache>
                <c:formatCode>General</c:formatCode>
                <c:ptCount val="24"/>
                <c:pt idx="0">
                  <c:v>300</c:v>
                </c:pt>
                <c:pt idx="1">
                  <c:v>236</c:v>
                </c:pt>
                <c:pt idx="2">
                  <c:v>356</c:v>
                </c:pt>
                <c:pt idx="3">
                  <c:v>547</c:v>
                </c:pt>
                <c:pt idx="4">
                  <c:v>1316</c:v>
                </c:pt>
                <c:pt idx="5">
                  <c:v>2133</c:v>
                </c:pt>
                <c:pt idx="6">
                  <c:v>802</c:v>
                </c:pt>
                <c:pt idx="7">
                  <c:v>392</c:v>
                </c:pt>
                <c:pt idx="8">
                  <c:v>107</c:v>
                </c:pt>
                <c:pt idx="9">
                  <c:v>78</c:v>
                </c:pt>
                <c:pt idx="10">
                  <c:v>28</c:v>
                </c:pt>
                <c:pt idx="11">
                  <c:v>27</c:v>
                </c:pt>
                <c:pt idx="12">
                  <c:v>14</c:v>
                </c:pt>
                <c:pt idx="13">
                  <c:v>9</c:v>
                </c:pt>
                <c:pt idx="14">
                  <c:v>11</c:v>
                </c:pt>
                <c:pt idx="15">
                  <c:v>58</c:v>
                </c:pt>
                <c:pt idx="16">
                  <c:v>97</c:v>
                </c:pt>
                <c:pt idx="17">
                  <c:v>159</c:v>
                </c:pt>
                <c:pt idx="18">
                  <c:v>194</c:v>
                </c:pt>
                <c:pt idx="19">
                  <c:v>543</c:v>
                </c:pt>
                <c:pt idx="20">
                  <c:v>759</c:v>
                </c:pt>
                <c:pt idx="21">
                  <c:v>1336</c:v>
                </c:pt>
                <c:pt idx="22">
                  <c:v>2359</c:v>
                </c:pt>
                <c:pt idx="23">
                  <c:v>1967</c:v>
                </c:pt>
              </c:numCache>
            </c:numRef>
          </c:val>
          <c:extLst>
            <c:ext xmlns:c16="http://schemas.microsoft.com/office/drawing/2014/chart" uri="{C3380CC4-5D6E-409C-BE32-E72D297353CC}">
              <c16:uniqueId val="{00000000-BC49-45DB-9D80-6FB168CDD9B0}"/>
            </c:ext>
          </c:extLst>
        </c:ser>
        <c:ser>
          <c:idx val="1"/>
          <c:order val="1"/>
          <c:tx>
            <c:strRef>
              <c:f>Arkusz1!$C$1</c:f>
              <c:strCache>
                <c:ptCount val="1"/>
                <c:pt idx="0">
                  <c:v>2024</c:v>
                </c:pt>
              </c:strCache>
            </c:strRef>
          </c:tx>
          <c:spPr>
            <a:solidFill>
              <a:srgbClr val="E5322D"/>
            </a:solidFill>
            <a:ln>
              <a:noFill/>
            </a:ln>
            <a:effectLst/>
            <a:sp3d/>
          </c:spPr>
          <c:invertIfNegative val="0"/>
          <c:dLbls>
            <c:dLbl>
              <c:idx val="2"/>
              <c:layout>
                <c:manualLayout>
                  <c:x val="7.5346594333936109E-3"/>
                  <c:y val="-1.618640021856200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49-45DB-9D80-6FB168CDD9B0}"/>
                </c:ext>
              </c:extLst>
            </c:dLbl>
            <c:dLbl>
              <c:idx val="3"/>
              <c:layout>
                <c:manualLayout>
                  <c:x val="1.054852320675102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49-45DB-9D80-6FB168CDD9B0}"/>
                </c:ext>
              </c:extLst>
            </c:dLbl>
            <c:dLbl>
              <c:idx val="4"/>
              <c:layout>
                <c:manualLayout>
                  <c:x val="9.04159132007230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49-45DB-9D80-6FB168CDD9B0}"/>
                </c:ext>
              </c:extLst>
            </c:dLbl>
            <c:dLbl>
              <c:idx val="5"/>
              <c:layout>
                <c:manualLayout>
                  <c:x val="7.53465943339361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49-45DB-9D80-6FB168CDD9B0}"/>
                </c:ext>
              </c:extLst>
            </c:dLbl>
            <c:dLbl>
              <c:idx val="6"/>
              <c:layout>
                <c:manualLayout>
                  <c:x val="6.02772754671488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49-45DB-9D80-6FB168CDD9B0}"/>
                </c:ext>
              </c:extLst>
            </c:dLbl>
            <c:dLbl>
              <c:idx val="7"/>
              <c:layout>
                <c:manualLayout>
                  <c:x val="9.0415913200723331E-3"/>
                  <c:y val="-1.618640021856200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49-45DB-9D80-6FB168CDD9B0}"/>
                </c:ext>
              </c:extLst>
            </c:dLbl>
            <c:dLbl>
              <c:idx val="8"/>
              <c:layout>
                <c:manualLayout>
                  <c:x val="9.041591320072333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49-45DB-9D80-6FB168CDD9B0}"/>
                </c:ext>
              </c:extLst>
            </c:dLbl>
            <c:dLbl>
              <c:idx val="9"/>
              <c:layout>
                <c:manualLayout>
                  <c:x val="9.041591320072277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49-45DB-9D80-6FB168CDD9B0}"/>
                </c:ext>
              </c:extLst>
            </c:dLbl>
            <c:dLbl>
              <c:idx val="10"/>
              <c:layout>
                <c:manualLayout>
                  <c:x val="9.041591320072222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49-45DB-9D80-6FB168CDD9B0}"/>
                </c:ext>
              </c:extLst>
            </c:dLbl>
            <c:dLbl>
              <c:idx val="11"/>
              <c:layout>
                <c:manualLayout>
                  <c:x val="1.054852320675105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49-45DB-9D80-6FB168CDD9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C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1A</c:v>
                </c:pt>
                <c:pt idx="1">
                  <c:v>1B</c:v>
                </c:pt>
                <c:pt idx="2">
                  <c:v>2A</c:v>
                </c:pt>
                <c:pt idx="3">
                  <c:v>2B</c:v>
                </c:pt>
                <c:pt idx="4">
                  <c:v>3A</c:v>
                </c:pt>
                <c:pt idx="5">
                  <c:v>3B</c:v>
                </c:pt>
                <c:pt idx="6">
                  <c:v>4A</c:v>
                </c:pt>
                <c:pt idx="7">
                  <c:v>4B</c:v>
                </c:pt>
                <c:pt idx="8">
                  <c:v>5A</c:v>
                </c:pt>
                <c:pt idx="9">
                  <c:v>5B</c:v>
                </c:pt>
                <c:pt idx="10">
                  <c:v>6A</c:v>
                </c:pt>
                <c:pt idx="11">
                  <c:v>6B</c:v>
                </c:pt>
                <c:pt idx="12">
                  <c:v>7A</c:v>
                </c:pt>
                <c:pt idx="13">
                  <c:v>7B</c:v>
                </c:pt>
                <c:pt idx="14">
                  <c:v>8A</c:v>
                </c:pt>
                <c:pt idx="15">
                  <c:v>8B</c:v>
                </c:pt>
                <c:pt idx="16">
                  <c:v>9A</c:v>
                </c:pt>
                <c:pt idx="17">
                  <c:v>9B</c:v>
                </c:pt>
                <c:pt idx="18">
                  <c:v>10A</c:v>
                </c:pt>
                <c:pt idx="19">
                  <c:v>10B</c:v>
                </c:pt>
                <c:pt idx="20">
                  <c:v>11A</c:v>
                </c:pt>
                <c:pt idx="21">
                  <c:v>11B</c:v>
                </c:pt>
                <c:pt idx="22">
                  <c:v>12A</c:v>
                </c:pt>
                <c:pt idx="23">
                  <c:v>12B</c:v>
                </c:pt>
              </c:strCache>
            </c:strRef>
          </c:cat>
          <c:val>
            <c:numRef>
              <c:f>Arkusz1!$C$2:$C$25</c:f>
              <c:numCache>
                <c:formatCode>General</c:formatCode>
                <c:ptCount val="24"/>
                <c:pt idx="0">
                  <c:v>907</c:v>
                </c:pt>
                <c:pt idx="1">
                  <c:v>414</c:v>
                </c:pt>
                <c:pt idx="2">
                  <c:v>262</c:v>
                </c:pt>
                <c:pt idx="3">
                  <c:v>91</c:v>
                </c:pt>
                <c:pt idx="4">
                  <c:v>57</c:v>
                </c:pt>
                <c:pt idx="5">
                  <c:v>26</c:v>
                </c:pt>
                <c:pt idx="6">
                  <c:v>27</c:v>
                </c:pt>
                <c:pt idx="7">
                  <c:v>9</c:v>
                </c:pt>
                <c:pt idx="8">
                  <c:v>10</c:v>
                </c:pt>
                <c:pt idx="9">
                  <c:v>27</c:v>
                </c:pt>
                <c:pt idx="10">
                  <c:v>25</c:v>
                </c:pt>
                <c:pt idx="11">
                  <c:v>41</c:v>
                </c:pt>
                <c:pt idx="12">
                  <c:v>150</c:v>
                </c:pt>
                <c:pt idx="13">
                  <c:v>203</c:v>
                </c:pt>
                <c:pt idx="14">
                  <c:v>465</c:v>
                </c:pt>
                <c:pt idx="15">
                  <c:v>968</c:v>
                </c:pt>
                <c:pt idx="16">
                  <c:v>1194</c:v>
                </c:pt>
                <c:pt idx="17">
                  <c:v>1664</c:v>
                </c:pt>
                <c:pt idx="18">
                  <c:v>888</c:v>
                </c:pt>
                <c:pt idx="19">
                  <c:v>583</c:v>
                </c:pt>
                <c:pt idx="20">
                  <c:v>259</c:v>
                </c:pt>
                <c:pt idx="21">
                  <c:v>165</c:v>
                </c:pt>
                <c:pt idx="22">
                  <c:v>149</c:v>
                </c:pt>
                <c:pt idx="23">
                  <c:v>191</c:v>
                </c:pt>
              </c:numCache>
            </c:numRef>
          </c:val>
          <c:extLst>
            <c:ext xmlns:c16="http://schemas.microsoft.com/office/drawing/2014/chart" uri="{C3380CC4-5D6E-409C-BE32-E72D297353CC}">
              <c16:uniqueId val="{0000000B-BC49-45DB-9D80-6FB168CDD9B0}"/>
            </c:ext>
          </c:extLst>
        </c:ser>
        <c:dLbls>
          <c:showLegendKey val="0"/>
          <c:showVal val="0"/>
          <c:showCatName val="0"/>
          <c:showSerName val="0"/>
          <c:showPercent val="0"/>
          <c:showBubbleSize val="0"/>
        </c:dLbls>
        <c:gapWidth val="150"/>
        <c:shape val="box"/>
        <c:axId val="988898591"/>
        <c:axId val="988910591"/>
        <c:axId val="0"/>
      </c:bar3DChart>
      <c:catAx>
        <c:axId val="9888985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8910591"/>
        <c:crosses val="autoZero"/>
        <c:auto val="1"/>
        <c:lblAlgn val="ctr"/>
        <c:lblOffset val="100"/>
        <c:noMultiLvlLbl val="0"/>
      </c:catAx>
      <c:valAx>
        <c:axId val="988910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88898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i="0">
                <a:solidFill>
                  <a:schemeClr val="tx1"/>
                </a:solidFill>
                <a:effectLst/>
              </a:rPr>
              <a:t>Liczba i rodzaj kąpielisk w latach 2014-2024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v>śródlądowe</c:v>
          </c:tx>
          <c:spPr>
            <a:solidFill>
              <a:srgbClr val="064B9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'Kąpieliska, MWDK - Liczby'!$AF$50:$AP$50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'Kąpieliska, MWDK - Liczby'!$AF$51:$AP$51</c:f>
              <c:numCache>
                <c:formatCode>General</c:formatCode>
                <c:ptCount val="11"/>
                <c:pt idx="0">
                  <c:v>14</c:v>
                </c:pt>
                <c:pt idx="1">
                  <c:v>13</c:v>
                </c:pt>
                <c:pt idx="2">
                  <c:v>13</c:v>
                </c:pt>
                <c:pt idx="3">
                  <c:v>14</c:v>
                </c:pt>
                <c:pt idx="4">
                  <c:v>34</c:v>
                </c:pt>
                <c:pt idx="5">
                  <c:v>37</c:v>
                </c:pt>
                <c:pt idx="6">
                  <c:v>32</c:v>
                </c:pt>
                <c:pt idx="7">
                  <c:v>36</c:v>
                </c:pt>
                <c:pt idx="8">
                  <c:v>36</c:v>
                </c:pt>
                <c:pt idx="9">
                  <c:v>38</c:v>
                </c:pt>
                <c:pt idx="10">
                  <c:v>41</c:v>
                </c:pt>
              </c:numCache>
            </c:numRef>
          </c:val>
          <c:extLst>
            <c:ext xmlns:c16="http://schemas.microsoft.com/office/drawing/2014/chart" uri="{C3380CC4-5D6E-409C-BE32-E72D297353CC}">
              <c16:uniqueId val="{00000000-48D9-44BF-A546-B43AE90AA90E}"/>
            </c:ext>
          </c:extLst>
        </c:ser>
        <c:ser>
          <c:idx val="1"/>
          <c:order val="1"/>
          <c:tx>
            <c:v>morskie</c:v>
          </c:tx>
          <c:spPr>
            <a:solidFill>
              <a:srgbClr val="E5322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'Kąpieliska, MWDK - Liczby'!$AF$50:$AP$50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'Kąpieliska, MWDK - Liczby'!$AF$52:$AP$52</c:f>
              <c:numCache>
                <c:formatCode>General</c:formatCode>
                <c:ptCount val="11"/>
                <c:pt idx="0">
                  <c:v>33</c:v>
                </c:pt>
                <c:pt idx="1">
                  <c:v>32</c:v>
                </c:pt>
                <c:pt idx="2">
                  <c:v>35</c:v>
                </c:pt>
                <c:pt idx="3">
                  <c:v>43</c:v>
                </c:pt>
                <c:pt idx="4">
                  <c:v>71</c:v>
                </c:pt>
                <c:pt idx="5">
                  <c:v>83</c:v>
                </c:pt>
                <c:pt idx="6">
                  <c:v>87</c:v>
                </c:pt>
                <c:pt idx="7">
                  <c:v>95</c:v>
                </c:pt>
                <c:pt idx="8">
                  <c:v>100</c:v>
                </c:pt>
                <c:pt idx="9">
                  <c:v>103</c:v>
                </c:pt>
                <c:pt idx="10">
                  <c:v>104</c:v>
                </c:pt>
              </c:numCache>
            </c:numRef>
          </c:val>
          <c:extLst>
            <c:ext xmlns:c16="http://schemas.microsoft.com/office/drawing/2014/chart" uri="{C3380CC4-5D6E-409C-BE32-E72D297353CC}">
              <c16:uniqueId val="{00000001-48D9-44BF-A546-B43AE90AA90E}"/>
            </c:ext>
          </c:extLst>
        </c:ser>
        <c:dLbls>
          <c:showLegendKey val="0"/>
          <c:showVal val="0"/>
          <c:showCatName val="0"/>
          <c:showSerName val="0"/>
          <c:showPercent val="0"/>
          <c:showBubbleSize val="0"/>
        </c:dLbls>
        <c:gapWidth val="219"/>
        <c:overlap val="-27"/>
        <c:axId val="1526238640"/>
        <c:axId val="1526253040"/>
      </c:barChart>
      <c:catAx>
        <c:axId val="152623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6253040"/>
        <c:crosses val="autoZero"/>
        <c:auto val="1"/>
        <c:lblAlgn val="ctr"/>
        <c:lblOffset val="100"/>
        <c:noMultiLvlLbl val="0"/>
      </c:catAx>
      <c:valAx>
        <c:axId val="152625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623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i="1">
                <a:solidFill>
                  <a:schemeClr val="tx1"/>
                </a:solidFill>
                <a:effectLst/>
              </a:rPr>
              <a:t>Liczba i rodzaj MOWDK w latach 2014-2024</a:t>
            </a:r>
            <a:endParaRPr lang="pl-PL" sz="1400">
              <a:solidFill>
                <a:schemeClr val="tx1"/>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v>śródlądowe</c:v>
          </c:tx>
          <c:spPr>
            <a:solidFill>
              <a:srgbClr val="064B9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'Kąpieliska, MWDK - Liczby'!$AF$50:$AP$50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'Kąpieliska, MWDK - Liczby'!$AF$89:$AP$89</c:f>
              <c:numCache>
                <c:formatCode>General</c:formatCode>
                <c:ptCount val="11"/>
                <c:pt idx="0">
                  <c:v>48</c:v>
                </c:pt>
                <c:pt idx="1">
                  <c:v>47</c:v>
                </c:pt>
                <c:pt idx="2">
                  <c:v>46</c:v>
                </c:pt>
                <c:pt idx="3">
                  <c:v>35</c:v>
                </c:pt>
                <c:pt idx="4">
                  <c:v>16</c:v>
                </c:pt>
                <c:pt idx="5">
                  <c:v>14</c:v>
                </c:pt>
                <c:pt idx="6">
                  <c:v>5</c:v>
                </c:pt>
                <c:pt idx="7">
                  <c:v>14</c:v>
                </c:pt>
                <c:pt idx="8">
                  <c:v>14</c:v>
                </c:pt>
                <c:pt idx="9">
                  <c:v>17</c:v>
                </c:pt>
                <c:pt idx="10">
                  <c:v>15</c:v>
                </c:pt>
              </c:numCache>
            </c:numRef>
          </c:val>
          <c:extLst>
            <c:ext xmlns:c16="http://schemas.microsoft.com/office/drawing/2014/chart" uri="{C3380CC4-5D6E-409C-BE32-E72D297353CC}">
              <c16:uniqueId val="{00000000-E746-4510-AAD9-1B32601D0276}"/>
            </c:ext>
          </c:extLst>
        </c:ser>
        <c:ser>
          <c:idx val="1"/>
          <c:order val="1"/>
          <c:tx>
            <c:v>morskie</c:v>
          </c:tx>
          <c:spPr>
            <a:solidFill>
              <a:srgbClr val="E5322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'Kąpieliska, MWDK - Liczby'!$AF$50:$AP$50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'Kąpieliska, MWDK - Liczby'!$AF$90:$AP$90</c:f>
              <c:numCache>
                <c:formatCode>General</c:formatCode>
                <c:ptCount val="11"/>
                <c:pt idx="0">
                  <c:v>25</c:v>
                </c:pt>
                <c:pt idx="1">
                  <c:v>30</c:v>
                </c:pt>
                <c:pt idx="2">
                  <c:v>38</c:v>
                </c:pt>
                <c:pt idx="3">
                  <c:v>29</c:v>
                </c:pt>
                <c:pt idx="4">
                  <c:v>6</c:v>
                </c:pt>
                <c:pt idx="5">
                  <c:v>2</c:v>
                </c:pt>
                <c:pt idx="6">
                  <c:v>2</c:v>
                </c:pt>
                <c:pt idx="7">
                  <c:v>5</c:v>
                </c:pt>
                <c:pt idx="8">
                  <c:v>2</c:v>
                </c:pt>
                <c:pt idx="9">
                  <c:v>5</c:v>
                </c:pt>
                <c:pt idx="10">
                  <c:v>4</c:v>
                </c:pt>
              </c:numCache>
            </c:numRef>
          </c:val>
          <c:extLst>
            <c:ext xmlns:c16="http://schemas.microsoft.com/office/drawing/2014/chart" uri="{C3380CC4-5D6E-409C-BE32-E72D297353CC}">
              <c16:uniqueId val="{00000001-E746-4510-AAD9-1B32601D0276}"/>
            </c:ext>
          </c:extLst>
        </c:ser>
        <c:dLbls>
          <c:showLegendKey val="0"/>
          <c:showVal val="0"/>
          <c:showCatName val="0"/>
          <c:showSerName val="0"/>
          <c:showPercent val="0"/>
          <c:showBubbleSize val="0"/>
        </c:dLbls>
        <c:gapWidth val="219"/>
        <c:overlap val="-27"/>
        <c:axId val="1526238640"/>
        <c:axId val="1526253040"/>
      </c:barChart>
      <c:catAx>
        <c:axId val="152623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6253040"/>
        <c:crosses val="autoZero"/>
        <c:auto val="1"/>
        <c:lblAlgn val="ctr"/>
        <c:lblOffset val="100"/>
        <c:noMultiLvlLbl val="0"/>
      </c:catAx>
      <c:valAx>
        <c:axId val="152625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6238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1"/>
          <c:order val="1"/>
          <c:dPt>
            <c:idx val="0"/>
            <c:bubble3D val="0"/>
            <c:spPr>
              <a:solidFill>
                <a:srgbClr val="064B93"/>
              </a:solidFill>
              <a:ln w="19050">
                <a:solidFill>
                  <a:schemeClr val="lt1"/>
                </a:solidFill>
              </a:ln>
              <a:effectLst/>
            </c:spPr>
            <c:extLst>
              <c:ext xmlns:c16="http://schemas.microsoft.com/office/drawing/2014/chart" uri="{C3380CC4-5D6E-409C-BE32-E72D297353CC}">
                <c16:uniqueId val="{00000001-931D-49F8-BDB6-7BF4AAE0A27C}"/>
              </c:ext>
            </c:extLst>
          </c:dPt>
          <c:dPt>
            <c:idx val="1"/>
            <c:bubble3D val="0"/>
            <c:spPr>
              <a:solidFill>
                <a:srgbClr val="E5322D"/>
              </a:solidFill>
              <a:ln w="19050">
                <a:solidFill>
                  <a:schemeClr val="lt1"/>
                </a:solidFill>
              </a:ln>
              <a:effectLst/>
            </c:spPr>
            <c:extLst>
              <c:ext xmlns:c16="http://schemas.microsoft.com/office/drawing/2014/chart" uri="{C3380CC4-5D6E-409C-BE32-E72D297353CC}">
                <c16:uniqueId val="{00000003-931D-49F8-BDB6-7BF4AAE0A27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Arkusz1!$A$27:$A$28</c:f>
              <c:strCache>
                <c:ptCount val="2"/>
                <c:pt idx="0">
                  <c:v>obiekty bez nieprawidłowości</c:v>
                </c:pt>
                <c:pt idx="1">
                  <c:v>obiekty z nieprawidłowościami</c:v>
                </c:pt>
              </c:strCache>
            </c:strRef>
          </c:cat>
          <c:val>
            <c:numRef>
              <c:f>Arkusz1!$C$27:$C$28</c:f>
              <c:numCache>
                <c:formatCode>General</c:formatCode>
                <c:ptCount val="2"/>
                <c:pt idx="0">
                  <c:v>3966</c:v>
                </c:pt>
                <c:pt idx="1">
                  <c:v>644</c:v>
                </c:pt>
              </c:numCache>
            </c:numRef>
          </c:val>
          <c:extLst>
            <c:ext xmlns:c16="http://schemas.microsoft.com/office/drawing/2014/chart" uri="{C3380CC4-5D6E-409C-BE32-E72D297353CC}">
              <c16:uniqueId val="{00000004-931D-49F8-BDB6-7BF4AAE0A27C}"/>
            </c:ext>
          </c:extLst>
        </c:ser>
        <c:dLbls>
          <c:showLegendKey val="0"/>
          <c:showVal val="0"/>
          <c:showCatName val="0"/>
          <c:showSerName val="0"/>
          <c:showPercent val="0"/>
          <c:showBubbleSize val="0"/>
          <c:showLeaderLines val="1"/>
        </c:dLbls>
        <c:firstSliceAng val="0"/>
        <c:holeSize val="75"/>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6-931D-49F8-BDB6-7BF4AAE0A2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931D-49F8-BDB6-7BF4AAE0A27C}"/>
                    </c:ext>
                  </c:extLst>
                </c:dPt>
                <c:cat>
                  <c:strRef>
                    <c:extLst>
                      <c:ext uri="{02D57815-91ED-43cb-92C2-25804820EDAC}">
                        <c15:formulaRef>
                          <c15:sqref>Arkusz1!$A$27:$A$28</c15:sqref>
                        </c15:formulaRef>
                      </c:ext>
                    </c:extLst>
                    <c:strCache>
                      <c:ptCount val="2"/>
                      <c:pt idx="0">
                        <c:v>obiekty bez nieprawidłowości</c:v>
                      </c:pt>
                      <c:pt idx="1">
                        <c:v>obiekty z nieprawidłowościami</c:v>
                      </c:pt>
                    </c:strCache>
                  </c:strRef>
                </c:cat>
                <c:val>
                  <c:numRef>
                    <c:extLst>
                      <c:ext uri="{02D57815-91ED-43cb-92C2-25804820EDAC}">
                        <c15:formulaRef>
                          <c15:sqref>Arkusz1!$B$27:$B$28</c15:sqref>
                        </c15:formulaRef>
                      </c:ext>
                    </c:extLst>
                    <c:numCache>
                      <c:formatCode>General</c:formatCode>
                      <c:ptCount val="2"/>
                    </c:numCache>
                  </c:numRef>
                </c:val>
                <c:extLst>
                  <c:ext xmlns:c16="http://schemas.microsoft.com/office/drawing/2014/chart" uri="{C3380CC4-5D6E-409C-BE32-E72D297353CC}">
                    <c16:uniqueId val="{00000009-931D-49F8-BDB6-7BF4AAE0A27C}"/>
                  </c:ext>
                </c:extLst>
              </c15:ser>
            </c15:filteredPieSeries>
          </c:ext>
        </c:extLst>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790433172597612E-2"/>
          <c:y val="0.19279102436139142"/>
          <c:w val="0.51090940905114135"/>
          <c:h val="0.83741774000104297"/>
        </c:manualLayout>
      </c:layout>
      <c:pieChart>
        <c:varyColors val="1"/>
        <c:ser>
          <c:idx val="0"/>
          <c:order val="0"/>
          <c:tx>
            <c:strRef>
              <c:f>całoroczne!$D$36</c:f>
              <c:strCache>
                <c:ptCount val="1"/>
                <c:pt idx="0">
                  <c:v>2022</c:v>
                </c:pt>
              </c:strCache>
            </c:strRef>
          </c:tx>
          <c:spPr>
            <a:ln>
              <a:solidFill>
                <a:srgbClr val="064B93"/>
              </a:solidFill>
            </a:ln>
          </c:spPr>
          <c:explosion val="18"/>
          <c:dPt>
            <c:idx val="0"/>
            <c:bubble3D val="0"/>
            <c:spPr>
              <a:solidFill>
                <a:srgbClr val="E5322D"/>
              </a:solidFill>
              <a:ln>
                <a:solidFill>
                  <a:srgbClr val="064B93"/>
                </a:solidFill>
              </a:ln>
            </c:spPr>
            <c:extLst>
              <c:ext xmlns:c16="http://schemas.microsoft.com/office/drawing/2014/chart" uri="{C3380CC4-5D6E-409C-BE32-E72D297353CC}">
                <c16:uniqueId val="{00000001-43C7-4C0E-B512-3D46494A2044}"/>
              </c:ext>
            </c:extLst>
          </c:dPt>
          <c:dPt>
            <c:idx val="1"/>
            <c:bubble3D val="0"/>
            <c:spPr>
              <a:solidFill>
                <a:srgbClr val="B9BDC2"/>
              </a:solidFill>
              <a:ln>
                <a:solidFill>
                  <a:srgbClr val="064B93"/>
                </a:solidFill>
              </a:ln>
            </c:spPr>
            <c:extLst>
              <c:ext xmlns:c16="http://schemas.microsoft.com/office/drawing/2014/chart" uri="{C3380CC4-5D6E-409C-BE32-E72D297353CC}">
                <c16:uniqueId val="{00000003-43C7-4C0E-B512-3D46494A2044}"/>
              </c:ext>
            </c:extLst>
          </c:dPt>
          <c:dPt>
            <c:idx val="2"/>
            <c:bubble3D val="0"/>
            <c:explosion val="12"/>
            <c:spPr>
              <a:solidFill>
                <a:srgbClr val="064B93"/>
              </a:solidFill>
              <a:ln>
                <a:solidFill>
                  <a:srgbClr val="064B93"/>
                </a:solidFill>
              </a:ln>
            </c:spPr>
            <c:extLst>
              <c:ext xmlns:c16="http://schemas.microsoft.com/office/drawing/2014/chart" uri="{C3380CC4-5D6E-409C-BE32-E72D297353CC}">
                <c16:uniqueId val="{00000005-43C7-4C0E-B512-3D46494A2044}"/>
              </c:ext>
            </c:extLst>
          </c:dPt>
          <c:dLbls>
            <c:dLbl>
              <c:idx val="0"/>
              <c:layout>
                <c:manualLayout>
                  <c:x val="-4.8737261852015948E-2"/>
                  <c:y val="2.6358957278390431E-2"/>
                </c:manualLayout>
              </c:layout>
              <c:tx>
                <c:rich>
                  <a:bodyPr/>
                  <a:lstStyle/>
                  <a:p>
                    <a:pPr>
                      <a:defRPr sz="1200">
                        <a:solidFill>
                          <a:schemeClr val="bg1"/>
                        </a:solidFill>
                      </a:defRPr>
                    </a:pPr>
                    <a:r>
                      <a:rPr lang="en-US"/>
                      <a:t>695</a:t>
                    </a:r>
                  </a:p>
                </c:rich>
              </c:tx>
              <c:spPr>
                <a:solidFill>
                  <a:srgbClr val="FF0000"/>
                </a:solidFill>
                <a:ln>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3C7-4C0E-B512-3D46494A2044}"/>
                </c:ext>
              </c:extLst>
            </c:dLbl>
            <c:dLbl>
              <c:idx val="1"/>
              <c:layout>
                <c:manualLayout>
                  <c:x val="3.1029273755490274E-2"/>
                  <c:y val="7.9391207956242743E-2"/>
                </c:manualLayout>
              </c:layout>
              <c:tx>
                <c:rich>
                  <a:bodyPr/>
                  <a:lstStyle/>
                  <a:p>
                    <a:pPr>
                      <a:defRPr sz="1200">
                        <a:solidFill>
                          <a:schemeClr val="bg1"/>
                        </a:solidFill>
                      </a:defRPr>
                    </a:pPr>
                    <a:r>
                      <a:rPr lang="en-US">
                        <a:solidFill>
                          <a:schemeClr val="tx1"/>
                        </a:solidFill>
                      </a:rPr>
                      <a:t>379</a:t>
                    </a:r>
                  </a:p>
                </c:rich>
              </c:tx>
              <c:spPr>
                <a:solidFill>
                  <a:srgbClr val="B9BDC2"/>
                </a:solidFill>
                <a:ln>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3C7-4C0E-B512-3D46494A2044}"/>
                </c:ext>
              </c:extLst>
            </c:dLbl>
            <c:dLbl>
              <c:idx val="2"/>
              <c:tx>
                <c:rich>
                  <a:bodyPr/>
                  <a:lstStyle/>
                  <a:p>
                    <a:r>
                      <a:rPr lang="en-US"/>
                      <a:t>15699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3C7-4C0E-B512-3D46494A2044}"/>
                </c:ext>
              </c:extLst>
            </c:dLbl>
            <c:spPr>
              <a:noFill/>
              <a:ln>
                <a:noFill/>
              </a:ln>
              <a:effectLst/>
            </c:spPr>
            <c:txPr>
              <a:bodyPr/>
              <a:lstStyle/>
              <a:p>
                <a:pPr>
                  <a:defRPr sz="1200">
                    <a:solidFill>
                      <a:schemeClr val="bg1"/>
                    </a:solidFill>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całoroczne!$A$37:$A$39</c:f>
              <c:strCache>
                <c:ptCount val="3"/>
                <c:pt idx="0">
                  <c:v>czynniki chemiczne </c:v>
                </c:pt>
                <c:pt idx="1">
                  <c:v>pyły</c:v>
                </c:pt>
                <c:pt idx="2">
                  <c:v>czynniki fizyczne</c:v>
                </c:pt>
              </c:strCache>
            </c:strRef>
          </c:cat>
          <c:val>
            <c:numRef>
              <c:f>całoroczne!$D$37:$D$39</c:f>
              <c:numCache>
                <c:formatCode>General</c:formatCode>
                <c:ptCount val="3"/>
                <c:pt idx="0">
                  <c:v>272</c:v>
                </c:pt>
                <c:pt idx="1">
                  <c:v>208</c:v>
                </c:pt>
                <c:pt idx="2">
                  <c:v>15386</c:v>
                </c:pt>
              </c:numCache>
            </c:numRef>
          </c:val>
          <c:extLst>
            <c:ext xmlns:c16="http://schemas.microsoft.com/office/drawing/2014/chart" uri="{C3380CC4-5D6E-409C-BE32-E72D297353CC}">
              <c16:uniqueId val="{00000006-43C7-4C0E-B512-3D46494A2044}"/>
            </c:ext>
          </c:extLst>
        </c:ser>
        <c:dLbls>
          <c:showLegendKey val="0"/>
          <c:showVal val="1"/>
          <c:showCatName val="0"/>
          <c:showSerName val="0"/>
          <c:showPercent val="0"/>
          <c:showBubbleSize val="0"/>
          <c:showLeaderLines val="1"/>
        </c:dLbls>
        <c:firstSliceAng val="0"/>
      </c:pieChart>
      <c:spPr>
        <a:solidFill>
          <a:schemeClr val="bg1"/>
        </a:solidFill>
        <a:ln>
          <a:noFill/>
        </a:ln>
      </c:spPr>
    </c:plotArea>
    <c:legend>
      <c:legendPos val="r"/>
      <c:layout>
        <c:manualLayout>
          <c:xMode val="edge"/>
          <c:yMode val="edge"/>
          <c:x val="0.6401278262902117"/>
          <c:y val="0.18886188466362391"/>
          <c:w val="0.28898161101594688"/>
          <c:h val="0.62227623067275217"/>
        </c:manualLayout>
      </c:layout>
      <c:overlay val="0"/>
      <c:txPr>
        <a:bodyPr/>
        <a:lstStyle/>
        <a:p>
          <a:pPr>
            <a:defRPr sz="1050"/>
          </a:pPr>
          <a:endParaRPr lang="pl-PL"/>
        </a:p>
      </c:tx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'[wykresy do sprawozdania.xlsx]Arkusz1 (2)'!$B$71</c:f>
              <c:strCache>
                <c:ptCount val="1"/>
                <c:pt idx="0">
                  <c:v>Produkcja wyrobów z drewna oraz korka, z wyłaczeniem mebli (...) - PKD 16</c:v>
                </c:pt>
              </c:strCache>
            </c:strRef>
          </c:tx>
          <c:spPr>
            <a:ln>
              <a:solidFill>
                <a:srgbClr val="E5322D"/>
              </a:solidFill>
            </a:ln>
          </c:spPr>
          <c:marker>
            <c:symbol val="none"/>
          </c:marker>
          <c:dLbls>
            <c:dLbl>
              <c:idx val="7"/>
              <c:layout>
                <c:manualLayout>
                  <c:x val="-3.657028453910275E-2"/>
                  <c:y val="-9.937795048037614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79-42DC-BE36-C3F1CA639455}"/>
                </c:ext>
              </c:extLst>
            </c:dLbl>
            <c:spPr>
              <a:solidFill>
                <a:srgbClr val="E5322D"/>
              </a:solidFill>
              <a:ln>
                <a:solidFill>
                  <a:srgbClr val="FF000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'[wykresy do sprawozdania.xlsx]Arkusz1 (2)'!$J$70:$T$70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'[wykresy do sprawozdania.xlsx]Arkusz1 (2)'!$J$71:$T$71</c:f>
              <c:numCache>
                <c:formatCode>General</c:formatCode>
                <c:ptCount val="11"/>
                <c:pt idx="0">
                  <c:v>3020</c:v>
                </c:pt>
                <c:pt idx="1">
                  <c:v>3350</c:v>
                </c:pt>
                <c:pt idx="2">
                  <c:v>3322</c:v>
                </c:pt>
                <c:pt idx="3">
                  <c:v>3370</c:v>
                </c:pt>
                <c:pt idx="4">
                  <c:v>3196</c:v>
                </c:pt>
                <c:pt idx="5">
                  <c:v>3064</c:v>
                </c:pt>
                <c:pt idx="6">
                  <c:v>2922</c:v>
                </c:pt>
                <c:pt idx="7">
                  <c:v>2864</c:v>
                </c:pt>
                <c:pt idx="8">
                  <c:v>2762</c:v>
                </c:pt>
                <c:pt idx="9">
                  <c:v>2778</c:v>
                </c:pt>
                <c:pt idx="10">
                  <c:v>2614</c:v>
                </c:pt>
              </c:numCache>
            </c:numRef>
          </c:val>
          <c:smooth val="0"/>
          <c:extLst>
            <c:ext xmlns:c16="http://schemas.microsoft.com/office/drawing/2014/chart" uri="{C3380CC4-5D6E-409C-BE32-E72D297353CC}">
              <c16:uniqueId val="{00000001-FF79-42DC-BE36-C3F1CA639455}"/>
            </c:ext>
          </c:extLst>
        </c:ser>
        <c:ser>
          <c:idx val="2"/>
          <c:order val="1"/>
          <c:tx>
            <c:strRef>
              <c:f>'[wykresy do sprawozdania.xlsx]Arkusz1 (2)'!$B$72</c:f>
              <c:strCache>
                <c:ptCount val="1"/>
                <c:pt idx="0">
                  <c:v>Produkcja mebli - PKD 31</c:v>
                </c:pt>
              </c:strCache>
            </c:strRef>
          </c:tx>
          <c:spPr>
            <a:ln>
              <a:solidFill>
                <a:srgbClr val="064B93"/>
              </a:solidFill>
            </a:ln>
          </c:spPr>
          <c:marker>
            <c:symbol val="none"/>
          </c:marker>
          <c:dLbls>
            <c:dLbl>
              <c:idx val="0"/>
              <c:layout>
                <c:manualLayout>
                  <c:x val="-4.4014617269708907E-2"/>
                  <c:y val="-1.5287943293483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79-42DC-BE36-C3F1CA639455}"/>
                </c:ext>
              </c:extLst>
            </c:dLbl>
            <c:dLbl>
              <c:idx val="1"/>
              <c:layout>
                <c:manualLayout>
                  <c:x val="-3.1382551802957306E-2"/>
                  <c:y val="3.43757556557807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79-42DC-BE36-C3F1CA639455}"/>
                </c:ext>
              </c:extLst>
            </c:dLbl>
            <c:dLbl>
              <c:idx val="3"/>
              <c:layout>
                <c:manualLayout>
                  <c:x val="-3.1445258153919568E-2"/>
                  <c:y val="1.7067316687247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79-42DC-BE36-C3F1CA639455}"/>
                </c:ext>
              </c:extLst>
            </c:dLbl>
            <c:dLbl>
              <c:idx val="4"/>
              <c:layout>
                <c:manualLayout>
                  <c:x val="-3.657028453910275E-2"/>
                  <c:y val="-4.58764680259142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79-42DC-BE36-C3F1CA639455}"/>
                </c:ext>
              </c:extLst>
            </c:dLbl>
            <c:dLbl>
              <c:idx val="5"/>
              <c:layout>
                <c:manualLayout>
                  <c:x val="-2.7938944449822423E-2"/>
                  <c:y val="3.570616712455304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79-42DC-BE36-C3F1CA639455}"/>
                </c:ext>
              </c:extLst>
            </c:dLbl>
            <c:dLbl>
              <c:idx val="7"/>
              <c:layout>
                <c:manualLayout>
                  <c:x val="-3.4709201356451211E-2"/>
                  <c:y val="-3.01881061570517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79-42DC-BE36-C3F1CA639455}"/>
                </c:ext>
              </c:extLst>
            </c:dLbl>
            <c:dLbl>
              <c:idx val="8"/>
              <c:layout>
                <c:manualLayout>
                  <c:x val="-3.6643356643356641E-2"/>
                  <c:y val="-2.366588086876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79-42DC-BE36-C3F1CA639455}"/>
                </c:ext>
              </c:extLst>
            </c:dLbl>
            <c:dLbl>
              <c:idx val="9"/>
              <c:layout>
                <c:manualLayout>
                  <c:x val="-3.3216378176792058E-2"/>
                  <c:y val="2.74393095191354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79-42DC-BE36-C3F1CA639455}"/>
                </c:ext>
              </c:extLst>
            </c:dLbl>
            <c:dLbl>
              <c:idx val="10"/>
              <c:layout>
                <c:manualLayout>
                  <c:x val="-2.4064831345564607E-2"/>
                  <c:y val="1.8802400910620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79-42DC-BE36-C3F1CA639455}"/>
                </c:ext>
              </c:extLst>
            </c:dLbl>
            <c:spPr>
              <a:solidFill>
                <a:srgbClr val="064B93"/>
              </a:solidFill>
              <a:ln>
                <a:solidFill>
                  <a:srgbClr val="0070C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'[wykresy do sprawozdania.xlsx]Arkusz1 (2)'!$J$70:$T$70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'[wykresy do sprawozdania.xlsx]Arkusz1 (2)'!$J$72:$T$72</c:f>
              <c:numCache>
                <c:formatCode>General</c:formatCode>
                <c:ptCount val="11"/>
                <c:pt idx="0">
                  <c:v>1476</c:v>
                </c:pt>
                <c:pt idx="1">
                  <c:v>919</c:v>
                </c:pt>
                <c:pt idx="2">
                  <c:v>1048</c:v>
                </c:pt>
                <c:pt idx="3">
                  <c:v>1192</c:v>
                </c:pt>
                <c:pt idx="4">
                  <c:v>1445</c:v>
                </c:pt>
                <c:pt idx="5">
                  <c:v>1277</c:v>
                </c:pt>
                <c:pt idx="6">
                  <c:v>1110</c:v>
                </c:pt>
                <c:pt idx="7">
                  <c:v>1042</c:v>
                </c:pt>
                <c:pt idx="8">
                  <c:v>1090</c:v>
                </c:pt>
                <c:pt idx="9">
                  <c:v>987</c:v>
                </c:pt>
                <c:pt idx="10">
                  <c:v>924</c:v>
                </c:pt>
              </c:numCache>
            </c:numRef>
          </c:val>
          <c:smooth val="0"/>
          <c:extLst>
            <c:ext xmlns:c16="http://schemas.microsoft.com/office/drawing/2014/chart" uri="{C3380CC4-5D6E-409C-BE32-E72D297353CC}">
              <c16:uniqueId val="{0000000B-FF79-42DC-BE36-C3F1CA639455}"/>
            </c:ext>
          </c:extLst>
        </c:ser>
        <c:ser>
          <c:idx val="3"/>
          <c:order val="2"/>
          <c:tx>
            <c:strRef>
              <c:f>'[wykresy do sprawozdania.xlsx]Arkusz1 (2)'!$B$73</c:f>
              <c:strCache>
                <c:ptCount val="1"/>
                <c:pt idx="0">
                  <c:v>Produkcja metalowych wyrobów gotowych z wyłaczniem maszyn i urządzeń - PKD 25</c:v>
                </c:pt>
              </c:strCache>
            </c:strRef>
          </c:tx>
          <c:spPr>
            <a:ln>
              <a:solidFill>
                <a:srgbClr val="70AFF1"/>
              </a:solidFill>
            </a:ln>
          </c:spPr>
          <c:marker>
            <c:symbol val="none"/>
          </c:marker>
          <c:dLbls>
            <c:dLbl>
              <c:idx val="0"/>
              <c:layout>
                <c:manualLayout>
                  <c:x val="-4.4014617269708907E-2"/>
                  <c:y val="-1.4137661420712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F79-42DC-BE36-C3F1CA639455}"/>
                </c:ext>
              </c:extLst>
            </c:dLbl>
            <c:dLbl>
              <c:idx val="1"/>
              <c:layout>
                <c:manualLayout>
                  <c:x val="-4.0365575353865916E-2"/>
                  <c:y val="-6.3549229368016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F79-42DC-BE36-C3F1CA639455}"/>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F79-42DC-BE36-C3F1CA639455}"/>
                </c:ext>
              </c:extLst>
            </c:dLbl>
            <c:dLbl>
              <c:idx val="3"/>
              <c:layout>
                <c:manualLayout>
                  <c:x val="-3.5822480800435756E-2"/>
                  <c:y val="-3.31089922090045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F79-42DC-BE36-C3F1CA639455}"/>
                </c:ext>
              </c:extLst>
            </c:dLbl>
            <c:dLbl>
              <c:idx val="4"/>
              <c:layout>
                <c:manualLayout>
                  <c:x val="-3.657028453910275E-2"/>
                  <c:y val="-3.437364929820378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F79-42DC-BE36-C3F1CA639455}"/>
                </c:ext>
              </c:extLst>
            </c:dLbl>
            <c:dLbl>
              <c:idx val="5"/>
              <c:layout>
                <c:manualLayout>
                  <c:x val="-3.8511819270358676E-2"/>
                  <c:y val="9.4813473611130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F79-42DC-BE36-C3F1CA639455}"/>
                </c:ext>
              </c:extLst>
            </c:dLbl>
            <c:dLbl>
              <c:idx val="6"/>
              <c:layout>
                <c:manualLayout>
                  <c:x val="-3.6643356643356641E-2"/>
                  <c:y val="-1.2803694853825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F79-42DC-BE36-C3F1CA639455}"/>
                </c:ext>
              </c:extLst>
            </c:dLbl>
            <c:dLbl>
              <c:idx val="7"/>
              <c:layout>
                <c:manualLayout>
                  <c:x val="-3.8431367721754289E-2"/>
                  <c:y val="-3.82133285252211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F79-42DC-BE36-C3F1CA639455}"/>
                </c:ext>
              </c:extLst>
            </c:dLbl>
            <c:dLbl>
              <c:idx val="8"/>
              <c:layout>
                <c:manualLayout>
                  <c:x val="-3.6388888888888887E-2"/>
                  <c:y val="1.022370544911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F79-42DC-BE36-C3F1CA639455}"/>
                </c:ext>
              </c:extLst>
            </c:dLbl>
            <c:spPr>
              <a:solidFill>
                <a:srgbClr val="70AFF1"/>
              </a:solidFill>
            </c:spPr>
            <c:txPr>
              <a:bodyPr/>
              <a:lstStyle/>
              <a:p>
                <a:pPr>
                  <a:defRPr sz="1100">
                    <a:solidFill>
                      <a:sysClr val="windowText" lastClr="000000"/>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'[wykresy do sprawozdania.xlsx]Arkusz1 (2)'!$J$70:$T$70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'[wykresy do sprawozdania.xlsx]Arkusz1 (2)'!$J$73:$T$73</c:f>
              <c:numCache>
                <c:formatCode>General</c:formatCode>
                <c:ptCount val="11"/>
                <c:pt idx="0">
                  <c:v>2087</c:v>
                </c:pt>
                <c:pt idx="1">
                  <c:v>1448</c:v>
                </c:pt>
                <c:pt idx="2">
                  <c:v>1823</c:v>
                </c:pt>
                <c:pt idx="3">
                  <c:v>1973</c:v>
                </c:pt>
                <c:pt idx="4">
                  <c:v>1916</c:v>
                </c:pt>
                <c:pt idx="5">
                  <c:v>1850</c:v>
                </c:pt>
                <c:pt idx="6">
                  <c:v>1732</c:v>
                </c:pt>
                <c:pt idx="7">
                  <c:v>1598</c:v>
                </c:pt>
                <c:pt idx="8">
                  <c:v>1969</c:v>
                </c:pt>
                <c:pt idx="9">
                  <c:v>2201</c:v>
                </c:pt>
                <c:pt idx="10">
                  <c:v>2258</c:v>
                </c:pt>
              </c:numCache>
            </c:numRef>
          </c:val>
          <c:smooth val="0"/>
          <c:extLst>
            <c:ext xmlns:c16="http://schemas.microsoft.com/office/drawing/2014/chart" uri="{C3380CC4-5D6E-409C-BE32-E72D297353CC}">
              <c16:uniqueId val="{00000015-FF79-42DC-BE36-C3F1CA639455}"/>
            </c:ext>
          </c:extLst>
        </c:ser>
        <c:ser>
          <c:idx val="4"/>
          <c:order val="3"/>
          <c:tx>
            <c:strRef>
              <c:f>'[wykresy do sprawozdania.xlsx]Arkusz1 (2)'!$B$74</c:f>
              <c:strCache>
                <c:ptCount val="1"/>
                <c:pt idx="0">
                  <c:v>Produkcja artykułów spożywczych - PKD 10</c:v>
                </c:pt>
              </c:strCache>
            </c:strRef>
          </c:tx>
          <c:spPr>
            <a:ln>
              <a:solidFill>
                <a:srgbClr val="B9BDC2"/>
              </a:solidFill>
            </a:ln>
          </c:spPr>
          <c:marker>
            <c:symbol val="none"/>
          </c:marker>
          <c:dLbls>
            <c:dLbl>
              <c:idx val="0"/>
              <c:layout>
                <c:manualLayout>
                  <c:x val="-4.2237762237762246E-2"/>
                  <c:y val="6.20513067231158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F79-42DC-BE36-C3F1CA639455}"/>
                </c:ext>
              </c:extLst>
            </c:dLbl>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F79-42DC-BE36-C3F1CA639455}"/>
                </c:ext>
              </c:extLst>
            </c:dLbl>
            <c:dLbl>
              <c:idx val="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F79-42DC-BE36-C3F1CA639455}"/>
                </c:ext>
              </c:extLst>
            </c:dLbl>
            <c:dLbl>
              <c:idx val="3"/>
              <c:layout>
                <c:manualLayout>
                  <c:x val="-3.5327022356298435E-2"/>
                  <c:y val="2.7335676726349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F79-42DC-BE36-C3F1CA639455}"/>
                </c:ext>
              </c:extLst>
            </c:dLbl>
            <c:dLbl>
              <c:idx val="4"/>
              <c:layout>
                <c:manualLayout>
                  <c:x val="-4.2237762237762239E-2"/>
                  <c:y val="-2.0950334365027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FF79-42DC-BE36-C3F1CA639455}"/>
                </c:ext>
              </c:extLst>
            </c:dLbl>
            <c:dLbl>
              <c:idx val="5"/>
              <c:layout>
                <c:manualLayout>
                  <c:x val="-3.6643356643356578E-2"/>
                  <c:y val="2.9097187698788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FF79-42DC-BE36-C3F1CA639455}"/>
                </c:ext>
              </c:extLst>
            </c:dLbl>
            <c:dLbl>
              <c:idx val="6"/>
              <c:layout>
                <c:manualLayout>
                  <c:x val="-4.783216783216783E-2"/>
                  <c:y val="-1.4351556360953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FF79-42DC-BE36-C3F1CA639455}"/>
                </c:ext>
              </c:extLst>
            </c:dLbl>
            <c:spPr>
              <a:solidFill>
                <a:srgbClr val="B9BDC2"/>
              </a:solidFill>
              <a:ln>
                <a:solidFill>
                  <a:schemeClr val="bg1">
                    <a:lumMod val="75000"/>
                  </a:schemeClr>
                </a:solidFill>
              </a:ln>
            </c:spPr>
            <c:txPr>
              <a:bodyPr/>
              <a:lstStyle/>
              <a:p>
                <a:pPr>
                  <a:defRPr sz="11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'[wykresy do sprawozdania.xlsx]Arkusz1 (2)'!$J$70:$T$70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'[wykresy do sprawozdania.xlsx]Arkusz1 (2)'!$J$74:$T$74</c:f>
              <c:numCache>
                <c:formatCode>General</c:formatCode>
                <c:ptCount val="11"/>
                <c:pt idx="0">
                  <c:v>1094</c:v>
                </c:pt>
                <c:pt idx="1">
                  <c:v>1675</c:v>
                </c:pt>
                <c:pt idx="2">
                  <c:v>1892</c:v>
                </c:pt>
                <c:pt idx="3">
                  <c:v>1931</c:v>
                </c:pt>
                <c:pt idx="4">
                  <c:v>2290</c:v>
                </c:pt>
                <c:pt idx="5">
                  <c:v>2460</c:v>
                </c:pt>
                <c:pt idx="6">
                  <c:v>2474</c:v>
                </c:pt>
                <c:pt idx="7">
                  <c:v>3157</c:v>
                </c:pt>
                <c:pt idx="8">
                  <c:v>3809</c:v>
                </c:pt>
                <c:pt idx="9">
                  <c:v>3645</c:v>
                </c:pt>
                <c:pt idx="10">
                  <c:v>3966</c:v>
                </c:pt>
              </c:numCache>
            </c:numRef>
          </c:val>
          <c:smooth val="0"/>
          <c:extLst>
            <c:ext xmlns:c16="http://schemas.microsoft.com/office/drawing/2014/chart" uri="{C3380CC4-5D6E-409C-BE32-E72D297353CC}">
              <c16:uniqueId val="{0000001D-FF79-42DC-BE36-C3F1CA639455}"/>
            </c:ext>
          </c:extLst>
        </c:ser>
        <c:ser>
          <c:idx val="0"/>
          <c:order val="4"/>
          <c:tx>
            <c:strRef>
              <c:f>'[wykresy do sprawozdania.xlsx]Arkusz1 (2)'!$B$75</c:f>
              <c:strCache>
                <c:ptCount val="1"/>
                <c:pt idx="0">
                  <c:v>Produkcja wyrobów z gumy i tworzyw sztucznych - PKD 22</c:v>
                </c:pt>
              </c:strCache>
            </c:strRef>
          </c:tx>
          <c:spPr>
            <a:ln>
              <a:solidFill>
                <a:srgbClr val="A33ABD"/>
              </a:solidFill>
            </a:ln>
          </c:spPr>
          <c:marker>
            <c:symbol val="none"/>
          </c:marker>
          <c:dLbls>
            <c:dLbl>
              <c:idx val="0"/>
              <c:layout>
                <c:manualLayout>
                  <c:x val="-3.7221663653030805E-2"/>
                  <c:y val="-8.0252223681693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FF79-42DC-BE36-C3F1CA639455}"/>
                </c:ext>
              </c:extLst>
            </c:dLbl>
            <c:dLbl>
              <c:idx val="1"/>
              <c:layout>
                <c:manualLayout>
                  <c:x val="-2.6055164557121552E-2"/>
                  <c:y val="-2.67507412272313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FF79-42DC-BE36-C3F1CA639455}"/>
                </c:ext>
              </c:extLst>
            </c:dLbl>
            <c:dLbl>
              <c:idx val="2"/>
              <c:layout>
                <c:manualLayout>
                  <c:x val="-2.7916247739773126E-2"/>
                  <c:y val="5.3501482454462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FF79-42DC-BE36-C3F1CA639455}"/>
                </c:ext>
              </c:extLst>
            </c:dLbl>
            <c:dLbl>
              <c:idx val="3"/>
              <c:layout>
                <c:manualLayout>
                  <c:x val="-2.0471915009166935E-2"/>
                  <c:y val="8.0252223681693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FF79-42DC-BE36-C3F1CA639455}"/>
                </c:ext>
              </c:extLst>
            </c:dLbl>
            <c:dLbl>
              <c:idx val="4"/>
              <c:layout>
                <c:manualLayout>
                  <c:x val="-2.233299819181854E-2"/>
                  <c:y val="5.35014824544616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FF79-42DC-BE36-C3F1CA639455}"/>
                </c:ext>
              </c:extLst>
            </c:dLbl>
            <c:dLbl>
              <c:idx val="5"/>
              <c:layout>
                <c:manualLayout>
                  <c:x val="-1.8610831826515396E-2"/>
                  <c:y val="1.0700296490892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FF79-42DC-BE36-C3F1CA639455}"/>
                </c:ext>
              </c:extLst>
            </c:dLbl>
            <c:dLbl>
              <c:idx val="6"/>
              <c:layout>
                <c:manualLayout>
                  <c:x val="-2.4194081374470013E-2"/>
                  <c:y val="-9.80849180811712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FF79-42DC-BE36-C3F1CA639455}"/>
                </c:ext>
              </c:extLst>
            </c:dLbl>
            <c:dLbl>
              <c:idx val="7"/>
              <c:layout>
                <c:manualLayout>
                  <c:x val="-2.7916247739773227E-2"/>
                  <c:y val="2.2554245026679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FF79-42DC-BE36-C3F1CA639455}"/>
                </c:ext>
              </c:extLst>
            </c:dLbl>
            <c:dLbl>
              <c:idx val="8"/>
              <c:layout>
                <c:manualLayout>
                  <c:x val="-2.9777330922424631E-2"/>
                  <c:y val="1.6050444736338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FF79-42DC-BE36-C3F1CA639455}"/>
                </c:ext>
              </c:extLst>
            </c:dLbl>
            <c:dLbl>
              <c:idx val="9"/>
              <c:layout>
                <c:manualLayout>
                  <c:x val="-3.3499497287727845E-2"/>
                  <c:y val="-3.1331858321334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FF79-42DC-BE36-C3F1CA639455}"/>
                </c:ext>
              </c:extLst>
            </c:dLbl>
            <c:dLbl>
              <c:idx val="10"/>
              <c:layout>
                <c:manualLayout>
                  <c:x val="-2.5907450238372518E-2"/>
                  <c:y val="-1.7127004093916685E-2"/>
                </c:manualLayout>
              </c:layout>
              <c:spPr>
                <a:solidFill>
                  <a:srgbClr val="A33ABD"/>
                </a:solidFill>
                <a:ln>
                  <a:solidFill>
                    <a:srgbClr val="FFC000"/>
                  </a:solidFill>
                </a:ln>
                <a:effectLst/>
              </c:spPr>
              <c:txPr>
                <a:bodyPr wrap="square" lIns="38100" tIns="19050" rIns="38100" bIns="19050" anchor="ctr">
                  <a:spAutoFit/>
                </a:bodyPr>
                <a:lstStyle/>
                <a:p>
                  <a:pPr>
                    <a:defRPr>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FF79-42DC-BE36-C3F1CA639455}"/>
                </c:ext>
              </c:extLst>
            </c:dLbl>
            <c:spPr>
              <a:solidFill>
                <a:srgbClr val="A33ABD"/>
              </a:solidFill>
              <a:ln>
                <a:noFill/>
              </a:ln>
              <a:effectLst/>
            </c:spPr>
            <c:txPr>
              <a:bodyPr wrap="square" lIns="38100" tIns="19050" rIns="38100" bIns="19050" anchor="ctr">
                <a:spAutoFit/>
              </a:bodyPr>
              <a:lstStyle/>
              <a:p>
                <a:pPr>
                  <a:defRPr>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'[wykresy do sprawozdania.xlsx]Arkusz1 (2)'!$J$70:$T$70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'[wykresy do sprawozdania.xlsx]Arkusz1 (2)'!$J$75:$T$75</c:f>
              <c:numCache>
                <c:formatCode>General</c:formatCode>
                <c:ptCount val="11"/>
                <c:pt idx="0">
                  <c:v>189</c:v>
                </c:pt>
                <c:pt idx="1">
                  <c:v>318</c:v>
                </c:pt>
                <c:pt idx="2">
                  <c:v>467</c:v>
                </c:pt>
                <c:pt idx="3">
                  <c:v>539</c:v>
                </c:pt>
                <c:pt idx="4">
                  <c:v>853</c:v>
                </c:pt>
                <c:pt idx="5">
                  <c:v>907</c:v>
                </c:pt>
                <c:pt idx="6">
                  <c:v>870</c:v>
                </c:pt>
                <c:pt idx="7">
                  <c:v>865</c:v>
                </c:pt>
                <c:pt idx="8">
                  <c:v>959</c:v>
                </c:pt>
                <c:pt idx="9">
                  <c:v>1006</c:v>
                </c:pt>
                <c:pt idx="10">
                  <c:v>1059</c:v>
                </c:pt>
              </c:numCache>
            </c:numRef>
          </c:val>
          <c:smooth val="0"/>
          <c:extLst>
            <c:ext xmlns:c16="http://schemas.microsoft.com/office/drawing/2014/chart" uri="{C3380CC4-5D6E-409C-BE32-E72D297353CC}">
              <c16:uniqueId val="{00000029-FF79-42DC-BE36-C3F1CA639455}"/>
            </c:ext>
          </c:extLst>
        </c:ser>
        <c:dLbls>
          <c:showLegendKey val="0"/>
          <c:showVal val="1"/>
          <c:showCatName val="0"/>
          <c:showSerName val="0"/>
          <c:showPercent val="0"/>
          <c:showBubbleSize val="0"/>
        </c:dLbls>
        <c:smooth val="0"/>
        <c:axId val="388934160"/>
        <c:axId val="388934720"/>
      </c:lineChart>
      <c:catAx>
        <c:axId val="388934160"/>
        <c:scaling>
          <c:orientation val="minMax"/>
        </c:scaling>
        <c:delete val="0"/>
        <c:axPos val="b"/>
        <c:title>
          <c:tx>
            <c:rich>
              <a:bodyPr/>
              <a:lstStyle/>
              <a:p>
                <a:pPr>
                  <a:defRPr b="0"/>
                </a:pPr>
                <a:r>
                  <a:rPr lang="pl-PL" b="0"/>
                  <a:t>Lata</a:t>
                </a:r>
              </a:p>
            </c:rich>
          </c:tx>
          <c:overlay val="0"/>
        </c:title>
        <c:numFmt formatCode="General" sourceLinked="1"/>
        <c:majorTickMark val="none"/>
        <c:minorTickMark val="none"/>
        <c:tickLblPos val="nextTo"/>
        <c:crossAx val="388934720"/>
        <c:crosses val="autoZero"/>
        <c:auto val="1"/>
        <c:lblAlgn val="ctr"/>
        <c:lblOffset val="100"/>
        <c:noMultiLvlLbl val="0"/>
      </c:catAx>
      <c:valAx>
        <c:axId val="388934720"/>
        <c:scaling>
          <c:orientation val="minMax"/>
        </c:scaling>
        <c:delete val="0"/>
        <c:axPos val="l"/>
        <c:majorGridlines/>
        <c:title>
          <c:tx>
            <c:rich>
              <a:bodyPr/>
              <a:lstStyle/>
              <a:p>
                <a:pPr>
                  <a:defRPr b="0"/>
                </a:pPr>
                <a:r>
                  <a:rPr lang="pl-PL" b="0"/>
                  <a:t>Liczba</a:t>
                </a:r>
                <a:r>
                  <a:rPr lang="pl-PL" b="0" baseline="0"/>
                  <a:t> pracowników zatrudnionych w zakładach </a:t>
                </a:r>
                <a:br>
                  <a:rPr lang="pl-PL" b="0" baseline="0"/>
                </a:br>
                <a:r>
                  <a:rPr lang="pl-PL" b="0" baseline="0"/>
                  <a:t>z przekroczeniami NDS/NDN</a:t>
                </a:r>
                <a:endParaRPr lang="pl-PL" b="0"/>
              </a:p>
            </c:rich>
          </c:tx>
          <c:overlay val="0"/>
        </c:title>
        <c:numFmt formatCode="General" sourceLinked="1"/>
        <c:majorTickMark val="none"/>
        <c:minorTickMark val="none"/>
        <c:tickLblPos val="nextTo"/>
        <c:spPr>
          <a:ln w="9525">
            <a:noFill/>
          </a:ln>
        </c:spPr>
        <c:crossAx val="38893416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 (2)'!$B$331</c:f>
              <c:strCache>
                <c:ptCount val="1"/>
                <c:pt idx="0">
                  <c:v>Ogółem</c:v>
                </c:pt>
              </c:strCache>
            </c:strRef>
          </c:tx>
          <c:spPr>
            <a:ln>
              <a:solidFill>
                <a:srgbClr val="E5322D"/>
              </a:solidFill>
            </a:ln>
          </c:spPr>
          <c:marker>
            <c:symbol val="none"/>
          </c:marker>
          <c:dLbls>
            <c:dLbl>
              <c:idx val="6"/>
              <c:layout>
                <c:manualLayout>
                  <c:x val="-2.9461414502976284E-2"/>
                  <c:y val="-0.1022128473541472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FA-46F8-AD31-9F6949A6FD27}"/>
                </c:ext>
              </c:extLst>
            </c:dLbl>
            <c:dLbl>
              <c:idx val="7"/>
              <c:layout>
                <c:manualLayout>
                  <c:x val="-2.8913221727212435E-2"/>
                  <c:y val="-0.113018955974922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FA-46F8-AD31-9F6949A6FD27}"/>
                </c:ext>
              </c:extLst>
            </c:dLbl>
            <c:dLbl>
              <c:idx val="8"/>
              <c:layout>
                <c:manualLayout>
                  <c:x val="-2.9415887563890127E-2"/>
                  <c:y val="-7.18443693297643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FA-46F8-AD31-9F6949A6FD27}"/>
                </c:ext>
              </c:extLst>
            </c:dLbl>
            <c:dLbl>
              <c:idx val="11"/>
              <c:layout>
                <c:manualLayout>
                  <c:x val="-3.3390113433127699E-2"/>
                  <c:y val="-0.107326431911747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FA-46F8-AD31-9F6949A6FD27}"/>
                </c:ext>
              </c:extLst>
            </c:dLbl>
            <c:spPr>
              <a:solidFill>
                <a:srgbClr val="E5322D"/>
              </a:solidFill>
              <a:ln>
                <a:solidFill>
                  <a:srgbClr val="FF000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(2)'!$M$330:$W$330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(2)'!$M$331:$W$331</c:f>
              <c:numCache>
                <c:formatCode>General</c:formatCode>
                <c:ptCount val="11"/>
                <c:pt idx="0">
                  <c:v>3850</c:v>
                </c:pt>
                <c:pt idx="1">
                  <c:v>3607</c:v>
                </c:pt>
                <c:pt idx="2">
                  <c:v>3574</c:v>
                </c:pt>
                <c:pt idx="3">
                  <c:v>4331</c:v>
                </c:pt>
                <c:pt idx="4">
                  <c:v>4334</c:v>
                </c:pt>
                <c:pt idx="5">
                  <c:v>4220</c:v>
                </c:pt>
                <c:pt idx="6">
                  <c:v>767</c:v>
                </c:pt>
                <c:pt idx="7">
                  <c:v>3021</c:v>
                </c:pt>
                <c:pt idx="8">
                  <c:v>6444</c:v>
                </c:pt>
                <c:pt idx="9">
                  <c:v>7518</c:v>
                </c:pt>
                <c:pt idx="10">
                  <c:v>5946</c:v>
                </c:pt>
              </c:numCache>
            </c:numRef>
          </c:val>
          <c:smooth val="0"/>
          <c:extLst>
            <c:ext xmlns:c16="http://schemas.microsoft.com/office/drawing/2014/chart" uri="{C3380CC4-5D6E-409C-BE32-E72D297353CC}">
              <c16:uniqueId val="{00000004-95FA-46F8-AD31-9F6949A6FD27}"/>
            </c:ext>
          </c:extLst>
        </c:ser>
        <c:ser>
          <c:idx val="1"/>
          <c:order val="1"/>
          <c:tx>
            <c:strRef>
              <c:f>'Arkusz1 (2)'!$B$332</c:f>
              <c:strCache>
                <c:ptCount val="1"/>
                <c:pt idx="0">
                  <c:v>Kobiety</c:v>
                </c:pt>
              </c:strCache>
            </c:strRef>
          </c:tx>
          <c:spPr>
            <a:ln>
              <a:solidFill>
                <a:srgbClr val="064B93"/>
              </a:solidFill>
            </a:ln>
          </c:spPr>
          <c:marker>
            <c:symbol val="none"/>
          </c:marker>
          <c:dLbls>
            <c:dLbl>
              <c:idx val="5"/>
              <c:layout>
                <c:manualLayout>
                  <c:x val="-2.550711955427714E-2"/>
                  <c:y val="3.9954595796387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FA-46F8-AD31-9F6949A6FD27}"/>
                </c:ext>
              </c:extLst>
            </c:dLbl>
            <c:dLbl>
              <c:idx val="6"/>
              <c:layout>
                <c:manualLayout>
                  <c:x val="-2.9003232428468896E-2"/>
                  <c:y val="-3.13126416602250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FA-46F8-AD31-9F6949A6FD27}"/>
                </c:ext>
              </c:extLst>
            </c:dLbl>
            <c:dLbl>
              <c:idx val="7"/>
              <c:layout>
                <c:manualLayout>
                  <c:x val="-4.4060463816564345E-2"/>
                  <c:y val="2.92590762525576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FA-46F8-AD31-9F6949A6FD27}"/>
                </c:ext>
              </c:extLst>
            </c:dLbl>
            <c:dLbl>
              <c:idx val="8"/>
              <c:layout>
                <c:manualLayout>
                  <c:x val="-5.3110794284743128E-2"/>
                  <c:y val="4.6774526318538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FA-46F8-AD31-9F6949A6FD27}"/>
                </c:ext>
              </c:extLst>
            </c:dLbl>
            <c:dLbl>
              <c:idx val="9"/>
              <c:layout>
                <c:manualLayout>
                  <c:x val="-2.9415887563890127E-2"/>
                  <c:y val="2.2216838279830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FA-46F8-AD31-9F6949A6FD27}"/>
                </c:ext>
              </c:extLst>
            </c:dLbl>
            <c:dLbl>
              <c:idx val="11"/>
              <c:layout>
                <c:manualLayout>
                  <c:x val="-3.1520829926551877E-2"/>
                  <c:y val="-4.34842852765231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FA-46F8-AD31-9F6949A6FD27}"/>
                </c:ext>
              </c:extLst>
            </c:dLbl>
            <c:spPr>
              <a:solidFill>
                <a:srgbClr val="064B93"/>
              </a:solidFill>
              <a:ln>
                <a:solidFill>
                  <a:srgbClr val="0070C0"/>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(2)'!$M$330:$W$330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(2)'!$M$332:$W$332</c:f>
              <c:numCache>
                <c:formatCode>General</c:formatCode>
                <c:ptCount val="11"/>
                <c:pt idx="0">
                  <c:v>1732</c:v>
                </c:pt>
                <c:pt idx="1">
                  <c:v>1339</c:v>
                </c:pt>
                <c:pt idx="2">
                  <c:v>1458</c:v>
                </c:pt>
                <c:pt idx="3">
                  <c:v>2013</c:v>
                </c:pt>
                <c:pt idx="4">
                  <c:v>1890</c:v>
                </c:pt>
                <c:pt idx="5">
                  <c:v>1602</c:v>
                </c:pt>
                <c:pt idx="6">
                  <c:v>255</c:v>
                </c:pt>
                <c:pt idx="7">
                  <c:v>570</c:v>
                </c:pt>
                <c:pt idx="8">
                  <c:v>1866</c:v>
                </c:pt>
                <c:pt idx="9">
                  <c:v>2203</c:v>
                </c:pt>
                <c:pt idx="10">
                  <c:v>1948</c:v>
                </c:pt>
              </c:numCache>
            </c:numRef>
          </c:val>
          <c:smooth val="0"/>
          <c:extLst>
            <c:ext xmlns:c16="http://schemas.microsoft.com/office/drawing/2014/chart" uri="{C3380CC4-5D6E-409C-BE32-E72D297353CC}">
              <c16:uniqueId val="{0000000B-95FA-46F8-AD31-9F6949A6FD27}"/>
            </c:ext>
          </c:extLst>
        </c:ser>
        <c:ser>
          <c:idx val="2"/>
          <c:order val="2"/>
          <c:tx>
            <c:strRef>
              <c:f>'Arkusz1 (2)'!$B$333</c:f>
              <c:strCache>
                <c:ptCount val="1"/>
                <c:pt idx="0">
                  <c:v>Mężczyźni</c:v>
                </c:pt>
              </c:strCache>
            </c:strRef>
          </c:tx>
          <c:spPr>
            <a:ln>
              <a:solidFill>
                <a:srgbClr val="B9BDC2"/>
              </a:solidFill>
            </a:ln>
          </c:spPr>
          <c:marker>
            <c:symbol val="none"/>
          </c:marker>
          <c:dLbls>
            <c:dLbl>
              <c:idx val="0"/>
              <c:layout>
                <c:manualLayout>
                  <c:x val="-4.2002775508010834E-2"/>
                  <c:y val="-1.41768755332383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FA-46F8-AD31-9F6949A6FD27}"/>
                </c:ext>
              </c:extLst>
            </c:dLbl>
            <c:dLbl>
              <c:idx val="1"/>
              <c:layout>
                <c:manualLayout>
                  <c:x val="-3.4566522537276906E-2"/>
                  <c:y val="-2.6037526946848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5FA-46F8-AD31-9F6949A6FD27}"/>
                </c:ext>
              </c:extLst>
            </c:dLbl>
            <c:dLbl>
              <c:idx val="2"/>
              <c:layout>
                <c:manualLayout>
                  <c:x val="-4.0129804061516755E-2"/>
                  <c:y val="-2.2737343936226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5FA-46F8-AD31-9F6949A6FD27}"/>
                </c:ext>
              </c:extLst>
            </c:dLbl>
            <c:dLbl>
              <c:idx val="3"/>
              <c:layout>
                <c:manualLayout>
                  <c:x val="-3.4566522537276906E-2"/>
                  <c:y val="-3.2679314589398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5FA-46F8-AD31-9F6949A6FD27}"/>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5FA-46F8-AD31-9F6949A6FD27}"/>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5FA-46F8-AD31-9F6949A6FD27}"/>
                </c:ext>
              </c:extLst>
            </c:dLbl>
            <c:dLbl>
              <c:idx val="6"/>
              <c:layout>
                <c:manualLayout>
                  <c:x val="-2.7604117233188712E-2"/>
                  <c:y val="-4.5640467986426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5FA-46F8-AD31-9F6949A6FD27}"/>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5FA-46F8-AD31-9F6949A6FD27}"/>
                </c:ext>
              </c:extLst>
            </c:dLbl>
            <c:dLbl>
              <c:idx val="8"/>
              <c:layout>
                <c:manualLayout>
                  <c:x val="-1.2313396440317525E-2"/>
                  <c:y val="-6.36746709390854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5FA-46F8-AD31-9F6949A6FD27}"/>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5FA-46F8-AD31-9F6949A6FD27}"/>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5FA-46F8-AD31-9F6949A6FD27}"/>
                </c:ext>
              </c:extLst>
            </c:dLbl>
            <c:dLbl>
              <c:idx val="11"/>
              <c:layout>
                <c:manualLayout>
                  <c:x val="-3.1520829926551877E-2"/>
                  <c:y val="-5.8493944602102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5FA-46F8-AD31-9F6949A6FD27}"/>
                </c:ext>
              </c:extLst>
            </c:dLbl>
            <c:spPr>
              <a:solidFill>
                <a:srgbClr val="B9BDC2"/>
              </a:solidFill>
              <a:ln>
                <a:solidFill>
                  <a:schemeClr val="accent5">
                    <a:lumMod val="60000"/>
                    <a:lumOff val="40000"/>
                  </a:schemeClr>
                </a:solidFill>
              </a:ln>
            </c:spPr>
            <c:txPr>
              <a:bodyPr/>
              <a:lstStyle/>
              <a:p>
                <a:pPr>
                  <a:defRPr sz="1100">
                    <a:solidFill>
                      <a:schemeClr val="tx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(2)'!$M$330:$W$330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(2)'!$M$333:$W$333</c:f>
              <c:numCache>
                <c:formatCode>General</c:formatCode>
                <c:ptCount val="11"/>
                <c:pt idx="0">
                  <c:v>2118</c:v>
                </c:pt>
                <c:pt idx="1">
                  <c:v>2268</c:v>
                </c:pt>
                <c:pt idx="2">
                  <c:v>2116</c:v>
                </c:pt>
                <c:pt idx="3">
                  <c:v>2318</c:v>
                </c:pt>
                <c:pt idx="4">
                  <c:v>2444</c:v>
                </c:pt>
                <c:pt idx="5">
                  <c:v>2618</c:v>
                </c:pt>
                <c:pt idx="6">
                  <c:v>512</c:v>
                </c:pt>
                <c:pt idx="7">
                  <c:v>2451</c:v>
                </c:pt>
                <c:pt idx="8">
                  <c:v>4578</c:v>
                </c:pt>
                <c:pt idx="9">
                  <c:v>5315</c:v>
                </c:pt>
                <c:pt idx="10">
                  <c:v>3998</c:v>
                </c:pt>
              </c:numCache>
            </c:numRef>
          </c:val>
          <c:smooth val="0"/>
          <c:extLst>
            <c:ext xmlns:c16="http://schemas.microsoft.com/office/drawing/2014/chart" uri="{C3380CC4-5D6E-409C-BE32-E72D297353CC}">
              <c16:uniqueId val="{00000018-95FA-46F8-AD31-9F6949A6FD27}"/>
            </c:ext>
          </c:extLst>
        </c:ser>
        <c:dLbls>
          <c:showLegendKey val="0"/>
          <c:showVal val="1"/>
          <c:showCatName val="0"/>
          <c:showSerName val="0"/>
          <c:showPercent val="0"/>
          <c:showBubbleSize val="0"/>
        </c:dLbls>
        <c:smooth val="0"/>
        <c:axId val="373992448"/>
        <c:axId val="373993008"/>
      </c:lineChart>
      <c:catAx>
        <c:axId val="373992448"/>
        <c:scaling>
          <c:orientation val="minMax"/>
        </c:scaling>
        <c:delete val="0"/>
        <c:axPos val="b"/>
        <c:title>
          <c:tx>
            <c:rich>
              <a:bodyPr/>
              <a:lstStyle/>
              <a:p>
                <a:pPr>
                  <a:defRPr b="0"/>
                </a:pPr>
                <a:r>
                  <a:rPr lang="pl-PL" b="0"/>
                  <a:t>Lata</a:t>
                </a:r>
              </a:p>
            </c:rich>
          </c:tx>
          <c:overlay val="0"/>
        </c:title>
        <c:numFmt formatCode="General" sourceLinked="1"/>
        <c:majorTickMark val="none"/>
        <c:minorTickMark val="none"/>
        <c:tickLblPos val="nextTo"/>
        <c:crossAx val="373993008"/>
        <c:crosses val="autoZero"/>
        <c:auto val="1"/>
        <c:lblAlgn val="ctr"/>
        <c:lblOffset val="100"/>
        <c:noMultiLvlLbl val="0"/>
      </c:catAx>
      <c:valAx>
        <c:axId val="373993008"/>
        <c:scaling>
          <c:orientation val="minMax"/>
        </c:scaling>
        <c:delete val="0"/>
        <c:axPos val="l"/>
        <c:majorGridlines/>
        <c:title>
          <c:tx>
            <c:rich>
              <a:bodyPr/>
              <a:lstStyle/>
              <a:p>
                <a:pPr>
                  <a:defRPr b="0"/>
                </a:pPr>
                <a:r>
                  <a:rPr lang="pl-PL" b="0"/>
                  <a:t>Liczba</a:t>
                </a:r>
                <a:r>
                  <a:rPr lang="pl-PL" b="0" baseline="0"/>
                  <a:t> osób narażonych na czynniki rakotwórcze</a:t>
                </a:r>
                <a:endParaRPr lang="pl-PL" b="0"/>
              </a:p>
            </c:rich>
          </c:tx>
          <c:overlay val="0"/>
        </c:title>
        <c:numFmt formatCode="General" sourceLinked="1"/>
        <c:majorTickMark val="none"/>
        <c:minorTickMark val="none"/>
        <c:tickLblPos val="nextTo"/>
        <c:spPr>
          <a:ln w="9525">
            <a:noFill/>
          </a:ln>
        </c:spPr>
        <c:crossAx val="37399244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 (2)'!$B$403</c:f>
              <c:strCache>
                <c:ptCount val="1"/>
                <c:pt idx="0">
                  <c:v>Ogółem</c:v>
                </c:pt>
              </c:strCache>
            </c:strRef>
          </c:tx>
          <c:spPr>
            <a:solidFill>
              <a:srgbClr val="064B93"/>
            </a:solidFill>
            <a:ln>
              <a:noFill/>
            </a:ln>
          </c:spPr>
          <c:invertIfNegative val="0"/>
          <c:dLbls>
            <c:dLbl>
              <c:idx val="6"/>
              <c:layout>
                <c:manualLayout>
                  <c:x val="-6.7236380621568672E-17"/>
                  <c:y val="-4.6126543744503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7B-4BA4-9D06-F4BA86F50942}"/>
                </c:ext>
              </c:extLst>
            </c:dLbl>
            <c:dLbl>
              <c:idx val="7"/>
              <c:layout>
                <c:manualLayout>
                  <c:x val="-1.3239899147416634E-16"/>
                  <c:y val="-3.9320822162645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7B-4BA4-9D06-F4BA86F50942}"/>
                </c:ext>
              </c:extLst>
            </c:dLbl>
            <c:dLbl>
              <c:idx val="8"/>
              <c:layout>
                <c:manualLayout>
                  <c:x val="0"/>
                  <c:y val="-3.1746031746031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7B-4BA4-9D06-F4BA86F50942}"/>
                </c:ext>
              </c:extLst>
            </c:dLbl>
            <c:spPr>
              <a:solidFill>
                <a:srgbClr val="064B93"/>
              </a:solidFill>
              <a:ln>
                <a:no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(2)'!$I$402:$S$402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(2)'!$I$403:$S$403</c:f>
              <c:numCache>
                <c:formatCode>General</c:formatCode>
                <c:ptCount val="11"/>
                <c:pt idx="0">
                  <c:v>21882</c:v>
                </c:pt>
                <c:pt idx="1">
                  <c:v>21677</c:v>
                </c:pt>
                <c:pt idx="2">
                  <c:v>21846</c:v>
                </c:pt>
                <c:pt idx="3">
                  <c:v>23274</c:v>
                </c:pt>
                <c:pt idx="4">
                  <c:v>24258</c:v>
                </c:pt>
                <c:pt idx="5">
                  <c:v>22507</c:v>
                </c:pt>
                <c:pt idx="6">
                  <c:v>5205</c:v>
                </c:pt>
                <c:pt idx="7">
                  <c:v>13574</c:v>
                </c:pt>
                <c:pt idx="8">
                  <c:v>13116</c:v>
                </c:pt>
                <c:pt idx="9">
                  <c:v>32890</c:v>
                </c:pt>
                <c:pt idx="10">
                  <c:v>24929</c:v>
                </c:pt>
              </c:numCache>
            </c:numRef>
          </c:val>
          <c:extLst>
            <c:ext xmlns:c16="http://schemas.microsoft.com/office/drawing/2014/chart" uri="{C3380CC4-5D6E-409C-BE32-E72D297353CC}">
              <c16:uniqueId val="{00000003-8E7B-4BA4-9D06-F4BA86F50942}"/>
            </c:ext>
          </c:extLst>
        </c:ser>
        <c:dLbls>
          <c:showLegendKey val="0"/>
          <c:showVal val="1"/>
          <c:showCatName val="0"/>
          <c:showSerName val="0"/>
          <c:showPercent val="0"/>
          <c:showBubbleSize val="0"/>
        </c:dLbls>
        <c:gapWidth val="150"/>
        <c:axId val="383950928"/>
        <c:axId val="383951488"/>
      </c:barChart>
      <c:lineChart>
        <c:grouping val="standard"/>
        <c:varyColors val="0"/>
        <c:ser>
          <c:idx val="1"/>
          <c:order val="1"/>
          <c:tx>
            <c:strRef>
              <c:f>'Arkusz1 (2)'!$B$404</c:f>
              <c:strCache>
                <c:ptCount val="1"/>
                <c:pt idx="0">
                  <c:v>Grupa 2</c:v>
                </c:pt>
              </c:strCache>
            </c:strRef>
          </c:tx>
          <c:spPr>
            <a:ln>
              <a:solidFill>
                <a:srgbClr val="E5322D"/>
              </a:solidFill>
            </a:ln>
          </c:spPr>
          <c:marker>
            <c:symbol val="none"/>
          </c:marker>
          <c:dLbls>
            <c:dLbl>
              <c:idx val="0"/>
              <c:layout>
                <c:manualLayout>
                  <c:x val="-4.9771134377433593E-2"/>
                  <c:y val="4.621700065269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7B-4BA4-9D06-F4BA86F50942}"/>
                </c:ext>
              </c:extLst>
            </c:dLbl>
            <c:dLbl>
              <c:idx val="2"/>
              <c:layout>
                <c:manualLayout>
                  <c:x val="-3.8782123388422601E-2"/>
                  <c:y val="3.9162326931355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7B-4BA4-9D06-F4BA86F50942}"/>
                </c:ext>
              </c:extLst>
            </c:dLbl>
            <c:dLbl>
              <c:idx val="3"/>
              <c:layout>
                <c:manualLayout>
                  <c:x val="-3.3287617893917112E-2"/>
                  <c:y val="6.7380744073657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7B-4BA4-9D06-F4BA86F50942}"/>
                </c:ext>
              </c:extLst>
            </c:dLbl>
            <c:dLbl>
              <c:idx val="4"/>
              <c:layout>
                <c:manualLayout>
                  <c:x val="-2.5961610567909781E-2"/>
                  <c:y val="3.2107653210015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7B-4BA4-9D06-F4BA86F50942}"/>
                </c:ext>
              </c:extLst>
            </c:dLbl>
            <c:dLbl>
              <c:idx val="6"/>
              <c:layout>
                <c:manualLayout>
                  <c:x val="-3.5137069948109473E-2"/>
                  <c:y val="1.531032463474634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7B-4BA4-9D06-F4BA86F50942}"/>
                </c:ext>
              </c:extLst>
            </c:dLbl>
            <c:dLbl>
              <c:idx val="7"/>
              <c:layout>
                <c:manualLayout>
                  <c:x val="-4.0978472462268982E-2"/>
                  <c:y val="-2.92985971495975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7B-4BA4-9D06-F4BA86F50942}"/>
                </c:ext>
              </c:extLst>
            </c:dLbl>
            <c:dLbl>
              <c:idx val="8"/>
              <c:layout>
                <c:manualLayout>
                  <c:x val="-3.5989010989010986E-2"/>
                  <c:y val="2.0158869030260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E7B-4BA4-9D06-F4BA86F50942}"/>
                </c:ext>
              </c:extLst>
            </c:dLbl>
            <c:dLbl>
              <c:idx val="9"/>
              <c:layout>
                <c:manualLayout>
                  <c:x val="-4.1094430503879321E-2"/>
                  <c:y val="-1.005152133761057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7B-4BA4-9D06-F4BA86F50942}"/>
                </c:ext>
              </c:extLst>
            </c:dLbl>
            <c:dLbl>
              <c:idx val="10"/>
              <c:layout>
                <c:manualLayout>
                  <c:x val="-3.0456858564967902E-2"/>
                  <c:y val="3.4727575943087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7B-4BA4-9D06-F4BA86F50942}"/>
                </c:ext>
              </c:extLst>
            </c:dLbl>
            <c:spPr>
              <a:solidFill>
                <a:srgbClr val="E5322D"/>
              </a:solidFill>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(2)'!$I$402:$S$402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(2)'!$I$404:$S$404</c:f>
              <c:numCache>
                <c:formatCode>General</c:formatCode>
                <c:ptCount val="11"/>
                <c:pt idx="0">
                  <c:v>21707</c:v>
                </c:pt>
                <c:pt idx="1">
                  <c:v>21120</c:v>
                </c:pt>
                <c:pt idx="2">
                  <c:v>21552</c:v>
                </c:pt>
                <c:pt idx="3">
                  <c:v>22851</c:v>
                </c:pt>
                <c:pt idx="4">
                  <c:v>24181</c:v>
                </c:pt>
                <c:pt idx="5">
                  <c:v>22388</c:v>
                </c:pt>
                <c:pt idx="6">
                  <c:v>5178</c:v>
                </c:pt>
                <c:pt idx="7">
                  <c:v>10551</c:v>
                </c:pt>
                <c:pt idx="8">
                  <c:v>12249</c:v>
                </c:pt>
                <c:pt idx="9">
                  <c:v>29008</c:v>
                </c:pt>
                <c:pt idx="10">
                  <c:v>22429</c:v>
                </c:pt>
              </c:numCache>
            </c:numRef>
          </c:val>
          <c:smooth val="0"/>
          <c:extLst>
            <c:ext xmlns:c16="http://schemas.microsoft.com/office/drawing/2014/chart" uri="{C3380CC4-5D6E-409C-BE32-E72D297353CC}">
              <c16:uniqueId val="{0000000D-8E7B-4BA4-9D06-F4BA86F50942}"/>
            </c:ext>
          </c:extLst>
        </c:ser>
        <c:ser>
          <c:idx val="2"/>
          <c:order val="2"/>
          <c:tx>
            <c:strRef>
              <c:f>'Arkusz1 (2)'!$B$405</c:f>
              <c:strCache>
                <c:ptCount val="1"/>
                <c:pt idx="0">
                  <c:v>Grupa 3</c:v>
                </c:pt>
              </c:strCache>
            </c:strRef>
          </c:tx>
          <c:spPr>
            <a:ln>
              <a:solidFill>
                <a:srgbClr val="B9BDC2"/>
              </a:solidFill>
            </a:ln>
          </c:spPr>
          <c:marker>
            <c:symbol val="none"/>
          </c:marker>
          <c:dLbls>
            <c:dLbl>
              <c:idx val="6"/>
              <c:layout>
                <c:manualLayout>
                  <c:x val="-3.6033003866449455E-2"/>
                  <c:y val="2.3826273634615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E7B-4BA4-9D06-F4BA86F50942}"/>
                </c:ext>
              </c:extLst>
            </c:dLbl>
            <c:dLbl>
              <c:idx val="7"/>
              <c:layout>
                <c:manualLayout>
                  <c:x val="-3.5477321411410537E-2"/>
                  <c:y val="2.757833554987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7B-4BA4-9D06-F4BA86F50942}"/>
                </c:ext>
              </c:extLst>
            </c:dLbl>
            <c:dLbl>
              <c:idx val="10"/>
              <c:layout>
                <c:manualLayout>
                  <c:x val="-2.9929436303597463E-2"/>
                  <c:y val="2.29296404973507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E7B-4BA4-9D06-F4BA86F50942}"/>
                </c:ext>
              </c:extLst>
            </c:dLbl>
            <c:spPr>
              <a:solidFill>
                <a:srgbClr val="B9BDC2"/>
              </a:solidFill>
            </c:spPr>
            <c:txPr>
              <a:bodyPr/>
              <a:lstStyle/>
              <a:p>
                <a:pPr>
                  <a:defRPr sz="1100">
                    <a:solidFill>
                      <a:schemeClr val="tx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(2)'!$I$402:$S$402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(2)'!$I$405:$S$405</c:f>
              <c:numCache>
                <c:formatCode>General</c:formatCode>
                <c:ptCount val="11"/>
                <c:pt idx="0">
                  <c:v>10594</c:v>
                </c:pt>
                <c:pt idx="1">
                  <c:v>10908</c:v>
                </c:pt>
                <c:pt idx="2">
                  <c:v>10511</c:v>
                </c:pt>
                <c:pt idx="3">
                  <c:v>10838</c:v>
                </c:pt>
                <c:pt idx="4">
                  <c:v>12376</c:v>
                </c:pt>
                <c:pt idx="5">
                  <c:v>10900</c:v>
                </c:pt>
                <c:pt idx="6">
                  <c:v>2603</c:v>
                </c:pt>
                <c:pt idx="7">
                  <c:v>9336</c:v>
                </c:pt>
                <c:pt idx="8">
                  <c:v>7238</c:v>
                </c:pt>
                <c:pt idx="9">
                  <c:v>20368</c:v>
                </c:pt>
                <c:pt idx="10">
                  <c:v>12723</c:v>
                </c:pt>
              </c:numCache>
            </c:numRef>
          </c:val>
          <c:smooth val="0"/>
          <c:extLst>
            <c:ext xmlns:c16="http://schemas.microsoft.com/office/drawing/2014/chart" uri="{C3380CC4-5D6E-409C-BE32-E72D297353CC}">
              <c16:uniqueId val="{00000011-8E7B-4BA4-9D06-F4BA86F50942}"/>
            </c:ext>
          </c:extLst>
        </c:ser>
        <c:dLbls>
          <c:showLegendKey val="0"/>
          <c:showVal val="0"/>
          <c:showCatName val="0"/>
          <c:showSerName val="0"/>
          <c:showPercent val="0"/>
          <c:showBubbleSize val="0"/>
        </c:dLbls>
        <c:marker val="1"/>
        <c:smooth val="0"/>
        <c:axId val="383950928"/>
        <c:axId val="383951488"/>
      </c:lineChart>
      <c:catAx>
        <c:axId val="383950928"/>
        <c:scaling>
          <c:orientation val="minMax"/>
        </c:scaling>
        <c:delete val="0"/>
        <c:axPos val="b"/>
        <c:title>
          <c:tx>
            <c:rich>
              <a:bodyPr/>
              <a:lstStyle/>
              <a:p>
                <a:pPr>
                  <a:defRPr b="0"/>
                </a:pPr>
                <a:r>
                  <a:rPr lang="pl-PL" b="0"/>
                  <a:t>L</a:t>
                </a:r>
                <a:r>
                  <a:rPr lang="en-US" b="0"/>
                  <a:t>ata </a:t>
                </a:r>
              </a:p>
            </c:rich>
          </c:tx>
          <c:overlay val="0"/>
        </c:title>
        <c:numFmt formatCode="General" sourceLinked="1"/>
        <c:majorTickMark val="none"/>
        <c:minorTickMark val="none"/>
        <c:tickLblPos val="nextTo"/>
        <c:crossAx val="383951488"/>
        <c:crosses val="autoZero"/>
        <c:auto val="1"/>
        <c:lblAlgn val="ctr"/>
        <c:lblOffset val="100"/>
        <c:noMultiLvlLbl val="0"/>
      </c:catAx>
      <c:valAx>
        <c:axId val="383951488"/>
        <c:scaling>
          <c:orientation val="minMax"/>
        </c:scaling>
        <c:delete val="0"/>
        <c:axPos val="l"/>
        <c:majorGridlines/>
        <c:title>
          <c:tx>
            <c:rich>
              <a:bodyPr/>
              <a:lstStyle/>
              <a:p>
                <a:pPr>
                  <a:defRPr b="0"/>
                </a:pPr>
                <a:r>
                  <a:rPr lang="pl-PL" b="0"/>
                  <a:t>Liczba osób narażonych na czynniki biologiczne</a:t>
                </a:r>
                <a:endParaRPr lang="en-US" b="0"/>
              </a:p>
            </c:rich>
          </c:tx>
          <c:overlay val="0"/>
        </c:title>
        <c:numFmt formatCode="General" sourceLinked="1"/>
        <c:majorTickMark val="none"/>
        <c:minorTickMark val="none"/>
        <c:tickLblPos val="nextTo"/>
        <c:spPr>
          <a:ln w="9525">
            <a:noFill/>
          </a:ln>
        </c:spPr>
        <c:crossAx val="38395092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 (2)'!$B$164</c:f>
              <c:strCache>
                <c:ptCount val="1"/>
                <c:pt idx="0">
                  <c:v>Zgłoszenia podejrzeń chorób zawodowych</c:v>
                </c:pt>
              </c:strCache>
            </c:strRef>
          </c:tx>
          <c:spPr>
            <a:solidFill>
              <a:srgbClr val="064B93"/>
            </a:solidFill>
            <a:ln>
              <a:noFill/>
            </a:ln>
          </c:spPr>
          <c:invertIfNegative val="0"/>
          <c:dLbls>
            <c:spPr>
              <a:solidFill>
                <a:srgbClr val="064B93"/>
              </a:solidFill>
              <a:ln>
                <a:no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(2)'!$L$163:$V$163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(2)'!$L$164:$V$164</c:f>
              <c:numCache>
                <c:formatCode>General</c:formatCode>
                <c:ptCount val="11"/>
                <c:pt idx="0">
                  <c:v>140</c:v>
                </c:pt>
                <c:pt idx="1">
                  <c:v>126</c:v>
                </c:pt>
                <c:pt idx="2">
                  <c:v>129</c:v>
                </c:pt>
                <c:pt idx="3">
                  <c:v>173</c:v>
                </c:pt>
                <c:pt idx="4">
                  <c:v>189</c:v>
                </c:pt>
                <c:pt idx="5">
                  <c:v>159</c:v>
                </c:pt>
                <c:pt idx="6">
                  <c:v>104</c:v>
                </c:pt>
                <c:pt idx="7">
                  <c:v>111</c:v>
                </c:pt>
                <c:pt idx="8">
                  <c:v>147</c:v>
                </c:pt>
                <c:pt idx="9">
                  <c:v>140</c:v>
                </c:pt>
                <c:pt idx="10">
                  <c:v>153</c:v>
                </c:pt>
              </c:numCache>
            </c:numRef>
          </c:val>
          <c:extLst>
            <c:ext xmlns:c16="http://schemas.microsoft.com/office/drawing/2014/chart" uri="{C3380CC4-5D6E-409C-BE32-E72D297353CC}">
              <c16:uniqueId val="{00000000-0C7E-4222-8BF7-9FCD5437D750}"/>
            </c:ext>
          </c:extLst>
        </c:ser>
        <c:dLbls>
          <c:showLegendKey val="0"/>
          <c:showVal val="1"/>
          <c:showCatName val="0"/>
          <c:showSerName val="0"/>
          <c:showPercent val="0"/>
          <c:showBubbleSize val="0"/>
        </c:dLbls>
        <c:gapWidth val="150"/>
        <c:axId val="330344816"/>
        <c:axId val="330346496"/>
      </c:barChart>
      <c:lineChart>
        <c:grouping val="standard"/>
        <c:varyColors val="0"/>
        <c:ser>
          <c:idx val="1"/>
          <c:order val="1"/>
          <c:tx>
            <c:strRef>
              <c:f>'Arkusz1 (2)'!$B$165</c:f>
              <c:strCache>
                <c:ptCount val="1"/>
                <c:pt idx="0">
                  <c:v>Liczba stwierdzonych chorób zawodowych</c:v>
                </c:pt>
              </c:strCache>
            </c:strRef>
          </c:tx>
          <c:spPr>
            <a:ln>
              <a:solidFill>
                <a:srgbClr val="E5322D"/>
              </a:solidFill>
            </a:ln>
          </c:spPr>
          <c:marker>
            <c:symbol val="none"/>
          </c:marker>
          <c:dLbls>
            <c:spPr>
              <a:solidFill>
                <a:srgbClr val="E5322D"/>
              </a:solidFill>
              <a:ln>
                <a:no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(2)'!$L$163:$V$163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(2)'!$L$165:$V$165</c:f>
              <c:numCache>
                <c:formatCode>General</c:formatCode>
                <c:ptCount val="11"/>
                <c:pt idx="0">
                  <c:v>80</c:v>
                </c:pt>
                <c:pt idx="1">
                  <c:v>65</c:v>
                </c:pt>
                <c:pt idx="2">
                  <c:v>76</c:v>
                </c:pt>
                <c:pt idx="3">
                  <c:v>83</c:v>
                </c:pt>
                <c:pt idx="4">
                  <c:v>99</c:v>
                </c:pt>
                <c:pt idx="5">
                  <c:v>95</c:v>
                </c:pt>
                <c:pt idx="6">
                  <c:v>76</c:v>
                </c:pt>
                <c:pt idx="7">
                  <c:v>72</c:v>
                </c:pt>
                <c:pt idx="8">
                  <c:v>79</c:v>
                </c:pt>
                <c:pt idx="9">
                  <c:v>84</c:v>
                </c:pt>
                <c:pt idx="10">
                  <c:v>60</c:v>
                </c:pt>
              </c:numCache>
            </c:numRef>
          </c:val>
          <c:smooth val="0"/>
          <c:extLst>
            <c:ext xmlns:c16="http://schemas.microsoft.com/office/drawing/2014/chart" uri="{C3380CC4-5D6E-409C-BE32-E72D297353CC}">
              <c16:uniqueId val="{00000001-0C7E-4222-8BF7-9FCD5437D750}"/>
            </c:ext>
          </c:extLst>
        </c:ser>
        <c:dLbls>
          <c:showLegendKey val="0"/>
          <c:showVal val="0"/>
          <c:showCatName val="0"/>
          <c:showSerName val="0"/>
          <c:showPercent val="0"/>
          <c:showBubbleSize val="0"/>
        </c:dLbls>
        <c:marker val="1"/>
        <c:smooth val="0"/>
        <c:axId val="330344816"/>
        <c:axId val="330346496"/>
      </c:lineChart>
      <c:catAx>
        <c:axId val="330344816"/>
        <c:scaling>
          <c:orientation val="minMax"/>
        </c:scaling>
        <c:delete val="0"/>
        <c:axPos val="b"/>
        <c:title>
          <c:tx>
            <c:rich>
              <a:bodyPr/>
              <a:lstStyle/>
              <a:p>
                <a:pPr>
                  <a:defRPr b="0"/>
                </a:pPr>
                <a:r>
                  <a:rPr lang="pl-PL" b="0"/>
                  <a:t>Lata</a:t>
                </a:r>
              </a:p>
            </c:rich>
          </c:tx>
          <c:overlay val="0"/>
        </c:title>
        <c:numFmt formatCode="General" sourceLinked="1"/>
        <c:majorTickMark val="out"/>
        <c:minorTickMark val="none"/>
        <c:tickLblPos val="nextTo"/>
        <c:crossAx val="330346496"/>
        <c:crosses val="autoZero"/>
        <c:auto val="1"/>
        <c:lblAlgn val="ctr"/>
        <c:lblOffset val="100"/>
        <c:noMultiLvlLbl val="0"/>
      </c:catAx>
      <c:valAx>
        <c:axId val="330346496"/>
        <c:scaling>
          <c:orientation val="minMax"/>
        </c:scaling>
        <c:delete val="0"/>
        <c:axPos val="l"/>
        <c:majorGridlines/>
        <c:title>
          <c:tx>
            <c:rich>
              <a:bodyPr/>
              <a:lstStyle/>
              <a:p>
                <a:pPr>
                  <a:defRPr/>
                </a:pPr>
                <a:r>
                  <a:rPr lang="pl-PL" b="0"/>
                  <a:t>Liczba zgłoszeń podejrzeń chorób zawodowych/stwierdzonych chorób zawodowych</a:t>
                </a:r>
              </a:p>
            </c:rich>
          </c:tx>
          <c:overlay val="0"/>
        </c:title>
        <c:numFmt formatCode="General" sourceLinked="1"/>
        <c:majorTickMark val="out"/>
        <c:minorTickMark val="none"/>
        <c:tickLblPos val="nextTo"/>
        <c:spPr>
          <a:ln w="9525">
            <a:noFill/>
          </a:ln>
        </c:spPr>
        <c:crossAx val="33034481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 (2)'!$B$260</c:f>
              <c:strCache>
                <c:ptCount val="1"/>
                <c:pt idx="0">
                  <c:v>Stwierdzone choroby zawodowe - ogółem</c:v>
                </c:pt>
              </c:strCache>
            </c:strRef>
          </c:tx>
          <c:spPr>
            <a:solidFill>
              <a:srgbClr val="064B93"/>
            </a:solidFill>
            <a:ln>
              <a:noFill/>
            </a:ln>
          </c:spPr>
          <c:invertIfNegative val="0"/>
          <c:dLbls>
            <c:spPr>
              <a:solidFill>
                <a:srgbClr val="064B93"/>
              </a:solidFill>
              <a:ln>
                <a:no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(2)'!$M$259:$W$259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(2)'!$M$260:$W$260</c:f>
              <c:numCache>
                <c:formatCode>General</c:formatCode>
                <c:ptCount val="11"/>
                <c:pt idx="0">
                  <c:v>80</c:v>
                </c:pt>
                <c:pt idx="1">
                  <c:v>65</c:v>
                </c:pt>
                <c:pt idx="2">
                  <c:v>76</c:v>
                </c:pt>
                <c:pt idx="3">
                  <c:v>83</c:v>
                </c:pt>
                <c:pt idx="4">
                  <c:v>99</c:v>
                </c:pt>
                <c:pt idx="5">
                  <c:v>95</c:v>
                </c:pt>
                <c:pt idx="6">
                  <c:v>76</c:v>
                </c:pt>
                <c:pt idx="7">
                  <c:v>72</c:v>
                </c:pt>
                <c:pt idx="8">
                  <c:v>79</c:v>
                </c:pt>
                <c:pt idx="9">
                  <c:v>84</c:v>
                </c:pt>
                <c:pt idx="10">
                  <c:v>60</c:v>
                </c:pt>
              </c:numCache>
            </c:numRef>
          </c:val>
          <c:extLst>
            <c:ext xmlns:c16="http://schemas.microsoft.com/office/drawing/2014/chart" uri="{C3380CC4-5D6E-409C-BE32-E72D297353CC}">
              <c16:uniqueId val="{00000000-2FD5-4CBB-AC4F-868EF7522012}"/>
            </c:ext>
          </c:extLst>
        </c:ser>
        <c:ser>
          <c:idx val="1"/>
          <c:order val="1"/>
          <c:tx>
            <c:strRef>
              <c:f>'Arkusz1 (2)'!$B$261</c:f>
              <c:strCache>
                <c:ptCount val="1"/>
                <c:pt idx="0">
                  <c:v>Choroby zakaźne lub pasożytnicze albo ich następstwa - ogółem</c:v>
                </c:pt>
              </c:strCache>
            </c:strRef>
          </c:tx>
          <c:spPr>
            <a:solidFill>
              <a:srgbClr val="B9BDC2"/>
            </a:solidFill>
            <a:ln>
              <a:noFill/>
            </a:ln>
          </c:spPr>
          <c:invertIfNegative val="0"/>
          <c:dLbls>
            <c:spPr>
              <a:solidFill>
                <a:srgbClr val="B9BDC2"/>
              </a:solidFill>
              <a:ln>
                <a:noFill/>
              </a:ln>
            </c:spPr>
            <c:txPr>
              <a:bodyPr/>
              <a:lstStyle/>
              <a:p>
                <a:pPr>
                  <a:defRPr sz="1100">
                    <a:solidFill>
                      <a:schemeClr val="tx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(2)'!$M$259:$W$259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(2)'!$M$261:$W$261</c:f>
              <c:numCache>
                <c:formatCode>General</c:formatCode>
                <c:ptCount val="11"/>
                <c:pt idx="0">
                  <c:v>31</c:v>
                </c:pt>
                <c:pt idx="1">
                  <c:v>33</c:v>
                </c:pt>
                <c:pt idx="2">
                  <c:v>39</c:v>
                </c:pt>
                <c:pt idx="3">
                  <c:v>47</c:v>
                </c:pt>
                <c:pt idx="4">
                  <c:v>61</c:v>
                </c:pt>
                <c:pt idx="5">
                  <c:v>50</c:v>
                </c:pt>
                <c:pt idx="6">
                  <c:v>21</c:v>
                </c:pt>
                <c:pt idx="7">
                  <c:v>36</c:v>
                </c:pt>
                <c:pt idx="8">
                  <c:v>38</c:v>
                </c:pt>
                <c:pt idx="9">
                  <c:v>31</c:v>
                </c:pt>
                <c:pt idx="10">
                  <c:v>26</c:v>
                </c:pt>
              </c:numCache>
            </c:numRef>
          </c:val>
          <c:extLst>
            <c:ext xmlns:c16="http://schemas.microsoft.com/office/drawing/2014/chart" uri="{C3380CC4-5D6E-409C-BE32-E72D297353CC}">
              <c16:uniqueId val="{00000001-2FD5-4CBB-AC4F-868EF7522012}"/>
            </c:ext>
          </c:extLst>
        </c:ser>
        <c:dLbls>
          <c:showLegendKey val="0"/>
          <c:showVal val="1"/>
          <c:showCatName val="0"/>
          <c:showSerName val="0"/>
          <c:showPercent val="0"/>
          <c:showBubbleSize val="0"/>
        </c:dLbls>
        <c:gapWidth val="150"/>
        <c:axId val="388140880"/>
        <c:axId val="388141440"/>
      </c:barChart>
      <c:lineChart>
        <c:grouping val="standard"/>
        <c:varyColors val="0"/>
        <c:ser>
          <c:idx val="2"/>
          <c:order val="2"/>
          <c:tx>
            <c:strRef>
              <c:f>'Arkusz1 (2)'!$B$262</c:f>
              <c:strCache>
                <c:ptCount val="1"/>
                <c:pt idx="0">
                  <c:v>Borelioza</c:v>
                </c:pt>
              </c:strCache>
            </c:strRef>
          </c:tx>
          <c:spPr>
            <a:ln>
              <a:solidFill>
                <a:srgbClr val="E5322D"/>
              </a:solidFill>
            </a:ln>
          </c:spPr>
          <c:marker>
            <c:symbol val="none"/>
          </c:marker>
          <c:dLbls>
            <c:spPr>
              <a:solidFill>
                <a:srgbClr val="E5322D"/>
              </a:solidFill>
              <a:ln>
                <a:no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(2)'!$M$259:$W$259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'Arkusz1 (2)'!$M$262:$W$262</c:f>
              <c:numCache>
                <c:formatCode>General</c:formatCode>
                <c:ptCount val="11"/>
                <c:pt idx="0">
                  <c:v>28</c:v>
                </c:pt>
                <c:pt idx="1">
                  <c:v>32</c:v>
                </c:pt>
                <c:pt idx="2">
                  <c:v>37</c:v>
                </c:pt>
                <c:pt idx="3">
                  <c:v>43</c:v>
                </c:pt>
                <c:pt idx="4">
                  <c:v>53</c:v>
                </c:pt>
                <c:pt idx="5">
                  <c:v>49</c:v>
                </c:pt>
                <c:pt idx="6">
                  <c:v>18</c:v>
                </c:pt>
                <c:pt idx="7">
                  <c:v>34</c:v>
                </c:pt>
                <c:pt idx="8">
                  <c:v>33</c:v>
                </c:pt>
                <c:pt idx="9">
                  <c:v>26</c:v>
                </c:pt>
                <c:pt idx="10">
                  <c:v>25</c:v>
                </c:pt>
              </c:numCache>
            </c:numRef>
          </c:val>
          <c:smooth val="0"/>
          <c:extLst>
            <c:ext xmlns:c16="http://schemas.microsoft.com/office/drawing/2014/chart" uri="{C3380CC4-5D6E-409C-BE32-E72D297353CC}">
              <c16:uniqueId val="{00000002-2FD5-4CBB-AC4F-868EF7522012}"/>
            </c:ext>
          </c:extLst>
        </c:ser>
        <c:dLbls>
          <c:showLegendKey val="0"/>
          <c:showVal val="0"/>
          <c:showCatName val="0"/>
          <c:showSerName val="0"/>
          <c:showPercent val="0"/>
          <c:showBubbleSize val="0"/>
        </c:dLbls>
        <c:marker val="1"/>
        <c:smooth val="0"/>
        <c:axId val="388140880"/>
        <c:axId val="388141440"/>
      </c:lineChart>
      <c:catAx>
        <c:axId val="388140880"/>
        <c:scaling>
          <c:orientation val="minMax"/>
        </c:scaling>
        <c:delete val="0"/>
        <c:axPos val="b"/>
        <c:title>
          <c:tx>
            <c:rich>
              <a:bodyPr/>
              <a:lstStyle/>
              <a:p>
                <a:pPr>
                  <a:defRPr b="0"/>
                </a:pPr>
                <a:r>
                  <a:rPr lang="en-US" b="0"/>
                  <a:t>Lata</a:t>
                </a:r>
              </a:p>
            </c:rich>
          </c:tx>
          <c:overlay val="0"/>
        </c:title>
        <c:numFmt formatCode="General" sourceLinked="1"/>
        <c:majorTickMark val="none"/>
        <c:minorTickMark val="none"/>
        <c:tickLblPos val="nextTo"/>
        <c:crossAx val="388141440"/>
        <c:crosses val="autoZero"/>
        <c:auto val="1"/>
        <c:lblAlgn val="ctr"/>
        <c:lblOffset val="100"/>
        <c:noMultiLvlLbl val="0"/>
      </c:catAx>
      <c:valAx>
        <c:axId val="388141440"/>
        <c:scaling>
          <c:orientation val="minMax"/>
        </c:scaling>
        <c:delete val="0"/>
        <c:axPos val="l"/>
        <c:majorGridlines/>
        <c:title>
          <c:tx>
            <c:rich>
              <a:bodyPr/>
              <a:lstStyle/>
              <a:p>
                <a:pPr>
                  <a:defRPr b="0"/>
                </a:pPr>
                <a:r>
                  <a:rPr lang="en-US" b="0"/>
                  <a:t>Liczba</a:t>
                </a:r>
                <a:r>
                  <a:rPr lang="pl-PL" b="0"/>
                  <a:t> stwierdzonych chorób zawodowych, w tym chorób zakaźnych lub</a:t>
                </a:r>
                <a:r>
                  <a:rPr lang="pl-PL" b="0" baseline="0"/>
                  <a:t> pasożytniczych oraz ich następstw i boreliozy</a:t>
                </a:r>
                <a:r>
                  <a:rPr lang="en-US" b="0"/>
                  <a:t> </a:t>
                </a:r>
              </a:p>
            </c:rich>
          </c:tx>
          <c:overlay val="0"/>
        </c:title>
        <c:numFmt formatCode="General" sourceLinked="1"/>
        <c:majorTickMark val="none"/>
        <c:minorTickMark val="none"/>
        <c:tickLblPos val="nextTo"/>
        <c:spPr>
          <a:ln w="9525">
            <a:noFill/>
          </a:ln>
        </c:spPr>
        <c:crossAx val="38814088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całoroczne!$A$106</c:f>
              <c:strCache>
                <c:ptCount val="1"/>
                <c:pt idx="0">
                  <c:v>zatrucia środkami zastępczymi</c:v>
                </c:pt>
              </c:strCache>
            </c:strRef>
          </c:tx>
          <c:spPr>
            <a:solidFill>
              <a:srgbClr val="064B93"/>
            </a:solidFill>
            <a:ln>
              <a:solidFill>
                <a:srgbClr val="0070C0"/>
              </a:solidFill>
            </a:ln>
            <a:effectLst/>
          </c:spPr>
          <c:invertIfNegative val="0"/>
          <c:dLbls>
            <c:dLbl>
              <c:idx val="8"/>
              <c:layout>
                <c:manualLayout>
                  <c:x val="-1.0185067526415994E-16"/>
                  <c:y val="7.28062117235345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A0-4E4A-BE1C-77FF7AB8BA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całoroczne!$B$105:$J$105</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całoroczne!$B$106:$J$106</c:f>
              <c:numCache>
                <c:formatCode>General</c:formatCode>
                <c:ptCount val="9"/>
                <c:pt idx="0">
                  <c:v>60</c:v>
                </c:pt>
                <c:pt idx="1">
                  <c:v>53</c:v>
                </c:pt>
                <c:pt idx="2">
                  <c:v>90</c:v>
                </c:pt>
                <c:pt idx="3">
                  <c:v>35</c:v>
                </c:pt>
                <c:pt idx="4">
                  <c:v>84</c:v>
                </c:pt>
                <c:pt idx="5">
                  <c:v>79</c:v>
                </c:pt>
                <c:pt idx="6">
                  <c:v>43</c:v>
                </c:pt>
                <c:pt idx="7">
                  <c:v>32</c:v>
                </c:pt>
                <c:pt idx="8">
                  <c:v>7</c:v>
                </c:pt>
              </c:numCache>
            </c:numRef>
          </c:val>
          <c:extLst>
            <c:ext xmlns:c16="http://schemas.microsoft.com/office/drawing/2014/chart" uri="{C3380CC4-5D6E-409C-BE32-E72D297353CC}">
              <c16:uniqueId val="{00000001-3BA0-4E4A-BE1C-77FF7AB8BAB9}"/>
            </c:ext>
          </c:extLst>
        </c:ser>
        <c:dLbls>
          <c:showLegendKey val="0"/>
          <c:showVal val="0"/>
          <c:showCatName val="0"/>
          <c:showSerName val="0"/>
          <c:showPercent val="0"/>
          <c:showBubbleSize val="0"/>
        </c:dLbls>
        <c:gapWidth val="219"/>
        <c:overlap val="-27"/>
        <c:axId val="1899829264"/>
        <c:axId val="1899831664"/>
      </c:barChart>
      <c:catAx>
        <c:axId val="189982926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9831664"/>
        <c:crosses val="autoZero"/>
        <c:auto val="1"/>
        <c:lblAlgn val="ctr"/>
        <c:lblOffset val="100"/>
        <c:noMultiLvlLbl val="0"/>
      </c:catAx>
      <c:valAx>
        <c:axId val="1899831664"/>
        <c:scaling>
          <c:orientation val="minMax"/>
        </c:scaling>
        <c:delete val="0"/>
        <c:axPos val="l"/>
        <c:majorGridlines>
          <c:spPr>
            <a:ln w="9525" cap="flat" cmpd="sng" algn="ctr">
              <a:solidFill>
                <a:srgbClr val="B9BDC2"/>
              </a:solidFill>
              <a:round/>
            </a:ln>
            <a:effectLst/>
          </c:spPr>
        </c:majorGridlines>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9982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PCR</c:v>
                </c:pt>
              </c:strCache>
            </c:strRef>
          </c:tx>
          <c:spPr>
            <a:solidFill>
              <a:srgbClr val="064B93"/>
            </a:solidFill>
            <a:ln>
              <a:noFill/>
            </a:ln>
            <a:effectLst/>
            <a:sp3d/>
          </c:spPr>
          <c:invertIfNegative val="0"/>
          <c:dLbls>
            <c:dLbl>
              <c:idx val="0"/>
              <c:spPr>
                <a:solidFill>
                  <a:srgbClr val="064B9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F98C-409F-870C-4345766203C0}"/>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7E3C1571-2098-43DD-8880-0506DA904AFE}" type="VALUE">
                      <a:rPr lang="en-US">
                        <a:solidFill>
                          <a:schemeClr val="bg1"/>
                        </a:solidFill>
                      </a:rPr>
                      <a:pPr>
                        <a:defRPr>
                          <a:solidFill>
                            <a:schemeClr val="bg1"/>
                          </a:solidFill>
                        </a:defRPr>
                      </a:pPr>
                      <a:t>[WARTOŚĆ]</a:t>
                    </a:fld>
                    <a:endParaRPr lang="pl-PL"/>
                  </a:p>
                </c:rich>
              </c:tx>
              <c:spPr>
                <a:solidFill>
                  <a:srgbClr val="064B9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7BA-4BF7-BB6E-0A348FB78A17}"/>
                </c:ext>
              </c:extLst>
            </c:dLbl>
            <c:spPr>
              <a:solidFill>
                <a:srgbClr val="064B9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2023</c:v>
                </c:pt>
                <c:pt idx="1">
                  <c:v>2024</c:v>
                </c:pt>
              </c:numCache>
            </c:numRef>
          </c:cat>
          <c:val>
            <c:numRef>
              <c:f>Arkusz1!$B$2:$B$3</c:f>
              <c:numCache>
                <c:formatCode>General</c:formatCode>
                <c:ptCount val="2"/>
                <c:pt idx="0">
                  <c:v>388</c:v>
                </c:pt>
                <c:pt idx="1">
                  <c:v>128</c:v>
                </c:pt>
              </c:numCache>
            </c:numRef>
          </c:val>
          <c:extLst>
            <c:ext xmlns:c16="http://schemas.microsoft.com/office/drawing/2014/chart" uri="{C3380CC4-5D6E-409C-BE32-E72D297353CC}">
              <c16:uniqueId val="{00000001-B7BA-4BF7-BB6E-0A348FB78A17}"/>
            </c:ext>
          </c:extLst>
        </c:ser>
        <c:ser>
          <c:idx val="1"/>
          <c:order val="1"/>
          <c:tx>
            <c:strRef>
              <c:f>Arkusz1!$C$1</c:f>
              <c:strCache>
                <c:ptCount val="1"/>
                <c:pt idx="0">
                  <c:v>Antygen</c:v>
                </c:pt>
              </c:strCache>
            </c:strRef>
          </c:tx>
          <c:spPr>
            <a:solidFill>
              <a:srgbClr val="E5322D"/>
            </a:solidFill>
            <a:ln>
              <a:noFill/>
            </a:ln>
            <a:effectLst/>
            <a:sp3d/>
          </c:spPr>
          <c:invertIfNegative val="0"/>
          <c:dLbls>
            <c:dLbl>
              <c:idx val="0"/>
              <c:tx>
                <c:rich>
                  <a:bodyPr/>
                  <a:lstStyle/>
                  <a:p>
                    <a:fld id="{299EA87C-F2B1-48BD-9243-08E1C3B43FEE}" type="VALUE">
                      <a:rPr lang="en-US">
                        <a:solidFill>
                          <a:schemeClr val="bg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98C-409F-870C-4345766203C0}"/>
                </c:ext>
              </c:extLst>
            </c:dLbl>
            <c:spPr>
              <a:solidFill>
                <a:srgbClr val="E5322D"/>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2023</c:v>
                </c:pt>
                <c:pt idx="1">
                  <c:v>2024</c:v>
                </c:pt>
              </c:numCache>
            </c:numRef>
          </c:cat>
          <c:val>
            <c:numRef>
              <c:f>Arkusz1!$C$2:$C$3</c:f>
              <c:numCache>
                <c:formatCode>General</c:formatCode>
                <c:ptCount val="2"/>
                <c:pt idx="0">
                  <c:v>1967</c:v>
                </c:pt>
                <c:pt idx="1">
                  <c:v>4950</c:v>
                </c:pt>
              </c:numCache>
            </c:numRef>
          </c:val>
          <c:extLst>
            <c:ext xmlns:c16="http://schemas.microsoft.com/office/drawing/2014/chart" uri="{C3380CC4-5D6E-409C-BE32-E72D297353CC}">
              <c16:uniqueId val="{00000002-B7BA-4BF7-BB6E-0A348FB78A17}"/>
            </c:ext>
          </c:extLst>
        </c:ser>
        <c:dLbls>
          <c:showLegendKey val="0"/>
          <c:showVal val="0"/>
          <c:showCatName val="0"/>
          <c:showSerName val="0"/>
          <c:showPercent val="0"/>
          <c:showBubbleSize val="0"/>
        </c:dLbls>
        <c:gapWidth val="150"/>
        <c:shape val="box"/>
        <c:axId val="368981647"/>
        <c:axId val="635228384"/>
        <c:axId val="0"/>
      </c:bar3DChart>
      <c:catAx>
        <c:axId val="3689816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5228384"/>
        <c:crosses val="autoZero"/>
        <c:auto val="1"/>
        <c:lblAlgn val="ctr"/>
        <c:lblOffset val="100"/>
        <c:noMultiLvlLbl val="0"/>
      </c:catAx>
      <c:valAx>
        <c:axId val="635228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898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40855258946285E-2"/>
          <c:y val="2.4393265975653812E-2"/>
          <c:w val="0.9209752291181138"/>
          <c:h val="0.76303348213920841"/>
        </c:manualLayout>
      </c:layout>
      <c:lineChart>
        <c:grouping val="standard"/>
        <c:varyColors val="0"/>
        <c:ser>
          <c:idx val="0"/>
          <c:order val="0"/>
          <c:tx>
            <c:strRef>
              <c:f>całoroczne!$A$72</c:f>
              <c:strCache>
                <c:ptCount val="1"/>
                <c:pt idx="0">
                  <c:v>do 18 r.ż.</c:v>
                </c:pt>
              </c:strCache>
            </c:strRef>
          </c:tx>
          <c:spPr>
            <a:ln w="28575" cap="rnd">
              <a:solidFill>
                <a:srgbClr val="E5322D"/>
              </a:solidFill>
              <a:round/>
            </a:ln>
            <a:effectLst/>
          </c:spPr>
          <c:marker>
            <c:symbol val="none"/>
          </c:marker>
          <c:dLbls>
            <c:dLbl>
              <c:idx val="1"/>
              <c:layout>
                <c:manualLayout>
                  <c:x val="-3.3725290065305648E-2"/>
                  <c:y val="4.0008607004031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97-49CA-B28C-81065070A1CC}"/>
                </c:ext>
              </c:extLst>
            </c:dLbl>
            <c:dLbl>
              <c:idx val="4"/>
              <c:layout>
                <c:manualLayout>
                  <c:x val="-4.2555310605532568E-2"/>
                  <c:y val="2.9578363568720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97-49CA-B28C-81065070A1CC}"/>
                </c:ext>
              </c:extLst>
            </c:dLbl>
            <c:dLbl>
              <c:idx val="5"/>
              <c:layout>
                <c:manualLayout>
                  <c:x val="-1.6065248984851902E-2"/>
                  <c:y val="-3.9956592666690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B97-49CA-B28C-81065070A1CC}"/>
                </c:ext>
              </c:extLst>
            </c:dLbl>
            <c:spPr>
              <a:solidFill>
                <a:srgbClr val="E5322D"/>
              </a:solidFill>
              <a:ln>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całoroczne!$D$71:$L$71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całoroczne!$D$72:$L$72</c:f>
              <c:numCache>
                <c:formatCode>0%</c:formatCode>
                <c:ptCount val="9"/>
                <c:pt idx="0">
                  <c:v>0.58333333333333337</c:v>
                </c:pt>
                <c:pt idx="1">
                  <c:v>0.73584905660377353</c:v>
                </c:pt>
                <c:pt idx="2">
                  <c:v>0.4777777777777778</c:v>
                </c:pt>
                <c:pt idx="3">
                  <c:v>0.14285714285714285</c:v>
                </c:pt>
                <c:pt idx="4">
                  <c:v>0.10714285714285714</c:v>
                </c:pt>
                <c:pt idx="5">
                  <c:v>7.5949367088607597E-2</c:v>
                </c:pt>
                <c:pt idx="6">
                  <c:v>0.11627906976744186</c:v>
                </c:pt>
                <c:pt idx="7">
                  <c:v>0.34</c:v>
                </c:pt>
                <c:pt idx="8">
                  <c:v>0.42857142857142855</c:v>
                </c:pt>
              </c:numCache>
            </c:numRef>
          </c:val>
          <c:smooth val="0"/>
          <c:extLst>
            <c:ext xmlns:c16="http://schemas.microsoft.com/office/drawing/2014/chart" uri="{C3380CC4-5D6E-409C-BE32-E72D297353CC}">
              <c16:uniqueId val="{00000003-0B97-49CA-B28C-81065070A1CC}"/>
            </c:ext>
          </c:extLst>
        </c:ser>
        <c:ser>
          <c:idx val="1"/>
          <c:order val="1"/>
          <c:tx>
            <c:strRef>
              <c:f>całoroczne!$A$73</c:f>
              <c:strCache>
                <c:ptCount val="1"/>
                <c:pt idx="0">
                  <c:v>powyżej 18 r.ż.</c:v>
                </c:pt>
              </c:strCache>
            </c:strRef>
          </c:tx>
          <c:spPr>
            <a:ln w="28575" cap="rnd">
              <a:solidFill>
                <a:srgbClr val="064B93"/>
              </a:solidFill>
              <a:round/>
            </a:ln>
            <a:effectLst/>
          </c:spPr>
          <c:marker>
            <c:symbol val="none"/>
          </c:marker>
          <c:dLbls>
            <c:spPr>
              <a:solidFill>
                <a:srgbClr val="064B93"/>
              </a:solidFill>
              <a:ln>
                <a:solidFill>
                  <a:srgbClr val="0070C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całoroczne!$D$71:$L$71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całoroczne!$D$73:$L$73</c:f>
              <c:numCache>
                <c:formatCode>0%</c:formatCode>
                <c:ptCount val="9"/>
                <c:pt idx="0">
                  <c:v>0.41666666666666669</c:v>
                </c:pt>
                <c:pt idx="1">
                  <c:v>0.26415094339622641</c:v>
                </c:pt>
                <c:pt idx="2">
                  <c:v>0.52222222222222225</c:v>
                </c:pt>
                <c:pt idx="3">
                  <c:v>0.8571428571428571</c:v>
                </c:pt>
                <c:pt idx="4">
                  <c:v>0.8928571428571429</c:v>
                </c:pt>
                <c:pt idx="5">
                  <c:v>0.92405063291139244</c:v>
                </c:pt>
                <c:pt idx="6">
                  <c:v>0.88372093023255816</c:v>
                </c:pt>
                <c:pt idx="7">
                  <c:v>0.66</c:v>
                </c:pt>
                <c:pt idx="8">
                  <c:v>0.5714285714285714</c:v>
                </c:pt>
              </c:numCache>
            </c:numRef>
          </c:val>
          <c:smooth val="0"/>
          <c:extLst>
            <c:ext xmlns:c16="http://schemas.microsoft.com/office/drawing/2014/chart" uri="{C3380CC4-5D6E-409C-BE32-E72D297353CC}">
              <c16:uniqueId val="{00000004-0B97-49CA-B28C-81065070A1CC}"/>
            </c:ext>
          </c:extLst>
        </c:ser>
        <c:dLbls>
          <c:dLblPos val="t"/>
          <c:showLegendKey val="0"/>
          <c:showVal val="1"/>
          <c:showCatName val="0"/>
          <c:showSerName val="0"/>
          <c:showPercent val="0"/>
          <c:showBubbleSize val="0"/>
        </c:dLbls>
        <c:smooth val="0"/>
        <c:axId val="730616255"/>
        <c:axId val="730612927"/>
      </c:lineChart>
      <c:catAx>
        <c:axId val="73061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0612927"/>
        <c:crosses val="autoZero"/>
        <c:auto val="1"/>
        <c:lblAlgn val="ctr"/>
        <c:lblOffset val="100"/>
        <c:noMultiLvlLbl val="0"/>
      </c:catAx>
      <c:valAx>
        <c:axId val="7306129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061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Arkusz3!$B$3</c:f>
              <c:strCache>
                <c:ptCount val="1"/>
                <c:pt idx="0">
                  <c:v>Polska</c:v>
                </c:pt>
              </c:strCache>
            </c:strRef>
          </c:tx>
          <c:spPr>
            <a:solidFill>
              <a:srgbClr val="064B9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Arkusz3!$C$2:$G$2</c:f>
              <c:strCache>
                <c:ptCount val="5"/>
                <c:pt idx="0">
                  <c:v>2020 r.</c:v>
                </c:pt>
                <c:pt idx="1">
                  <c:v>2021 r.</c:v>
                </c:pt>
                <c:pt idx="2">
                  <c:v>2022 r.</c:v>
                </c:pt>
                <c:pt idx="3">
                  <c:v>2023 r.</c:v>
                </c:pt>
                <c:pt idx="4">
                  <c:v>2024 r.</c:v>
                </c:pt>
              </c:strCache>
            </c:strRef>
          </c:cat>
          <c:val>
            <c:numRef>
              <c:f>Arkusz3!$C$3:$G$3</c:f>
              <c:numCache>
                <c:formatCode>General</c:formatCode>
                <c:ptCount val="5"/>
                <c:pt idx="0">
                  <c:v>0.26</c:v>
                </c:pt>
                <c:pt idx="1">
                  <c:v>0.28000000000000003</c:v>
                </c:pt>
                <c:pt idx="2">
                  <c:v>0.31</c:v>
                </c:pt>
                <c:pt idx="3">
                  <c:v>0.41</c:v>
                </c:pt>
                <c:pt idx="4">
                  <c:v>0.42</c:v>
                </c:pt>
              </c:numCache>
            </c:numRef>
          </c:val>
          <c:extLst>
            <c:ext xmlns:c16="http://schemas.microsoft.com/office/drawing/2014/chart" uri="{C3380CC4-5D6E-409C-BE32-E72D297353CC}">
              <c16:uniqueId val="{00000000-9B53-445C-BFE4-3894EB160074}"/>
            </c:ext>
          </c:extLst>
        </c:ser>
        <c:ser>
          <c:idx val="1"/>
          <c:order val="1"/>
          <c:tx>
            <c:strRef>
              <c:f>Arkusz3!$B$4</c:f>
              <c:strCache>
                <c:ptCount val="1"/>
                <c:pt idx="0">
                  <c:v>woj. zachodniopomorskie</c:v>
                </c:pt>
              </c:strCache>
            </c:strRef>
          </c:tx>
          <c:spPr>
            <a:solidFill>
              <a:srgbClr val="E5322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Arkusz3!$C$2:$G$2</c:f>
              <c:strCache>
                <c:ptCount val="5"/>
                <c:pt idx="0">
                  <c:v>2020 r.</c:v>
                </c:pt>
                <c:pt idx="1">
                  <c:v>2021 r.</c:v>
                </c:pt>
                <c:pt idx="2">
                  <c:v>2022 r.</c:v>
                </c:pt>
                <c:pt idx="3">
                  <c:v>2023 r.</c:v>
                </c:pt>
                <c:pt idx="4">
                  <c:v>2024 r.</c:v>
                </c:pt>
              </c:strCache>
            </c:strRef>
          </c:cat>
          <c:val>
            <c:numRef>
              <c:f>Arkusz3!$C$4:$G$4</c:f>
              <c:numCache>
                <c:formatCode>General</c:formatCode>
                <c:ptCount val="5"/>
                <c:pt idx="0">
                  <c:v>0.53</c:v>
                </c:pt>
                <c:pt idx="1">
                  <c:v>0.77</c:v>
                </c:pt>
                <c:pt idx="2">
                  <c:v>0.24</c:v>
                </c:pt>
                <c:pt idx="3">
                  <c:v>0.98</c:v>
                </c:pt>
                <c:pt idx="4">
                  <c:v>0.92</c:v>
                </c:pt>
              </c:numCache>
            </c:numRef>
          </c:val>
          <c:extLst>
            <c:ext xmlns:c16="http://schemas.microsoft.com/office/drawing/2014/chart" uri="{C3380CC4-5D6E-409C-BE32-E72D297353CC}">
              <c16:uniqueId val="{00000001-9B53-445C-BFE4-3894EB160074}"/>
            </c:ext>
          </c:extLst>
        </c:ser>
        <c:dLbls>
          <c:showLegendKey val="0"/>
          <c:showVal val="0"/>
          <c:showCatName val="0"/>
          <c:showSerName val="0"/>
          <c:showPercent val="0"/>
          <c:showBubbleSize val="0"/>
        </c:dLbls>
        <c:gapWidth val="100"/>
        <c:axId val="1847203760"/>
        <c:axId val="1847872144"/>
      </c:barChart>
      <c:catAx>
        <c:axId val="18472037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847872144"/>
        <c:crosses val="autoZero"/>
        <c:auto val="1"/>
        <c:lblAlgn val="ctr"/>
        <c:lblOffset val="100"/>
        <c:noMultiLvlLbl val="0"/>
      </c:catAx>
      <c:valAx>
        <c:axId val="184787214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84720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zachorowań</c:v>
                </c:pt>
              </c:strCache>
            </c:strRef>
          </c:tx>
          <c:spPr>
            <a:solidFill>
              <a:srgbClr val="064B93"/>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2021</c:v>
                </c:pt>
                <c:pt idx="2">
                  <c:v>2022</c:v>
                </c:pt>
                <c:pt idx="3">
                  <c:v>2023</c:v>
                </c:pt>
                <c:pt idx="4">
                  <c:v>2024</c:v>
                </c:pt>
              </c:numCache>
            </c:numRef>
          </c:cat>
          <c:val>
            <c:numRef>
              <c:f>Arkusz1!$B$2:$B$6</c:f>
              <c:numCache>
                <c:formatCode>General</c:formatCode>
                <c:ptCount val="5"/>
                <c:pt idx="0">
                  <c:v>544</c:v>
                </c:pt>
                <c:pt idx="1">
                  <c:v>641</c:v>
                </c:pt>
                <c:pt idx="2">
                  <c:v>672</c:v>
                </c:pt>
                <c:pt idx="3">
                  <c:v>1064</c:v>
                </c:pt>
                <c:pt idx="4">
                  <c:v>1111</c:v>
                </c:pt>
              </c:numCache>
            </c:numRef>
          </c:val>
          <c:extLst>
            <c:ext xmlns:c16="http://schemas.microsoft.com/office/drawing/2014/chart" uri="{C3380CC4-5D6E-409C-BE32-E72D297353CC}">
              <c16:uniqueId val="{00000000-E1AB-4005-A206-A5F6E5EFA5CC}"/>
            </c:ext>
          </c:extLst>
        </c:ser>
        <c:dLbls>
          <c:showLegendKey val="0"/>
          <c:showVal val="0"/>
          <c:showCatName val="0"/>
          <c:showSerName val="0"/>
          <c:showPercent val="0"/>
          <c:showBubbleSize val="0"/>
        </c:dLbls>
        <c:gapWidth val="219"/>
        <c:overlap val="-27"/>
        <c:axId val="924472367"/>
        <c:axId val="924471887"/>
      </c:barChart>
      <c:lineChart>
        <c:grouping val="standard"/>
        <c:varyColors val="0"/>
        <c:ser>
          <c:idx val="1"/>
          <c:order val="1"/>
          <c:tx>
            <c:strRef>
              <c:f>Arkusz1!$C$1</c:f>
              <c:strCache>
                <c:ptCount val="1"/>
                <c:pt idx="0">
                  <c:v>Hospitalizacje</c:v>
                </c:pt>
              </c:strCache>
            </c:strRef>
          </c:tx>
          <c:spPr>
            <a:ln w="28575" cap="rnd">
              <a:solidFill>
                <a:srgbClr val="E5322D"/>
              </a:solidFill>
              <a:round/>
            </a:ln>
            <a:effectLst/>
          </c:spPr>
          <c:marker>
            <c:symbol val="circle"/>
            <c:size val="5"/>
            <c:spPr>
              <a:solidFill>
                <a:srgbClr val="E5322D"/>
              </a:solidFill>
              <a:ln w="9525">
                <a:solidFill>
                  <a:schemeClr val="accent2"/>
                </a:solidFill>
              </a:ln>
              <a:effectLst/>
            </c:spPr>
          </c:marker>
          <c:dPt>
            <c:idx val="0"/>
            <c:marker>
              <c:symbol val="circle"/>
              <c:size val="5"/>
              <c:spPr>
                <a:solidFill>
                  <a:srgbClr val="E5322D"/>
                </a:solidFill>
                <a:ln w="9525">
                  <a:solidFill>
                    <a:srgbClr val="E5322D"/>
                  </a:solidFill>
                </a:ln>
                <a:effectLst/>
              </c:spPr>
            </c:marker>
            <c:bubble3D val="0"/>
            <c:extLst>
              <c:ext xmlns:c16="http://schemas.microsoft.com/office/drawing/2014/chart" uri="{C3380CC4-5D6E-409C-BE32-E72D297353CC}">
                <c16:uniqueId val="{00000001-E1AB-4005-A206-A5F6E5EFA5CC}"/>
              </c:ext>
            </c:extLst>
          </c:dPt>
          <c:dPt>
            <c:idx val="1"/>
            <c:marker>
              <c:symbol val="circle"/>
              <c:size val="5"/>
              <c:spPr>
                <a:solidFill>
                  <a:srgbClr val="E5322D"/>
                </a:solidFill>
                <a:ln w="9525">
                  <a:solidFill>
                    <a:srgbClr val="E5322D"/>
                  </a:solidFill>
                </a:ln>
                <a:effectLst/>
              </c:spPr>
            </c:marker>
            <c:bubble3D val="0"/>
            <c:extLst>
              <c:ext xmlns:c16="http://schemas.microsoft.com/office/drawing/2014/chart" uri="{C3380CC4-5D6E-409C-BE32-E72D297353CC}">
                <c16:uniqueId val="{00000002-E1AB-4005-A206-A5F6E5EFA5CC}"/>
              </c:ext>
            </c:extLst>
          </c:dPt>
          <c:dPt>
            <c:idx val="2"/>
            <c:marker>
              <c:symbol val="circle"/>
              <c:size val="5"/>
              <c:spPr>
                <a:solidFill>
                  <a:srgbClr val="E5322D"/>
                </a:solidFill>
                <a:ln w="9525">
                  <a:solidFill>
                    <a:srgbClr val="E5322D"/>
                  </a:solidFill>
                </a:ln>
                <a:effectLst/>
              </c:spPr>
            </c:marker>
            <c:bubble3D val="0"/>
            <c:extLst>
              <c:ext xmlns:c16="http://schemas.microsoft.com/office/drawing/2014/chart" uri="{C3380CC4-5D6E-409C-BE32-E72D297353CC}">
                <c16:uniqueId val="{00000003-E1AB-4005-A206-A5F6E5EFA5CC}"/>
              </c:ext>
            </c:extLst>
          </c:dPt>
          <c:dPt>
            <c:idx val="3"/>
            <c:marker>
              <c:symbol val="circle"/>
              <c:size val="5"/>
              <c:spPr>
                <a:solidFill>
                  <a:srgbClr val="E5322D"/>
                </a:solidFill>
                <a:ln w="9525">
                  <a:solidFill>
                    <a:srgbClr val="E5322D"/>
                  </a:solidFill>
                </a:ln>
                <a:effectLst/>
              </c:spPr>
            </c:marker>
            <c:bubble3D val="0"/>
            <c:extLst>
              <c:ext xmlns:c16="http://schemas.microsoft.com/office/drawing/2014/chart" uri="{C3380CC4-5D6E-409C-BE32-E72D297353CC}">
                <c16:uniqueId val="{00000004-E1AB-4005-A206-A5F6E5EFA5CC}"/>
              </c:ext>
            </c:extLst>
          </c:dPt>
          <c:dPt>
            <c:idx val="4"/>
            <c:marker>
              <c:symbol val="circle"/>
              <c:size val="5"/>
              <c:spPr>
                <a:solidFill>
                  <a:srgbClr val="E5322D"/>
                </a:solidFill>
                <a:ln w="9525">
                  <a:solidFill>
                    <a:srgbClr val="E5322D"/>
                  </a:solidFill>
                </a:ln>
                <a:effectLst/>
              </c:spPr>
            </c:marker>
            <c:bubble3D val="0"/>
            <c:extLst>
              <c:ext xmlns:c16="http://schemas.microsoft.com/office/drawing/2014/chart" uri="{C3380CC4-5D6E-409C-BE32-E72D297353CC}">
                <c16:uniqueId val="{00000005-E1AB-4005-A206-A5F6E5EFA5CC}"/>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FFFF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2021</c:v>
                </c:pt>
                <c:pt idx="2">
                  <c:v>2022</c:v>
                </c:pt>
                <c:pt idx="3">
                  <c:v>2023</c:v>
                </c:pt>
                <c:pt idx="4">
                  <c:v>2024</c:v>
                </c:pt>
              </c:numCache>
            </c:numRef>
          </c:cat>
          <c:val>
            <c:numRef>
              <c:f>Arkusz1!$C$2:$C$6</c:f>
              <c:numCache>
                <c:formatCode>General</c:formatCode>
                <c:ptCount val="5"/>
                <c:pt idx="0">
                  <c:v>20</c:v>
                </c:pt>
                <c:pt idx="1">
                  <c:v>15</c:v>
                </c:pt>
                <c:pt idx="2">
                  <c:v>25</c:v>
                </c:pt>
                <c:pt idx="3">
                  <c:v>31</c:v>
                </c:pt>
                <c:pt idx="4">
                  <c:v>30</c:v>
                </c:pt>
              </c:numCache>
            </c:numRef>
          </c:val>
          <c:smooth val="0"/>
          <c:extLst>
            <c:ext xmlns:c16="http://schemas.microsoft.com/office/drawing/2014/chart" uri="{C3380CC4-5D6E-409C-BE32-E72D297353CC}">
              <c16:uniqueId val="{00000006-E1AB-4005-A206-A5F6E5EFA5CC}"/>
            </c:ext>
          </c:extLst>
        </c:ser>
        <c:dLbls>
          <c:showLegendKey val="0"/>
          <c:showVal val="0"/>
          <c:showCatName val="0"/>
          <c:showSerName val="0"/>
          <c:showPercent val="0"/>
          <c:showBubbleSize val="0"/>
        </c:dLbls>
        <c:marker val="1"/>
        <c:smooth val="0"/>
        <c:axId val="924472367"/>
        <c:axId val="924471887"/>
      </c:lineChart>
      <c:valAx>
        <c:axId val="92447188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24472367"/>
        <c:crosses val="max"/>
        <c:crossBetween val="between"/>
      </c:valAx>
      <c:catAx>
        <c:axId val="92447236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244718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Arkusz1!$A$47</c:f>
              <c:strCache>
                <c:ptCount val="1"/>
                <c:pt idx="0">
                  <c:v>gruźlica</c:v>
                </c:pt>
              </c:strCache>
            </c:strRef>
          </c:tx>
          <c:invertIfNegative val="1"/>
          <c:dPt>
            <c:idx val="0"/>
            <c:invertIfNegative val="0"/>
            <c:bubble3D val="0"/>
            <c:spPr>
              <a:solidFill>
                <a:srgbClr val="064B93"/>
              </a:solidFill>
            </c:spPr>
            <c:extLst>
              <c:ext xmlns:c16="http://schemas.microsoft.com/office/drawing/2014/chart" uri="{C3380CC4-5D6E-409C-BE32-E72D297353CC}">
                <c16:uniqueId val="{00000001-97A6-448F-994D-E66F95DCEBD8}"/>
              </c:ext>
            </c:extLst>
          </c:dPt>
          <c:dPt>
            <c:idx val="1"/>
            <c:invertIfNegative val="1"/>
            <c:bubble3D val="0"/>
            <c:spPr>
              <a:solidFill>
                <a:srgbClr val="B9BDC2"/>
              </a:solidFill>
            </c:spPr>
            <c:extLst>
              <c:ext xmlns:c16="http://schemas.microsoft.com/office/drawing/2014/chart" uri="{C3380CC4-5D6E-409C-BE32-E72D297353CC}">
                <c16:uniqueId val="{00000003-97A6-448F-994D-E66F95DCEBD8}"/>
              </c:ext>
            </c:extLst>
          </c:dPt>
          <c:dPt>
            <c:idx val="2"/>
            <c:invertIfNegative val="1"/>
            <c:bubble3D val="0"/>
            <c:spPr>
              <a:solidFill>
                <a:srgbClr val="064B93"/>
              </a:solidFill>
            </c:spPr>
            <c:extLst>
              <c:ext xmlns:c16="http://schemas.microsoft.com/office/drawing/2014/chart" uri="{C3380CC4-5D6E-409C-BE32-E72D297353CC}">
                <c16:uniqueId val="{00000005-97A6-448F-994D-E66F95DCEBD8}"/>
              </c:ext>
            </c:extLst>
          </c:dPt>
          <c:dPt>
            <c:idx val="3"/>
            <c:invertIfNegative val="1"/>
            <c:bubble3D val="0"/>
            <c:spPr>
              <a:solidFill>
                <a:srgbClr val="B9BDC2"/>
              </a:solidFill>
            </c:spPr>
            <c:extLst>
              <c:ext xmlns:c16="http://schemas.microsoft.com/office/drawing/2014/chart" uri="{C3380CC4-5D6E-409C-BE32-E72D297353CC}">
                <c16:uniqueId val="{00000007-97A6-448F-994D-E66F95DCEBD8}"/>
              </c:ext>
            </c:extLst>
          </c:dPt>
          <c:dPt>
            <c:idx val="4"/>
            <c:invertIfNegative val="1"/>
            <c:bubble3D val="0"/>
            <c:spPr>
              <a:solidFill>
                <a:srgbClr val="064B93"/>
              </a:solidFill>
            </c:spPr>
            <c:extLst>
              <c:ext xmlns:c16="http://schemas.microsoft.com/office/drawing/2014/chart" uri="{C3380CC4-5D6E-409C-BE32-E72D297353CC}">
                <c16:uniqueId val="{00000009-97A6-448F-994D-E66F95DCEBD8}"/>
              </c:ext>
            </c:extLst>
          </c:dPt>
          <c:dPt>
            <c:idx val="5"/>
            <c:invertIfNegative val="1"/>
            <c:bubble3D val="0"/>
            <c:spPr>
              <a:solidFill>
                <a:srgbClr val="B9BDC2"/>
              </a:solidFill>
            </c:spPr>
            <c:extLst>
              <c:ext xmlns:c16="http://schemas.microsoft.com/office/drawing/2014/chart" uri="{C3380CC4-5D6E-409C-BE32-E72D297353CC}">
                <c16:uniqueId val="{0000000B-97A6-448F-994D-E66F95DCEBD8}"/>
              </c:ext>
            </c:extLst>
          </c:dPt>
          <c:dPt>
            <c:idx val="6"/>
            <c:invertIfNegative val="1"/>
            <c:bubble3D val="0"/>
            <c:spPr>
              <a:solidFill>
                <a:srgbClr val="064B93"/>
              </a:solidFill>
            </c:spPr>
            <c:extLst>
              <c:ext xmlns:c16="http://schemas.microsoft.com/office/drawing/2014/chart" uri="{C3380CC4-5D6E-409C-BE32-E72D297353CC}">
                <c16:uniqueId val="{0000000D-97A6-448F-994D-E66F95DCEBD8}"/>
              </c:ext>
            </c:extLst>
          </c:dPt>
          <c:dPt>
            <c:idx val="7"/>
            <c:invertIfNegative val="1"/>
            <c:bubble3D val="0"/>
            <c:spPr>
              <a:solidFill>
                <a:srgbClr val="B9BDC2"/>
              </a:solidFill>
            </c:spPr>
            <c:extLst>
              <c:ext xmlns:c16="http://schemas.microsoft.com/office/drawing/2014/chart" uri="{C3380CC4-5D6E-409C-BE32-E72D297353CC}">
                <c16:uniqueId val="{0000000F-97A6-448F-994D-E66F95DCEBD8}"/>
              </c:ext>
            </c:extLst>
          </c:dPt>
          <c:dPt>
            <c:idx val="8"/>
            <c:invertIfNegative val="1"/>
            <c:bubble3D val="0"/>
            <c:spPr>
              <a:solidFill>
                <a:srgbClr val="064B93"/>
              </a:solidFill>
            </c:spPr>
            <c:extLst>
              <c:ext xmlns:c16="http://schemas.microsoft.com/office/drawing/2014/chart" uri="{C3380CC4-5D6E-409C-BE32-E72D297353CC}">
                <c16:uniqueId val="{00000011-97A6-448F-994D-E66F95DCEBD8}"/>
              </c:ext>
            </c:extLst>
          </c:dPt>
          <c:dPt>
            <c:idx val="9"/>
            <c:invertIfNegative val="1"/>
            <c:bubble3D val="0"/>
            <c:spPr>
              <a:solidFill>
                <a:srgbClr val="B9BDC2"/>
              </a:solidFill>
            </c:spPr>
            <c:extLst>
              <c:ext xmlns:c16="http://schemas.microsoft.com/office/drawing/2014/chart" uri="{C3380CC4-5D6E-409C-BE32-E72D297353CC}">
                <c16:uniqueId val="{00000013-97A6-448F-994D-E66F95DCEBD8}"/>
              </c:ext>
            </c:extLst>
          </c:dPt>
          <c:dPt>
            <c:idx val="11"/>
            <c:invertIfNegative val="1"/>
            <c:bubble3D val="0"/>
            <c:spPr>
              <a:solidFill>
                <a:srgbClr val="064B93"/>
              </a:solidFill>
            </c:spPr>
            <c:extLst>
              <c:ext xmlns:c16="http://schemas.microsoft.com/office/drawing/2014/chart" uri="{C3380CC4-5D6E-409C-BE32-E72D297353CC}">
                <c16:uniqueId val="{00000015-97A6-448F-994D-E66F95DCEBD8}"/>
              </c:ext>
            </c:extLst>
          </c:dPt>
          <c:dLbls>
            <c:dLbl>
              <c:idx val="0"/>
              <c:layout>
                <c:manualLayout>
                  <c:x val="2.2988445888708253E-3"/>
                  <c:y val="0.16545787736797801"/>
                </c:manualLayout>
              </c:layout>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6.1077955533336108E-2"/>
                      <c:h val="0.10030766021796944"/>
                    </c:manualLayout>
                  </c15:layout>
                </c:ext>
                <c:ext xmlns:c16="http://schemas.microsoft.com/office/drawing/2014/chart" uri="{C3380CC4-5D6E-409C-BE32-E72D297353CC}">
                  <c16:uniqueId val="{00000001-97A6-448F-994D-E66F95DCEBD8}"/>
                </c:ext>
              </c:extLst>
            </c:dLbl>
            <c:dLbl>
              <c:idx val="1"/>
              <c:layout>
                <c:manualLayout>
                  <c:x val="0"/>
                  <c:y val="0.13888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A6-448F-994D-E66F95DCEBD8}"/>
                </c:ext>
              </c:extLst>
            </c:dLbl>
            <c:dLbl>
              <c:idx val="2"/>
              <c:layout>
                <c:manualLayout>
                  <c:x val="-4.04169346286349E-17"/>
                  <c:y val="0.145931882686849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A6-448F-994D-E66F95DCEBD8}"/>
                </c:ext>
              </c:extLst>
            </c:dLbl>
            <c:dLbl>
              <c:idx val="3"/>
              <c:layout>
                <c:manualLayout>
                  <c:x val="2.1574973031283314E-3"/>
                  <c:y val="0.13888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A6-448F-994D-E66F95DCEBD8}"/>
                </c:ext>
              </c:extLst>
            </c:dLbl>
            <c:dLbl>
              <c:idx val="4"/>
              <c:layout>
                <c:manualLayout>
                  <c:x val="4.3149946062567418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7A6-448F-994D-E66F95DCEBD8}"/>
                </c:ext>
              </c:extLst>
            </c:dLbl>
            <c:dLbl>
              <c:idx val="5"/>
              <c:layout>
                <c:manualLayout>
                  <c:x val="2.1574973031283709E-3"/>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7A6-448F-994D-E66F95DCEBD8}"/>
                </c:ext>
              </c:extLst>
            </c:dLbl>
            <c:dLbl>
              <c:idx val="6"/>
              <c:layout>
                <c:manualLayout>
                  <c:x val="-1.4130178172172924E-4"/>
                  <c:y val="0.207728752448990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7A6-448F-994D-E66F95DCEBD8}"/>
                </c:ext>
              </c:extLst>
            </c:dLbl>
            <c:dLbl>
              <c:idx val="7"/>
              <c:layout>
                <c:manualLayout>
                  <c:x val="-2.3458873196406812E-3"/>
                  <c:y val="0.15740731084111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7A6-448F-994D-E66F95DCEBD8}"/>
                </c:ext>
              </c:extLst>
            </c:dLbl>
            <c:dLbl>
              <c:idx val="8"/>
              <c:layout>
                <c:manualLayout>
                  <c:x val="0"/>
                  <c:y val="0.127719962157048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7A6-448F-994D-E66F95DCEBD8}"/>
                </c:ext>
              </c:extLst>
            </c:dLbl>
            <c:dLbl>
              <c:idx val="9"/>
              <c:layout>
                <c:manualLayout>
                  <c:x val="4.3149946062567418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7A6-448F-994D-E66F95DCEBD8}"/>
                </c:ext>
              </c:extLst>
            </c:dLbl>
            <c:dLbl>
              <c:idx val="11"/>
              <c:layout>
                <c:manualLayout>
                  <c:x val="-4.4091710758377423E-3"/>
                  <c:y val="0.137180700094607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7A6-448F-994D-E66F95DCEB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Arkusz1!$B$45:$M$46</c:f>
              <c:multiLvlStrCache>
                <c:ptCount val="12"/>
                <c:lvl>
                  <c:pt idx="0">
                    <c:v>Polska</c:v>
                  </c:pt>
                  <c:pt idx="1">
                    <c:v>woj. zach</c:v>
                  </c:pt>
                  <c:pt idx="2">
                    <c:v>Polska</c:v>
                  </c:pt>
                  <c:pt idx="3">
                    <c:v>woj. zach</c:v>
                  </c:pt>
                  <c:pt idx="4">
                    <c:v>Polska</c:v>
                  </c:pt>
                  <c:pt idx="5">
                    <c:v>woj. zach</c:v>
                  </c:pt>
                  <c:pt idx="6">
                    <c:v>Polska</c:v>
                  </c:pt>
                  <c:pt idx="7">
                    <c:v>woj. zach</c:v>
                  </c:pt>
                  <c:pt idx="8">
                    <c:v>Polska</c:v>
                  </c:pt>
                  <c:pt idx="9">
                    <c:v>woj. zach</c:v>
                  </c:pt>
                  <c:pt idx="10">
                    <c:v>Polska</c:v>
                  </c:pt>
                  <c:pt idx="11">
                    <c:v>woj. zach</c:v>
                  </c:pt>
                </c:lvl>
                <c:lvl>
                  <c:pt idx="0">
                    <c:v>2019</c:v>
                  </c:pt>
                  <c:pt idx="2">
                    <c:v>2020</c:v>
                  </c:pt>
                  <c:pt idx="4">
                    <c:v>2021</c:v>
                  </c:pt>
                  <c:pt idx="6">
                    <c:v>2022</c:v>
                  </c:pt>
                  <c:pt idx="8">
                    <c:v>2023</c:v>
                  </c:pt>
                  <c:pt idx="10">
                    <c:v>2024</c:v>
                  </c:pt>
                </c:lvl>
              </c:multiLvlStrCache>
            </c:multiLvlStrRef>
          </c:cat>
          <c:val>
            <c:numRef>
              <c:f>Arkusz1!$B$47:$M$47</c:f>
              <c:numCache>
                <c:formatCode>General</c:formatCode>
                <c:ptCount val="12"/>
                <c:pt idx="0">
                  <c:v>13.9</c:v>
                </c:pt>
                <c:pt idx="1">
                  <c:v>12.42</c:v>
                </c:pt>
                <c:pt idx="2">
                  <c:v>8.8000000000000007</c:v>
                </c:pt>
                <c:pt idx="3">
                  <c:v>8.7100000000000009</c:v>
                </c:pt>
                <c:pt idx="4">
                  <c:v>9.6999999999999993</c:v>
                </c:pt>
                <c:pt idx="5">
                  <c:v>8.4</c:v>
                </c:pt>
                <c:pt idx="6">
                  <c:v>11.4</c:v>
                </c:pt>
                <c:pt idx="7">
                  <c:v>11.5</c:v>
                </c:pt>
                <c:pt idx="8">
                  <c:v>11.2</c:v>
                </c:pt>
                <c:pt idx="9">
                  <c:v>11.8</c:v>
                </c:pt>
                <c:pt idx="11">
                  <c:v>12.11</c:v>
                </c:pt>
              </c:numCache>
            </c:numRef>
          </c:val>
          <c:extLst>
            <c:ext xmlns:c16="http://schemas.microsoft.com/office/drawing/2014/chart" uri="{C3380CC4-5D6E-409C-BE32-E72D297353CC}">
              <c16:uniqueId val="{00000016-97A6-448F-994D-E66F95DCEBD8}"/>
            </c:ext>
          </c:extLst>
        </c:ser>
        <c:dLbls>
          <c:showLegendKey val="0"/>
          <c:showVal val="0"/>
          <c:showCatName val="0"/>
          <c:showSerName val="0"/>
          <c:showPercent val="0"/>
          <c:showBubbleSize val="0"/>
        </c:dLbls>
        <c:gapWidth val="150"/>
        <c:axId val="215091072"/>
        <c:axId val="215092608"/>
      </c:barChart>
      <c:lineChart>
        <c:grouping val="standard"/>
        <c:varyColors val="0"/>
        <c:ser>
          <c:idx val="1"/>
          <c:order val="1"/>
          <c:tx>
            <c:strRef>
              <c:f>Arkusz1!$A$48</c:f>
              <c:strCache>
                <c:ptCount val="1"/>
                <c:pt idx="0">
                  <c:v>w tym gruźlica płuc</c:v>
                </c:pt>
              </c:strCache>
            </c:strRef>
          </c:tx>
          <c:spPr>
            <a:ln>
              <a:solidFill>
                <a:srgbClr val="E5322D"/>
              </a:solidFill>
            </a:ln>
          </c:spPr>
          <c:marker>
            <c:spPr>
              <a:solidFill>
                <a:srgbClr val="E5322D"/>
              </a:solidFill>
              <a:ln>
                <a:solidFill>
                  <a:srgbClr val="E5322D"/>
                </a:solidFill>
              </a:ln>
            </c:spPr>
          </c:marker>
          <c:dLbls>
            <c:dLbl>
              <c:idx val="0"/>
              <c:layout>
                <c:manualLayout>
                  <c:x val="0"/>
                  <c:y val="-5.2034058656575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7A6-448F-994D-E66F95DCEBD8}"/>
                </c:ext>
              </c:extLst>
            </c:dLbl>
            <c:dLbl>
              <c:idx val="1"/>
              <c:layout>
                <c:manualLayout>
                  <c:x val="-6.6137566137566134E-3"/>
                  <c:y val="-4.2573320719016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7A6-448F-994D-E66F95DCEBD8}"/>
                </c:ext>
              </c:extLst>
            </c:dLbl>
            <c:dLbl>
              <c:idx val="2"/>
              <c:layout>
                <c:manualLayout>
                  <c:x val="-8.8183421516755262E-3"/>
                  <c:y val="-5.2034058656575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7A6-448F-994D-E66F95DCEBD8}"/>
                </c:ext>
              </c:extLst>
            </c:dLbl>
            <c:dLbl>
              <c:idx val="3"/>
              <c:layout>
                <c:manualLayout>
                  <c:x val="-1.5432098765432098E-2"/>
                  <c:y val="-5.6764427625354823E-2"/>
                </c:manualLayout>
              </c:layout>
              <c:showLegendKey val="0"/>
              <c:showVal val="1"/>
              <c:showCatName val="0"/>
              <c:showSerName val="0"/>
              <c:showPercent val="0"/>
              <c:showBubbleSize val="0"/>
              <c:extLst>
                <c:ext xmlns:c15="http://schemas.microsoft.com/office/drawing/2012/chart" uri="{CE6537A1-D6FC-4f65-9D91-7224C49458BB}">
                  <c15:layout>
                    <c:manualLayout>
                      <c:w val="5.2259613381660623E-2"/>
                      <c:h val="8.1386184342851178E-2"/>
                    </c:manualLayout>
                  </c15:layout>
                </c:ext>
                <c:ext xmlns:c16="http://schemas.microsoft.com/office/drawing/2014/chart" uri="{C3380CC4-5D6E-409C-BE32-E72D297353CC}">
                  <c16:uniqueId val="{0000001A-97A6-448F-994D-E66F95DCEBD8}"/>
                </c:ext>
              </c:extLst>
            </c:dLbl>
            <c:dLbl>
              <c:idx val="4"/>
              <c:layout>
                <c:manualLayout>
                  <c:x val="-1.5432098765432098E-2"/>
                  <c:y val="-3.7842951750236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97A6-448F-994D-E66F95DCEBD8}"/>
                </c:ext>
              </c:extLst>
            </c:dLbl>
            <c:dLbl>
              <c:idx val="5"/>
              <c:layout>
                <c:manualLayout>
                  <c:x val="-2.4250440917107666E-2"/>
                  <c:y val="-6.62251655629139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7A6-448F-994D-E66F95DCEBD8}"/>
                </c:ext>
              </c:extLst>
            </c:dLbl>
            <c:dLbl>
              <c:idx val="6"/>
              <c:layout>
                <c:manualLayout>
                  <c:x val="-1.7636684303350969E-2"/>
                  <c:y val="-4.730368968779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97A6-448F-994D-E66F95DCEBD8}"/>
                </c:ext>
              </c:extLst>
            </c:dLbl>
            <c:dLbl>
              <c:idx val="7"/>
              <c:layout>
                <c:manualLayout>
                  <c:x val="-3.0864197530864279E-2"/>
                  <c:y val="-7.0955534531693468E-2"/>
                </c:manualLayout>
              </c:layout>
              <c:showLegendKey val="0"/>
              <c:showVal val="1"/>
              <c:showCatName val="0"/>
              <c:showSerName val="0"/>
              <c:showPercent val="0"/>
              <c:showBubbleSize val="0"/>
              <c:extLst>
                <c:ext xmlns:c15="http://schemas.microsoft.com/office/drawing/2012/chart" uri="{CE6537A1-D6FC-4f65-9D91-7224C49458BB}">
                  <c15:layout>
                    <c:manualLayout>
                      <c:w val="5.2259613381660623E-2"/>
                      <c:h val="7.6655815374071623E-2"/>
                    </c:manualLayout>
                  </c15:layout>
                </c:ext>
                <c:ext xmlns:c16="http://schemas.microsoft.com/office/drawing/2014/chart" uri="{C3380CC4-5D6E-409C-BE32-E72D297353CC}">
                  <c16:uniqueId val="{0000001E-97A6-448F-994D-E66F95DCEBD8}"/>
                </c:ext>
              </c:extLst>
            </c:dLbl>
            <c:dLbl>
              <c:idx val="8"/>
              <c:layout>
                <c:manualLayout>
                  <c:x val="-3.5273368606702021E-2"/>
                  <c:y val="-5.6764427625354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97A6-448F-994D-E66F95DCEBD8}"/>
                </c:ext>
              </c:extLst>
            </c:dLbl>
            <c:dLbl>
              <c:idx val="9"/>
              <c:layout>
                <c:manualLayout>
                  <c:x val="-1.984126984126984E-2"/>
                  <c:y val="-5.2034058656575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97A6-448F-994D-E66F95DCEBD8}"/>
                </c:ext>
              </c:extLst>
            </c:dLbl>
            <c:dLbl>
              <c:idx val="11"/>
              <c:layout>
                <c:manualLayout>
                  <c:x val="-1.322751322751339E-2"/>
                  <c:y val="-4.2573320719016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97A6-448F-994D-E66F95DCEBD8}"/>
                </c:ext>
              </c:extLst>
            </c:dLbl>
            <c:spPr>
              <a:noFill/>
              <a:ln>
                <a:noFill/>
              </a:ln>
              <a:effectLst/>
            </c:spPr>
            <c:txPr>
              <a:bodyPr/>
              <a:lstStyle/>
              <a:p>
                <a:pPr>
                  <a:defRPr>
                    <a:solidFill>
                      <a:srgbClr val="FF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Arkusz1!$B$45:$M$46</c:f>
              <c:multiLvlStrCache>
                <c:ptCount val="12"/>
                <c:lvl>
                  <c:pt idx="0">
                    <c:v>Polska</c:v>
                  </c:pt>
                  <c:pt idx="1">
                    <c:v>woj. zach</c:v>
                  </c:pt>
                  <c:pt idx="2">
                    <c:v>Polska</c:v>
                  </c:pt>
                  <c:pt idx="3">
                    <c:v>woj. zach</c:v>
                  </c:pt>
                  <c:pt idx="4">
                    <c:v>Polska</c:v>
                  </c:pt>
                  <c:pt idx="5">
                    <c:v>woj. zach</c:v>
                  </c:pt>
                  <c:pt idx="6">
                    <c:v>Polska</c:v>
                  </c:pt>
                  <c:pt idx="7">
                    <c:v>woj. zach</c:v>
                  </c:pt>
                  <c:pt idx="8">
                    <c:v>Polska</c:v>
                  </c:pt>
                  <c:pt idx="9">
                    <c:v>woj. zach</c:v>
                  </c:pt>
                  <c:pt idx="10">
                    <c:v>Polska</c:v>
                  </c:pt>
                  <c:pt idx="11">
                    <c:v>woj. zach</c:v>
                  </c:pt>
                </c:lvl>
                <c:lvl>
                  <c:pt idx="0">
                    <c:v>2019</c:v>
                  </c:pt>
                  <c:pt idx="2">
                    <c:v>2020</c:v>
                  </c:pt>
                  <c:pt idx="4">
                    <c:v>2021</c:v>
                  </c:pt>
                  <c:pt idx="6">
                    <c:v>2022</c:v>
                  </c:pt>
                  <c:pt idx="8">
                    <c:v>2023</c:v>
                  </c:pt>
                  <c:pt idx="10">
                    <c:v>2024</c:v>
                  </c:pt>
                </c:lvl>
              </c:multiLvlStrCache>
            </c:multiLvlStrRef>
          </c:cat>
          <c:val>
            <c:numRef>
              <c:f>Arkusz1!$B$48:$M$48</c:f>
              <c:numCache>
                <c:formatCode>General</c:formatCode>
                <c:ptCount val="12"/>
                <c:pt idx="0">
                  <c:v>13.2</c:v>
                </c:pt>
                <c:pt idx="1">
                  <c:v>12.1</c:v>
                </c:pt>
                <c:pt idx="2">
                  <c:v>8.4</c:v>
                </c:pt>
                <c:pt idx="3">
                  <c:v>8.7100000000000009</c:v>
                </c:pt>
                <c:pt idx="4">
                  <c:v>9.3000000000000007</c:v>
                </c:pt>
                <c:pt idx="5">
                  <c:v>8.1999999999999993</c:v>
                </c:pt>
                <c:pt idx="6">
                  <c:v>11</c:v>
                </c:pt>
                <c:pt idx="7">
                  <c:v>10.8</c:v>
                </c:pt>
                <c:pt idx="8">
                  <c:v>10.8</c:v>
                </c:pt>
                <c:pt idx="9">
                  <c:v>11.5</c:v>
                </c:pt>
                <c:pt idx="11">
                  <c:v>11.92</c:v>
                </c:pt>
              </c:numCache>
            </c:numRef>
          </c:val>
          <c:smooth val="0"/>
          <c:extLst>
            <c:ext xmlns:c16="http://schemas.microsoft.com/office/drawing/2014/chart" uri="{C3380CC4-5D6E-409C-BE32-E72D297353CC}">
              <c16:uniqueId val="{00000022-97A6-448F-994D-E66F95DCEBD8}"/>
            </c:ext>
          </c:extLst>
        </c:ser>
        <c:dLbls>
          <c:showLegendKey val="0"/>
          <c:showVal val="0"/>
          <c:showCatName val="0"/>
          <c:showSerName val="0"/>
          <c:showPercent val="0"/>
          <c:showBubbleSize val="0"/>
        </c:dLbls>
        <c:marker val="1"/>
        <c:smooth val="0"/>
        <c:axId val="215091072"/>
        <c:axId val="215092608"/>
      </c:lineChart>
      <c:catAx>
        <c:axId val="215091072"/>
        <c:scaling>
          <c:orientation val="minMax"/>
        </c:scaling>
        <c:delete val="0"/>
        <c:axPos val="b"/>
        <c:numFmt formatCode="General" sourceLinked="0"/>
        <c:majorTickMark val="out"/>
        <c:minorTickMark val="none"/>
        <c:tickLblPos val="nextTo"/>
        <c:crossAx val="215092608"/>
        <c:crosses val="autoZero"/>
        <c:auto val="1"/>
        <c:lblAlgn val="ctr"/>
        <c:lblOffset val="100"/>
        <c:noMultiLvlLbl val="0"/>
      </c:catAx>
      <c:valAx>
        <c:axId val="215092608"/>
        <c:scaling>
          <c:orientation val="minMax"/>
        </c:scaling>
        <c:delete val="0"/>
        <c:axPos val="l"/>
        <c:majorGridlines/>
        <c:numFmt formatCode="General" sourceLinked="1"/>
        <c:majorTickMark val="out"/>
        <c:minorTickMark val="none"/>
        <c:tickLblPos val="nextTo"/>
        <c:crossAx val="215091072"/>
        <c:crosses val="autoZero"/>
        <c:crossBetween val="between"/>
      </c:valAx>
    </c:plotArea>
    <c:legend>
      <c:legendPos val="b"/>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9.0615029921100584E-2"/>
          <c:y val="7.317531045053477E-2"/>
          <c:w val="0.74919212238338517"/>
          <c:h val="0.64639226298263108"/>
        </c:manualLayout>
      </c:layout>
      <c:barChart>
        <c:barDir val="col"/>
        <c:grouping val="clustered"/>
        <c:varyColors val="0"/>
        <c:ser>
          <c:idx val="1"/>
          <c:order val="0"/>
          <c:tx>
            <c:strRef>
              <c:f>'[Wykres w programie Microsoft Word]Arkusz2'!$A$2</c:f>
              <c:strCache>
                <c:ptCount val="1"/>
                <c:pt idx="0">
                  <c:v>Szczecin</c:v>
                </c:pt>
              </c:strCache>
            </c:strRef>
          </c:tx>
          <c:spPr>
            <a:solidFill>
              <a:srgbClr val="064B93"/>
            </a:solidFill>
          </c:spPr>
          <c:invertIfNegative val="0"/>
          <c:dLbls>
            <c:spPr>
              <a:noFill/>
              <a:ln w="2540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Word]Arkusz2'!$F$1:$T$1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'[Wykres w programie Microsoft Word]Arkusz2'!$F$2:$T$2</c:f>
              <c:numCache>
                <c:formatCode>General</c:formatCode>
                <c:ptCount val="15"/>
                <c:pt idx="0">
                  <c:v>1187</c:v>
                </c:pt>
                <c:pt idx="1">
                  <c:v>1356</c:v>
                </c:pt>
                <c:pt idx="2">
                  <c:v>1445</c:v>
                </c:pt>
                <c:pt idx="3">
                  <c:v>1325</c:v>
                </c:pt>
                <c:pt idx="4">
                  <c:v>1119</c:v>
                </c:pt>
                <c:pt idx="5">
                  <c:v>1028</c:v>
                </c:pt>
                <c:pt idx="6">
                  <c:v>1073</c:v>
                </c:pt>
                <c:pt idx="7">
                  <c:v>1021</c:v>
                </c:pt>
                <c:pt idx="8">
                  <c:v>1113</c:v>
                </c:pt>
                <c:pt idx="9">
                  <c:v>1275</c:v>
                </c:pt>
                <c:pt idx="10">
                  <c:v>439</c:v>
                </c:pt>
                <c:pt idx="11">
                  <c:v>778</c:v>
                </c:pt>
                <c:pt idx="12">
                  <c:v>871</c:v>
                </c:pt>
                <c:pt idx="13">
                  <c:v>1186</c:v>
                </c:pt>
                <c:pt idx="14">
                  <c:v>1304</c:v>
                </c:pt>
              </c:numCache>
            </c:numRef>
          </c:val>
          <c:extLst>
            <c:ext xmlns:c16="http://schemas.microsoft.com/office/drawing/2014/chart" uri="{C3380CC4-5D6E-409C-BE32-E72D297353CC}">
              <c16:uniqueId val="{00000000-B60D-4604-8DCC-CB258A49DD68}"/>
            </c:ext>
          </c:extLst>
        </c:ser>
        <c:ser>
          <c:idx val="0"/>
          <c:order val="1"/>
          <c:tx>
            <c:strRef>
              <c:f>'[Wykres w programie Microsoft Word]Arkusz2'!$A$3</c:f>
              <c:strCache>
                <c:ptCount val="1"/>
                <c:pt idx="0">
                  <c:v>Koszalin</c:v>
                </c:pt>
              </c:strCache>
            </c:strRef>
          </c:tx>
          <c:spPr>
            <a:solidFill>
              <a:srgbClr val="B9BDC2"/>
            </a:solidFill>
          </c:spPr>
          <c:invertIfNegative val="0"/>
          <c:dLbls>
            <c:dLbl>
              <c:idx val="1"/>
              <c:layout>
                <c:manualLayout>
                  <c:x val="3.7964407648092263E-3"/>
                  <c:y val="8.5988114361958898E-2"/>
                </c:manualLayout>
              </c:layout>
              <c:spPr/>
              <c:txPr>
                <a:bodyPr/>
                <a:lstStyle/>
                <a:p>
                  <a:pPr>
                    <a:defRPr b="1"/>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0D-4604-8DCC-CB258A49DD68}"/>
                </c:ext>
              </c:extLst>
            </c:dLbl>
            <c:dLbl>
              <c:idx val="3"/>
              <c:layout>
                <c:manualLayout>
                  <c:x val="6.4932016343053232E-3"/>
                  <c:y val="7.9299151151256561E-2"/>
                </c:manualLayout>
              </c:layout>
              <c:spPr/>
              <c:txPr>
                <a:bodyPr/>
                <a:lstStyle/>
                <a:p>
                  <a:pPr>
                    <a:defRPr b="1"/>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0D-4604-8DCC-CB258A49DD68}"/>
                </c:ext>
              </c:extLst>
            </c:dLbl>
            <c:dLbl>
              <c:idx val="4"/>
              <c:layout>
                <c:manualLayout>
                  <c:x val="6.2236264164254353E-3"/>
                  <c:y val="8.9046076598284715E-2"/>
                </c:manualLayout>
              </c:layout>
              <c:spPr/>
              <c:txPr>
                <a:bodyPr/>
                <a:lstStyle/>
                <a:p>
                  <a:pPr>
                    <a:defRPr b="1"/>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0D-4604-8DCC-CB258A49DD68}"/>
                </c:ext>
              </c:extLst>
            </c:dLbl>
            <c:dLbl>
              <c:idx val="6"/>
              <c:layout>
                <c:manualLayout>
                  <c:x val="1.716001716001716E-3"/>
                  <c:y val="3.48128807658833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0D-4604-8DCC-CB258A49DD68}"/>
                </c:ext>
              </c:extLst>
            </c:dLbl>
            <c:spPr>
              <a:noFill/>
              <a:ln w="2540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Word]Arkusz2'!$F$1:$T$1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'[Wykres w programie Microsoft Word]Arkusz2'!$F$3:$T$3</c:f>
              <c:numCache>
                <c:formatCode>General</c:formatCode>
                <c:ptCount val="15"/>
                <c:pt idx="0">
                  <c:v>337</c:v>
                </c:pt>
                <c:pt idx="1">
                  <c:v>338</c:v>
                </c:pt>
                <c:pt idx="2">
                  <c:v>320</c:v>
                </c:pt>
                <c:pt idx="3">
                  <c:v>293</c:v>
                </c:pt>
                <c:pt idx="4">
                  <c:v>288</c:v>
                </c:pt>
              </c:numCache>
            </c:numRef>
          </c:val>
          <c:extLst>
            <c:ext xmlns:c16="http://schemas.microsoft.com/office/drawing/2014/chart" uri="{C3380CC4-5D6E-409C-BE32-E72D297353CC}">
              <c16:uniqueId val="{00000005-B60D-4604-8DCC-CB258A49DD68}"/>
            </c:ext>
          </c:extLst>
        </c:ser>
        <c:dLbls>
          <c:showLegendKey val="0"/>
          <c:showVal val="0"/>
          <c:showCatName val="0"/>
          <c:showSerName val="0"/>
          <c:showPercent val="0"/>
          <c:showBubbleSize val="0"/>
        </c:dLbls>
        <c:gapWidth val="150"/>
        <c:axId val="2089455632"/>
        <c:axId val="1"/>
      </c:barChart>
      <c:lineChart>
        <c:grouping val="standard"/>
        <c:varyColors val="0"/>
        <c:ser>
          <c:idx val="2"/>
          <c:order val="2"/>
          <c:tx>
            <c:strRef>
              <c:f>'[Wykres w programie Microsoft Word]Arkusz2'!$A$4</c:f>
              <c:strCache>
                <c:ptCount val="1"/>
                <c:pt idx="0">
                  <c:v>liczba badań dod. w Szczecinie</c:v>
                </c:pt>
              </c:strCache>
            </c:strRef>
          </c:tx>
          <c:spPr>
            <a:ln>
              <a:solidFill>
                <a:srgbClr val="70AFF1"/>
              </a:solidFill>
            </a:ln>
          </c:spPr>
          <c:marker>
            <c:spPr>
              <a:solidFill>
                <a:srgbClr val="70AFF1"/>
              </a:solidFill>
            </c:spPr>
          </c:marker>
          <c:dLbls>
            <c:dLbl>
              <c:idx val="0"/>
              <c:layout>
                <c:manualLayout>
                  <c:x val="-2.9593175853018374E-2"/>
                  <c:y val="-3.5247302739950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60D-4604-8DCC-CB258A49DD68}"/>
                </c:ext>
              </c:extLst>
            </c:dLbl>
            <c:dLbl>
              <c:idx val="1"/>
              <c:layout>
                <c:manualLayout>
                  <c:x val="-1.3145539906103286E-2"/>
                  <c:y val="-3.1496062992125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0D-4604-8DCC-CB258A49DD68}"/>
                </c:ext>
              </c:extLst>
            </c:dLbl>
            <c:dLbl>
              <c:idx val="2"/>
              <c:layout>
                <c:manualLayout>
                  <c:x val="-2.0657276995305163E-2"/>
                  <c:y val="-3.84951881014873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60D-4604-8DCC-CB258A49DD68}"/>
                </c:ext>
              </c:extLst>
            </c:dLbl>
            <c:dLbl>
              <c:idx val="3"/>
              <c:layout>
                <c:manualLayout>
                  <c:x val="-1.1267605633802818E-2"/>
                  <c:y val="-4.1994750656167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60D-4604-8DCC-CB258A49DD68}"/>
                </c:ext>
              </c:extLst>
            </c:dLbl>
            <c:dLbl>
              <c:idx val="4"/>
              <c:layout>
                <c:manualLayout>
                  <c:x val="-1.5188052197700639E-2"/>
                  <c:y val="-5.44421711065643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60D-4604-8DCC-CB258A49DD68}"/>
                </c:ext>
              </c:extLst>
            </c:dLbl>
            <c:dLbl>
              <c:idx val="5"/>
              <c:layout>
                <c:manualLayout>
                  <c:x val="-2.0657276995305163E-2"/>
                  <c:y val="-4.1994750656167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60D-4604-8DCC-CB258A49DD68}"/>
                </c:ext>
              </c:extLst>
            </c:dLbl>
            <c:dLbl>
              <c:idx val="6"/>
              <c:layout>
                <c:manualLayout>
                  <c:x val="-2.4212635392406937E-2"/>
                  <c:y val="-2.799650043744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60D-4604-8DCC-CB258A49DD68}"/>
                </c:ext>
              </c:extLst>
            </c:dLbl>
            <c:dLbl>
              <c:idx val="7"/>
              <c:layout>
                <c:manualLayout>
                  <c:x val="-2.2535203932841807E-2"/>
                  <c:y val="-1.8352579969124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60D-4604-8DCC-CB258A49DD68}"/>
                </c:ext>
              </c:extLst>
            </c:dLbl>
            <c:dLbl>
              <c:idx val="8"/>
              <c:layout>
                <c:manualLayout>
                  <c:x val="-1.6901400838408839E-2"/>
                  <c:y val="2.0613611288145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0D-4604-8DCC-CB258A49DD68}"/>
                </c:ext>
              </c:extLst>
            </c:dLbl>
            <c:dLbl>
              <c:idx val="9"/>
              <c:layout>
                <c:manualLayout>
                  <c:x val="-2.8169014084507043E-2"/>
                  <c:y val="-4.1994750656167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60D-4604-8DCC-CB258A49DD68}"/>
                </c:ext>
              </c:extLst>
            </c:dLbl>
            <c:dLbl>
              <c:idx val="10"/>
              <c:layout>
                <c:manualLayout>
                  <c:x val="-2.8169014084507043E-2"/>
                  <c:y val="-3.1496062992125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60D-4604-8DCC-CB258A49DD68}"/>
                </c:ext>
              </c:extLst>
            </c:dLbl>
            <c:spPr>
              <a:noFill/>
            </c:spPr>
            <c:txPr>
              <a:bodyPr/>
              <a:lstStyle/>
              <a:p>
                <a:pPr>
                  <a:defRPr b="1">
                    <a:solidFill>
                      <a:srgbClr val="C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Word]Arkusz2'!$F$1:$T$1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'[Wykres w programie Microsoft Word]Arkusz2'!$F$4:$T$4</c:f>
              <c:numCache>
                <c:formatCode>General</c:formatCode>
                <c:ptCount val="15"/>
                <c:pt idx="0">
                  <c:v>4</c:v>
                </c:pt>
                <c:pt idx="1">
                  <c:v>10</c:v>
                </c:pt>
                <c:pt idx="2">
                  <c:v>12</c:v>
                </c:pt>
                <c:pt idx="3">
                  <c:v>15</c:v>
                </c:pt>
                <c:pt idx="4">
                  <c:v>7</c:v>
                </c:pt>
                <c:pt idx="5">
                  <c:v>10</c:v>
                </c:pt>
                <c:pt idx="6">
                  <c:v>20</c:v>
                </c:pt>
                <c:pt idx="7">
                  <c:v>25</c:v>
                </c:pt>
                <c:pt idx="8">
                  <c:v>12</c:v>
                </c:pt>
                <c:pt idx="9">
                  <c:v>14</c:v>
                </c:pt>
                <c:pt idx="10">
                  <c:v>6</c:v>
                </c:pt>
                <c:pt idx="11">
                  <c:v>14</c:v>
                </c:pt>
                <c:pt idx="12">
                  <c:v>18</c:v>
                </c:pt>
                <c:pt idx="13">
                  <c:v>25</c:v>
                </c:pt>
                <c:pt idx="14">
                  <c:v>36</c:v>
                </c:pt>
              </c:numCache>
            </c:numRef>
          </c:val>
          <c:smooth val="1"/>
          <c:extLst>
            <c:ext xmlns:c16="http://schemas.microsoft.com/office/drawing/2014/chart" uri="{C3380CC4-5D6E-409C-BE32-E72D297353CC}">
              <c16:uniqueId val="{00000011-B60D-4604-8DCC-CB258A49DD68}"/>
            </c:ext>
          </c:extLst>
        </c:ser>
        <c:ser>
          <c:idx val="3"/>
          <c:order val="3"/>
          <c:tx>
            <c:strRef>
              <c:f>'[Wykres w programie Microsoft Word]Arkusz2'!$A$5</c:f>
              <c:strCache>
                <c:ptCount val="1"/>
                <c:pt idx="0">
                  <c:v>liczba badań dod. w Koszalinie</c:v>
                </c:pt>
              </c:strCache>
            </c:strRef>
          </c:tx>
          <c:spPr>
            <a:ln>
              <a:solidFill>
                <a:srgbClr val="E5322D"/>
              </a:solidFill>
            </a:ln>
          </c:spPr>
          <c:marker>
            <c:spPr>
              <a:solidFill>
                <a:srgbClr val="E5322D"/>
              </a:solidFill>
              <a:ln>
                <a:solidFill>
                  <a:srgbClr val="E5322D"/>
                </a:solidFill>
              </a:ln>
            </c:spPr>
          </c:marker>
          <c:dLbls>
            <c:dLbl>
              <c:idx val="0"/>
              <c:layout>
                <c:manualLayout>
                  <c:x val="-1.6550882528572817E-2"/>
                  <c:y val="-3.5461186190718572E-2"/>
                </c:manualLayout>
              </c:layout>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60D-4604-8DCC-CB258A49DD68}"/>
                </c:ext>
              </c:extLst>
            </c:dLbl>
            <c:dLbl>
              <c:idx val="1"/>
              <c:layout>
                <c:manualLayout>
                  <c:x val="-4.9893146041362184E-3"/>
                  <c:y val="-2.7870680044593064E-2"/>
                </c:manualLayout>
              </c:layout>
              <c:spPr>
                <a:ln cap="rnd">
                  <a:round/>
                </a:ln>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60D-4604-8DCC-CB258A49DD68}"/>
                </c:ext>
              </c:extLst>
            </c:dLbl>
            <c:dLbl>
              <c:idx val="3"/>
              <c:layout>
                <c:manualLayout>
                  <c:x val="-3.9105093872680019E-3"/>
                  <c:y val="-4.0133779264214034E-2"/>
                </c:manualLayout>
              </c:layout>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60D-4604-8DCC-CB258A49DD68}"/>
                </c:ext>
              </c:extLst>
            </c:dLbl>
            <c:dLbl>
              <c:idx val="4"/>
              <c:layout>
                <c:manualLayout>
                  <c:x val="-1.466844109275073E-2"/>
                  <c:y val="4.0079360158720316E-2"/>
                </c:manualLayout>
              </c:layout>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60D-4604-8DCC-CB258A49DD68}"/>
                </c:ext>
              </c:extLst>
            </c:dLbl>
            <c:spPr>
              <a:noFill/>
              <a:ln w="2540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Word]Arkusz2'!$F$1:$T$1</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'[Wykres w programie Microsoft Word]Arkusz2'!$F$5:$T$5</c:f>
              <c:numCache>
                <c:formatCode>General</c:formatCode>
                <c:ptCount val="15"/>
                <c:pt idx="0">
                  <c:v>3</c:v>
                </c:pt>
                <c:pt idx="1">
                  <c:v>1</c:v>
                </c:pt>
                <c:pt idx="2">
                  <c:v>1</c:v>
                </c:pt>
                <c:pt idx="3">
                  <c:v>2</c:v>
                </c:pt>
                <c:pt idx="4">
                  <c:v>1</c:v>
                </c:pt>
                <c:pt idx="5">
                  <c:v>0</c:v>
                </c:pt>
                <c:pt idx="6">
                  <c:v>1</c:v>
                </c:pt>
                <c:pt idx="7">
                  <c:v>3</c:v>
                </c:pt>
                <c:pt idx="8">
                  <c:v>1</c:v>
                </c:pt>
                <c:pt idx="9">
                  <c:v>1</c:v>
                </c:pt>
                <c:pt idx="10">
                  <c:v>1</c:v>
                </c:pt>
                <c:pt idx="13">
                  <c:v>3</c:v>
                </c:pt>
                <c:pt idx="14">
                  <c:v>2</c:v>
                </c:pt>
              </c:numCache>
            </c:numRef>
          </c:val>
          <c:smooth val="0"/>
          <c:extLst>
            <c:ext xmlns:c16="http://schemas.microsoft.com/office/drawing/2014/chart" uri="{C3380CC4-5D6E-409C-BE32-E72D297353CC}">
              <c16:uniqueId val="{00000016-B60D-4604-8DCC-CB258A49DD68}"/>
            </c:ext>
          </c:extLst>
        </c:ser>
        <c:dLbls>
          <c:showLegendKey val="0"/>
          <c:showVal val="0"/>
          <c:showCatName val="0"/>
          <c:showSerName val="0"/>
          <c:showPercent val="0"/>
          <c:showBubbleSize val="0"/>
        </c:dLbls>
        <c:marker val="1"/>
        <c:smooth val="0"/>
        <c:axId val="3"/>
        <c:axId val="4"/>
      </c:lineChart>
      <c:catAx>
        <c:axId val="2089455632"/>
        <c:scaling>
          <c:orientation val="minMax"/>
        </c:scaling>
        <c:delete val="0"/>
        <c:axPos val="b"/>
        <c:numFmt formatCode="General" sourceLinked="1"/>
        <c:majorTickMark val="cross"/>
        <c:minorTickMark val="none"/>
        <c:tickLblPos val="nextTo"/>
        <c:txPr>
          <a:bodyPr rot="0" vert="horz"/>
          <a:lstStyle/>
          <a:p>
            <a:pPr>
              <a:defRPr/>
            </a:pPr>
            <a:endParaRPr lang="pl-PL"/>
          </a:p>
        </c:txPr>
        <c:crossAx val="1"/>
        <c:crosses val="autoZero"/>
        <c:auto val="0"/>
        <c:lblAlgn val="ctr"/>
        <c:lblOffset val="100"/>
        <c:tickLblSkip val="1"/>
        <c:tickMarkSkip val="1"/>
        <c:noMultiLvlLbl val="0"/>
      </c:catAx>
      <c:valAx>
        <c:axId val="1"/>
        <c:scaling>
          <c:orientation val="minMax"/>
        </c:scaling>
        <c:delete val="0"/>
        <c:axPos val="l"/>
        <c:numFmt formatCode="General" sourceLinked="1"/>
        <c:majorTickMark val="cross"/>
        <c:minorTickMark val="none"/>
        <c:tickLblPos val="nextTo"/>
        <c:txPr>
          <a:bodyPr rot="0" vert="horz"/>
          <a:lstStyle/>
          <a:p>
            <a:pPr>
              <a:defRPr/>
            </a:pPr>
            <a:endParaRPr lang="pl-PL"/>
          </a:p>
        </c:txPr>
        <c:crossAx val="208945563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0"/>
        <c:lblAlgn val="ctr"/>
        <c:lblOffset val="100"/>
        <c:noMultiLvlLbl val="0"/>
      </c:catAx>
      <c:valAx>
        <c:axId val="4"/>
        <c:scaling>
          <c:orientation val="minMax"/>
        </c:scaling>
        <c:delete val="0"/>
        <c:axPos val="r"/>
        <c:numFmt formatCode="General" sourceLinked="1"/>
        <c:majorTickMark val="cross"/>
        <c:minorTickMark val="none"/>
        <c:tickLblPos val="nextTo"/>
        <c:txPr>
          <a:bodyPr rot="0" vert="horz"/>
          <a:lstStyle/>
          <a:p>
            <a:pPr>
              <a:defRPr/>
            </a:pPr>
            <a:endParaRPr lang="pl-PL"/>
          </a:p>
        </c:txPr>
        <c:crossAx val="3"/>
        <c:crosses val="max"/>
        <c:crossBetween val="between"/>
      </c:valAx>
      <c:spPr>
        <a:ln>
          <a:solidFill>
            <a:srgbClr val="000000"/>
          </a:solidFill>
        </a:ln>
      </c:spPr>
    </c:plotArea>
    <c:legend>
      <c:legendPos val="b"/>
      <c:layout>
        <c:manualLayout>
          <c:xMode val="edge"/>
          <c:yMode val="edge"/>
          <c:x val="4.0453094136428829E-2"/>
          <c:y val="0.8963212544168413"/>
          <c:w val="0.91747720323619342"/>
          <c:h val="8.0267485944101935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c:f>
              <c:strCache>
                <c:ptCount val="1"/>
                <c:pt idx="0">
                  <c:v>Ogółem</c:v>
                </c:pt>
              </c:strCache>
            </c:strRef>
          </c:tx>
          <c:spPr>
            <a:solidFill>
              <a:srgbClr val="064B93"/>
            </a:solidFill>
            <a:ln>
              <a:solidFill>
                <a:srgbClr val="0070C0"/>
              </a:solidFill>
            </a:ln>
            <a:effectLst/>
          </c:spPr>
          <c:invertIfNegative val="0"/>
          <c:dPt>
            <c:idx val="0"/>
            <c:invertIfNegative val="0"/>
            <c:bubble3D val="0"/>
            <c:extLst>
              <c:ext xmlns:c16="http://schemas.microsoft.com/office/drawing/2014/chart" uri="{C3380CC4-5D6E-409C-BE32-E72D297353CC}">
                <c16:uniqueId val="{00000000-7DCA-4048-BAAD-CCA12937094A}"/>
              </c:ext>
            </c:extLst>
          </c:dPt>
          <c:dPt>
            <c:idx val="1"/>
            <c:invertIfNegative val="0"/>
            <c:bubble3D val="0"/>
            <c:extLst>
              <c:ext xmlns:c16="http://schemas.microsoft.com/office/drawing/2014/chart" uri="{C3380CC4-5D6E-409C-BE32-E72D297353CC}">
                <c16:uniqueId val="{00000001-7DCA-4048-BAAD-CCA12937094A}"/>
              </c:ext>
            </c:extLst>
          </c:dPt>
          <c:dPt>
            <c:idx val="3"/>
            <c:invertIfNegative val="0"/>
            <c:bubble3D val="0"/>
            <c:extLst>
              <c:ext xmlns:c16="http://schemas.microsoft.com/office/drawing/2014/chart" uri="{C3380CC4-5D6E-409C-BE32-E72D297353CC}">
                <c16:uniqueId val="{00000002-7DCA-4048-BAAD-CCA12937094A}"/>
              </c:ext>
            </c:extLst>
          </c:dPt>
          <c:dPt>
            <c:idx val="6"/>
            <c:invertIfNegative val="0"/>
            <c:bubble3D val="0"/>
            <c:extLst>
              <c:ext xmlns:c16="http://schemas.microsoft.com/office/drawing/2014/chart" uri="{C3380CC4-5D6E-409C-BE32-E72D297353CC}">
                <c16:uniqueId val="{00000003-7DCA-4048-BAAD-CCA12937094A}"/>
              </c:ext>
            </c:extLst>
          </c:dPt>
          <c:dPt>
            <c:idx val="7"/>
            <c:invertIfNegative val="0"/>
            <c:bubble3D val="0"/>
            <c:extLst>
              <c:ext xmlns:c16="http://schemas.microsoft.com/office/drawing/2014/chart" uri="{C3380CC4-5D6E-409C-BE32-E72D297353CC}">
                <c16:uniqueId val="{00000004-7DCA-4048-BAAD-CCA12937094A}"/>
              </c:ext>
            </c:extLst>
          </c:dPt>
          <c:dLbls>
            <c:dLbl>
              <c:idx val="1"/>
              <c:tx>
                <c:rich>
                  <a:bodyPr/>
                  <a:lstStyle/>
                  <a:p>
                    <a:r>
                      <a:rPr lang="en-US"/>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DCA-4048-BAAD-CCA12937094A}"/>
                </c:ext>
              </c:extLst>
            </c:dLbl>
            <c:dLbl>
              <c:idx val="7"/>
              <c:tx>
                <c:rich>
                  <a:bodyPr/>
                  <a:lstStyle/>
                  <a:p>
                    <a:r>
                      <a:rPr lang="en-US" b="0">
                        <a:solidFill>
                          <a:schemeClr val="bg1"/>
                        </a:solidFill>
                      </a:rPr>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7DCA-4048-BAAD-CCA12937094A}"/>
                </c:ext>
              </c:extLst>
            </c:dLbl>
            <c:spPr>
              <a:solidFill>
                <a:srgbClr val="064B9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Arkusz1!$B$3:$B$7</c:f>
              <c:numCache>
                <c:formatCode>General</c:formatCode>
                <c:ptCount val="5"/>
                <c:pt idx="0">
                  <c:v>2020</c:v>
                </c:pt>
                <c:pt idx="1">
                  <c:v>2021</c:v>
                </c:pt>
                <c:pt idx="2">
                  <c:v>2022</c:v>
                </c:pt>
                <c:pt idx="3">
                  <c:v>2023</c:v>
                </c:pt>
                <c:pt idx="4">
                  <c:v>2024</c:v>
                </c:pt>
              </c:numCache>
            </c:numRef>
          </c:cat>
          <c:val>
            <c:numRef>
              <c:f>Arkusz1!$C$3:$C$7</c:f>
              <c:numCache>
                <c:formatCode>General</c:formatCode>
                <c:ptCount val="5"/>
                <c:pt idx="0">
                  <c:v>132</c:v>
                </c:pt>
                <c:pt idx="1">
                  <c:v>198</c:v>
                </c:pt>
                <c:pt idx="2">
                  <c:v>264</c:v>
                </c:pt>
                <c:pt idx="3">
                  <c:v>158</c:v>
                </c:pt>
                <c:pt idx="4">
                  <c:v>126</c:v>
                </c:pt>
              </c:numCache>
            </c:numRef>
          </c:val>
          <c:extLst>
            <c:ext xmlns:c16="http://schemas.microsoft.com/office/drawing/2014/chart" uri="{C3380CC4-5D6E-409C-BE32-E72D297353CC}">
              <c16:uniqueId val="{00000005-7DCA-4048-BAAD-CCA12937094A}"/>
            </c:ext>
          </c:extLst>
        </c:ser>
        <c:dLbls>
          <c:showLegendKey val="0"/>
          <c:showVal val="1"/>
          <c:showCatName val="0"/>
          <c:showSerName val="0"/>
          <c:showPercent val="0"/>
          <c:showBubbleSize val="0"/>
        </c:dLbls>
        <c:gapWidth val="405"/>
        <c:axId val="286945448"/>
        <c:axId val="286947016"/>
      </c:barChart>
      <c:lineChart>
        <c:grouping val="standard"/>
        <c:varyColors val="0"/>
        <c:ser>
          <c:idx val="1"/>
          <c:order val="1"/>
          <c:tx>
            <c:strRef>
              <c:f>Arkusz1!$D$2</c:f>
              <c:strCache>
                <c:ptCount val="1"/>
                <c:pt idx="0">
                  <c:v>w tym SARS-CoV-2</c:v>
                </c:pt>
              </c:strCache>
            </c:strRef>
          </c:tx>
          <c:spPr>
            <a:ln w="28575" cap="rnd">
              <a:solidFill>
                <a:srgbClr val="E5322D"/>
              </a:solidFill>
              <a:round/>
            </a:ln>
            <a:effectLst/>
          </c:spPr>
          <c:marker>
            <c:symbol val="none"/>
          </c:marker>
          <c:dLbls>
            <c:dLbl>
              <c:idx val="6"/>
              <c:layout>
                <c:manualLayout>
                  <c:x val="0"/>
                  <c:y val="1.21123245477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CA-4048-BAAD-CCA12937094A}"/>
                </c:ext>
              </c:extLst>
            </c:dLbl>
            <c:dLbl>
              <c:idx val="7"/>
              <c:layout>
                <c:manualLayout>
                  <c:x val="-1.3648597221537382E-2"/>
                  <c:y val="2.4224649095466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CA-4048-BAAD-CCA12937094A}"/>
                </c:ext>
              </c:extLst>
            </c:dLbl>
            <c:spPr>
              <a:solidFill>
                <a:srgbClr val="E5322D"/>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Arkusz1!$B$3:$B$7</c:f>
              <c:numCache>
                <c:formatCode>General</c:formatCode>
                <c:ptCount val="5"/>
                <c:pt idx="0">
                  <c:v>2020</c:v>
                </c:pt>
                <c:pt idx="1">
                  <c:v>2021</c:v>
                </c:pt>
                <c:pt idx="2">
                  <c:v>2022</c:v>
                </c:pt>
                <c:pt idx="3">
                  <c:v>2023</c:v>
                </c:pt>
                <c:pt idx="4">
                  <c:v>2024</c:v>
                </c:pt>
              </c:numCache>
            </c:numRef>
          </c:cat>
          <c:val>
            <c:numRef>
              <c:f>Arkusz1!$D$3:$D$7</c:f>
              <c:numCache>
                <c:formatCode>General</c:formatCode>
                <c:ptCount val="5"/>
                <c:pt idx="0">
                  <c:v>109</c:v>
                </c:pt>
                <c:pt idx="1">
                  <c:v>133</c:v>
                </c:pt>
                <c:pt idx="2">
                  <c:v>207</c:v>
                </c:pt>
                <c:pt idx="3">
                  <c:v>92</c:v>
                </c:pt>
                <c:pt idx="4">
                  <c:v>50</c:v>
                </c:pt>
              </c:numCache>
            </c:numRef>
          </c:val>
          <c:smooth val="0"/>
          <c:extLst>
            <c:ext xmlns:c16="http://schemas.microsoft.com/office/drawing/2014/chart" uri="{C3380CC4-5D6E-409C-BE32-E72D297353CC}">
              <c16:uniqueId val="{00000008-7DCA-4048-BAAD-CCA12937094A}"/>
            </c:ext>
          </c:extLst>
        </c:ser>
        <c:dLbls>
          <c:showLegendKey val="0"/>
          <c:showVal val="1"/>
          <c:showCatName val="0"/>
          <c:showSerName val="0"/>
          <c:showPercent val="0"/>
          <c:showBubbleSize val="0"/>
        </c:dLbls>
        <c:marker val="1"/>
        <c:smooth val="0"/>
        <c:axId val="286945448"/>
        <c:axId val="286947016"/>
      </c:lineChart>
      <c:catAx>
        <c:axId val="28694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47016"/>
        <c:crosses val="autoZero"/>
        <c:auto val="1"/>
        <c:lblAlgn val="ctr"/>
        <c:lblOffset val="100"/>
        <c:noMultiLvlLbl val="0"/>
      </c:catAx>
      <c:valAx>
        <c:axId val="28694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45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A33ABD"/>
              </a:solidFill>
              <a:ln w="19050">
                <a:solidFill>
                  <a:schemeClr val="lt1"/>
                </a:solidFill>
              </a:ln>
              <a:effectLst/>
            </c:spPr>
            <c:extLst>
              <c:ext xmlns:c16="http://schemas.microsoft.com/office/drawing/2014/chart" uri="{C3380CC4-5D6E-409C-BE32-E72D297353CC}">
                <c16:uniqueId val="{00000001-2AD3-49B3-BFDD-C6F358060099}"/>
              </c:ext>
            </c:extLst>
          </c:dPt>
          <c:dPt>
            <c:idx val="1"/>
            <c:bubble3D val="0"/>
            <c:spPr>
              <a:solidFill>
                <a:srgbClr val="B9BDC2"/>
              </a:solidFill>
              <a:ln w="19050">
                <a:solidFill>
                  <a:schemeClr val="lt1"/>
                </a:solidFill>
              </a:ln>
              <a:effectLst/>
            </c:spPr>
            <c:extLst>
              <c:ext xmlns:c16="http://schemas.microsoft.com/office/drawing/2014/chart" uri="{C3380CC4-5D6E-409C-BE32-E72D297353CC}">
                <c16:uniqueId val="{00000003-2AD3-49B3-BFDD-C6F358060099}"/>
              </c:ext>
            </c:extLst>
          </c:dPt>
          <c:dPt>
            <c:idx val="2"/>
            <c:bubble3D val="0"/>
            <c:spPr>
              <a:solidFill>
                <a:srgbClr val="064B93"/>
              </a:solidFill>
              <a:ln w="19050">
                <a:solidFill>
                  <a:schemeClr val="lt1"/>
                </a:solidFill>
              </a:ln>
              <a:effectLst/>
            </c:spPr>
            <c:extLst>
              <c:ext xmlns:c16="http://schemas.microsoft.com/office/drawing/2014/chart" uri="{C3380CC4-5D6E-409C-BE32-E72D297353CC}">
                <c16:uniqueId val="{00000005-2AD3-49B3-BFDD-C6F358060099}"/>
              </c:ext>
            </c:extLst>
          </c:dPt>
          <c:dPt>
            <c:idx val="3"/>
            <c:bubble3D val="0"/>
            <c:spPr>
              <a:solidFill>
                <a:srgbClr val="E5322D"/>
              </a:solidFill>
              <a:ln w="19050">
                <a:solidFill>
                  <a:schemeClr val="lt1"/>
                </a:solidFill>
              </a:ln>
              <a:effectLst/>
            </c:spPr>
            <c:extLst>
              <c:ext xmlns:c16="http://schemas.microsoft.com/office/drawing/2014/chart" uri="{C3380CC4-5D6E-409C-BE32-E72D297353CC}">
                <c16:uniqueId val="{00000007-2AD3-49B3-BFDD-C6F358060099}"/>
              </c:ext>
            </c:extLst>
          </c:dPt>
          <c:dPt>
            <c:idx val="4"/>
            <c:bubble3D val="0"/>
            <c:spPr>
              <a:solidFill>
                <a:srgbClr val="70AFF1"/>
              </a:solidFill>
              <a:ln w="19050">
                <a:solidFill>
                  <a:schemeClr val="lt1"/>
                </a:solidFill>
              </a:ln>
              <a:effectLst/>
            </c:spPr>
            <c:extLst>
              <c:ext xmlns:c16="http://schemas.microsoft.com/office/drawing/2014/chart" uri="{C3380CC4-5D6E-409C-BE32-E72D297353CC}">
                <c16:uniqueId val="{00000009-2AD3-49B3-BFDD-C6F35806009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AD3-49B3-BFDD-C6F358060099}"/>
              </c:ext>
            </c:extLst>
          </c:dPt>
          <c:dLbls>
            <c:dLbl>
              <c:idx val="0"/>
              <c:layout>
                <c:manualLayout>
                  <c:x val="-1.8962482630847613E-2"/>
                  <c:y val="0.1097041831313261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D3-49B3-BFDD-C6F358060099}"/>
                </c:ext>
              </c:extLst>
            </c:dLbl>
            <c:dLbl>
              <c:idx val="1"/>
              <c:layout>
                <c:manualLayout>
                  <c:x val="-0.1148601935593964"/>
                  <c:y val="0.1144913165834038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D3-49B3-BFDD-C6F358060099}"/>
                </c:ext>
              </c:extLst>
            </c:dLbl>
            <c:dLbl>
              <c:idx val="2"/>
              <c:layout>
                <c:manualLayout>
                  <c:x val="-7.3457416120198599E-2"/>
                  <c:y val="-0.1951880976728224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D3-49B3-BFDD-C6F358060099}"/>
                </c:ext>
              </c:extLst>
            </c:dLbl>
            <c:dLbl>
              <c:idx val="3"/>
              <c:layout>
                <c:manualLayout>
                  <c:x val="0.12323793504140156"/>
                  <c:y val="4.19051384181569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AD3-49B3-BFDD-C6F358060099}"/>
                </c:ext>
              </c:extLst>
            </c:dLbl>
            <c:dLbl>
              <c:idx val="4"/>
              <c:layout>
                <c:manualLayout>
                  <c:x val="4.9662124277808931E-2"/>
                  <c:y val="0.1338198660822353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AD3-49B3-BFDD-C6F35806009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Arkusz3!$B$12:$B$17</c:f>
              <c:strCache>
                <c:ptCount val="6"/>
                <c:pt idx="0">
                  <c:v>produkcja żywności</c:v>
                </c:pt>
                <c:pt idx="1">
                  <c:v>produkcja pierwotna</c:v>
                </c:pt>
                <c:pt idx="2">
                  <c:v>zakłady obrotu żywnością</c:v>
                </c:pt>
                <c:pt idx="3">
                  <c:v>zakłady żywienia zbiorowego typu otwartego</c:v>
                </c:pt>
                <c:pt idx="4">
                  <c:v>zakłady żywienia zbiorowego typu zamkniętego</c:v>
                </c:pt>
                <c:pt idx="5">
                  <c:v>zakłady cateringowe</c:v>
                </c:pt>
              </c:strCache>
            </c:strRef>
          </c:cat>
          <c:val>
            <c:numRef>
              <c:f>Arkusz3!$C$12:$C$17</c:f>
              <c:numCache>
                <c:formatCode>General</c:formatCode>
                <c:ptCount val="6"/>
                <c:pt idx="0">
                  <c:v>1508</c:v>
                </c:pt>
                <c:pt idx="1">
                  <c:v>5590</c:v>
                </c:pt>
                <c:pt idx="2">
                  <c:v>13124</c:v>
                </c:pt>
                <c:pt idx="3">
                  <c:v>7363</c:v>
                </c:pt>
                <c:pt idx="4">
                  <c:v>2770</c:v>
                </c:pt>
                <c:pt idx="5">
                  <c:v>75</c:v>
                </c:pt>
              </c:numCache>
            </c:numRef>
          </c:val>
          <c:extLst>
            <c:ext xmlns:c16="http://schemas.microsoft.com/office/drawing/2014/chart" uri="{C3380CC4-5D6E-409C-BE32-E72D297353CC}">
              <c16:uniqueId val="{0000000C-2AD3-49B3-BFDD-C6F35806009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064B93"/>
            </a:solidFill>
          </c:spPr>
          <c:dPt>
            <c:idx val="0"/>
            <c:bubble3D val="0"/>
            <c:spPr>
              <a:solidFill>
                <a:srgbClr val="064B93"/>
              </a:solidFill>
              <a:ln w="19050">
                <a:solidFill>
                  <a:schemeClr val="lt1"/>
                </a:solidFill>
              </a:ln>
              <a:effectLst/>
            </c:spPr>
            <c:extLst>
              <c:ext xmlns:c16="http://schemas.microsoft.com/office/drawing/2014/chart" uri="{C3380CC4-5D6E-409C-BE32-E72D297353CC}">
                <c16:uniqueId val="{00000001-74FC-42C4-B55D-A71A1EC03E05}"/>
              </c:ext>
            </c:extLst>
          </c:dPt>
          <c:dPt>
            <c:idx val="1"/>
            <c:bubble3D val="0"/>
            <c:spPr>
              <a:solidFill>
                <a:srgbClr val="E5322D"/>
              </a:solidFill>
              <a:ln w="19050">
                <a:solidFill>
                  <a:schemeClr val="lt1"/>
                </a:solidFill>
              </a:ln>
              <a:effectLst/>
            </c:spPr>
            <c:extLst>
              <c:ext xmlns:c16="http://schemas.microsoft.com/office/drawing/2014/chart" uri="{C3380CC4-5D6E-409C-BE32-E72D297353CC}">
                <c16:uniqueId val="{00000003-74FC-42C4-B55D-A71A1EC03E05}"/>
              </c:ext>
            </c:extLst>
          </c:dPt>
          <c:dPt>
            <c:idx val="2"/>
            <c:bubble3D val="0"/>
            <c:spPr>
              <a:solidFill>
                <a:srgbClr val="B9BDC2"/>
              </a:solidFill>
              <a:ln w="19050">
                <a:solidFill>
                  <a:schemeClr val="lt1"/>
                </a:solidFill>
              </a:ln>
              <a:effectLst/>
            </c:spPr>
            <c:extLst>
              <c:ext xmlns:c16="http://schemas.microsoft.com/office/drawing/2014/chart" uri="{C3380CC4-5D6E-409C-BE32-E72D297353CC}">
                <c16:uniqueId val="{00000005-74FC-42C4-B55D-A71A1EC03E05}"/>
              </c:ext>
            </c:extLst>
          </c:dPt>
          <c:dPt>
            <c:idx val="3"/>
            <c:bubble3D val="0"/>
            <c:spPr>
              <a:solidFill>
                <a:srgbClr val="70AFF1"/>
              </a:solidFill>
              <a:ln w="19050">
                <a:solidFill>
                  <a:schemeClr val="lt1"/>
                </a:solidFill>
              </a:ln>
              <a:effectLst/>
            </c:spPr>
            <c:extLst>
              <c:ext xmlns:c16="http://schemas.microsoft.com/office/drawing/2014/chart" uri="{C3380CC4-5D6E-409C-BE32-E72D297353CC}">
                <c16:uniqueId val="{00000007-74FC-42C4-B55D-A71A1EC03E05}"/>
              </c:ext>
            </c:extLst>
          </c:dPt>
          <c:dLbls>
            <c:dLbl>
              <c:idx val="0"/>
              <c:layout>
                <c:manualLayout>
                  <c:x val="5.3176290463692037E-2"/>
                  <c:y val="-3.2760279965004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FC-42C4-B55D-A71A1EC03E05}"/>
                </c:ext>
              </c:extLst>
            </c:dLbl>
            <c:dLbl>
              <c:idx val="1"/>
              <c:layout>
                <c:manualLayout>
                  <c:x val="-0.11317804024496939"/>
                  <c:y val="6.8297973170020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FC-42C4-B55D-A71A1EC03E05}"/>
                </c:ext>
              </c:extLst>
            </c:dLbl>
            <c:dLbl>
              <c:idx val="2"/>
              <c:layout>
                <c:manualLayout>
                  <c:x val="-6.1573381452318457E-2"/>
                  <c:y val="1.4614683581219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FC-42C4-B55D-A71A1EC03E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Arkusz1!$B$2:$B$5</c:f>
              <c:strCache>
                <c:ptCount val="3"/>
                <c:pt idx="0">
                  <c:v>pływalnie kryte</c:v>
                </c:pt>
                <c:pt idx="1">
                  <c:v>pływalnie odkryte</c:v>
                </c:pt>
                <c:pt idx="2">
                  <c:v>pływalnie mieszane (kryto-odkryte), w tym 5 parków wodnych</c:v>
                </c:pt>
              </c:strCache>
            </c:strRef>
          </c:cat>
          <c:val>
            <c:numRef>
              <c:f>Arkusz1!$C$2:$C$5</c:f>
              <c:numCache>
                <c:formatCode>General</c:formatCode>
                <c:ptCount val="4"/>
                <c:pt idx="0">
                  <c:v>248</c:v>
                </c:pt>
                <c:pt idx="1">
                  <c:v>123</c:v>
                </c:pt>
                <c:pt idx="2">
                  <c:v>35</c:v>
                </c:pt>
              </c:numCache>
            </c:numRef>
          </c:val>
          <c:extLst>
            <c:ext xmlns:c16="http://schemas.microsoft.com/office/drawing/2014/chart" uri="{C3380CC4-5D6E-409C-BE32-E72D297353CC}">
              <c16:uniqueId val="{00000008-74FC-42C4-B55D-A71A1EC03E0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2" ma:contentTypeDescription="Create a new document." ma:contentTypeScope="" ma:versionID="48d7e77ea63cd2eda1b3b3be355b411b">
  <xsd:schema xmlns:xsd="http://www.w3.org/2001/XMLSchema" xmlns:xs="http://www.w3.org/2001/XMLSchema" xmlns:p="http://schemas.microsoft.com/office/2006/metadata/properties" xmlns:ns3="6dc1039a-9892-494e-a0ad-cb62b93289a0" targetNamespace="http://schemas.microsoft.com/office/2006/metadata/properties" ma:root="true" ma:fieldsID="f29e1b49c9972bc5e3556db002504dc7" ns3:_="">
    <xsd:import namespace="6dc1039a-9892-494e-a0ad-cb62b93289a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6A218-E85F-461B-9FA4-166ED2F15D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CC0DFF-B016-42B1-89BD-BE912BFAF907}">
  <ds:schemaRefs>
    <ds:schemaRef ds:uri="http://schemas.microsoft.com/sharepoint/v3/contenttype/forms"/>
  </ds:schemaRefs>
</ds:datastoreItem>
</file>

<file path=customXml/itemProps3.xml><?xml version="1.0" encoding="utf-8"?>
<ds:datastoreItem xmlns:ds="http://schemas.openxmlformats.org/officeDocument/2006/customXml" ds:itemID="{22C08178-7E9A-4095-82A7-F8354278FCDA}">
  <ds:schemaRefs>
    <ds:schemaRef ds:uri="http://schemas.openxmlformats.org/officeDocument/2006/bibliography"/>
  </ds:schemaRefs>
</ds:datastoreItem>
</file>

<file path=customXml/itemProps4.xml><?xml version="1.0" encoding="utf-8"?>
<ds:datastoreItem xmlns:ds="http://schemas.openxmlformats.org/officeDocument/2006/customXml" ds:itemID="{ABB3BA0B-82C5-4A65-8E08-899D3441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141</Pages>
  <Words>38298</Words>
  <Characters>229791</Characters>
  <Application>Microsoft Office Word</Application>
  <DocSecurity>0</DocSecurity>
  <Lines>1914</Lines>
  <Paragraphs>535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Szczecin - Magdalena Mozdyniewicz</dc:creator>
  <cp:keywords/>
  <dc:description/>
  <cp:lastModifiedBy>Piotr Szczęsny</cp:lastModifiedBy>
  <cp:revision>5</cp:revision>
  <cp:lastPrinted>2025-03-26T08:26:00Z</cp:lastPrinted>
  <dcterms:created xsi:type="dcterms:W3CDTF">2025-04-01T12:18:00Z</dcterms:created>
  <dcterms:modified xsi:type="dcterms:W3CDTF">2025-04-02T20:23:00Z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