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3851" w14:textId="6AC4EF4B" w:rsidR="00021A18" w:rsidRPr="001802D1" w:rsidRDefault="00DF4527" w:rsidP="009A05B3">
      <w:pPr>
        <w:pStyle w:val="Bezodstpw"/>
        <w:spacing w:line="276" w:lineRule="auto"/>
        <w:jc w:val="center"/>
        <w:rPr>
          <w:rFonts w:ascii="Times New Roman" w:hAnsi="Times New Roman" w:cs="Times New Roman"/>
          <w:b/>
          <w:bCs/>
        </w:rPr>
      </w:pPr>
      <w:r w:rsidRPr="001802D1">
        <w:rPr>
          <w:rFonts w:ascii="Times New Roman" w:hAnsi="Times New Roman" w:cs="Times New Roman"/>
          <w:b/>
          <w:bCs/>
        </w:rPr>
        <w:t>Tabela uwag z</w:t>
      </w:r>
      <w:r w:rsidR="00110686" w:rsidRPr="001802D1">
        <w:rPr>
          <w:rFonts w:ascii="Times New Roman" w:hAnsi="Times New Roman" w:cs="Times New Roman"/>
          <w:b/>
          <w:bCs/>
        </w:rPr>
        <w:t>głoszonych w ramach</w:t>
      </w:r>
      <w:r w:rsidRPr="001802D1">
        <w:rPr>
          <w:rFonts w:ascii="Times New Roman" w:hAnsi="Times New Roman" w:cs="Times New Roman"/>
          <w:b/>
          <w:bCs/>
        </w:rPr>
        <w:t xml:space="preserve"> </w:t>
      </w:r>
      <w:r w:rsidR="009D0595" w:rsidRPr="001802D1">
        <w:rPr>
          <w:rFonts w:ascii="Times New Roman" w:hAnsi="Times New Roman" w:cs="Times New Roman"/>
          <w:b/>
          <w:bCs/>
        </w:rPr>
        <w:t>opiniowania</w:t>
      </w:r>
      <w:r w:rsidR="00396DAE" w:rsidRPr="001802D1">
        <w:rPr>
          <w:rFonts w:ascii="Times New Roman" w:hAnsi="Times New Roman" w:cs="Times New Roman"/>
          <w:b/>
          <w:bCs/>
        </w:rPr>
        <w:t xml:space="preserve"> </w:t>
      </w:r>
      <w:r w:rsidRPr="001802D1">
        <w:rPr>
          <w:rFonts w:ascii="Times New Roman" w:hAnsi="Times New Roman" w:cs="Times New Roman"/>
          <w:b/>
          <w:bCs/>
        </w:rPr>
        <w:t xml:space="preserve">projektu rozporządzenia </w:t>
      </w:r>
      <w:bookmarkStart w:id="0" w:name="bookmark1"/>
      <w:r w:rsidR="00FC0280" w:rsidRPr="001802D1">
        <w:rPr>
          <w:rFonts w:ascii="Times New Roman" w:hAnsi="Times New Roman" w:cs="Times New Roman"/>
          <w:b/>
          <w:bCs/>
        </w:rPr>
        <w:t xml:space="preserve">Rady Ministrów sprawie </w:t>
      </w:r>
      <w:bookmarkEnd w:id="0"/>
      <w:r w:rsidR="00FC0280" w:rsidRPr="001802D1">
        <w:rPr>
          <w:rFonts w:ascii="Times New Roman" w:hAnsi="Times New Roman" w:cs="Times New Roman"/>
          <w:b/>
          <w:bCs/>
        </w:rPr>
        <w:t>zapewnienia przez przedsiębiorcę telekomunikacyjnego warunków dostępu i utrwalania oraz przygotowania technicznych i organizacyjnych warunków udostępniania danych (RD217)</w:t>
      </w:r>
    </w:p>
    <w:p w14:paraId="4B2CD379" w14:textId="77777777" w:rsidR="00DF4527" w:rsidRPr="001802D1" w:rsidRDefault="00DF4527" w:rsidP="00DF4527">
      <w:pPr>
        <w:pStyle w:val="Bezodstpw"/>
        <w:spacing w:line="276" w:lineRule="auto"/>
        <w:jc w:val="center"/>
        <w:rPr>
          <w:rFonts w:ascii="Times New Roman" w:hAnsi="Times New Roman" w:cs="Times New Roman"/>
          <w:b/>
          <w:bCs/>
        </w:rPr>
      </w:pPr>
    </w:p>
    <w:tbl>
      <w:tblPr>
        <w:tblStyle w:val="Tabela-Siatka"/>
        <w:tblW w:w="15163" w:type="dxa"/>
        <w:tblLayout w:type="fixed"/>
        <w:tblLook w:val="04A0" w:firstRow="1" w:lastRow="0" w:firstColumn="1" w:lastColumn="0" w:noHBand="0" w:noVBand="1"/>
      </w:tblPr>
      <w:tblGrid>
        <w:gridCol w:w="597"/>
        <w:gridCol w:w="1525"/>
        <w:gridCol w:w="1559"/>
        <w:gridCol w:w="7087"/>
        <w:gridCol w:w="4395"/>
      </w:tblGrid>
      <w:tr w:rsidR="006F492C" w:rsidRPr="001802D1" w14:paraId="35087CD2" w14:textId="77777777" w:rsidTr="005B443B">
        <w:trPr>
          <w:trHeight w:val="840"/>
        </w:trPr>
        <w:tc>
          <w:tcPr>
            <w:tcW w:w="597" w:type="dxa"/>
            <w:tcBorders>
              <w:bottom w:val="single" w:sz="4" w:space="0" w:color="auto"/>
            </w:tcBorders>
            <w:shd w:val="clear" w:color="auto" w:fill="D9D9D9" w:themeFill="background1" w:themeFillShade="D9"/>
          </w:tcPr>
          <w:p w14:paraId="40DC3DC8" w14:textId="27CBB89A" w:rsidR="00DF4527" w:rsidRPr="001802D1" w:rsidRDefault="009753A3" w:rsidP="00FE39A4">
            <w:pPr>
              <w:pStyle w:val="Bezodstpw"/>
              <w:jc w:val="center"/>
              <w:rPr>
                <w:rFonts w:ascii="Times New Roman" w:hAnsi="Times New Roman" w:cs="Times New Roman"/>
              </w:rPr>
            </w:pPr>
            <w:r w:rsidRPr="001802D1">
              <w:rPr>
                <w:rFonts w:ascii="Times New Roman" w:hAnsi="Times New Roman" w:cs="Times New Roman"/>
                <w:b/>
              </w:rPr>
              <w:t>L.p.</w:t>
            </w:r>
          </w:p>
        </w:tc>
        <w:tc>
          <w:tcPr>
            <w:tcW w:w="1525" w:type="dxa"/>
            <w:tcBorders>
              <w:bottom w:val="single" w:sz="4" w:space="0" w:color="auto"/>
            </w:tcBorders>
            <w:shd w:val="clear" w:color="auto" w:fill="D9D9D9" w:themeFill="background1" w:themeFillShade="D9"/>
            <w:vAlign w:val="center"/>
          </w:tcPr>
          <w:p w14:paraId="5C3AEFCE" w14:textId="246D43B8" w:rsidR="00DF4527" w:rsidRPr="001802D1" w:rsidRDefault="009753A3" w:rsidP="00822E68">
            <w:pPr>
              <w:pStyle w:val="Bezodstpw"/>
              <w:jc w:val="center"/>
              <w:rPr>
                <w:rFonts w:ascii="Times New Roman" w:hAnsi="Times New Roman" w:cs="Times New Roman"/>
              </w:rPr>
            </w:pPr>
            <w:r w:rsidRPr="001802D1">
              <w:rPr>
                <w:rFonts w:ascii="Times New Roman" w:hAnsi="Times New Roman" w:cs="Times New Roman"/>
                <w:b/>
              </w:rPr>
              <w:t>Jednostka redakcyjna projektu</w:t>
            </w:r>
          </w:p>
        </w:tc>
        <w:tc>
          <w:tcPr>
            <w:tcW w:w="1559" w:type="dxa"/>
            <w:tcBorders>
              <w:bottom w:val="single" w:sz="4" w:space="0" w:color="auto"/>
            </w:tcBorders>
            <w:shd w:val="clear" w:color="auto" w:fill="D9D9D9" w:themeFill="background1" w:themeFillShade="D9"/>
            <w:vAlign w:val="center"/>
          </w:tcPr>
          <w:p w14:paraId="5C0E9CFB" w14:textId="45DC01C4" w:rsidR="00DF4527" w:rsidRPr="001802D1" w:rsidRDefault="00110686" w:rsidP="00822E68">
            <w:pPr>
              <w:pStyle w:val="Bezodstpw"/>
              <w:jc w:val="center"/>
              <w:rPr>
                <w:rFonts w:ascii="Times New Roman" w:hAnsi="Times New Roman" w:cs="Times New Roman"/>
              </w:rPr>
            </w:pPr>
            <w:r w:rsidRPr="001802D1">
              <w:rPr>
                <w:rFonts w:ascii="Times New Roman" w:hAnsi="Times New Roman" w:cs="Times New Roman"/>
                <w:b/>
              </w:rPr>
              <w:t>Podmiot z</w:t>
            </w:r>
            <w:r w:rsidR="009753A3" w:rsidRPr="001802D1">
              <w:rPr>
                <w:rFonts w:ascii="Times New Roman" w:hAnsi="Times New Roman" w:cs="Times New Roman"/>
                <w:b/>
              </w:rPr>
              <w:t>głaszający</w:t>
            </w:r>
          </w:p>
        </w:tc>
        <w:tc>
          <w:tcPr>
            <w:tcW w:w="7087" w:type="dxa"/>
            <w:tcBorders>
              <w:bottom w:val="single" w:sz="4" w:space="0" w:color="auto"/>
            </w:tcBorders>
            <w:shd w:val="clear" w:color="auto" w:fill="D9D9D9" w:themeFill="background1" w:themeFillShade="D9"/>
            <w:vAlign w:val="center"/>
          </w:tcPr>
          <w:p w14:paraId="37A93FA5" w14:textId="0EBA8F04" w:rsidR="00DF4527" w:rsidRPr="001802D1" w:rsidRDefault="009753A3" w:rsidP="00822E68">
            <w:pPr>
              <w:pStyle w:val="Bezodstpw"/>
              <w:jc w:val="center"/>
              <w:rPr>
                <w:rFonts w:ascii="Times New Roman" w:hAnsi="Times New Roman" w:cs="Times New Roman"/>
              </w:rPr>
            </w:pPr>
            <w:r w:rsidRPr="001802D1">
              <w:rPr>
                <w:rFonts w:ascii="Times New Roman" w:hAnsi="Times New Roman" w:cs="Times New Roman"/>
                <w:b/>
              </w:rPr>
              <w:t>Treść uwagi</w:t>
            </w:r>
          </w:p>
        </w:tc>
        <w:tc>
          <w:tcPr>
            <w:tcW w:w="4395" w:type="dxa"/>
            <w:tcBorders>
              <w:bottom w:val="single" w:sz="4" w:space="0" w:color="auto"/>
            </w:tcBorders>
            <w:shd w:val="clear" w:color="auto" w:fill="D9D9D9" w:themeFill="background1" w:themeFillShade="D9"/>
            <w:vAlign w:val="center"/>
          </w:tcPr>
          <w:p w14:paraId="72FB7D72" w14:textId="243C8A95" w:rsidR="00DF4527" w:rsidRPr="001802D1" w:rsidRDefault="009753A3" w:rsidP="004F0AB2">
            <w:pPr>
              <w:pStyle w:val="Bezodstpw"/>
              <w:jc w:val="center"/>
              <w:rPr>
                <w:rFonts w:ascii="Times New Roman" w:hAnsi="Times New Roman" w:cs="Times New Roman"/>
              </w:rPr>
            </w:pPr>
            <w:r w:rsidRPr="001802D1">
              <w:rPr>
                <w:rFonts w:ascii="Times New Roman" w:hAnsi="Times New Roman" w:cs="Times New Roman"/>
                <w:b/>
              </w:rPr>
              <w:t>Stanowisko M</w:t>
            </w:r>
            <w:r w:rsidR="00110686" w:rsidRPr="001802D1">
              <w:rPr>
                <w:rFonts w:ascii="Times New Roman" w:hAnsi="Times New Roman" w:cs="Times New Roman"/>
                <w:b/>
              </w:rPr>
              <w:t>inistra Cyfryzacji</w:t>
            </w:r>
          </w:p>
        </w:tc>
      </w:tr>
      <w:tr w:rsidR="00FD4283" w:rsidRPr="001802D1" w14:paraId="49EEEA10" w14:textId="77777777" w:rsidTr="005B443B">
        <w:tc>
          <w:tcPr>
            <w:tcW w:w="597" w:type="dxa"/>
            <w:tcBorders>
              <w:bottom w:val="single" w:sz="4" w:space="0" w:color="auto"/>
            </w:tcBorders>
          </w:tcPr>
          <w:p w14:paraId="2444E58B" w14:textId="77777777" w:rsidR="00FD4283" w:rsidRPr="001802D1" w:rsidRDefault="00FD4283" w:rsidP="00FE39A4">
            <w:pPr>
              <w:pStyle w:val="Bezodstpw"/>
              <w:numPr>
                <w:ilvl w:val="0"/>
                <w:numId w:val="2"/>
              </w:numPr>
              <w:ind w:left="171" w:hanging="171"/>
              <w:jc w:val="center"/>
              <w:rPr>
                <w:rFonts w:ascii="Times New Roman" w:hAnsi="Times New Roman" w:cs="Times New Roman"/>
              </w:rPr>
            </w:pPr>
          </w:p>
        </w:tc>
        <w:tc>
          <w:tcPr>
            <w:tcW w:w="1525" w:type="dxa"/>
            <w:tcBorders>
              <w:bottom w:val="single" w:sz="4" w:space="0" w:color="auto"/>
            </w:tcBorders>
          </w:tcPr>
          <w:p w14:paraId="0226CCD5" w14:textId="695D4DE0" w:rsidR="00FD4283" w:rsidRPr="001802D1" w:rsidRDefault="00FD4283" w:rsidP="00C0320C">
            <w:pPr>
              <w:pStyle w:val="Bezodstpw"/>
              <w:jc w:val="center"/>
              <w:rPr>
                <w:rFonts w:ascii="Times New Roman" w:hAnsi="Times New Roman" w:cs="Times New Roman"/>
              </w:rPr>
            </w:pPr>
            <w:r w:rsidRPr="001802D1">
              <w:rPr>
                <w:rFonts w:ascii="Times New Roman" w:hAnsi="Times New Roman" w:cs="Times New Roman"/>
              </w:rPr>
              <w:t>Tytuł</w:t>
            </w:r>
          </w:p>
        </w:tc>
        <w:tc>
          <w:tcPr>
            <w:tcW w:w="1559" w:type="dxa"/>
            <w:tcBorders>
              <w:bottom w:val="single" w:sz="4" w:space="0" w:color="auto"/>
            </w:tcBorders>
          </w:tcPr>
          <w:p w14:paraId="258CB7DC" w14:textId="3B818BFE" w:rsidR="00FD4283" w:rsidRPr="001802D1" w:rsidRDefault="00FD4283" w:rsidP="0031626A">
            <w:pPr>
              <w:pStyle w:val="Bezodstpw"/>
              <w:jc w:val="center"/>
              <w:rPr>
                <w:rFonts w:ascii="Times New Roman" w:hAnsi="Times New Roman" w:cs="Times New Roman"/>
                <w:b/>
                <w:bCs/>
              </w:rPr>
            </w:pPr>
            <w:r w:rsidRPr="001802D1">
              <w:rPr>
                <w:rFonts w:ascii="Times New Roman" w:hAnsi="Times New Roman" w:cs="Times New Roman"/>
                <w:b/>
                <w:bCs/>
              </w:rPr>
              <w:t>Urząd Komunikacji Elektronicznej</w:t>
            </w:r>
          </w:p>
        </w:tc>
        <w:tc>
          <w:tcPr>
            <w:tcW w:w="7087" w:type="dxa"/>
            <w:tcBorders>
              <w:bottom w:val="single" w:sz="4" w:space="0" w:color="auto"/>
            </w:tcBorders>
          </w:tcPr>
          <w:p w14:paraId="22763A68" w14:textId="1A41B4C6" w:rsidR="00FD4283" w:rsidRPr="001802D1" w:rsidRDefault="0031626A" w:rsidP="000F693C">
            <w:pPr>
              <w:pStyle w:val="Bezodstpw"/>
              <w:jc w:val="both"/>
              <w:rPr>
                <w:rFonts w:ascii="Times New Roman" w:hAnsi="Times New Roman" w:cs="Times New Roman"/>
              </w:rPr>
            </w:pPr>
            <w:r w:rsidRPr="001802D1">
              <w:rPr>
                <w:rFonts w:ascii="Times New Roman" w:hAnsi="Times New Roman" w:cs="Times New Roman"/>
              </w:rPr>
              <w:t>Z</w:t>
            </w:r>
            <w:r w:rsidR="00FD4283" w:rsidRPr="001802D1">
              <w:rPr>
                <w:rFonts w:ascii="Times New Roman" w:hAnsi="Times New Roman" w:cs="Times New Roman"/>
              </w:rPr>
              <w:t xml:space="preserve"> tytułu projektowanego rozporządzenia nie wynika, że reguluje ono również udostępnianie danych, o których mowa w art. 45 ust. 1 ustawy z dnia 12 lipca 2024 r. - Prawo komunikacji elektronicznej (Dz. U. poz. 1221, z późn. zm.), zwanej dalej „Pke”, i dlatego zasadne jest uzupełnienie tytułu projektowanego rozporządzenia w tym zakresie; </w:t>
            </w:r>
          </w:p>
        </w:tc>
        <w:tc>
          <w:tcPr>
            <w:tcW w:w="4395" w:type="dxa"/>
            <w:tcBorders>
              <w:bottom w:val="single" w:sz="4" w:space="0" w:color="auto"/>
            </w:tcBorders>
          </w:tcPr>
          <w:p w14:paraId="3C98326E" w14:textId="2643408A" w:rsidR="00FD4283" w:rsidRPr="001802D1" w:rsidRDefault="007C53D0" w:rsidP="00135840">
            <w:pPr>
              <w:pStyle w:val="Bezodstpw"/>
              <w:jc w:val="both"/>
              <w:rPr>
                <w:rFonts w:ascii="Times New Roman" w:hAnsi="Times New Roman" w:cs="Times New Roman"/>
                <w:b/>
                <w:bCs/>
              </w:rPr>
            </w:pPr>
            <w:r w:rsidRPr="001802D1">
              <w:rPr>
                <w:rFonts w:ascii="Times New Roman" w:hAnsi="Times New Roman" w:cs="Times New Roman"/>
                <w:b/>
                <w:bCs/>
              </w:rPr>
              <w:t>Uwaga nieuwzględniona</w:t>
            </w:r>
          </w:p>
          <w:p w14:paraId="2CAB7D33" w14:textId="1D8CC4D0" w:rsidR="007C53D0" w:rsidRPr="001802D1" w:rsidRDefault="007C53D0" w:rsidP="00135840">
            <w:pPr>
              <w:pStyle w:val="Bezodstpw"/>
              <w:jc w:val="both"/>
              <w:rPr>
                <w:rFonts w:ascii="Times New Roman" w:hAnsi="Times New Roman" w:cs="Times New Roman"/>
              </w:rPr>
            </w:pPr>
            <w:r w:rsidRPr="001802D1">
              <w:rPr>
                <w:rFonts w:ascii="Times New Roman" w:hAnsi="Times New Roman" w:cs="Times New Roman"/>
              </w:rPr>
              <w:t xml:space="preserve">Część tytułu „oraz przygotowania technicznych i organizacyjnych warunków udostępniania danych” odnosi się do art. 45 </w:t>
            </w:r>
            <w:r w:rsidR="00F54180" w:rsidRPr="001802D1">
              <w:rPr>
                <w:rFonts w:ascii="Times New Roman" w:hAnsi="Times New Roman" w:cs="Times New Roman"/>
              </w:rPr>
              <w:t xml:space="preserve">ustawy </w:t>
            </w:r>
            <w:r w:rsidR="00FE39A4" w:rsidRPr="001802D1">
              <w:rPr>
                <w:rFonts w:ascii="Times New Roman" w:hAnsi="Times New Roman" w:cs="Times New Roman"/>
              </w:rPr>
              <w:t>z dnia 12 lipca 2024 r. -</w:t>
            </w:r>
            <w:r w:rsidR="00F54180" w:rsidRPr="001802D1">
              <w:rPr>
                <w:rFonts w:ascii="Times New Roman" w:hAnsi="Times New Roman" w:cs="Times New Roman"/>
              </w:rPr>
              <w:t>– Prawo komunikacji elektronicznej</w:t>
            </w:r>
            <w:r w:rsidR="00FE39A4" w:rsidRPr="001802D1">
              <w:rPr>
                <w:rFonts w:ascii="Times New Roman" w:hAnsi="Times New Roman" w:cs="Times New Roman"/>
              </w:rPr>
              <w:t xml:space="preserve"> (Dz. U. poz. 1221, z późn. zm.), zwanej dalej </w:t>
            </w:r>
            <w:r w:rsidR="00C44D48" w:rsidRPr="001802D1">
              <w:rPr>
                <w:rFonts w:ascii="Times New Roman" w:hAnsi="Times New Roman" w:cs="Times New Roman"/>
              </w:rPr>
              <w:t>„</w:t>
            </w:r>
            <w:r w:rsidR="00FE39A4" w:rsidRPr="001802D1">
              <w:rPr>
                <w:rFonts w:ascii="Times New Roman" w:hAnsi="Times New Roman" w:cs="Times New Roman"/>
              </w:rPr>
              <w:t>PKE”</w:t>
            </w:r>
            <w:r w:rsidRPr="001802D1">
              <w:rPr>
                <w:rFonts w:ascii="Times New Roman" w:hAnsi="Times New Roman" w:cs="Times New Roman"/>
              </w:rPr>
              <w:t>.</w:t>
            </w:r>
          </w:p>
        </w:tc>
      </w:tr>
      <w:tr w:rsidR="00FD4283" w:rsidRPr="001802D1" w14:paraId="376818F0" w14:textId="77777777" w:rsidTr="005B443B">
        <w:tc>
          <w:tcPr>
            <w:tcW w:w="597" w:type="dxa"/>
            <w:tcBorders>
              <w:bottom w:val="single" w:sz="4" w:space="0" w:color="auto"/>
            </w:tcBorders>
          </w:tcPr>
          <w:p w14:paraId="405B30AB" w14:textId="77777777" w:rsidR="00FD4283" w:rsidRPr="001802D1" w:rsidRDefault="00FD4283" w:rsidP="00FE39A4">
            <w:pPr>
              <w:pStyle w:val="Bezodstpw"/>
              <w:numPr>
                <w:ilvl w:val="0"/>
                <w:numId w:val="2"/>
              </w:numPr>
              <w:ind w:left="171" w:hanging="171"/>
              <w:jc w:val="center"/>
              <w:rPr>
                <w:rFonts w:ascii="Times New Roman" w:hAnsi="Times New Roman" w:cs="Times New Roman"/>
              </w:rPr>
            </w:pPr>
          </w:p>
        </w:tc>
        <w:tc>
          <w:tcPr>
            <w:tcW w:w="1525" w:type="dxa"/>
            <w:tcBorders>
              <w:bottom w:val="single" w:sz="4" w:space="0" w:color="auto"/>
            </w:tcBorders>
          </w:tcPr>
          <w:p w14:paraId="0566DA01" w14:textId="1BB599D0" w:rsidR="00FD4283" w:rsidRPr="001802D1" w:rsidRDefault="00FD4283" w:rsidP="00C0320C">
            <w:pPr>
              <w:pStyle w:val="Bezodstpw"/>
              <w:jc w:val="center"/>
              <w:rPr>
                <w:rFonts w:ascii="Times New Roman" w:hAnsi="Times New Roman" w:cs="Times New Roman"/>
              </w:rPr>
            </w:pPr>
            <w:r w:rsidRPr="001802D1">
              <w:rPr>
                <w:rFonts w:ascii="Times New Roman" w:hAnsi="Times New Roman" w:cs="Times New Roman"/>
              </w:rPr>
              <w:t>§ 2 pkt 3</w:t>
            </w:r>
          </w:p>
        </w:tc>
        <w:tc>
          <w:tcPr>
            <w:tcW w:w="1559" w:type="dxa"/>
            <w:tcBorders>
              <w:bottom w:val="single" w:sz="4" w:space="0" w:color="auto"/>
            </w:tcBorders>
          </w:tcPr>
          <w:p w14:paraId="55C60F96" w14:textId="20DA929C" w:rsidR="00FD4283" w:rsidRPr="001802D1" w:rsidRDefault="00FD4283" w:rsidP="0031626A">
            <w:pPr>
              <w:pStyle w:val="Bezodstpw"/>
              <w:jc w:val="center"/>
              <w:rPr>
                <w:rFonts w:ascii="Times New Roman" w:hAnsi="Times New Roman" w:cs="Times New Roman"/>
                <w:b/>
                <w:bCs/>
              </w:rPr>
            </w:pPr>
            <w:r w:rsidRPr="001802D1">
              <w:rPr>
                <w:rFonts w:ascii="Times New Roman" w:hAnsi="Times New Roman" w:cs="Times New Roman"/>
                <w:b/>
                <w:bCs/>
              </w:rPr>
              <w:t>Urząd Komunikacji Elektronicznej</w:t>
            </w:r>
          </w:p>
        </w:tc>
        <w:tc>
          <w:tcPr>
            <w:tcW w:w="7087" w:type="dxa"/>
            <w:tcBorders>
              <w:bottom w:val="single" w:sz="4" w:space="0" w:color="auto"/>
            </w:tcBorders>
          </w:tcPr>
          <w:p w14:paraId="2D2FD547" w14:textId="77777777" w:rsidR="0041459A" w:rsidRPr="001802D1" w:rsidRDefault="00FD4283" w:rsidP="000F693C">
            <w:pPr>
              <w:pStyle w:val="Bezodstpw"/>
              <w:jc w:val="both"/>
              <w:rPr>
                <w:rFonts w:ascii="Times New Roman" w:hAnsi="Times New Roman" w:cs="Times New Roman"/>
              </w:rPr>
            </w:pPr>
            <w:r w:rsidRPr="001802D1">
              <w:rPr>
                <w:rFonts w:ascii="Times New Roman" w:hAnsi="Times New Roman" w:cs="Times New Roman"/>
              </w:rPr>
              <w:t>§ 2 pkt 3 – nie jest jasne, dlaczego interfejs LI HI ma zapewniać dostęp tylko do „wybranych” (a nie wszystkich) treści komunikatów elektronicznych i danych, o których mowa w art. 43 ust. 1 pkt 1 Pke.</w:t>
            </w:r>
          </w:p>
          <w:p w14:paraId="2244BE78" w14:textId="77777777" w:rsidR="0041459A" w:rsidRPr="001802D1" w:rsidRDefault="0041459A" w:rsidP="000F693C">
            <w:pPr>
              <w:pStyle w:val="Bezodstpw"/>
              <w:jc w:val="both"/>
              <w:rPr>
                <w:rFonts w:ascii="Times New Roman" w:hAnsi="Times New Roman" w:cs="Times New Roman"/>
              </w:rPr>
            </w:pPr>
          </w:p>
          <w:p w14:paraId="2A50C250" w14:textId="1F15CC21" w:rsidR="00FD4283" w:rsidRPr="001802D1" w:rsidRDefault="00FD4283" w:rsidP="000F693C">
            <w:pPr>
              <w:pStyle w:val="Bezodstpw"/>
              <w:jc w:val="both"/>
              <w:rPr>
                <w:rFonts w:ascii="Times New Roman" w:hAnsi="Times New Roman" w:cs="Times New Roman"/>
              </w:rPr>
            </w:pPr>
            <w:r w:rsidRPr="001802D1">
              <w:rPr>
                <w:rFonts w:ascii="Times New Roman" w:hAnsi="Times New Roman" w:cs="Times New Roman"/>
              </w:rPr>
              <w:t xml:space="preserve">Ponadto wyraz „treści” jest zbędny – por. art. 43 ust. 1 pkt 1 lit. a tiret pierwsze Pke (analogiczna uwaga dotyczy § 4 ust. 4 pkt 4 oraz § 9 ust. 4); </w:t>
            </w:r>
          </w:p>
        </w:tc>
        <w:tc>
          <w:tcPr>
            <w:tcW w:w="4395" w:type="dxa"/>
            <w:tcBorders>
              <w:bottom w:val="single" w:sz="4" w:space="0" w:color="auto"/>
            </w:tcBorders>
          </w:tcPr>
          <w:p w14:paraId="480D39F7" w14:textId="7D0FA5BA" w:rsidR="00FD4283" w:rsidRPr="001802D1" w:rsidRDefault="007C53D0" w:rsidP="00135840">
            <w:pPr>
              <w:pStyle w:val="Bezodstpw"/>
              <w:jc w:val="both"/>
              <w:rPr>
                <w:rFonts w:ascii="Times New Roman" w:hAnsi="Times New Roman" w:cs="Times New Roman"/>
                <w:b/>
                <w:bCs/>
              </w:rPr>
            </w:pPr>
            <w:r w:rsidRPr="001802D1">
              <w:rPr>
                <w:rFonts w:ascii="Times New Roman" w:hAnsi="Times New Roman" w:cs="Times New Roman"/>
                <w:b/>
                <w:bCs/>
              </w:rPr>
              <w:t>Uwaga uwzględniona</w:t>
            </w:r>
          </w:p>
          <w:p w14:paraId="773B4236" w14:textId="769F10BA" w:rsidR="0088443B" w:rsidRPr="001802D1" w:rsidRDefault="0088443B" w:rsidP="00135840">
            <w:pPr>
              <w:pStyle w:val="Bezodstpw"/>
              <w:jc w:val="both"/>
              <w:rPr>
                <w:rFonts w:ascii="Times New Roman" w:hAnsi="Times New Roman" w:cs="Times New Roman"/>
              </w:rPr>
            </w:pPr>
            <w:r w:rsidRPr="001802D1">
              <w:rPr>
                <w:rFonts w:ascii="Times New Roman" w:hAnsi="Times New Roman" w:cs="Times New Roman"/>
              </w:rPr>
              <w:t>Skreślono wyraz</w:t>
            </w:r>
            <w:r w:rsidR="008B39AB" w:rsidRPr="001802D1">
              <w:rPr>
                <w:rFonts w:ascii="Times New Roman" w:hAnsi="Times New Roman" w:cs="Times New Roman"/>
              </w:rPr>
              <w:t>y</w:t>
            </w:r>
            <w:r w:rsidRPr="001802D1">
              <w:rPr>
                <w:rFonts w:ascii="Times New Roman" w:hAnsi="Times New Roman" w:cs="Times New Roman"/>
              </w:rPr>
              <w:t xml:space="preserve"> „wybranych</w:t>
            </w:r>
            <w:r w:rsidR="008B39AB" w:rsidRPr="001802D1">
              <w:rPr>
                <w:rFonts w:ascii="Times New Roman" w:hAnsi="Times New Roman" w:cs="Times New Roman"/>
              </w:rPr>
              <w:t xml:space="preserve"> treści</w:t>
            </w:r>
            <w:r w:rsidRPr="001802D1">
              <w:rPr>
                <w:rFonts w:ascii="Times New Roman" w:hAnsi="Times New Roman" w:cs="Times New Roman"/>
              </w:rPr>
              <w:t>”.</w:t>
            </w:r>
          </w:p>
        </w:tc>
      </w:tr>
      <w:tr w:rsidR="00FD4283" w:rsidRPr="001802D1" w14:paraId="600F0025" w14:textId="77777777" w:rsidTr="005B443B">
        <w:tc>
          <w:tcPr>
            <w:tcW w:w="597" w:type="dxa"/>
            <w:tcBorders>
              <w:bottom w:val="single" w:sz="4" w:space="0" w:color="auto"/>
            </w:tcBorders>
          </w:tcPr>
          <w:p w14:paraId="6957A421" w14:textId="77777777" w:rsidR="00FD4283" w:rsidRPr="001802D1" w:rsidRDefault="00FD4283" w:rsidP="00FE39A4">
            <w:pPr>
              <w:pStyle w:val="Bezodstpw"/>
              <w:numPr>
                <w:ilvl w:val="0"/>
                <w:numId w:val="2"/>
              </w:numPr>
              <w:ind w:left="171" w:hanging="171"/>
              <w:jc w:val="center"/>
              <w:rPr>
                <w:rFonts w:ascii="Times New Roman" w:hAnsi="Times New Roman" w:cs="Times New Roman"/>
              </w:rPr>
            </w:pPr>
          </w:p>
        </w:tc>
        <w:tc>
          <w:tcPr>
            <w:tcW w:w="1525" w:type="dxa"/>
            <w:tcBorders>
              <w:bottom w:val="single" w:sz="4" w:space="0" w:color="auto"/>
            </w:tcBorders>
          </w:tcPr>
          <w:p w14:paraId="62406DE9" w14:textId="5DF72F5B" w:rsidR="00FD4283" w:rsidRPr="001802D1" w:rsidRDefault="00FD4283" w:rsidP="00C0320C">
            <w:pPr>
              <w:pStyle w:val="Bezodstpw"/>
              <w:jc w:val="center"/>
              <w:rPr>
                <w:rFonts w:ascii="Times New Roman" w:hAnsi="Times New Roman" w:cs="Times New Roman"/>
              </w:rPr>
            </w:pPr>
            <w:r w:rsidRPr="001802D1">
              <w:rPr>
                <w:rFonts w:ascii="Times New Roman" w:hAnsi="Times New Roman" w:cs="Times New Roman"/>
              </w:rPr>
              <w:t>§ 2 pkt 5</w:t>
            </w:r>
          </w:p>
        </w:tc>
        <w:tc>
          <w:tcPr>
            <w:tcW w:w="1559" w:type="dxa"/>
            <w:tcBorders>
              <w:bottom w:val="single" w:sz="4" w:space="0" w:color="auto"/>
            </w:tcBorders>
          </w:tcPr>
          <w:p w14:paraId="5CC5815F" w14:textId="6EE0A5DA" w:rsidR="00FD4283" w:rsidRPr="001802D1" w:rsidRDefault="00FD4283" w:rsidP="0031626A">
            <w:pPr>
              <w:pStyle w:val="Bezodstpw"/>
              <w:jc w:val="center"/>
              <w:rPr>
                <w:rFonts w:ascii="Times New Roman" w:hAnsi="Times New Roman" w:cs="Times New Roman"/>
                <w:b/>
                <w:bCs/>
              </w:rPr>
            </w:pPr>
            <w:r w:rsidRPr="001802D1">
              <w:rPr>
                <w:rFonts w:ascii="Times New Roman" w:hAnsi="Times New Roman" w:cs="Times New Roman"/>
                <w:b/>
                <w:bCs/>
              </w:rPr>
              <w:t>Urząd Komunikacji Elektronicznej</w:t>
            </w:r>
          </w:p>
        </w:tc>
        <w:tc>
          <w:tcPr>
            <w:tcW w:w="7087" w:type="dxa"/>
            <w:tcBorders>
              <w:bottom w:val="single" w:sz="4" w:space="0" w:color="auto"/>
            </w:tcBorders>
          </w:tcPr>
          <w:p w14:paraId="200111C6" w14:textId="2F261694" w:rsidR="00FD4283" w:rsidRPr="001802D1" w:rsidRDefault="00FD4283" w:rsidP="000F693C">
            <w:pPr>
              <w:pStyle w:val="Bezodstpw"/>
              <w:jc w:val="both"/>
              <w:rPr>
                <w:rFonts w:ascii="Times New Roman" w:hAnsi="Times New Roman" w:cs="Times New Roman"/>
              </w:rPr>
            </w:pPr>
            <w:r w:rsidRPr="001802D1">
              <w:rPr>
                <w:rFonts w:ascii="Times New Roman" w:hAnsi="Times New Roman" w:cs="Times New Roman"/>
              </w:rPr>
              <w:t xml:space="preserve">§ 2 pkt 5 – z projektowanej definicji pojęcia „upoważniony pracownik” nie wynika do czego ten pracownik ma być upoważniony; </w:t>
            </w:r>
          </w:p>
        </w:tc>
        <w:tc>
          <w:tcPr>
            <w:tcW w:w="4395" w:type="dxa"/>
            <w:tcBorders>
              <w:bottom w:val="single" w:sz="4" w:space="0" w:color="auto"/>
            </w:tcBorders>
          </w:tcPr>
          <w:p w14:paraId="344865C8" w14:textId="31084B73" w:rsidR="00FD4283" w:rsidRPr="001802D1" w:rsidRDefault="007C53D0" w:rsidP="00135840">
            <w:pPr>
              <w:pStyle w:val="Bezodstpw"/>
              <w:jc w:val="both"/>
              <w:rPr>
                <w:rFonts w:ascii="Times New Roman" w:hAnsi="Times New Roman" w:cs="Times New Roman"/>
              </w:rPr>
            </w:pPr>
            <w:r w:rsidRPr="001802D1">
              <w:rPr>
                <w:rFonts w:ascii="Times New Roman" w:hAnsi="Times New Roman" w:cs="Times New Roman"/>
                <w:b/>
                <w:bCs/>
              </w:rPr>
              <w:t>Uwaga nieuwzględniona</w:t>
            </w:r>
          </w:p>
          <w:p w14:paraId="6413A0DC" w14:textId="22AE22AC" w:rsidR="007C53D0" w:rsidRPr="001802D1" w:rsidRDefault="007C53D0" w:rsidP="00135840">
            <w:pPr>
              <w:pStyle w:val="Bezodstpw"/>
              <w:jc w:val="both"/>
              <w:rPr>
                <w:rFonts w:ascii="Times New Roman" w:hAnsi="Times New Roman" w:cs="Times New Roman"/>
              </w:rPr>
            </w:pPr>
            <w:r w:rsidRPr="001802D1">
              <w:rPr>
                <w:rFonts w:ascii="Times New Roman" w:hAnsi="Times New Roman" w:cs="Times New Roman"/>
              </w:rPr>
              <w:t xml:space="preserve">Z definicji </w:t>
            </w:r>
            <w:r w:rsidR="0088443B" w:rsidRPr="001802D1">
              <w:rPr>
                <w:rFonts w:ascii="Times New Roman" w:hAnsi="Times New Roman" w:cs="Times New Roman"/>
              </w:rPr>
              <w:t xml:space="preserve">upoważnionego pracownika </w:t>
            </w:r>
            <w:r w:rsidRPr="001802D1">
              <w:rPr>
                <w:rFonts w:ascii="Times New Roman" w:hAnsi="Times New Roman" w:cs="Times New Roman"/>
              </w:rPr>
              <w:t>wynika, że pracownik ten jest upoważniony do wykonywania czynności zleconych przez przedsiębiorcę.</w:t>
            </w:r>
          </w:p>
        </w:tc>
      </w:tr>
      <w:tr w:rsidR="00FD4283" w:rsidRPr="001802D1" w14:paraId="003C0A87" w14:textId="77777777" w:rsidTr="005B443B">
        <w:tc>
          <w:tcPr>
            <w:tcW w:w="597" w:type="dxa"/>
            <w:tcBorders>
              <w:bottom w:val="single" w:sz="4" w:space="0" w:color="auto"/>
            </w:tcBorders>
          </w:tcPr>
          <w:p w14:paraId="7F9631F1" w14:textId="77777777" w:rsidR="00FD4283" w:rsidRPr="001802D1" w:rsidRDefault="00FD4283" w:rsidP="00FE39A4">
            <w:pPr>
              <w:pStyle w:val="Bezodstpw"/>
              <w:numPr>
                <w:ilvl w:val="0"/>
                <w:numId w:val="2"/>
              </w:numPr>
              <w:ind w:left="171" w:hanging="171"/>
              <w:jc w:val="center"/>
              <w:rPr>
                <w:rFonts w:ascii="Times New Roman" w:hAnsi="Times New Roman" w:cs="Times New Roman"/>
              </w:rPr>
            </w:pPr>
          </w:p>
        </w:tc>
        <w:tc>
          <w:tcPr>
            <w:tcW w:w="1525" w:type="dxa"/>
            <w:tcBorders>
              <w:bottom w:val="single" w:sz="4" w:space="0" w:color="auto"/>
            </w:tcBorders>
          </w:tcPr>
          <w:p w14:paraId="4006E0A3" w14:textId="6676D49E" w:rsidR="00FD4283" w:rsidRPr="001802D1" w:rsidRDefault="00FD4283" w:rsidP="00C0320C">
            <w:pPr>
              <w:pStyle w:val="Bezodstpw"/>
              <w:jc w:val="center"/>
              <w:rPr>
                <w:rFonts w:ascii="Times New Roman" w:hAnsi="Times New Roman" w:cs="Times New Roman"/>
              </w:rPr>
            </w:pPr>
            <w:r w:rsidRPr="001802D1">
              <w:rPr>
                <w:rFonts w:ascii="Times New Roman" w:hAnsi="Times New Roman" w:cs="Times New Roman"/>
              </w:rPr>
              <w:t>§ 3 ust. 2</w:t>
            </w:r>
          </w:p>
        </w:tc>
        <w:tc>
          <w:tcPr>
            <w:tcW w:w="1559" w:type="dxa"/>
            <w:tcBorders>
              <w:bottom w:val="single" w:sz="4" w:space="0" w:color="auto"/>
            </w:tcBorders>
          </w:tcPr>
          <w:p w14:paraId="62E4B13E" w14:textId="77C78F35" w:rsidR="00FD4283" w:rsidRPr="001802D1" w:rsidRDefault="00FD4283" w:rsidP="0031626A">
            <w:pPr>
              <w:pStyle w:val="Bezodstpw"/>
              <w:jc w:val="center"/>
              <w:rPr>
                <w:rFonts w:ascii="Times New Roman" w:hAnsi="Times New Roman" w:cs="Times New Roman"/>
                <w:b/>
                <w:bCs/>
              </w:rPr>
            </w:pPr>
            <w:r w:rsidRPr="001802D1">
              <w:rPr>
                <w:rFonts w:ascii="Times New Roman" w:hAnsi="Times New Roman" w:cs="Times New Roman"/>
                <w:b/>
                <w:bCs/>
              </w:rPr>
              <w:t>Urząd Komunikacji Elektronicznej</w:t>
            </w:r>
          </w:p>
        </w:tc>
        <w:tc>
          <w:tcPr>
            <w:tcW w:w="7087" w:type="dxa"/>
            <w:tcBorders>
              <w:bottom w:val="single" w:sz="4" w:space="0" w:color="auto"/>
            </w:tcBorders>
          </w:tcPr>
          <w:p w14:paraId="7A70842B" w14:textId="3DCDCDFA" w:rsidR="00FD4283" w:rsidRPr="001802D1" w:rsidRDefault="00FD4283" w:rsidP="000F693C">
            <w:pPr>
              <w:pStyle w:val="Bezodstpw"/>
              <w:jc w:val="both"/>
              <w:rPr>
                <w:rFonts w:ascii="Times New Roman" w:hAnsi="Times New Roman" w:cs="Times New Roman"/>
              </w:rPr>
            </w:pPr>
            <w:r w:rsidRPr="001802D1">
              <w:rPr>
                <w:rFonts w:ascii="Times New Roman" w:hAnsi="Times New Roman" w:cs="Times New Roman"/>
              </w:rPr>
              <w:t>§ 3 ust. 2 – należy wskazać, że w § 2 pkt 6 wprowadzono definicję „urządzenia przedsiębiorcy” i z tego względu należy się tym określeniem konsekwentnie posługiwać. Dotyczy to także § 5 ust. 1 i 3 oraz § 9 ust. 3;</w:t>
            </w:r>
          </w:p>
        </w:tc>
        <w:tc>
          <w:tcPr>
            <w:tcW w:w="4395" w:type="dxa"/>
            <w:tcBorders>
              <w:bottom w:val="single" w:sz="4" w:space="0" w:color="auto"/>
            </w:tcBorders>
          </w:tcPr>
          <w:p w14:paraId="029268CA" w14:textId="77777777" w:rsidR="00FD4283" w:rsidRPr="001802D1" w:rsidRDefault="007C53D0">
            <w:pPr>
              <w:pStyle w:val="Bezodstpw"/>
              <w:jc w:val="both"/>
              <w:rPr>
                <w:rFonts w:ascii="Times New Roman" w:hAnsi="Times New Roman" w:cs="Times New Roman"/>
                <w:b/>
                <w:bCs/>
              </w:rPr>
            </w:pPr>
            <w:r w:rsidRPr="001802D1">
              <w:rPr>
                <w:rFonts w:ascii="Times New Roman" w:hAnsi="Times New Roman" w:cs="Times New Roman"/>
                <w:b/>
                <w:bCs/>
              </w:rPr>
              <w:t>Uwaga uwzględniona</w:t>
            </w:r>
          </w:p>
          <w:p w14:paraId="498B4DFF" w14:textId="3C671F54" w:rsidR="008B39AB" w:rsidRPr="001802D1" w:rsidRDefault="008B39AB" w:rsidP="00135840">
            <w:pPr>
              <w:pStyle w:val="Bezodstpw"/>
              <w:jc w:val="both"/>
              <w:rPr>
                <w:rFonts w:ascii="Times New Roman" w:hAnsi="Times New Roman" w:cs="Times New Roman"/>
              </w:rPr>
            </w:pPr>
            <w:r w:rsidRPr="001802D1">
              <w:rPr>
                <w:rFonts w:ascii="Times New Roman" w:hAnsi="Times New Roman" w:cs="Times New Roman"/>
              </w:rPr>
              <w:t>W projekcie konsekwentnie używane jest pojęcie „urządzenia przedsiębiorcy”</w:t>
            </w:r>
            <w:r w:rsidR="008C4892">
              <w:rPr>
                <w:rFonts w:ascii="Times New Roman" w:hAnsi="Times New Roman" w:cs="Times New Roman"/>
              </w:rPr>
              <w:t>.</w:t>
            </w:r>
          </w:p>
        </w:tc>
      </w:tr>
      <w:tr w:rsidR="00F26B11" w:rsidRPr="001802D1" w14:paraId="4D7F9977" w14:textId="77777777" w:rsidTr="005B443B">
        <w:tc>
          <w:tcPr>
            <w:tcW w:w="597" w:type="dxa"/>
            <w:tcBorders>
              <w:bottom w:val="single" w:sz="4" w:space="0" w:color="auto"/>
            </w:tcBorders>
          </w:tcPr>
          <w:p w14:paraId="1E86DE46" w14:textId="77777777" w:rsidR="00F26B11" w:rsidRPr="001802D1" w:rsidRDefault="00F26B11" w:rsidP="00FE39A4">
            <w:pPr>
              <w:pStyle w:val="Bezodstpw"/>
              <w:numPr>
                <w:ilvl w:val="0"/>
                <w:numId w:val="2"/>
              </w:numPr>
              <w:ind w:left="171" w:hanging="171"/>
              <w:jc w:val="center"/>
              <w:rPr>
                <w:rFonts w:ascii="Times New Roman" w:hAnsi="Times New Roman" w:cs="Times New Roman"/>
              </w:rPr>
            </w:pPr>
          </w:p>
        </w:tc>
        <w:tc>
          <w:tcPr>
            <w:tcW w:w="1525" w:type="dxa"/>
            <w:tcBorders>
              <w:bottom w:val="single" w:sz="4" w:space="0" w:color="auto"/>
            </w:tcBorders>
          </w:tcPr>
          <w:p w14:paraId="3709F195" w14:textId="5131CC0C" w:rsidR="00F26B11" w:rsidRPr="001802D1" w:rsidRDefault="00F26B11" w:rsidP="00C0320C">
            <w:pPr>
              <w:pStyle w:val="Bezodstpw"/>
              <w:jc w:val="center"/>
              <w:rPr>
                <w:rFonts w:ascii="Times New Roman" w:hAnsi="Times New Roman" w:cs="Times New Roman"/>
              </w:rPr>
            </w:pPr>
            <w:r w:rsidRPr="001802D1">
              <w:rPr>
                <w:rFonts w:ascii="Times New Roman" w:hAnsi="Times New Roman" w:cs="Times New Roman"/>
              </w:rPr>
              <w:t>§ 4 ust.</w:t>
            </w:r>
            <w:r w:rsidR="008C4892">
              <w:rPr>
                <w:rFonts w:ascii="Times New Roman" w:hAnsi="Times New Roman" w:cs="Times New Roman"/>
              </w:rPr>
              <w:t xml:space="preserve"> </w:t>
            </w:r>
            <w:r w:rsidRPr="001802D1">
              <w:rPr>
                <w:rFonts w:ascii="Times New Roman" w:hAnsi="Times New Roman" w:cs="Times New Roman"/>
              </w:rPr>
              <w:t>1</w:t>
            </w:r>
          </w:p>
        </w:tc>
        <w:tc>
          <w:tcPr>
            <w:tcW w:w="1559" w:type="dxa"/>
            <w:tcBorders>
              <w:bottom w:val="single" w:sz="4" w:space="0" w:color="auto"/>
            </w:tcBorders>
          </w:tcPr>
          <w:p w14:paraId="1385A5EB" w14:textId="22E56D61" w:rsidR="00F26B11" w:rsidRPr="001802D1" w:rsidRDefault="00F26B11" w:rsidP="0031626A">
            <w:pPr>
              <w:pStyle w:val="Bezodstpw"/>
              <w:jc w:val="center"/>
              <w:rPr>
                <w:rFonts w:ascii="Times New Roman" w:hAnsi="Times New Roman" w:cs="Times New Roman"/>
                <w:b/>
                <w:bCs/>
              </w:rPr>
            </w:pPr>
            <w:r w:rsidRPr="001802D1">
              <w:rPr>
                <w:rFonts w:ascii="Times New Roman" w:hAnsi="Times New Roman" w:cs="Times New Roman"/>
                <w:b/>
                <w:bCs/>
              </w:rPr>
              <w:t>Urząd Ochrony Danych Osobowych</w:t>
            </w:r>
          </w:p>
        </w:tc>
        <w:tc>
          <w:tcPr>
            <w:tcW w:w="7087" w:type="dxa"/>
            <w:tcBorders>
              <w:bottom w:val="single" w:sz="4" w:space="0" w:color="auto"/>
            </w:tcBorders>
          </w:tcPr>
          <w:p w14:paraId="093AD21C" w14:textId="4131993F" w:rsidR="00F26B11" w:rsidRPr="001802D1" w:rsidRDefault="00F26B11" w:rsidP="000F693C">
            <w:pPr>
              <w:pStyle w:val="Bezodstpw"/>
              <w:jc w:val="both"/>
              <w:rPr>
                <w:rFonts w:ascii="Times New Roman" w:hAnsi="Times New Roman" w:cs="Times New Roman"/>
              </w:rPr>
            </w:pPr>
            <w:r w:rsidRPr="001802D1">
              <w:rPr>
                <w:rFonts w:ascii="Times New Roman" w:hAnsi="Times New Roman" w:cs="Times New Roman"/>
              </w:rPr>
              <w:t xml:space="preserve">W </w:t>
            </w:r>
            <w:r w:rsidR="00533B14" w:rsidRPr="001802D1">
              <w:rPr>
                <w:rFonts w:ascii="Times New Roman" w:hAnsi="Times New Roman" w:cs="Times New Roman"/>
              </w:rPr>
              <w:t xml:space="preserve">§ 4 ust.1 </w:t>
            </w:r>
            <w:r w:rsidRPr="001802D1">
              <w:rPr>
                <w:rFonts w:ascii="Times New Roman" w:hAnsi="Times New Roman" w:cs="Times New Roman"/>
              </w:rPr>
              <w:t xml:space="preserve">projektu użyto określenia „zapewnia warunki dostępu i utrwalania”, nie wskazując celu, do którego dostęp ma być zapewniony i który ma być utrwalony, co sprawia, że kontekst ww. określenia jest niejasny. W związku z zasadą przejrzystości (art. 5 ust. 1 lit. a), a także zgodnie z zasadą minimalizacji danych (art. 5 ust. 1 lit. c) zasadą ograniczenia celu (art. 5 ust. 1 lit. b) oraz zasadą integralności i poufności (art. 5 ust. 1 lit. f) rozporządzenia 2016/679 Prezes Urzędu Ochrony Danych Osobowych poddaje pod rozwagę uzupełnienie ww. określenia oraz tożsamych określeń w dalszej treści projektu (§ 5 ust. 1 i § 8), tak, by z przepisów tych jednoznacznie wynikało, że rozwiązania te służą dostępowi do treści komunikatów elektronicznych i danych, o których mowa w art. 43 ust. 1 pkt 1 ustawy - Prawo komunikacji elektronicznej. Innym możliwym rozwiązaniem jest dodanie w projekcie w § 2 punktu 8 o treści: „dostępu i utrwalania – rozumie się dostęp do treści </w:t>
            </w:r>
            <w:r w:rsidRPr="001802D1">
              <w:rPr>
                <w:rFonts w:ascii="Times New Roman" w:hAnsi="Times New Roman" w:cs="Times New Roman"/>
              </w:rPr>
              <w:lastRenderedPageBreak/>
              <w:t>komunikatów elektronicznych i danych, o których mowa w art. 43 ust. 1 pkt 1 ustawy- Prawo komunikacji elektronicznej”.</w:t>
            </w:r>
          </w:p>
        </w:tc>
        <w:tc>
          <w:tcPr>
            <w:tcW w:w="4395" w:type="dxa"/>
            <w:tcBorders>
              <w:bottom w:val="single" w:sz="4" w:space="0" w:color="auto"/>
            </w:tcBorders>
          </w:tcPr>
          <w:p w14:paraId="378FC921" w14:textId="77777777" w:rsidR="00F26B11" w:rsidRPr="001802D1" w:rsidRDefault="00533B14" w:rsidP="00135840">
            <w:pPr>
              <w:pStyle w:val="Bezodstpw"/>
              <w:jc w:val="both"/>
              <w:rPr>
                <w:rFonts w:ascii="Times New Roman" w:hAnsi="Times New Roman" w:cs="Times New Roman"/>
                <w:b/>
                <w:bCs/>
              </w:rPr>
            </w:pPr>
            <w:r w:rsidRPr="001802D1">
              <w:rPr>
                <w:rFonts w:ascii="Times New Roman" w:hAnsi="Times New Roman" w:cs="Times New Roman"/>
                <w:b/>
                <w:bCs/>
              </w:rPr>
              <w:lastRenderedPageBreak/>
              <w:t>Uwaga nieuwzględniona</w:t>
            </w:r>
          </w:p>
          <w:p w14:paraId="309B3651" w14:textId="6762B7CB" w:rsidR="00533B14" w:rsidRPr="001802D1" w:rsidRDefault="001C2111" w:rsidP="00135840">
            <w:pPr>
              <w:pStyle w:val="Bezodstpw"/>
              <w:jc w:val="both"/>
              <w:rPr>
                <w:rFonts w:ascii="Times New Roman" w:hAnsi="Times New Roman" w:cs="Times New Roman"/>
              </w:rPr>
            </w:pPr>
            <w:r w:rsidRPr="001802D1">
              <w:rPr>
                <w:rFonts w:ascii="Times New Roman" w:hAnsi="Times New Roman" w:cs="Times New Roman"/>
              </w:rPr>
              <w:t>Pojęcie „warunki dostępu i utrwalania” jest pojęciem zdefiniowanym w art. 43 ust. 1 pkt 1</w:t>
            </w:r>
            <w:r w:rsidR="00542C4B" w:rsidRPr="001802D1">
              <w:rPr>
                <w:rFonts w:ascii="Times New Roman" w:hAnsi="Times New Roman" w:cs="Times New Roman"/>
              </w:rPr>
              <w:t xml:space="preserve"> PKE</w:t>
            </w:r>
            <w:r w:rsidRPr="001802D1">
              <w:rPr>
                <w:rFonts w:ascii="Times New Roman" w:hAnsi="Times New Roman" w:cs="Times New Roman"/>
              </w:rPr>
              <w:t>, które jednoznacznie wskazuje komu te warunki mają być zapewnione i które informacj</w:t>
            </w:r>
            <w:r w:rsidR="0088443B" w:rsidRPr="001802D1">
              <w:rPr>
                <w:rFonts w:ascii="Times New Roman" w:hAnsi="Times New Roman" w:cs="Times New Roman"/>
              </w:rPr>
              <w:t>e</w:t>
            </w:r>
            <w:r w:rsidRPr="001802D1">
              <w:rPr>
                <w:rFonts w:ascii="Times New Roman" w:hAnsi="Times New Roman" w:cs="Times New Roman"/>
              </w:rPr>
              <w:t xml:space="preserve"> powinny być udostępniane. Nie ma więc potrzeby powtórnego określania w</w:t>
            </w:r>
            <w:r w:rsidR="008C4892">
              <w:rPr>
                <w:rFonts w:ascii="Times New Roman" w:hAnsi="Times New Roman" w:cs="Times New Roman"/>
              </w:rPr>
              <w:t> </w:t>
            </w:r>
            <w:r w:rsidRPr="001802D1">
              <w:rPr>
                <w:rFonts w:ascii="Times New Roman" w:hAnsi="Times New Roman" w:cs="Times New Roman"/>
              </w:rPr>
              <w:t>rozporządzeniu co rozumie się pod pojęciem „dostępu i utrwalania”.</w:t>
            </w:r>
          </w:p>
        </w:tc>
      </w:tr>
      <w:tr w:rsidR="0088443B" w:rsidRPr="001802D1" w14:paraId="6BB91DB2" w14:textId="77777777" w:rsidTr="005B443B">
        <w:tc>
          <w:tcPr>
            <w:tcW w:w="597" w:type="dxa"/>
            <w:tcBorders>
              <w:bottom w:val="single" w:sz="4" w:space="0" w:color="auto"/>
            </w:tcBorders>
          </w:tcPr>
          <w:p w14:paraId="4CE8046B" w14:textId="77777777" w:rsidR="0088443B" w:rsidRPr="001802D1" w:rsidRDefault="0088443B" w:rsidP="00FE39A4">
            <w:pPr>
              <w:pStyle w:val="Bezodstpw"/>
              <w:numPr>
                <w:ilvl w:val="0"/>
                <w:numId w:val="2"/>
              </w:numPr>
              <w:ind w:left="171" w:hanging="171"/>
              <w:jc w:val="center"/>
              <w:rPr>
                <w:rFonts w:ascii="Times New Roman" w:hAnsi="Times New Roman" w:cs="Times New Roman"/>
              </w:rPr>
            </w:pPr>
          </w:p>
        </w:tc>
        <w:tc>
          <w:tcPr>
            <w:tcW w:w="1525" w:type="dxa"/>
            <w:tcBorders>
              <w:bottom w:val="single" w:sz="4" w:space="0" w:color="auto"/>
            </w:tcBorders>
          </w:tcPr>
          <w:p w14:paraId="7BFE482C" w14:textId="1B63D50D" w:rsidR="0088443B" w:rsidRPr="001802D1" w:rsidRDefault="0088443B" w:rsidP="0088443B">
            <w:pPr>
              <w:pStyle w:val="Bezodstpw"/>
              <w:jc w:val="center"/>
              <w:rPr>
                <w:rFonts w:ascii="Times New Roman" w:hAnsi="Times New Roman" w:cs="Times New Roman"/>
              </w:rPr>
            </w:pPr>
            <w:r w:rsidRPr="001802D1">
              <w:rPr>
                <w:rFonts w:ascii="Times New Roman" w:hAnsi="Times New Roman" w:cs="Times New Roman"/>
              </w:rPr>
              <w:t>§ 4 ust. 2 pkt 4</w:t>
            </w:r>
          </w:p>
        </w:tc>
        <w:tc>
          <w:tcPr>
            <w:tcW w:w="1559" w:type="dxa"/>
            <w:tcBorders>
              <w:bottom w:val="single" w:sz="4" w:space="0" w:color="auto"/>
            </w:tcBorders>
          </w:tcPr>
          <w:p w14:paraId="6523AEE0" w14:textId="5FF11668" w:rsidR="0088443B" w:rsidRPr="001802D1" w:rsidRDefault="0088443B" w:rsidP="0088443B">
            <w:pPr>
              <w:pStyle w:val="Bezodstpw"/>
              <w:jc w:val="center"/>
              <w:rPr>
                <w:rFonts w:ascii="Times New Roman" w:hAnsi="Times New Roman" w:cs="Times New Roman"/>
                <w:b/>
                <w:bCs/>
              </w:rPr>
            </w:pPr>
            <w:r w:rsidRPr="001802D1">
              <w:rPr>
                <w:rFonts w:ascii="Times New Roman" w:hAnsi="Times New Roman" w:cs="Times New Roman"/>
                <w:b/>
                <w:bCs/>
              </w:rPr>
              <w:t>Urząd Komunikacji Elektronicznej</w:t>
            </w:r>
          </w:p>
        </w:tc>
        <w:tc>
          <w:tcPr>
            <w:tcW w:w="7087" w:type="dxa"/>
            <w:tcBorders>
              <w:bottom w:val="single" w:sz="4" w:space="0" w:color="auto"/>
            </w:tcBorders>
          </w:tcPr>
          <w:p w14:paraId="24F8C0FC" w14:textId="55782B70" w:rsidR="0088443B" w:rsidRPr="001802D1" w:rsidRDefault="0088443B" w:rsidP="0088443B">
            <w:pPr>
              <w:pStyle w:val="Bezodstpw"/>
              <w:jc w:val="both"/>
              <w:rPr>
                <w:rFonts w:ascii="Times New Roman" w:hAnsi="Times New Roman" w:cs="Times New Roman"/>
              </w:rPr>
            </w:pPr>
            <w:r w:rsidRPr="001802D1">
              <w:rPr>
                <w:rFonts w:ascii="Times New Roman" w:hAnsi="Times New Roman" w:cs="Times New Roman"/>
              </w:rPr>
              <w:t>§ 4 ust. 2 pkt 4 – niejasne jest, dlaczego urządzenia przedsiębiorcy mają umożliwiać zapoznawanie się tylko ze „wskazanymi” (a nie wszystkimi) komunikatami elektronicznymi i danymi</w:t>
            </w:r>
            <w:r w:rsidR="00542C4B" w:rsidRPr="001802D1">
              <w:rPr>
                <w:rFonts w:ascii="Times New Roman" w:hAnsi="Times New Roman" w:cs="Times New Roman"/>
              </w:rPr>
              <w:t>.</w:t>
            </w:r>
            <w:r w:rsidRPr="001802D1">
              <w:rPr>
                <w:rFonts w:ascii="Times New Roman" w:hAnsi="Times New Roman" w:cs="Times New Roman"/>
              </w:rPr>
              <w:t xml:space="preserve"> </w:t>
            </w:r>
          </w:p>
        </w:tc>
        <w:tc>
          <w:tcPr>
            <w:tcW w:w="4395" w:type="dxa"/>
            <w:tcBorders>
              <w:bottom w:val="single" w:sz="4" w:space="0" w:color="auto"/>
            </w:tcBorders>
          </w:tcPr>
          <w:p w14:paraId="499AC298" w14:textId="5C55C83B" w:rsidR="0088443B" w:rsidRPr="001802D1" w:rsidRDefault="0088443B" w:rsidP="00135840">
            <w:pPr>
              <w:pStyle w:val="Bezodstpw"/>
              <w:jc w:val="both"/>
              <w:rPr>
                <w:rFonts w:ascii="Times New Roman" w:hAnsi="Times New Roman" w:cs="Times New Roman"/>
                <w:b/>
                <w:bCs/>
              </w:rPr>
            </w:pPr>
            <w:r w:rsidRPr="001802D1">
              <w:rPr>
                <w:rFonts w:ascii="Times New Roman" w:hAnsi="Times New Roman" w:cs="Times New Roman"/>
                <w:b/>
                <w:bCs/>
              </w:rPr>
              <w:t>Uwaga uwzględniona</w:t>
            </w:r>
          </w:p>
          <w:p w14:paraId="761055D1" w14:textId="01BD5695" w:rsidR="0088443B" w:rsidRPr="001802D1" w:rsidRDefault="0088443B" w:rsidP="00135840">
            <w:pPr>
              <w:pStyle w:val="Bezodstpw"/>
              <w:jc w:val="both"/>
              <w:rPr>
                <w:rFonts w:ascii="Times New Roman" w:hAnsi="Times New Roman" w:cs="Times New Roman"/>
              </w:rPr>
            </w:pPr>
            <w:r w:rsidRPr="001802D1">
              <w:rPr>
                <w:rFonts w:ascii="Times New Roman" w:hAnsi="Times New Roman" w:cs="Times New Roman"/>
              </w:rPr>
              <w:t>Skreślono wyraz „wskazanymi”.</w:t>
            </w:r>
          </w:p>
        </w:tc>
      </w:tr>
      <w:tr w:rsidR="0088443B" w:rsidRPr="001802D1" w14:paraId="73477355" w14:textId="77777777" w:rsidTr="005B443B">
        <w:tc>
          <w:tcPr>
            <w:tcW w:w="597" w:type="dxa"/>
            <w:tcBorders>
              <w:bottom w:val="single" w:sz="4" w:space="0" w:color="auto"/>
            </w:tcBorders>
          </w:tcPr>
          <w:p w14:paraId="44F3F635" w14:textId="77777777" w:rsidR="0088443B" w:rsidRPr="001802D1" w:rsidRDefault="0088443B" w:rsidP="00FE39A4">
            <w:pPr>
              <w:pStyle w:val="Bezodstpw"/>
              <w:numPr>
                <w:ilvl w:val="0"/>
                <w:numId w:val="2"/>
              </w:numPr>
              <w:ind w:left="171" w:hanging="171"/>
              <w:jc w:val="center"/>
              <w:rPr>
                <w:rFonts w:ascii="Times New Roman" w:hAnsi="Times New Roman" w:cs="Times New Roman"/>
              </w:rPr>
            </w:pPr>
          </w:p>
        </w:tc>
        <w:tc>
          <w:tcPr>
            <w:tcW w:w="1525" w:type="dxa"/>
            <w:tcBorders>
              <w:bottom w:val="single" w:sz="4" w:space="0" w:color="auto"/>
            </w:tcBorders>
          </w:tcPr>
          <w:p w14:paraId="5E392EC9" w14:textId="0736D651" w:rsidR="0088443B" w:rsidRPr="001802D1" w:rsidRDefault="0088443B" w:rsidP="0088443B">
            <w:pPr>
              <w:pStyle w:val="Bezodstpw"/>
              <w:jc w:val="center"/>
              <w:rPr>
                <w:rFonts w:ascii="Times New Roman" w:hAnsi="Times New Roman" w:cs="Times New Roman"/>
              </w:rPr>
            </w:pPr>
            <w:r w:rsidRPr="001802D1">
              <w:rPr>
                <w:rFonts w:ascii="Times New Roman" w:hAnsi="Times New Roman" w:cs="Times New Roman"/>
              </w:rPr>
              <w:t>§ 4 ust. 4 pkt 1</w:t>
            </w:r>
          </w:p>
        </w:tc>
        <w:tc>
          <w:tcPr>
            <w:tcW w:w="1559" w:type="dxa"/>
            <w:tcBorders>
              <w:bottom w:val="single" w:sz="4" w:space="0" w:color="auto"/>
            </w:tcBorders>
          </w:tcPr>
          <w:p w14:paraId="52C4C590" w14:textId="6CEB5A47" w:rsidR="0088443B" w:rsidRPr="001802D1" w:rsidRDefault="0088443B" w:rsidP="0088443B">
            <w:pPr>
              <w:pStyle w:val="Bezodstpw"/>
              <w:jc w:val="center"/>
              <w:rPr>
                <w:rFonts w:ascii="Times New Roman" w:hAnsi="Times New Roman" w:cs="Times New Roman"/>
                <w:b/>
                <w:bCs/>
              </w:rPr>
            </w:pPr>
            <w:r w:rsidRPr="001802D1">
              <w:rPr>
                <w:rFonts w:ascii="Times New Roman" w:hAnsi="Times New Roman" w:cs="Times New Roman"/>
                <w:b/>
                <w:bCs/>
              </w:rPr>
              <w:t>Rzecznik Praw Obywatelskich</w:t>
            </w:r>
          </w:p>
        </w:tc>
        <w:tc>
          <w:tcPr>
            <w:tcW w:w="7087" w:type="dxa"/>
            <w:tcBorders>
              <w:bottom w:val="single" w:sz="4" w:space="0" w:color="auto"/>
            </w:tcBorders>
          </w:tcPr>
          <w:p w14:paraId="607E323B" w14:textId="3C6664E2"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rPr>
              <w:t>W § 4 ust. 4 pkt 1 projektu rozporządzenia wskazuje się, że przedsiębiorca musi stosować się do wymagań bezpieczeństwa określonych w ustawie o ochronie informacji niejawnych i zapewniać ochronę informacji oznaczonych klauzulą nie niższą niż „tajne” (świadectwo bezpieczeństwa przemysłowego pierwszego stopnia), przy jednoczesnym obniżeniu obciążeń proceduralnych dla mikro i małych przedsiębiorców</w:t>
            </w:r>
            <w:r w:rsidRPr="001802D1">
              <w:rPr>
                <w:rStyle w:val="Odwoanieprzypisudolnego"/>
                <w:rFonts w:ascii="Times New Roman" w:hAnsi="Times New Roman" w:cs="Times New Roman"/>
              </w:rPr>
              <w:footnoteReference w:id="1"/>
            </w:r>
            <w:r w:rsidRPr="001802D1">
              <w:rPr>
                <w:rFonts w:ascii="Times New Roman" w:hAnsi="Times New Roman" w:cs="Times New Roman"/>
              </w:rPr>
              <w:t>. W praktyce oznacza to, że mikro i mali przedsiębiorcy telekomunikacyjni będą zwolnieni z obowiązku posiadania świadectwa bezpieczeństwa przemysłowego, a tym samym z konieczności ponoszenia kosztów jego uzyskania oraz tworzenia i utrzymania kancelarii tajnych</w:t>
            </w:r>
            <w:r w:rsidRPr="001802D1">
              <w:rPr>
                <w:rStyle w:val="Odwoanieprzypisudolnego"/>
                <w:rFonts w:ascii="Times New Roman" w:hAnsi="Times New Roman" w:cs="Times New Roman"/>
              </w:rPr>
              <w:footnoteReference w:id="2"/>
            </w:r>
            <w:r w:rsidRPr="001802D1">
              <w:rPr>
                <w:rFonts w:ascii="Times New Roman" w:hAnsi="Times New Roman" w:cs="Times New Roman"/>
              </w:rPr>
              <w:t>.</w:t>
            </w:r>
          </w:p>
          <w:p w14:paraId="19A59D4C" w14:textId="54D10548"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b/>
                <w:bCs/>
              </w:rPr>
              <w:t>Po pierwsze</w:t>
            </w:r>
            <w:r w:rsidRPr="001802D1">
              <w:rPr>
                <w:rFonts w:ascii="Times New Roman" w:hAnsi="Times New Roman" w:cs="Times New Roman"/>
              </w:rPr>
              <w:t>, w kontekście przetwarzania informacji niejawnych przez mikro i małych przedsiębiorców, kluczowe jest w ogóle ustalenie, czy zaproponowane mechanizmy zapewniają odpowiedni poziom bezpieczeństwa po stronie użytkowników usług. Tego elementu zabrakło w uzasadnieniu projektu rozporządzenia deregulującego.</w:t>
            </w:r>
          </w:p>
          <w:p w14:paraId="73514242" w14:textId="15503FAD"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rPr>
              <w:t>Z faktu, że mikro i mali przedsiębiorcy telekomunikacyjni „obsługują zdecydowanie mniejszą liczbę zapotrzebowań” (zob. str. 9, uzasadnienie projektu) związanych z wykonywaniem pracy operacyjnej w rozumieniu art. 43 ust. 4 PKE nie wynika, iż podmioty te utrwalając i udostępniając dane obarczone są mniejszym ryzykiem nieuprawnionego do nich dostępu, lecz jedynie, że ryzyko to może wystąpić rzadziej.</w:t>
            </w:r>
          </w:p>
          <w:p w14:paraId="02B6E230" w14:textId="6BA5F4C8"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rPr>
              <w:t xml:space="preserve">Na podstawie uzasadnienia projektu rozporządzenia nie jest jednak możliwa ocena częstotliwości takiego zdarzenia, skoro projektodawca decydując się na deregulację posłużył się ww. bardzo ogólnym założeniem szacunkowym, mającym a priori przemawiać na rzecz przerzucenia ryzyka na użytkowników. Analogiczne założenia ogólne poczyniono w OSR, wskazując, że: „projektowane rozwiązanie wynika również z dotychczasowej praktyki, która wykazała, że rzeczywista potrzeba zapewniania warunków dostępu i </w:t>
            </w:r>
            <w:r w:rsidRPr="001802D1">
              <w:rPr>
                <w:rFonts w:ascii="Times New Roman" w:hAnsi="Times New Roman" w:cs="Times New Roman"/>
              </w:rPr>
              <w:lastRenderedPageBreak/>
              <w:t>utrwalania, a zatem i konieczność przetwarzania informacji niejawnych przez znaczną grupę mniejszych przedsiębiorców telekomunikacyjnych ma charakter sporadyczny” (zob. str. 20, OSR projektu).</w:t>
            </w:r>
          </w:p>
          <w:p w14:paraId="740326B9" w14:textId="10CCFD3C"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b/>
                <w:bCs/>
              </w:rPr>
              <w:t>Po drugie</w:t>
            </w:r>
            <w:r w:rsidRPr="001802D1">
              <w:rPr>
                <w:rFonts w:ascii="Times New Roman" w:hAnsi="Times New Roman" w:cs="Times New Roman"/>
              </w:rPr>
              <w:t xml:space="preserve">, w uzasadnieniu projektu rozporządzenia deregulującego, a także w OSR, nie wykazano, w jakim konkretnie wymiarze projektowane rozwiązania mogą przyczynić się do obniżenia rzeczywistych kosztów funkcjonowania mikro i małych przedsiębiorców, nie wykazując jednocześnie, jaki konkretnie miałby być spodziewany efekt finansowy i gospodarczy planowanej deregulacji, wreszcie nie oceniając, czy deregulacja wpłynie pozytywnie na wzrost liczby przedsiębiorców telekomunikacyjnych objętych rozporządzeniem, a w efekcie na liczbę kierowanych do tych podmiotów zapotrzebowań związanych z wykonywaniem pracy operacyjnej w rozumieniu art. 43 ust. 4 PKE. Przyjęcie tego typu rozwiązania może zatem w praktyce prowadzić do tego, że duże przedsiębiorstwa telekomunikacyjne będą np. </w:t>
            </w:r>
            <w:r w:rsidRPr="001802D1">
              <w:rPr>
                <w:rFonts w:ascii="Times New Roman" w:hAnsi="Times New Roman" w:cs="Times New Roman"/>
                <w:i/>
                <w:iCs/>
              </w:rPr>
              <w:t xml:space="preserve">outsourcingować </w:t>
            </w:r>
            <w:r w:rsidRPr="001802D1">
              <w:rPr>
                <w:rFonts w:ascii="Times New Roman" w:hAnsi="Times New Roman" w:cs="Times New Roman"/>
              </w:rPr>
              <w:t>cześć swoich usług na mniejsze podmioty z uwagi na mniejsze koszty związane z zapewnieniem odpowiedniego poziomu gwarancji bezpieczeństwa w tym zakresie. Takie właśnie zagrożenie dostrzegł TK w powołanym wyżej wyroku już z dnia 30 lipca 2014 r. w sprawie K 23/11.</w:t>
            </w:r>
          </w:p>
          <w:p w14:paraId="31BF452C" w14:textId="3DE9B0FF"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rPr>
              <w:t xml:space="preserve">Powyższe sprawia, że </w:t>
            </w:r>
            <w:r w:rsidRPr="001802D1">
              <w:rPr>
                <w:rFonts w:ascii="Times New Roman" w:hAnsi="Times New Roman" w:cs="Times New Roman"/>
                <w:b/>
                <w:bCs/>
              </w:rPr>
              <w:t>argumenty dotyczące domniemanych korzyści finansowych i gospodarczych wynikających z wejścia w życie rozporządzenia są w istocie pozbawione oparcia w danych o charakterze ekonomicznym</w:t>
            </w:r>
            <w:r w:rsidRPr="001802D1">
              <w:rPr>
                <w:rFonts w:ascii="Times New Roman" w:hAnsi="Times New Roman" w:cs="Times New Roman"/>
              </w:rPr>
              <w:t>. Tymczasem była to podstawowa przesłanka celowościowa, mająca przemawiać za dokonaniem deregulacji.</w:t>
            </w:r>
          </w:p>
          <w:p w14:paraId="20191F7F" w14:textId="7EDA068D"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rPr>
              <w:t>Z obu tych przyczyn projektowane rozwiązanie nie spełnia konstytucyjnej zasady przydatności, stanowiącej pierwszy z elementów testu proporcjonalności w rozumieniu art. 31 ust. 3 zd. pierwsze Konstytucji RP. Zasada ta wymaga, aby przepisy oddziałujące na zakres konstytucyjnych wolności i praw odpowiadały standardowi racjonalności instrumentalnej, a więc umożliwiały odpowiedź na pytanie, czy zgodnie z dostępną wiedzą projektowane rozwiązanie nadaje się do osiągnięcia zamierzonego skutku i jest w stanie doprowadzić do zamierzonych rezultatów. Przyjmuje się, że warunków tych nie spełniają nie tylko takie przepisy, które utrudniają osiągniecie celów, ale i takie które nie wykazują związku z tymi celami (są irrelewantne)</w:t>
            </w:r>
            <w:r w:rsidRPr="001802D1">
              <w:rPr>
                <w:rStyle w:val="Odwoanieprzypisudolnego"/>
                <w:rFonts w:ascii="Times New Roman" w:hAnsi="Times New Roman" w:cs="Times New Roman"/>
              </w:rPr>
              <w:footnoteReference w:id="3"/>
            </w:r>
            <w:r w:rsidRPr="001802D1">
              <w:rPr>
                <w:rFonts w:ascii="Times New Roman" w:hAnsi="Times New Roman" w:cs="Times New Roman"/>
              </w:rPr>
              <w:t>.</w:t>
            </w:r>
          </w:p>
          <w:p w14:paraId="11023D9E" w14:textId="77777777" w:rsidR="00B37681" w:rsidRPr="001802D1" w:rsidRDefault="00B37681" w:rsidP="0088443B">
            <w:pPr>
              <w:pStyle w:val="Bezodstpw"/>
              <w:spacing w:after="120"/>
              <w:jc w:val="both"/>
              <w:rPr>
                <w:rFonts w:ascii="Times New Roman" w:hAnsi="Times New Roman" w:cs="Times New Roman"/>
              </w:rPr>
            </w:pPr>
          </w:p>
          <w:p w14:paraId="6292A67E" w14:textId="77777777" w:rsidR="00B37681" w:rsidRPr="001802D1" w:rsidRDefault="00B37681" w:rsidP="0088443B">
            <w:pPr>
              <w:pStyle w:val="Bezodstpw"/>
              <w:spacing w:after="120"/>
              <w:jc w:val="both"/>
              <w:rPr>
                <w:rFonts w:ascii="Times New Roman" w:hAnsi="Times New Roman" w:cs="Times New Roman"/>
              </w:rPr>
            </w:pPr>
          </w:p>
          <w:p w14:paraId="3324AF69" w14:textId="77777777" w:rsidR="00B37681" w:rsidRPr="001802D1" w:rsidRDefault="00B37681" w:rsidP="0088443B">
            <w:pPr>
              <w:pStyle w:val="Bezodstpw"/>
              <w:spacing w:after="120"/>
              <w:jc w:val="both"/>
              <w:rPr>
                <w:rFonts w:ascii="Times New Roman" w:hAnsi="Times New Roman" w:cs="Times New Roman"/>
              </w:rPr>
            </w:pPr>
          </w:p>
          <w:p w14:paraId="7E013C41" w14:textId="77777777" w:rsidR="00B37681" w:rsidRPr="001802D1" w:rsidRDefault="00B37681" w:rsidP="0088443B">
            <w:pPr>
              <w:pStyle w:val="Bezodstpw"/>
              <w:spacing w:after="120"/>
              <w:jc w:val="both"/>
              <w:rPr>
                <w:rFonts w:ascii="Times New Roman" w:hAnsi="Times New Roman" w:cs="Times New Roman"/>
              </w:rPr>
            </w:pPr>
          </w:p>
          <w:p w14:paraId="6D6DB7EE" w14:textId="77777777" w:rsidR="00B37681" w:rsidRPr="001802D1" w:rsidRDefault="00B37681" w:rsidP="0088443B">
            <w:pPr>
              <w:pStyle w:val="Bezodstpw"/>
              <w:spacing w:after="120"/>
              <w:jc w:val="both"/>
              <w:rPr>
                <w:rFonts w:ascii="Times New Roman" w:hAnsi="Times New Roman" w:cs="Times New Roman"/>
              </w:rPr>
            </w:pPr>
          </w:p>
          <w:p w14:paraId="286CA6A6" w14:textId="77777777" w:rsidR="00B37681" w:rsidRPr="001802D1" w:rsidRDefault="00B37681" w:rsidP="0088443B">
            <w:pPr>
              <w:pStyle w:val="Bezodstpw"/>
              <w:spacing w:after="120"/>
              <w:jc w:val="both"/>
              <w:rPr>
                <w:rFonts w:ascii="Times New Roman" w:hAnsi="Times New Roman" w:cs="Times New Roman"/>
              </w:rPr>
            </w:pPr>
          </w:p>
          <w:p w14:paraId="5C3A07E7" w14:textId="77777777" w:rsidR="00B37681" w:rsidRPr="001802D1" w:rsidRDefault="00B37681" w:rsidP="0088443B">
            <w:pPr>
              <w:pStyle w:val="Bezodstpw"/>
              <w:spacing w:after="120"/>
              <w:jc w:val="both"/>
              <w:rPr>
                <w:rFonts w:ascii="Times New Roman" w:hAnsi="Times New Roman" w:cs="Times New Roman"/>
              </w:rPr>
            </w:pPr>
          </w:p>
          <w:p w14:paraId="0025E5A7" w14:textId="77777777" w:rsidR="00B37681" w:rsidRPr="001802D1" w:rsidRDefault="00B37681" w:rsidP="0088443B">
            <w:pPr>
              <w:pStyle w:val="Bezodstpw"/>
              <w:spacing w:after="120"/>
              <w:jc w:val="both"/>
              <w:rPr>
                <w:rFonts w:ascii="Times New Roman" w:hAnsi="Times New Roman" w:cs="Times New Roman"/>
              </w:rPr>
            </w:pPr>
          </w:p>
          <w:p w14:paraId="0576ADA2" w14:textId="77777777" w:rsidR="00B37681" w:rsidRPr="001802D1" w:rsidRDefault="00B37681" w:rsidP="0088443B">
            <w:pPr>
              <w:pStyle w:val="Bezodstpw"/>
              <w:spacing w:after="120"/>
              <w:jc w:val="both"/>
              <w:rPr>
                <w:rFonts w:ascii="Times New Roman" w:hAnsi="Times New Roman" w:cs="Times New Roman"/>
              </w:rPr>
            </w:pPr>
          </w:p>
          <w:p w14:paraId="7173B933" w14:textId="77777777" w:rsidR="00B37681" w:rsidRPr="001802D1" w:rsidRDefault="00B37681" w:rsidP="0088443B">
            <w:pPr>
              <w:pStyle w:val="Bezodstpw"/>
              <w:spacing w:after="120"/>
              <w:jc w:val="both"/>
              <w:rPr>
                <w:rFonts w:ascii="Times New Roman" w:hAnsi="Times New Roman" w:cs="Times New Roman"/>
              </w:rPr>
            </w:pPr>
          </w:p>
          <w:p w14:paraId="0ADF3ECA" w14:textId="77777777" w:rsidR="00B37681" w:rsidRPr="001802D1" w:rsidRDefault="00B37681" w:rsidP="0088443B">
            <w:pPr>
              <w:pStyle w:val="Bezodstpw"/>
              <w:spacing w:after="120"/>
              <w:jc w:val="both"/>
              <w:rPr>
                <w:rFonts w:ascii="Times New Roman" w:hAnsi="Times New Roman" w:cs="Times New Roman"/>
              </w:rPr>
            </w:pPr>
          </w:p>
          <w:p w14:paraId="77DE01A0" w14:textId="77777777" w:rsidR="00B37681" w:rsidRPr="001802D1" w:rsidRDefault="00B37681" w:rsidP="0088443B">
            <w:pPr>
              <w:pStyle w:val="Bezodstpw"/>
              <w:spacing w:after="120"/>
              <w:jc w:val="both"/>
              <w:rPr>
                <w:rFonts w:ascii="Times New Roman" w:hAnsi="Times New Roman" w:cs="Times New Roman"/>
              </w:rPr>
            </w:pPr>
          </w:p>
          <w:p w14:paraId="34296BDF" w14:textId="77777777" w:rsidR="00B37681" w:rsidRPr="001802D1" w:rsidRDefault="00B37681" w:rsidP="0088443B">
            <w:pPr>
              <w:pStyle w:val="Bezodstpw"/>
              <w:spacing w:after="120"/>
              <w:jc w:val="both"/>
              <w:rPr>
                <w:rFonts w:ascii="Times New Roman" w:hAnsi="Times New Roman" w:cs="Times New Roman"/>
              </w:rPr>
            </w:pPr>
          </w:p>
          <w:p w14:paraId="36059A77" w14:textId="77777777" w:rsidR="00B37681" w:rsidRPr="001802D1" w:rsidRDefault="00B37681" w:rsidP="0088443B">
            <w:pPr>
              <w:pStyle w:val="Bezodstpw"/>
              <w:spacing w:after="120"/>
              <w:jc w:val="both"/>
              <w:rPr>
                <w:rFonts w:ascii="Times New Roman" w:hAnsi="Times New Roman" w:cs="Times New Roman"/>
              </w:rPr>
            </w:pPr>
          </w:p>
          <w:p w14:paraId="73364484" w14:textId="77777777" w:rsidR="00B37681" w:rsidRPr="001802D1" w:rsidRDefault="00B37681" w:rsidP="0088443B">
            <w:pPr>
              <w:pStyle w:val="Bezodstpw"/>
              <w:spacing w:after="120"/>
              <w:jc w:val="both"/>
              <w:rPr>
                <w:rFonts w:ascii="Times New Roman" w:hAnsi="Times New Roman" w:cs="Times New Roman"/>
              </w:rPr>
            </w:pPr>
          </w:p>
          <w:p w14:paraId="1189E99A" w14:textId="77777777" w:rsidR="00B37681" w:rsidRPr="001802D1" w:rsidRDefault="00B37681" w:rsidP="0088443B">
            <w:pPr>
              <w:pStyle w:val="Bezodstpw"/>
              <w:spacing w:after="120"/>
              <w:jc w:val="both"/>
              <w:rPr>
                <w:rFonts w:ascii="Times New Roman" w:hAnsi="Times New Roman" w:cs="Times New Roman"/>
              </w:rPr>
            </w:pPr>
          </w:p>
          <w:p w14:paraId="322FF136" w14:textId="77777777" w:rsidR="00B37681" w:rsidRPr="001802D1" w:rsidRDefault="00B37681" w:rsidP="0088443B">
            <w:pPr>
              <w:pStyle w:val="Bezodstpw"/>
              <w:spacing w:after="120"/>
              <w:jc w:val="both"/>
              <w:rPr>
                <w:rFonts w:ascii="Times New Roman" w:hAnsi="Times New Roman" w:cs="Times New Roman"/>
              </w:rPr>
            </w:pPr>
          </w:p>
          <w:p w14:paraId="7613F5E6" w14:textId="77777777" w:rsidR="005F7DA6" w:rsidRPr="001802D1" w:rsidRDefault="005F7DA6" w:rsidP="0088443B">
            <w:pPr>
              <w:pStyle w:val="Bezodstpw"/>
              <w:spacing w:after="120"/>
              <w:jc w:val="both"/>
              <w:rPr>
                <w:rFonts w:ascii="Times New Roman" w:hAnsi="Times New Roman" w:cs="Times New Roman"/>
                <w:b/>
                <w:bCs/>
              </w:rPr>
            </w:pPr>
          </w:p>
          <w:p w14:paraId="7C575698" w14:textId="77777777" w:rsidR="005F7DA6" w:rsidRPr="001802D1" w:rsidRDefault="005F7DA6" w:rsidP="0088443B">
            <w:pPr>
              <w:pStyle w:val="Bezodstpw"/>
              <w:spacing w:after="120"/>
              <w:jc w:val="both"/>
              <w:rPr>
                <w:rFonts w:ascii="Times New Roman" w:hAnsi="Times New Roman" w:cs="Times New Roman"/>
                <w:b/>
                <w:bCs/>
              </w:rPr>
            </w:pPr>
          </w:p>
          <w:p w14:paraId="3A72B894" w14:textId="35E2C77B"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b/>
                <w:bCs/>
              </w:rPr>
              <w:t>Po trzecie</w:t>
            </w:r>
            <w:r w:rsidRPr="001802D1">
              <w:rPr>
                <w:rFonts w:ascii="Times New Roman" w:hAnsi="Times New Roman" w:cs="Times New Roman"/>
              </w:rPr>
              <w:t>, i najważniejsze, nie wykazano, czy uzyskany efekt będzie uzasadniał zwiększone ryzyko po stronie użytkowników. Innymi słowy projektodawca powinien był wykazać, że zastosowanie mniej rygorystycznych wymogów, niż dotychczas, przez mikro lub małego przedsiębiorcę telekomunikacyjnego realizującego obowiązek zapewnienia warunków dostępu i utrwalania proporcjonalnie do skali prowadzonej działalności, osiąganych przychodów oraz możliwości technicznych – nie spowoduje uszczerbku dla ochrony informacji niejawnych, prawa do prywatności, autonomii informacyjnej użytkowników korzystających z jego usług oraz tajemnicy komunikowania się, a jeśli tak, to czy jest ono proporcjonalne do spodziewanych efektów regulacji.</w:t>
            </w:r>
          </w:p>
          <w:p w14:paraId="40F69B3C" w14:textId="7F96452F"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rPr>
              <w:t xml:space="preserve">W uzasadnieniu oraz OSR projektowanego rozporządzenia nie dostrzeżono bowiem, że z faktu, że delegacja ustawowa do wydania rozporządzenia zawiera normę o charakterze optymalizacyjnym wynika jedynie to, że osiągnięcie celu rozporządzenia ma być możliwe przy jak najmniejszych kosztach, co w żadnym wypadku nie może oznaczać, że aspekt ekonomiczny </w:t>
            </w:r>
            <w:r w:rsidRPr="001802D1">
              <w:rPr>
                <w:rFonts w:ascii="Times New Roman" w:hAnsi="Times New Roman" w:cs="Times New Roman"/>
              </w:rPr>
              <w:lastRenderedPageBreak/>
              <w:t>ma (w drodze rozporządzenia) dookreślać cele określone w ustawie, konwertując tym samym zmniejszone koszty prowadzenia działalności na ryzyko, które ponieść mogą użytkownicy usług, a które nie zostało nawet oszacowane, a przede wszystkim wyważone w sensie normatywnym.</w:t>
            </w:r>
          </w:p>
          <w:p w14:paraId="64AA7214" w14:textId="4828CBDB"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rPr>
              <w:t>Tymczasem aplikacja zasady konieczności, stanowiącej drugi z elementów testu proporcjonalności w rozumieniu art. 31 ust. 3 zd. pierwsze Konstytucji RP, wymaga aby udowodnić, że badane przepisy są niezbędne dla ochrony dóbr wskazanych wymienionych w tym przepisie (pięciu dóbr ogólnospołecznych lub indywidualnych „wolności i praw innych osób”), a ponadto, że spośród środków skutecznie chroniących te wartości zostały wybrane środki najmniej uciążliwe. Stosowanie tej zasady wymaga więc rozważenia możliwych do zastosowania środków alternatywnych i określenia ich skuteczności</w:t>
            </w:r>
            <w:r w:rsidRPr="001802D1">
              <w:rPr>
                <w:rStyle w:val="Odwoanieprzypisudolnego"/>
                <w:rFonts w:ascii="Times New Roman" w:hAnsi="Times New Roman" w:cs="Times New Roman"/>
              </w:rPr>
              <w:footnoteReference w:id="4"/>
            </w:r>
            <w:r w:rsidRPr="001802D1">
              <w:rPr>
                <w:rFonts w:ascii="Times New Roman" w:hAnsi="Times New Roman" w:cs="Times New Roman"/>
              </w:rPr>
              <w:t>.</w:t>
            </w:r>
          </w:p>
          <w:p w14:paraId="61DBF868" w14:textId="2EE8597A"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rPr>
              <w:t>Pominięcie takiej analizy pociąga za sobą ryzyko przekroczenia upoważnienia do wydania rozporządzenia, gdyż środki ukierunkowane na osiągnięcie celu rozporządzenia mogą w praktyce dookreślać zakres wymienionych wyżej konstytucyjnych wolności i praw jednostki.</w:t>
            </w:r>
          </w:p>
        </w:tc>
        <w:tc>
          <w:tcPr>
            <w:tcW w:w="4395" w:type="dxa"/>
            <w:tcBorders>
              <w:bottom w:val="single" w:sz="4" w:space="0" w:color="auto"/>
            </w:tcBorders>
          </w:tcPr>
          <w:p w14:paraId="0579D09C" w14:textId="23A2226C" w:rsidR="0088443B" w:rsidRPr="001802D1" w:rsidRDefault="0088443B" w:rsidP="00135840">
            <w:pPr>
              <w:pStyle w:val="Bezodstpw"/>
              <w:ind w:left="-10"/>
              <w:jc w:val="both"/>
              <w:rPr>
                <w:rFonts w:ascii="Times New Roman" w:hAnsi="Times New Roman" w:cs="Times New Roman"/>
                <w:b/>
                <w:bCs/>
              </w:rPr>
            </w:pPr>
            <w:r w:rsidRPr="001802D1">
              <w:rPr>
                <w:rFonts w:ascii="Times New Roman" w:hAnsi="Times New Roman" w:cs="Times New Roman"/>
                <w:b/>
                <w:bCs/>
              </w:rPr>
              <w:lastRenderedPageBreak/>
              <w:t>Wyjaśnienie</w:t>
            </w:r>
            <w:r w:rsidR="00FE39A4" w:rsidRPr="001802D1">
              <w:rPr>
                <w:rFonts w:ascii="Times New Roman" w:hAnsi="Times New Roman" w:cs="Times New Roman"/>
                <w:b/>
                <w:bCs/>
              </w:rPr>
              <w:t xml:space="preserve"> uwagi</w:t>
            </w:r>
          </w:p>
          <w:p w14:paraId="79662C72" w14:textId="77777777" w:rsidR="0088443B" w:rsidRPr="001802D1" w:rsidRDefault="0088443B" w:rsidP="00135840">
            <w:pPr>
              <w:pStyle w:val="Bezodstpw"/>
              <w:ind w:left="-10"/>
              <w:jc w:val="both"/>
              <w:rPr>
                <w:rFonts w:ascii="Times New Roman" w:hAnsi="Times New Roman" w:cs="Times New Roman"/>
              </w:rPr>
            </w:pPr>
          </w:p>
          <w:p w14:paraId="7EBDED0D" w14:textId="77777777" w:rsidR="00B37681" w:rsidRPr="001802D1" w:rsidRDefault="00B37681" w:rsidP="00135840">
            <w:pPr>
              <w:pStyle w:val="Bezodstpw"/>
              <w:ind w:left="-10"/>
              <w:jc w:val="both"/>
              <w:rPr>
                <w:rFonts w:ascii="Times New Roman" w:hAnsi="Times New Roman" w:cs="Times New Roman"/>
              </w:rPr>
            </w:pPr>
          </w:p>
          <w:p w14:paraId="333B3085" w14:textId="77777777" w:rsidR="00B37681" w:rsidRPr="001802D1" w:rsidRDefault="00B37681" w:rsidP="00135840">
            <w:pPr>
              <w:pStyle w:val="Bezodstpw"/>
              <w:ind w:left="-10"/>
              <w:jc w:val="both"/>
              <w:rPr>
                <w:rFonts w:ascii="Times New Roman" w:hAnsi="Times New Roman" w:cs="Times New Roman"/>
              </w:rPr>
            </w:pPr>
          </w:p>
          <w:p w14:paraId="107CFDBB" w14:textId="77777777" w:rsidR="00B37681" w:rsidRPr="001802D1" w:rsidRDefault="00B37681" w:rsidP="00135840">
            <w:pPr>
              <w:pStyle w:val="Bezodstpw"/>
              <w:ind w:left="-10"/>
              <w:jc w:val="both"/>
              <w:rPr>
                <w:rFonts w:ascii="Times New Roman" w:hAnsi="Times New Roman" w:cs="Times New Roman"/>
              </w:rPr>
            </w:pPr>
          </w:p>
          <w:p w14:paraId="01F00050" w14:textId="77777777" w:rsidR="00B37681" w:rsidRPr="001802D1" w:rsidRDefault="00B37681" w:rsidP="00135840">
            <w:pPr>
              <w:pStyle w:val="Bezodstpw"/>
              <w:ind w:left="-10"/>
              <w:jc w:val="both"/>
              <w:rPr>
                <w:rFonts w:ascii="Times New Roman" w:hAnsi="Times New Roman" w:cs="Times New Roman"/>
              </w:rPr>
            </w:pPr>
          </w:p>
          <w:p w14:paraId="503DFBAD" w14:textId="77777777" w:rsidR="00B37681" w:rsidRPr="001802D1" w:rsidRDefault="00B37681" w:rsidP="00135840">
            <w:pPr>
              <w:pStyle w:val="Bezodstpw"/>
              <w:ind w:left="-10"/>
              <w:jc w:val="both"/>
              <w:rPr>
                <w:rFonts w:ascii="Times New Roman" w:hAnsi="Times New Roman" w:cs="Times New Roman"/>
              </w:rPr>
            </w:pPr>
          </w:p>
          <w:p w14:paraId="42F8E2D5" w14:textId="77777777" w:rsidR="00B37681" w:rsidRPr="001802D1" w:rsidRDefault="00B37681" w:rsidP="00135840">
            <w:pPr>
              <w:pStyle w:val="Bezodstpw"/>
              <w:ind w:left="-10"/>
              <w:jc w:val="both"/>
              <w:rPr>
                <w:rFonts w:ascii="Times New Roman" w:hAnsi="Times New Roman" w:cs="Times New Roman"/>
              </w:rPr>
            </w:pPr>
          </w:p>
          <w:p w14:paraId="7F77710E" w14:textId="1227196C" w:rsidR="0088443B" w:rsidRPr="001802D1" w:rsidRDefault="0088443B" w:rsidP="00135840">
            <w:pPr>
              <w:pStyle w:val="Bezodstpw"/>
              <w:ind w:left="-10"/>
              <w:jc w:val="both"/>
              <w:rPr>
                <w:rFonts w:ascii="Times New Roman" w:hAnsi="Times New Roman" w:cs="Times New Roman"/>
                <w:u w:val="single"/>
              </w:rPr>
            </w:pPr>
            <w:r w:rsidRPr="001802D1">
              <w:rPr>
                <w:rFonts w:ascii="Times New Roman" w:hAnsi="Times New Roman" w:cs="Times New Roman"/>
                <w:u w:val="single"/>
              </w:rPr>
              <w:t>Kwestia pierwsza</w:t>
            </w:r>
          </w:p>
          <w:p w14:paraId="5CA259AA" w14:textId="32162EEF" w:rsidR="0088443B" w:rsidRPr="001802D1" w:rsidRDefault="0088443B" w:rsidP="00135840">
            <w:pPr>
              <w:pStyle w:val="Bezodstpw"/>
              <w:ind w:left="-10"/>
              <w:jc w:val="both"/>
              <w:rPr>
                <w:rFonts w:ascii="Times New Roman" w:hAnsi="Times New Roman" w:cs="Times New Roman"/>
              </w:rPr>
            </w:pPr>
            <w:r w:rsidRPr="001802D1">
              <w:rPr>
                <w:rFonts w:ascii="Times New Roman" w:hAnsi="Times New Roman" w:cs="Times New Roman"/>
              </w:rPr>
              <w:t>Należy wyjaśnić, że w rzeczywistości klauzulami niejawności, o których mowa w</w:t>
            </w:r>
            <w:r w:rsidR="008C4892">
              <w:rPr>
                <w:rFonts w:ascii="Times New Roman" w:hAnsi="Times New Roman" w:cs="Times New Roman"/>
              </w:rPr>
              <w:t> </w:t>
            </w:r>
            <w:r w:rsidRPr="001802D1">
              <w:rPr>
                <w:rFonts w:ascii="Times New Roman" w:hAnsi="Times New Roman" w:cs="Times New Roman"/>
              </w:rPr>
              <w:t xml:space="preserve">ustawie </w:t>
            </w:r>
            <w:r w:rsidR="00536E3E" w:rsidRPr="001802D1">
              <w:rPr>
                <w:rFonts w:ascii="Times New Roman" w:hAnsi="Times New Roman" w:cs="Times New Roman"/>
              </w:rPr>
              <w:t xml:space="preserve">z dnia 5 sierpnia 2010 r. </w:t>
            </w:r>
            <w:r w:rsidRPr="001802D1">
              <w:rPr>
                <w:rFonts w:ascii="Times New Roman" w:hAnsi="Times New Roman" w:cs="Times New Roman"/>
              </w:rPr>
              <w:t>o ochronie informacji niejawnych</w:t>
            </w:r>
            <w:r w:rsidR="00536E3E" w:rsidRPr="001802D1">
              <w:rPr>
                <w:rFonts w:ascii="Times New Roman" w:hAnsi="Times New Roman" w:cs="Times New Roman"/>
              </w:rPr>
              <w:t xml:space="preserve"> (Dz. U. 2025 r. poz. 1209)</w:t>
            </w:r>
            <w:r w:rsidRPr="001802D1">
              <w:rPr>
                <w:rFonts w:ascii="Times New Roman" w:hAnsi="Times New Roman" w:cs="Times New Roman"/>
              </w:rPr>
              <w:t>, nie są chronione dane użytkowników usług, lecz działania operacyjno-rozpoznawcze prowadzone przez uprawnione podmioty. O</w:t>
            </w:r>
            <w:r w:rsidR="008C4892">
              <w:rPr>
                <w:rFonts w:ascii="Times New Roman" w:hAnsi="Times New Roman" w:cs="Times New Roman"/>
              </w:rPr>
              <w:t> </w:t>
            </w:r>
            <w:r w:rsidRPr="001802D1">
              <w:rPr>
                <w:rFonts w:ascii="Times New Roman" w:hAnsi="Times New Roman" w:cs="Times New Roman"/>
              </w:rPr>
              <w:t>obligatoryjnej niejawności prowadzenia kontroli operacyjnej stanowią ustawy kompetencyjne uprawnionych podmiotów.  W</w:t>
            </w:r>
            <w:r w:rsidR="008C4892">
              <w:rPr>
                <w:rFonts w:ascii="Times New Roman" w:hAnsi="Times New Roman" w:cs="Times New Roman"/>
              </w:rPr>
              <w:t> </w:t>
            </w:r>
            <w:r w:rsidRPr="001802D1">
              <w:rPr>
                <w:rFonts w:ascii="Times New Roman" w:hAnsi="Times New Roman" w:cs="Times New Roman"/>
              </w:rPr>
              <w:t xml:space="preserve">przypadku „dużych” przedsiębiorców powinni być przygotowani na objęcie tych działań klauzulą </w:t>
            </w:r>
            <w:r w:rsidR="00536E3E" w:rsidRPr="001802D1">
              <w:rPr>
                <w:rFonts w:ascii="Times New Roman" w:hAnsi="Times New Roman" w:cs="Times New Roman"/>
              </w:rPr>
              <w:t>„</w:t>
            </w:r>
            <w:r w:rsidRPr="001802D1">
              <w:rPr>
                <w:rFonts w:ascii="Times New Roman" w:hAnsi="Times New Roman" w:cs="Times New Roman"/>
              </w:rPr>
              <w:t xml:space="preserve">tajne”. W przypadku „małych” przedsiębiorców, ze względu na skalę zjawiska, o nadaniu odpowiedniej klauzuli decyduje odpowiedni organ zgodnie z </w:t>
            </w:r>
            <w:r w:rsidR="00536E3E" w:rsidRPr="001802D1">
              <w:rPr>
                <w:rFonts w:ascii="Times New Roman" w:hAnsi="Times New Roman" w:cs="Times New Roman"/>
              </w:rPr>
              <w:t xml:space="preserve">ww. </w:t>
            </w:r>
            <w:r w:rsidRPr="001802D1">
              <w:rPr>
                <w:rFonts w:ascii="Times New Roman" w:hAnsi="Times New Roman" w:cs="Times New Roman"/>
              </w:rPr>
              <w:t xml:space="preserve">ustawą. Jest to szczególne ułatwienie dla tych przedsiębiorców. </w:t>
            </w:r>
          </w:p>
          <w:p w14:paraId="057BFA39" w14:textId="238AC879" w:rsidR="0088443B" w:rsidRPr="001802D1" w:rsidRDefault="0088443B" w:rsidP="00135840">
            <w:pPr>
              <w:pStyle w:val="Bezodstpw"/>
              <w:ind w:left="-10"/>
              <w:jc w:val="both"/>
              <w:rPr>
                <w:rFonts w:ascii="Times New Roman" w:hAnsi="Times New Roman" w:cs="Times New Roman"/>
              </w:rPr>
            </w:pPr>
            <w:r w:rsidRPr="001802D1">
              <w:rPr>
                <w:rFonts w:ascii="Times New Roman" w:hAnsi="Times New Roman" w:cs="Times New Roman"/>
              </w:rPr>
              <w:t>Natomiast dane użytkowników usług jako takie, są chronione tajemnicą komunikacji elektronicznej.</w:t>
            </w:r>
          </w:p>
          <w:p w14:paraId="28D10235" w14:textId="77777777" w:rsidR="0088443B" w:rsidRPr="001802D1" w:rsidRDefault="0088443B" w:rsidP="00135840">
            <w:pPr>
              <w:pStyle w:val="Bezodstpw"/>
              <w:ind w:left="-10"/>
              <w:jc w:val="both"/>
              <w:rPr>
                <w:rFonts w:ascii="Times New Roman" w:hAnsi="Times New Roman" w:cs="Times New Roman"/>
              </w:rPr>
            </w:pPr>
          </w:p>
          <w:p w14:paraId="5EAA0D76" w14:textId="77777777" w:rsidR="00B37681" w:rsidRPr="001802D1" w:rsidRDefault="00B37681" w:rsidP="00135840">
            <w:pPr>
              <w:pStyle w:val="Bezodstpw"/>
              <w:jc w:val="both"/>
              <w:rPr>
                <w:rFonts w:ascii="Times New Roman" w:hAnsi="Times New Roman" w:cs="Times New Roman"/>
              </w:rPr>
            </w:pPr>
          </w:p>
          <w:p w14:paraId="68DF386B" w14:textId="77777777" w:rsidR="0088443B" w:rsidRDefault="0088443B" w:rsidP="00135840">
            <w:pPr>
              <w:pStyle w:val="Bezodstpw"/>
              <w:ind w:left="-10"/>
              <w:jc w:val="both"/>
              <w:rPr>
                <w:rFonts w:ascii="Times New Roman" w:hAnsi="Times New Roman" w:cs="Times New Roman"/>
                <w:u w:val="single"/>
              </w:rPr>
            </w:pPr>
            <w:r w:rsidRPr="001802D1">
              <w:rPr>
                <w:rFonts w:ascii="Times New Roman" w:hAnsi="Times New Roman" w:cs="Times New Roman"/>
                <w:u w:val="single"/>
              </w:rPr>
              <w:t>Kwestia druga</w:t>
            </w:r>
          </w:p>
          <w:p w14:paraId="2D92B08B" w14:textId="5DB09311" w:rsidR="0088443B" w:rsidRPr="008C4892" w:rsidRDefault="0088443B" w:rsidP="008C4892">
            <w:pPr>
              <w:pStyle w:val="Bezodstpw"/>
              <w:numPr>
                <w:ilvl w:val="0"/>
                <w:numId w:val="6"/>
              </w:numPr>
              <w:jc w:val="both"/>
              <w:rPr>
                <w:rFonts w:ascii="Times New Roman" w:hAnsi="Times New Roman" w:cs="Times New Roman"/>
                <w:u w:val="single"/>
              </w:rPr>
            </w:pPr>
            <w:r w:rsidRPr="008C4892">
              <w:rPr>
                <w:rFonts w:ascii="Times New Roman" w:hAnsi="Times New Roman" w:cs="Times New Roman"/>
                <w:u w:val="single"/>
              </w:rPr>
              <w:t>wymiar obniżenia kosztów dla mikro</w:t>
            </w:r>
            <w:r w:rsidR="00536E3E" w:rsidRPr="008C4892">
              <w:rPr>
                <w:rFonts w:ascii="Times New Roman" w:hAnsi="Times New Roman" w:cs="Times New Roman"/>
                <w:u w:val="single"/>
              </w:rPr>
              <w:t>-</w:t>
            </w:r>
            <w:r w:rsidRPr="008C4892">
              <w:rPr>
                <w:rFonts w:ascii="Times New Roman" w:hAnsi="Times New Roman" w:cs="Times New Roman"/>
                <w:u w:val="single"/>
              </w:rPr>
              <w:t xml:space="preserve"> i</w:t>
            </w:r>
            <w:r w:rsidR="008C4892" w:rsidRPr="008C4892">
              <w:rPr>
                <w:rFonts w:ascii="Times New Roman" w:hAnsi="Times New Roman" w:cs="Times New Roman"/>
                <w:u w:val="single"/>
              </w:rPr>
              <w:t> </w:t>
            </w:r>
            <w:r w:rsidRPr="008C4892">
              <w:rPr>
                <w:rFonts w:ascii="Times New Roman" w:hAnsi="Times New Roman" w:cs="Times New Roman"/>
                <w:u w:val="single"/>
              </w:rPr>
              <w:t>małych przedsiębiorców</w:t>
            </w:r>
            <w:r w:rsidRPr="008C4892">
              <w:rPr>
                <w:rFonts w:ascii="Times New Roman" w:hAnsi="Times New Roman" w:cs="Times New Roman"/>
              </w:rPr>
              <w:t xml:space="preserve"> to koszt zapewnienia warunków do ochrony informacji niejawnych oznaczonych klauzulą </w:t>
            </w:r>
            <w:r w:rsidR="00536E3E" w:rsidRPr="008C4892">
              <w:rPr>
                <w:rFonts w:ascii="Times New Roman" w:hAnsi="Times New Roman" w:cs="Times New Roman"/>
              </w:rPr>
              <w:t>„</w:t>
            </w:r>
            <w:r w:rsidRPr="008C4892">
              <w:rPr>
                <w:rFonts w:ascii="Times New Roman" w:hAnsi="Times New Roman" w:cs="Times New Roman"/>
              </w:rPr>
              <w:t>ściśle tajne</w:t>
            </w:r>
            <w:r w:rsidR="00536E3E" w:rsidRPr="008C4892">
              <w:rPr>
                <w:rFonts w:ascii="Times New Roman" w:hAnsi="Times New Roman" w:cs="Times New Roman"/>
              </w:rPr>
              <w:t>”</w:t>
            </w:r>
            <w:r w:rsidRPr="008C4892">
              <w:rPr>
                <w:rFonts w:ascii="Times New Roman" w:hAnsi="Times New Roman" w:cs="Times New Roman"/>
              </w:rPr>
              <w:t>, potwierdzone świadectwem bezpieczeństwa przemysłowego trzeciego stopnia oraz koszt osobowych poświadczeń bezpieczeństwa i ich odnawiania</w:t>
            </w:r>
            <w:r w:rsidR="008C4892">
              <w:rPr>
                <w:rFonts w:ascii="Times New Roman" w:hAnsi="Times New Roman" w:cs="Times New Roman"/>
              </w:rPr>
              <w:t>;</w:t>
            </w:r>
          </w:p>
          <w:p w14:paraId="167C9BD9" w14:textId="679EC14F" w:rsidR="0088443B" w:rsidRPr="008C4892" w:rsidRDefault="0088443B" w:rsidP="008C4892">
            <w:pPr>
              <w:pStyle w:val="Bezodstpw"/>
              <w:numPr>
                <w:ilvl w:val="0"/>
                <w:numId w:val="6"/>
              </w:numPr>
              <w:jc w:val="both"/>
              <w:rPr>
                <w:rFonts w:ascii="Times New Roman" w:hAnsi="Times New Roman" w:cs="Times New Roman"/>
                <w:u w:val="single"/>
              </w:rPr>
            </w:pPr>
            <w:r w:rsidRPr="008C4892">
              <w:rPr>
                <w:rFonts w:ascii="Times New Roman" w:hAnsi="Times New Roman" w:cs="Times New Roman"/>
                <w:u w:val="single"/>
              </w:rPr>
              <w:t>czy deregulacja wpłynie pozytywnie na wzrost liczby przedsiębiorców telekomunikacyjnych</w:t>
            </w:r>
            <w:r w:rsidRPr="008C4892">
              <w:rPr>
                <w:rFonts w:ascii="Times New Roman" w:hAnsi="Times New Roman" w:cs="Times New Roman"/>
              </w:rPr>
              <w:t xml:space="preserve"> – obniżenie wymagań może wpłynąć na wzrost liczby mikro</w:t>
            </w:r>
            <w:r w:rsidR="00536E3E" w:rsidRPr="008C4892">
              <w:rPr>
                <w:rFonts w:ascii="Times New Roman" w:hAnsi="Times New Roman" w:cs="Times New Roman"/>
              </w:rPr>
              <w:t>-</w:t>
            </w:r>
            <w:r w:rsidRPr="008C4892">
              <w:rPr>
                <w:rFonts w:ascii="Times New Roman" w:hAnsi="Times New Roman" w:cs="Times New Roman"/>
              </w:rPr>
              <w:t xml:space="preserve"> i</w:t>
            </w:r>
            <w:r w:rsidR="008C4892" w:rsidRPr="008C4892">
              <w:rPr>
                <w:rFonts w:ascii="Times New Roman" w:hAnsi="Times New Roman" w:cs="Times New Roman"/>
              </w:rPr>
              <w:t> </w:t>
            </w:r>
            <w:r w:rsidRPr="008C4892">
              <w:rPr>
                <w:rFonts w:ascii="Times New Roman" w:hAnsi="Times New Roman" w:cs="Times New Roman"/>
              </w:rPr>
              <w:t>małych przedsiębiorców telekomunikacyjnych, dla których spełnienie aktualnych wymagań jest istotną przeszkodą do wykonywania działalności telekomunikacyjnej</w:t>
            </w:r>
            <w:r w:rsidR="008C4892">
              <w:rPr>
                <w:rFonts w:ascii="Times New Roman" w:hAnsi="Times New Roman" w:cs="Times New Roman"/>
              </w:rPr>
              <w:t>;</w:t>
            </w:r>
          </w:p>
          <w:p w14:paraId="4A0A5653" w14:textId="2B7BB163" w:rsidR="0088443B" w:rsidRPr="008C4892" w:rsidRDefault="0088443B" w:rsidP="008C4892">
            <w:pPr>
              <w:pStyle w:val="Bezodstpw"/>
              <w:numPr>
                <w:ilvl w:val="0"/>
                <w:numId w:val="6"/>
              </w:numPr>
              <w:jc w:val="both"/>
              <w:rPr>
                <w:rFonts w:ascii="Times New Roman" w:hAnsi="Times New Roman" w:cs="Times New Roman"/>
                <w:u w:val="single"/>
              </w:rPr>
            </w:pPr>
            <w:r w:rsidRPr="008C4892">
              <w:rPr>
                <w:rFonts w:ascii="Times New Roman" w:hAnsi="Times New Roman" w:cs="Times New Roman"/>
                <w:u w:val="single"/>
              </w:rPr>
              <w:t>outsourcing i zapewnienie odpowiedniego poziomu bezpieczeństwa</w:t>
            </w:r>
            <w:r w:rsidRPr="008C4892">
              <w:rPr>
                <w:rFonts w:ascii="Times New Roman" w:hAnsi="Times New Roman" w:cs="Times New Roman"/>
              </w:rPr>
              <w:t xml:space="preserve"> – art. 50 ust. 4 </w:t>
            </w:r>
            <w:r w:rsidR="00536E3E" w:rsidRPr="008C4892">
              <w:rPr>
                <w:rFonts w:ascii="Times New Roman" w:hAnsi="Times New Roman" w:cs="Times New Roman"/>
              </w:rPr>
              <w:t>PKE</w:t>
            </w:r>
            <w:r w:rsidRPr="008C4892">
              <w:rPr>
                <w:rFonts w:ascii="Times New Roman" w:hAnsi="Times New Roman" w:cs="Times New Roman"/>
              </w:rPr>
              <w:t xml:space="preserve"> stanowi, że powierzenie obowiązków (outsourcing) nie zwalnia każdej ze stron umowy z indywidualnej odpowiedzialności za ich wykonanie. Oznacza to, że pomiot -</w:t>
            </w:r>
            <w:r w:rsidR="00536E3E" w:rsidRPr="008C4892">
              <w:rPr>
                <w:rFonts w:ascii="Times New Roman" w:hAnsi="Times New Roman" w:cs="Times New Roman"/>
              </w:rPr>
              <w:t xml:space="preserve"> </w:t>
            </w:r>
            <w:r w:rsidRPr="008C4892">
              <w:rPr>
                <w:rFonts w:ascii="Times New Roman" w:hAnsi="Times New Roman" w:cs="Times New Roman"/>
              </w:rPr>
              <w:t>„podwykonawca” jest obowiązany zapewnić taki sam poziom bezpieczeństwa</w:t>
            </w:r>
            <w:r w:rsidR="00536E3E" w:rsidRPr="008C4892">
              <w:rPr>
                <w:rFonts w:ascii="Times New Roman" w:hAnsi="Times New Roman" w:cs="Times New Roman"/>
              </w:rPr>
              <w:t>,</w:t>
            </w:r>
            <w:r w:rsidRPr="008C4892">
              <w:rPr>
                <w:rFonts w:ascii="Times New Roman" w:hAnsi="Times New Roman" w:cs="Times New Roman"/>
              </w:rPr>
              <w:t xml:space="preserve"> jak podmiot zlecający.</w:t>
            </w:r>
          </w:p>
          <w:p w14:paraId="0C735D6B" w14:textId="4350F71C" w:rsidR="0088443B" w:rsidRDefault="0088443B" w:rsidP="00135840">
            <w:pPr>
              <w:pStyle w:val="Bezodstpw"/>
              <w:ind w:left="-10"/>
              <w:jc w:val="both"/>
              <w:rPr>
                <w:rFonts w:ascii="Times New Roman" w:hAnsi="Times New Roman" w:cs="Times New Roman"/>
              </w:rPr>
            </w:pPr>
            <w:r w:rsidRPr="001802D1">
              <w:rPr>
                <w:rFonts w:ascii="Times New Roman" w:hAnsi="Times New Roman" w:cs="Times New Roman"/>
              </w:rPr>
              <w:t xml:space="preserve">Nie można się zgodzić z opinią </w:t>
            </w:r>
            <w:r w:rsidR="00536E3E" w:rsidRPr="001802D1">
              <w:rPr>
                <w:rFonts w:ascii="Times New Roman" w:hAnsi="Times New Roman" w:cs="Times New Roman"/>
              </w:rPr>
              <w:t>Rzecznika Praw Obywatelskich</w:t>
            </w:r>
            <w:r w:rsidRPr="001802D1">
              <w:rPr>
                <w:rFonts w:ascii="Times New Roman" w:hAnsi="Times New Roman" w:cs="Times New Roman"/>
              </w:rPr>
              <w:t>, że wprowadzenie projektowanych przepisów skutkuje „domniemanymi” korzyściami finansowymi. Od dłuższego czasu mali przedsiębiorcy telekomunikacyjni apelowali o przepisy, które nie będą:</w:t>
            </w:r>
          </w:p>
          <w:p w14:paraId="40D37D8E" w14:textId="0FFC1CAA" w:rsidR="0088443B" w:rsidRDefault="0088443B" w:rsidP="008C4892">
            <w:pPr>
              <w:pStyle w:val="Bezodstpw"/>
              <w:numPr>
                <w:ilvl w:val="0"/>
                <w:numId w:val="7"/>
              </w:numPr>
              <w:jc w:val="both"/>
              <w:rPr>
                <w:rFonts w:ascii="Times New Roman" w:hAnsi="Times New Roman" w:cs="Times New Roman"/>
              </w:rPr>
            </w:pPr>
            <w:r w:rsidRPr="008C4892">
              <w:rPr>
                <w:rFonts w:ascii="Times New Roman" w:hAnsi="Times New Roman" w:cs="Times New Roman"/>
              </w:rPr>
              <w:t>powodowały nieracjonalnego i</w:t>
            </w:r>
            <w:r w:rsidR="008C4892" w:rsidRPr="008C4892">
              <w:rPr>
                <w:rFonts w:ascii="Times New Roman" w:hAnsi="Times New Roman" w:cs="Times New Roman"/>
              </w:rPr>
              <w:t> </w:t>
            </w:r>
            <w:r w:rsidRPr="008C4892">
              <w:rPr>
                <w:rFonts w:ascii="Times New Roman" w:hAnsi="Times New Roman" w:cs="Times New Roman"/>
              </w:rPr>
              <w:t xml:space="preserve">nadmiarowego zwiększania obciążeń oraz </w:t>
            </w:r>
            <w:r w:rsidRPr="008C4892">
              <w:rPr>
                <w:rFonts w:ascii="Times New Roman" w:hAnsi="Times New Roman" w:cs="Times New Roman"/>
              </w:rPr>
              <w:lastRenderedPageBreak/>
              <w:t>obowiązków dla małych i średnich przedsiębiorców telekomunikacyjnych;</w:t>
            </w:r>
          </w:p>
          <w:p w14:paraId="0C848675" w14:textId="09CF92EF" w:rsidR="0088443B" w:rsidRDefault="0088443B" w:rsidP="008C4892">
            <w:pPr>
              <w:pStyle w:val="Bezodstpw"/>
              <w:numPr>
                <w:ilvl w:val="0"/>
                <w:numId w:val="7"/>
              </w:numPr>
              <w:jc w:val="both"/>
              <w:rPr>
                <w:rFonts w:ascii="Times New Roman" w:hAnsi="Times New Roman" w:cs="Times New Roman"/>
              </w:rPr>
            </w:pPr>
            <w:r w:rsidRPr="008C4892">
              <w:rPr>
                <w:rFonts w:ascii="Times New Roman" w:hAnsi="Times New Roman" w:cs="Times New Roman"/>
              </w:rPr>
              <w:t>skutkowały przepisami, których wprowadzenie w życie w małych i średnich firmach telekomunikacyjnych, mogło doprowadzić nawet do ich upadłości;</w:t>
            </w:r>
          </w:p>
          <w:p w14:paraId="6756B4C2" w14:textId="674ED64F" w:rsidR="0088443B" w:rsidRPr="008C4892" w:rsidRDefault="0088443B" w:rsidP="008C4892">
            <w:pPr>
              <w:pStyle w:val="Bezodstpw"/>
              <w:numPr>
                <w:ilvl w:val="0"/>
                <w:numId w:val="7"/>
              </w:numPr>
              <w:jc w:val="both"/>
              <w:rPr>
                <w:rFonts w:ascii="Times New Roman" w:hAnsi="Times New Roman" w:cs="Times New Roman"/>
              </w:rPr>
            </w:pPr>
            <w:r w:rsidRPr="008C4892">
              <w:rPr>
                <w:rFonts w:ascii="Times New Roman" w:hAnsi="Times New Roman" w:cs="Times New Roman"/>
              </w:rPr>
              <w:t>przyczyniały się, poprzez ich nadmiarowość i nieracjonalnie wysokie koszty, do ich lekceważenia przez operatorów telekomunikacyjnych.</w:t>
            </w:r>
          </w:p>
          <w:p w14:paraId="1142378F" w14:textId="65C86DAD" w:rsidR="0088443B" w:rsidRPr="001802D1" w:rsidRDefault="0088443B" w:rsidP="00135840">
            <w:pPr>
              <w:pStyle w:val="Bezodstpw"/>
              <w:jc w:val="both"/>
              <w:rPr>
                <w:rFonts w:ascii="Times New Roman" w:hAnsi="Times New Roman" w:cs="Times New Roman"/>
              </w:rPr>
            </w:pPr>
            <w:r w:rsidRPr="001802D1">
              <w:rPr>
                <w:rFonts w:ascii="Times New Roman" w:hAnsi="Times New Roman" w:cs="Times New Roman"/>
              </w:rPr>
              <w:t xml:space="preserve">W związku z powyższym nie można również zgodzić się z opinią </w:t>
            </w:r>
            <w:r w:rsidR="00536E3E" w:rsidRPr="001802D1">
              <w:rPr>
                <w:rFonts w:ascii="Times New Roman" w:hAnsi="Times New Roman" w:cs="Times New Roman"/>
              </w:rPr>
              <w:t>Rzecznika Praw Obywatelskich</w:t>
            </w:r>
            <w:r w:rsidRPr="001802D1">
              <w:rPr>
                <w:rFonts w:ascii="Times New Roman" w:hAnsi="Times New Roman" w:cs="Times New Roman"/>
              </w:rPr>
              <w:t>, że projektowane przepisy nie spełniają konstytucyjnej zasady przydatności. Z</w:t>
            </w:r>
            <w:r w:rsidR="008C4892">
              <w:rPr>
                <w:rFonts w:ascii="Times New Roman" w:hAnsi="Times New Roman" w:cs="Times New Roman"/>
              </w:rPr>
              <w:t> </w:t>
            </w:r>
            <w:r w:rsidRPr="001802D1">
              <w:rPr>
                <w:rFonts w:ascii="Times New Roman" w:hAnsi="Times New Roman" w:cs="Times New Roman"/>
              </w:rPr>
              <w:t>oczywistych względów wynikających z</w:t>
            </w:r>
            <w:r w:rsidR="008C4892">
              <w:rPr>
                <w:rFonts w:ascii="Times New Roman" w:hAnsi="Times New Roman" w:cs="Times New Roman"/>
              </w:rPr>
              <w:t> </w:t>
            </w:r>
            <w:r w:rsidRPr="001802D1">
              <w:rPr>
                <w:rFonts w:ascii="Times New Roman" w:hAnsi="Times New Roman" w:cs="Times New Roman"/>
              </w:rPr>
              <w:t>korzyści płynących dla małych przedsiębiorców telekomunikacyjnych, zgodnie z dostępną wiedzą, projektowane przepisy zmierzają do osiągnięcia zamierzonego skutku i są w stanie doprowadzić do zamierzonych rezultatów.</w:t>
            </w:r>
          </w:p>
          <w:p w14:paraId="7E7784FC" w14:textId="77777777" w:rsidR="0088443B" w:rsidRPr="001802D1" w:rsidRDefault="0088443B" w:rsidP="00135840">
            <w:pPr>
              <w:pStyle w:val="Bezodstpw"/>
              <w:jc w:val="both"/>
              <w:rPr>
                <w:rFonts w:ascii="Times New Roman" w:hAnsi="Times New Roman" w:cs="Times New Roman"/>
              </w:rPr>
            </w:pPr>
          </w:p>
          <w:p w14:paraId="31DA80FC" w14:textId="77777777" w:rsidR="0088443B" w:rsidRPr="001802D1" w:rsidRDefault="0088443B" w:rsidP="00135840">
            <w:pPr>
              <w:pStyle w:val="Bezodstpw"/>
              <w:jc w:val="both"/>
              <w:rPr>
                <w:rFonts w:ascii="Times New Roman" w:hAnsi="Times New Roman" w:cs="Times New Roman"/>
                <w:u w:val="single"/>
              </w:rPr>
            </w:pPr>
            <w:r w:rsidRPr="001802D1">
              <w:rPr>
                <w:rFonts w:ascii="Times New Roman" w:hAnsi="Times New Roman" w:cs="Times New Roman"/>
                <w:u w:val="single"/>
              </w:rPr>
              <w:t>Kwestia trzecia</w:t>
            </w:r>
          </w:p>
          <w:p w14:paraId="4ED5987B" w14:textId="284413AA" w:rsidR="0088443B" w:rsidRPr="001802D1" w:rsidRDefault="0088443B" w:rsidP="00135840">
            <w:pPr>
              <w:pStyle w:val="Bezodstpw"/>
              <w:jc w:val="both"/>
              <w:rPr>
                <w:rFonts w:ascii="Times New Roman" w:hAnsi="Times New Roman" w:cs="Times New Roman"/>
              </w:rPr>
            </w:pPr>
            <w:r w:rsidRPr="001802D1">
              <w:rPr>
                <w:rFonts w:ascii="Times New Roman" w:hAnsi="Times New Roman" w:cs="Times New Roman"/>
              </w:rPr>
              <w:t xml:space="preserve">Wątpliwości </w:t>
            </w:r>
            <w:r w:rsidR="00536E3E" w:rsidRPr="001802D1">
              <w:rPr>
                <w:rFonts w:ascii="Times New Roman" w:hAnsi="Times New Roman" w:cs="Times New Roman"/>
              </w:rPr>
              <w:t>Rzecznika Praw Obywatelskich</w:t>
            </w:r>
            <w:r w:rsidRPr="001802D1">
              <w:rPr>
                <w:rFonts w:ascii="Times New Roman" w:hAnsi="Times New Roman" w:cs="Times New Roman"/>
              </w:rPr>
              <w:t xml:space="preserve"> wynikają z łączenia ochrony informacji niejawnych z ochroną użytkowników. Klauzula niejawności nie służy ochronie użytkowników lecz ochronie prowadzonych działań operacyjno-rozpoznawczych, co wynika z</w:t>
            </w:r>
            <w:r w:rsidR="008C4892">
              <w:rPr>
                <w:rFonts w:ascii="Times New Roman" w:hAnsi="Times New Roman" w:cs="Times New Roman"/>
              </w:rPr>
              <w:t> </w:t>
            </w:r>
            <w:r w:rsidRPr="001802D1">
              <w:rPr>
                <w:rFonts w:ascii="Times New Roman" w:hAnsi="Times New Roman" w:cs="Times New Roman"/>
              </w:rPr>
              <w:t xml:space="preserve">ustaw kompetencyjnych uprawnionych podmiotów. Wprowadzenie mniej rygorystycznych wymogów wobec małych przedsiębiorców nie oznacza zmniejszenia ochrony użytkowników, gdyż dane tych użytkowników są chronione tajemnicą komunikacji elektronicznej. Zmniejszenie wymogów dla małych przedsiębiorców (czyli wprowadzenie </w:t>
            </w:r>
            <w:r w:rsidR="008D09F7" w:rsidRPr="001802D1">
              <w:rPr>
                <w:rFonts w:ascii="Times New Roman" w:hAnsi="Times New Roman" w:cs="Times New Roman"/>
              </w:rPr>
              <w:t xml:space="preserve">jednorazowego, </w:t>
            </w:r>
            <w:r w:rsidRPr="001802D1">
              <w:rPr>
                <w:rFonts w:ascii="Times New Roman" w:hAnsi="Times New Roman" w:cs="Times New Roman"/>
              </w:rPr>
              <w:t xml:space="preserve">„doraźnego” dostępu do informacji niejawnych) jest działaniem wynikającym  z możliwości jakie daje ustawa o ochronie informacji niejawnych </w:t>
            </w:r>
            <w:r w:rsidRPr="001802D1">
              <w:rPr>
                <w:rFonts w:ascii="Times New Roman" w:hAnsi="Times New Roman" w:cs="Times New Roman"/>
              </w:rPr>
              <w:lastRenderedPageBreak/>
              <w:t>i</w:t>
            </w:r>
            <w:r w:rsidR="008C4892">
              <w:rPr>
                <w:rFonts w:ascii="Times New Roman" w:hAnsi="Times New Roman" w:cs="Times New Roman"/>
              </w:rPr>
              <w:t> </w:t>
            </w:r>
            <w:r w:rsidRPr="001802D1">
              <w:rPr>
                <w:rFonts w:ascii="Times New Roman" w:hAnsi="Times New Roman" w:cs="Times New Roman"/>
              </w:rPr>
              <w:t>nie wpływa na ochronę danych użytkowników.</w:t>
            </w:r>
          </w:p>
        </w:tc>
      </w:tr>
      <w:tr w:rsidR="0088443B" w:rsidRPr="001802D1" w14:paraId="7B5166EF" w14:textId="77777777" w:rsidTr="005B443B">
        <w:tc>
          <w:tcPr>
            <w:tcW w:w="597" w:type="dxa"/>
            <w:tcBorders>
              <w:bottom w:val="single" w:sz="4" w:space="0" w:color="auto"/>
            </w:tcBorders>
          </w:tcPr>
          <w:p w14:paraId="54714491" w14:textId="77777777" w:rsidR="0088443B" w:rsidRPr="001802D1" w:rsidRDefault="0088443B" w:rsidP="00FE39A4">
            <w:pPr>
              <w:pStyle w:val="Bezodstpw"/>
              <w:numPr>
                <w:ilvl w:val="0"/>
                <w:numId w:val="2"/>
              </w:numPr>
              <w:ind w:left="171" w:hanging="171"/>
              <w:jc w:val="center"/>
              <w:rPr>
                <w:rFonts w:ascii="Times New Roman" w:hAnsi="Times New Roman" w:cs="Times New Roman"/>
              </w:rPr>
            </w:pPr>
          </w:p>
        </w:tc>
        <w:tc>
          <w:tcPr>
            <w:tcW w:w="1525" w:type="dxa"/>
            <w:tcBorders>
              <w:bottom w:val="single" w:sz="4" w:space="0" w:color="auto"/>
            </w:tcBorders>
          </w:tcPr>
          <w:p w14:paraId="1860612B" w14:textId="776B7C50" w:rsidR="0088443B" w:rsidRPr="001802D1" w:rsidRDefault="0088443B" w:rsidP="0088443B">
            <w:pPr>
              <w:pStyle w:val="Bezodstpw"/>
              <w:jc w:val="center"/>
              <w:rPr>
                <w:rFonts w:ascii="Times New Roman" w:hAnsi="Times New Roman" w:cs="Times New Roman"/>
              </w:rPr>
            </w:pPr>
            <w:r w:rsidRPr="001802D1">
              <w:rPr>
                <w:rFonts w:ascii="Times New Roman" w:hAnsi="Times New Roman" w:cs="Times New Roman"/>
              </w:rPr>
              <w:t>§ 8</w:t>
            </w:r>
          </w:p>
        </w:tc>
        <w:tc>
          <w:tcPr>
            <w:tcW w:w="1559" w:type="dxa"/>
            <w:tcBorders>
              <w:bottom w:val="single" w:sz="4" w:space="0" w:color="auto"/>
            </w:tcBorders>
          </w:tcPr>
          <w:p w14:paraId="447C7714" w14:textId="718D012B" w:rsidR="0088443B" w:rsidRPr="001802D1" w:rsidRDefault="0088443B" w:rsidP="0088443B">
            <w:pPr>
              <w:pStyle w:val="Bezodstpw"/>
              <w:jc w:val="center"/>
              <w:rPr>
                <w:rFonts w:ascii="Times New Roman" w:hAnsi="Times New Roman" w:cs="Times New Roman"/>
                <w:b/>
                <w:bCs/>
              </w:rPr>
            </w:pPr>
            <w:r w:rsidRPr="001802D1">
              <w:rPr>
                <w:rFonts w:ascii="Times New Roman" w:hAnsi="Times New Roman" w:cs="Times New Roman"/>
                <w:b/>
                <w:bCs/>
              </w:rPr>
              <w:t>Urząd Komunikacji Elektronicznej</w:t>
            </w:r>
          </w:p>
        </w:tc>
        <w:tc>
          <w:tcPr>
            <w:tcW w:w="7087" w:type="dxa"/>
            <w:tcBorders>
              <w:bottom w:val="single" w:sz="4" w:space="0" w:color="auto"/>
            </w:tcBorders>
          </w:tcPr>
          <w:p w14:paraId="75F1068A" w14:textId="0C33AE3D" w:rsidR="0088443B" w:rsidRPr="001802D1" w:rsidRDefault="0088443B" w:rsidP="0088443B">
            <w:pPr>
              <w:pStyle w:val="Bezodstpw"/>
              <w:jc w:val="both"/>
              <w:rPr>
                <w:rFonts w:ascii="Times New Roman" w:hAnsi="Times New Roman" w:cs="Times New Roman"/>
              </w:rPr>
            </w:pPr>
            <w:r w:rsidRPr="001802D1">
              <w:rPr>
                <w:rFonts w:ascii="Times New Roman" w:hAnsi="Times New Roman" w:cs="Times New Roman"/>
              </w:rPr>
              <w:t xml:space="preserve">§ 8 – w kontekście brzmienia pkt 1, który odnosi się do komunikatu elektronicznego, należy zauważyć, że wskazane w pkt 2 dane, o których mowa w art. 43 ust. 1 pkt 1 Pke, obejmują również komunikat elektroniczny; </w:t>
            </w:r>
          </w:p>
        </w:tc>
        <w:tc>
          <w:tcPr>
            <w:tcW w:w="4395" w:type="dxa"/>
            <w:tcBorders>
              <w:bottom w:val="single" w:sz="4" w:space="0" w:color="auto"/>
            </w:tcBorders>
          </w:tcPr>
          <w:p w14:paraId="10A91E9B" w14:textId="61EF5C6B" w:rsidR="0088443B" w:rsidRPr="001802D1" w:rsidRDefault="0088443B" w:rsidP="00135840">
            <w:pPr>
              <w:pStyle w:val="Bezodstpw"/>
              <w:jc w:val="both"/>
              <w:rPr>
                <w:rFonts w:ascii="Times New Roman" w:hAnsi="Times New Roman" w:cs="Times New Roman"/>
                <w:b/>
                <w:bCs/>
              </w:rPr>
            </w:pPr>
            <w:r w:rsidRPr="001802D1">
              <w:rPr>
                <w:rFonts w:ascii="Times New Roman" w:hAnsi="Times New Roman" w:cs="Times New Roman"/>
                <w:b/>
                <w:bCs/>
              </w:rPr>
              <w:t>Uwaga nieuwzględniona</w:t>
            </w:r>
          </w:p>
          <w:p w14:paraId="3A94D8E4" w14:textId="3089230C" w:rsidR="0088443B" w:rsidRPr="001802D1" w:rsidRDefault="0088443B" w:rsidP="00135840">
            <w:pPr>
              <w:pStyle w:val="Bezodstpw"/>
              <w:jc w:val="both"/>
              <w:rPr>
                <w:rFonts w:ascii="Times New Roman" w:hAnsi="Times New Roman" w:cs="Times New Roman"/>
              </w:rPr>
            </w:pPr>
            <w:r w:rsidRPr="001802D1">
              <w:rPr>
                <w:rFonts w:ascii="Times New Roman" w:hAnsi="Times New Roman" w:cs="Times New Roman"/>
              </w:rPr>
              <w:t xml:space="preserve">Art. 43 ust. 1 pkt 1 lit. a </w:t>
            </w:r>
            <w:r w:rsidR="005F7DA6" w:rsidRPr="001802D1">
              <w:rPr>
                <w:rFonts w:ascii="Times New Roman" w:hAnsi="Times New Roman" w:cs="Times New Roman"/>
              </w:rPr>
              <w:t xml:space="preserve">PKE </w:t>
            </w:r>
            <w:r w:rsidRPr="001802D1">
              <w:rPr>
                <w:rFonts w:ascii="Times New Roman" w:hAnsi="Times New Roman" w:cs="Times New Roman"/>
              </w:rPr>
              <w:t>mówi ogólnie o</w:t>
            </w:r>
            <w:r w:rsidR="008C4892">
              <w:rPr>
                <w:rFonts w:ascii="Times New Roman" w:hAnsi="Times New Roman" w:cs="Times New Roman"/>
              </w:rPr>
              <w:t> </w:t>
            </w:r>
            <w:r w:rsidRPr="001802D1">
              <w:rPr>
                <w:rFonts w:ascii="Times New Roman" w:hAnsi="Times New Roman" w:cs="Times New Roman"/>
              </w:rPr>
              <w:t xml:space="preserve">informacjach, które w kolejnych tiretach rozgranicza na komunikaty i dane. Odniesienie </w:t>
            </w:r>
            <w:r w:rsidR="005F7DA6" w:rsidRPr="001802D1">
              <w:rPr>
                <w:rFonts w:ascii="Times New Roman" w:hAnsi="Times New Roman" w:cs="Times New Roman"/>
              </w:rPr>
              <w:t xml:space="preserve">zawarte </w:t>
            </w:r>
            <w:r w:rsidRPr="001802D1">
              <w:rPr>
                <w:rFonts w:ascii="Times New Roman" w:hAnsi="Times New Roman" w:cs="Times New Roman"/>
              </w:rPr>
              <w:t xml:space="preserve">w § 8 pkt 2 </w:t>
            </w:r>
            <w:r w:rsidR="005F7DA6" w:rsidRPr="001802D1">
              <w:rPr>
                <w:rFonts w:ascii="Times New Roman" w:hAnsi="Times New Roman" w:cs="Times New Roman"/>
              </w:rPr>
              <w:t xml:space="preserve">projektu rozporządzenia </w:t>
            </w:r>
            <w:r w:rsidRPr="001802D1">
              <w:rPr>
                <w:rFonts w:ascii="Times New Roman" w:hAnsi="Times New Roman" w:cs="Times New Roman"/>
              </w:rPr>
              <w:t>dotyczy zatem tylko danych, a nie komunikatów.</w:t>
            </w:r>
          </w:p>
        </w:tc>
      </w:tr>
      <w:tr w:rsidR="0088443B" w:rsidRPr="001802D1" w14:paraId="006A2FDA" w14:textId="77777777" w:rsidTr="005B443B">
        <w:tc>
          <w:tcPr>
            <w:tcW w:w="597" w:type="dxa"/>
            <w:tcBorders>
              <w:bottom w:val="single" w:sz="4" w:space="0" w:color="auto"/>
            </w:tcBorders>
          </w:tcPr>
          <w:p w14:paraId="0ABA881A" w14:textId="77777777" w:rsidR="0088443B" w:rsidRPr="001802D1" w:rsidRDefault="0088443B" w:rsidP="00FE39A4">
            <w:pPr>
              <w:pStyle w:val="Bezodstpw"/>
              <w:numPr>
                <w:ilvl w:val="0"/>
                <w:numId w:val="2"/>
              </w:numPr>
              <w:ind w:left="171" w:hanging="171"/>
              <w:jc w:val="center"/>
              <w:rPr>
                <w:rFonts w:ascii="Times New Roman" w:hAnsi="Times New Roman" w:cs="Times New Roman"/>
              </w:rPr>
            </w:pPr>
          </w:p>
        </w:tc>
        <w:tc>
          <w:tcPr>
            <w:tcW w:w="1525" w:type="dxa"/>
            <w:tcBorders>
              <w:bottom w:val="single" w:sz="4" w:space="0" w:color="auto"/>
            </w:tcBorders>
          </w:tcPr>
          <w:p w14:paraId="3103F409" w14:textId="636B1974" w:rsidR="0088443B" w:rsidRPr="001802D1" w:rsidRDefault="0088443B" w:rsidP="0088443B">
            <w:pPr>
              <w:pStyle w:val="Bezodstpw"/>
              <w:jc w:val="center"/>
              <w:rPr>
                <w:rFonts w:ascii="Times New Roman" w:hAnsi="Times New Roman" w:cs="Times New Roman"/>
              </w:rPr>
            </w:pPr>
            <w:r w:rsidRPr="001802D1">
              <w:rPr>
                <w:rFonts w:ascii="Times New Roman" w:hAnsi="Times New Roman" w:cs="Times New Roman"/>
              </w:rPr>
              <w:t>§ 11 ust. 2 pkt 1</w:t>
            </w:r>
          </w:p>
        </w:tc>
        <w:tc>
          <w:tcPr>
            <w:tcW w:w="1559" w:type="dxa"/>
            <w:tcBorders>
              <w:bottom w:val="single" w:sz="4" w:space="0" w:color="auto"/>
            </w:tcBorders>
          </w:tcPr>
          <w:p w14:paraId="7FB5C5A6" w14:textId="1EBC66A3" w:rsidR="0088443B" w:rsidRPr="001802D1" w:rsidRDefault="0088443B" w:rsidP="0088443B">
            <w:pPr>
              <w:pStyle w:val="Bezodstpw"/>
              <w:jc w:val="center"/>
              <w:rPr>
                <w:rFonts w:ascii="Times New Roman" w:hAnsi="Times New Roman" w:cs="Times New Roman"/>
                <w:b/>
                <w:bCs/>
              </w:rPr>
            </w:pPr>
            <w:r w:rsidRPr="001802D1">
              <w:rPr>
                <w:rFonts w:ascii="Times New Roman" w:hAnsi="Times New Roman" w:cs="Times New Roman"/>
                <w:b/>
                <w:bCs/>
              </w:rPr>
              <w:t>Urząd Komunikacji Elektronicznej</w:t>
            </w:r>
          </w:p>
        </w:tc>
        <w:tc>
          <w:tcPr>
            <w:tcW w:w="7087" w:type="dxa"/>
            <w:tcBorders>
              <w:bottom w:val="single" w:sz="4" w:space="0" w:color="auto"/>
            </w:tcBorders>
          </w:tcPr>
          <w:p w14:paraId="7B6C5CF9" w14:textId="35B00060" w:rsidR="0088443B" w:rsidRPr="001802D1" w:rsidRDefault="0088443B" w:rsidP="0088443B">
            <w:pPr>
              <w:pStyle w:val="Bezodstpw"/>
              <w:jc w:val="both"/>
              <w:rPr>
                <w:rFonts w:ascii="Times New Roman" w:hAnsi="Times New Roman" w:cs="Times New Roman"/>
              </w:rPr>
            </w:pPr>
            <w:r w:rsidRPr="001802D1">
              <w:rPr>
                <w:rFonts w:ascii="Times New Roman" w:hAnsi="Times New Roman" w:cs="Times New Roman"/>
              </w:rPr>
              <w:t xml:space="preserve">§ 11 ust. 2 pkt 1 – mając na uwadze brzmienie tego przepisu nie jest jasne, jaki czas reakcji ma zapewnić przedsiębiorca w przypadku, o którym mowa w § 11 ust. 1 pkt 1 i 2, w sytuacji, gdy nie jest wymagany udział upoważnionego pracownika. </w:t>
            </w:r>
          </w:p>
        </w:tc>
        <w:tc>
          <w:tcPr>
            <w:tcW w:w="4395" w:type="dxa"/>
            <w:tcBorders>
              <w:bottom w:val="single" w:sz="4" w:space="0" w:color="auto"/>
            </w:tcBorders>
          </w:tcPr>
          <w:p w14:paraId="38903FBE" w14:textId="77777777" w:rsidR="0088443B" w:rsidRPr="001802D1" w:rsidRDefault="0088443B" w:rsidP="00135840">
            <w:pPr>
              <w:pStyle w:val="Bezodstpw"/>
              <w:jc w:val="both"/>
              <w:rPr>
                <w:rFonts w:ascii="Times New Roman" w:hAnsi="Times New Roman" w:cs="Times New Roman"/>
                <w:b/>
                <w:bCs/>
              </w:rPr>
            </w:pPr>
            <w:r w:rsidRPr="001802D1">
              <w:rPr>
                <w:rFonts w:ascii="Times New Roman" w:hAnsi="Times New Roman" w:cs="Times New Roman"/>
                <w:b/>
                <w:bCs/>
              </w:rPr>
              <w:t>Uwaga uwzględniona</w:t>
            </w:r>
          </w:p>
          <w:p w14:paraId="0737BD6A" w14:textId="213BB3CD" w:rsidR="0088443B" w:rsidRPr="001802D1" w:rsidRDefault="00F40A4F" w:rsidP="00135840">
            <w:pPr>
              <w:pStyle w:val="Bezodstpw"/>
              <w:jc w:val="both"/>
              <w:rPr>
                <w:rFonts w:ascii="Times New Roman" w:hAnsi="Times New Roman" w:cs="Times New Roman"/>
              </w:rPr>
            </w:pPr>
            <w:r w:rsidRPr="001802D1">
              <w:rPr>
                <w:rFonts w:ascii="Times New Roman" w:hAnsi="Times New Roman" w:cs="Times New Roman"/>
              </w:rPr>
              <w:t>Skreślono przecinek po „24 godzin”, tak aby czas reakcji nie dłuższy niż 24 godzin jednoznacznie odnosił się do sytuacji, gdy wymagany jest udział upoważnionego pracownika.</w:t>
            </w:r>
          </w:p>
        </w:tc>
      </w:tr>
      <w:tr w:rsidR="0088443B" w:rsidRPr="001802D1" w14:paraId="11DF6546" w14:textId="77777777" w:rsidTr="005B443B">
        <w:tc>
          <w:tcPr>
            <w:tcW w:w="597" w:type="dxa"/>
            <w:tcBorders>
              <w:bottom w:val="single" w:sz="4" w:space="0" w:color="auto"/>
            </w:tcBorders>
          </w:tcPr>
          <w:p w14:paraId="62929F32" w14:textId="77777777" w:rsidR="0088443B" w:rsidRPr="001802D1" w:rsidRDefault="0088443B" w:rsidP="00FE39A4">
            <w:pPr>
              <w:pStyle w:val="Bezodstpw"/>
              <w:numPr>
                <w:ilvl w:val="0"/>
                <w:numId w:val="2"/>
              </w:numPr>
              <w:ind w:left="171" w:hanging="171"/>
              <w:jc w:val="center"/>
              <w:rPr>
                <w:rFonts w:ascii="Times New Roman" w:hAnsi="Times New Roman" w:cs="Times New Roman"/>
              </w:rPr>
            </w:pPr>
          </w:p>
        </w:tc>
        <w:tc>
          <w:tcPr>
            <w:tcW w:w="1525" w:type="dxa"/>
            <w:tcBorders>
              <w:bottom w:val="single" w:sz="4" w:space="0" w:color="auto"/>
            </w:tcBorders>
          </w:tcPr>
          <w:p w14:paraId="2DF2324F" w14:textId="715F877C" w:rsidR="0088443B" w:rsidRPr="001802D1" w:rsidRDefault="0088443B" w:rsidP="0088443B">
            <w:pPr>
              <w:pStyle w:val="Bezodstpw"/>
              <w:jc w:val="center"/>
              <w:rPr>
                <w:rFonts w:ascii="Times New Roman" w:hAnsi="Times New Roman" w:cs="Times New Roman"/>
              </w:rPr>
            </w:pPr>
            <w:r w:rsidRPr="001802D1">
              <w:rPr>
                <w:rFonts w:ascii="Times New Roman" w:hAnsi="Times New Roman" w:cs="Times New Roman"/>
              </w:rPr>
              <w:t>§ 11 ust. 4</w:t>
            </w:r>
          </w:p>
        </w:tc>
        <w:tc>
          <w:tcPr>
            <w:tcW w:w="1559" w:type="dxa"/>
            <w:tcBorders>
              <w:bottom w:val="single" w:sz="4" w:space="0" w:color="auto"/>
            </w:tcBorders>
          </w:tcPr>
          <w:p w14:paraId="3F80BED1" w14:textId="17462507" w:rsidR="0088443B" w:rsidRPr="001802D1" w:rsidRDefault="0088443B" w:rsidP="0088443B">
            <w:pPr>
              <w:pStyle w:val="Bezodstpw"/>
              <w:jc w:val="center"/>
              <w:rPr>
                <w:rFonts w:ascii="Times New Roman" w:hAnsi="Times New Roman" w:cs="Times New Roman"/>
                <w:b/>
                <w:bCs/>
              </w:rPr>
            </w:pPr>
            <w:r w:rsidRPr="001802D1">
              <w:rPr>
                <w:rFonts w:ascii="Times New Roman" w:hAnsi="Times New Roman" w:cs="Times New Roman"/>
                <w:b/>
                <w:bCs/>
              </w:rPr>
              <w:t>Urząd Ochrony Danych Osobowych</w:t>
            </w:r>
          </w:p>
        </w:tc>
        <w:tc>
          <w:tcPr>
            <w:tcW w:w="7087" w:type="dxa"/>
            <w:tcBorders>
              <w:bottom w:val="single" w:sz="4" w:space="0" w:color="auto"/>
            </w:tcBorders>
          </w:tcPr>
          <w:p w14:paraId="2D3994F3" w14:textId="77777777" w:rsidR="0088443B" w:rsidRPr="001802D1" w:rsidRDefault="0088443B" w:rsidP="0088443B">
            <w:pPr>
              <w:pStyle w:val="Bezodstpw"/>
              <w:jc w:val="both"/>
              <w:rPr>
                <w:rFonts w:ascii="Times New Roman" w:hAnsi="Times New Roman" w:cs="Times New Roman"/>
              </w:rPr>
            </w:pPr>
            <w:r w:rsidRPr="001802D1">
              <w:rPr>
                <w:rFonts w:ascii="Times New Roman" w:hAnsi="Times New Roman" w:cs="Times New Roman"/>
              </w:rPr>
              <w:t>W delegacji ustawowej do rozporządzenia (art. 46 ust. 1 pkt 1 ustawy – Prawo komunikacji elektronicznej) wskazano, że Rada Ministrów określi w drodze rozporządzenia „wymagania i sposoby zapewnienia warunków dostępu i utrwalania, o których mowa w art. 43 ust. 1 pkt 1, oraz przygotowania technicznych i organizacyjnych warunków udostępniania danych, o których mowa w art. 45 ust. 1, oraz ich udostępniania</w:t>
            </w:r>
            <w:r w:rsidRPr="001802D1">
              <w:rPr>
                <w:rFonts w:ascii="Times New Roman" w:hAnsi="Times New Roman" w:cs="Times New Roman"/>
                <w:b/>
                <w:bCs/>
              </w:rPr>
              <w:t>, z wyłączeniem spraw uregulowanych przepisami wydanymi na podstawie art. 242 ustawy z dnia 6 czerwca 1997 r. - Kodeks postępowania karnego</w:t>
            </w:r>
            <w:r w:rsidRPr="001802D1">
              <w:rPr>
                <w:rFonts w:ascii="Times New Roman" w:hAnsi="Times New Roman" w:cs="Times New Roman"/>
              </w:rPr>
              <w:t xml:space="preserve">, kierując się zakresem i </w:t>
            </w:r>
            <w:r w:rsidRPr="001802D1">
              <w:rPr>
                <w:rFonts w:ascii="Times New Roman" w:hAnsi="Times New Roman" w:cs="Times New Roman"/>
              </w:rPr>
              <w:lastRenderedPageBreak/>
              <w:t xml:space="preserve">rodzajem świadczonych publicznie dostępnych usług telekomunikacyjnych lub wielkością publicznej sieci telekomunikacyjnej przedsiębiorcy telekomunikacyjnego oraz osiągnięciem celu przy jak najniższych nakładach finansowych przedsiębiorcy telekomunikacyjnego i uprawnionych podmiotów;”. Wyłączone sprawy, o których mowa w przepisie wydanym na podstawie art. 242 Kodeksu postępowania karnego, czyli rozporządzenia Ministra Sprawiedliwości w sprawie sposobu technicznego przygotowania sieci służących do przekazywania informacji, do kontroli przekazów informacji oraz sposobu dokonywania, rejestracji, przechowywania, odtwarzania i niszczenia zapisów z kontrolowanych przekazów, odnoszą się między innymi do </w:t>
            </w:r>
            <w:r w:rsidRPr="001802D1">
              <w:rPr>
                <w:rFonts w:ascii="Times New Roman" w:hAnsi="Times New Roman" w:cs="Times New Roman"/>
                <w:b/>
                <w:bCs/>
              </w:rPr>
              <w:t xml:space="preserve">zakresu informacji </w:t>
            </w:r>
            <w:r w:rsidRPr="001802D1">
              <w:rPr>
                <w:rFonts w:ascii="Times New Roman" w:hAnsi="Times New Roman" w:cs="Times New Roman"/>
              </w:rPr>
              <w:t>jakie powinny być odnotowywane przez osobę dokonującą utrwalania przekazywanych informacji (§ 6 ust. 3 ww. rozporządzenia Ministra Sprawiedliwości).</w:t>
            </w:r>
          </w:p>
          <w:p w14:paraId="6B0801CA" w14:textId="1513FDC7" w:rsidR="0088443B" w:rsidRPr="001802D1" w:rsidRDefault="0088443B" w:rsidP="0088443B">
            <w:pPr>
              <w:pStyle w:val="Bezodstpw"/>
              <w:spacing w:after="120"/>
              <w:jc w:val="both"/>
              <w:rPr>
                <w:rFonts w:ascii="Times New Roman" w:hAnsi="Times New Roman" w:cs="Times New Roman"/>
              </w:rPr>
            </w:pPr>
            <w:r w:rsidRPr="001802D1">
              <w:rPr>
                <w:rFonts w:ascii="Times New Roman" w:hAnsi="Times New Roman" w:cs="Times New Roman"/>
              </w:rPr>
              <w:t>Niezależnie od wskazanego wyżej wyłączenia w delegacji ustawowej „</w:t>
            </w:r>
            <w:r w:rsidRPr="001802D1">
              <w:rPr>
                <w:rFonts w:ascii="Times New Roman" w:hAnsi="Times New Roman" w:cs="Times New Roman"/>
                <w:b/>
                <w:bCs/>
              </w:rPr>
              <w:t>spraw uregulowanych przepisami wydanymi na podstawie art. 242 ustawy z dnia 6 czerwca 1997 r. - Kodeks postępowania karnego</w:t>
            </w:r>
            <w:r w:rsidRPr="001802D1">
              <w:rPr>
                <w:rFonts w:ascii="Times New Roman" w:hAnsi="Times New Roman" w:cs="Times New Roman"/>
              </w:rPr>
              <w:t xml:space="preserve">”, w ocenie Prezesa Urzędu Ochrony Danych Osobowych uzasadnione wydaje się powołanie się w opiniowanym projekcie na przepisy rozporządzenia Ministra Sprawiedliwości w sprawie sposobu technicznego przygotowania sieci służących do przekazywania informacji, do kontroli przekazów informacji oraz sposobu dokonywania, rejestracji, przechowywania, odtwarzania i niszczenia zapisów z kontrolowanych przekazów w odniesieniu do zakresu danych, jakie powinny być odnotowywane w zakresie ustalenia </w:t>
            </w:r>
            <w:r w:rsidRPr="001802D1">
              <w:rPr>
                <w:rFonts w:ascii="Times New Roman" w:hAnsi="Times New Roman" w:cs="Times New Roman"/>
                <w:b/>
                <w:bCs/>
              </w:rPr>
              <w:t>upoważnionego przedstawiciela uprawnionego podmiotu, sądu lub prokuratora uzyskującego dane, rodzaju danych oraz czasu, w którym zostały uzyskane</w:t>
            </w:r>
            <w:r w:rsidRPr="001802D1">
              <w:rPr>
                <w:rFonts w:ascii="Times New Roman" w:hAnsi="Times New Roman" w:cs="Times New Roman"/>
              </w:rPr>
              <w:t>, o których mowa w § 11 ust. 4 projektu.</w:t>
            </w:r>
          </w:p>
          <w:p w14:paraId="492521A8" w14:textId="6C2F3B6F" w:rsidR="0088443B" w:rsidRPr="001802D1" w:rsidRDefault="0088443B" w:rsidP="0088443B">
            <w:pPr>
              <w:pStyle w:val="Bezodstpw"/>
              <w:jc w:val="both"/>
              <w:rPr>
                <w:rFonts w:ascii="Times New Roman" w:hAnsi="Times New Roman" w:cs="Times New Roman"/>
              </w:rPr>
            </w:pPr>
            <w:r w:rsidRPr="001802D1">
              <w:rPr>
                <w:rFonts w:ascii="Times New Roman" w:hAnsi="Times New Roman" w:cs="Times New Roman"/>
              </w:rPr>
              <w:t>W obecnym brzmieniu § 11 ust. 4 projektu brak jest bowiem informacji, w jaki sposób (poprzez odnotowanie jakich informacji) ma być zapewniona możliwość ustalenia upoważnionego przedstawiciela uprawnionego podmiotu, sądu lub prokuratora uzyskującego dane, rodzaju danych oraz czasu, w którym zostały one uzyskane. W ocenie organu nadzorczego uzupełnienie projektu rozporządzenia w powyższym zakresie jest istotne ze względu na potrzebę zapewnienia realizacji zasady przejrzystości oraz zasady rozliczalności zawartych w rozporządzeniu 2016/679.</w:t>
            </w:r>
          </w:p>
        </w:tc>
        <w:tc>
          <w:tcPr>
            <w:tcW w:w="4395" w:type="dxa"/>
            <w:tcBorders>
              <w:bottom w:val="single" w:sz="4" w:space="0" w:color="auto"/>
            </w:tcBorders>
          </w:tcPr>
          <w:p w14:paraId="2B19F256" w14:textId="0C4C3AA9" w:rsidR="0088443B" w:rsidRPr="001802D1" w:rsidRDefault="00F40A4F" w:rsidP="00135840">
            <w:pPr>
              <w:pStyle w:val="Bezodstpw"/>
              <w:jc w:val="both"/>
              <w:rPr>
                <w:rFonts w:ascii="Times New Roman" w:hAnsi="Times New Roman" w:cs="Times New Roman"/>
                <w:b/>
                <w:bCs/>
              </w:rPr>
            </w:pPr>
            <w:r w:rsidRPr="001802D1">
              <w:rPr>
                <w:rFonts w:ascii="Times New Roman" w:hAnsi="Times New Roman" w:cs="Times New Roman"/>
                <w:b/>
                <w:bCs/>
              </w:rPr>
              <w:lastRenderedPageBreak/>
              <w:t>Uwaga nieuwzględniona</w:t>
            </w:r>
          </w:p>
          <w:p w14:paraId="4723CEAB" w14:textId="30A62390" w:rsidR="0088443B" w:rsidRPr="001802D1" w:rsidRDefault="0088443B" w:rsidP="00135840">
            <w:pPr>
              <w:pStyle w:val="Bezodstpw"/>
              <w:jc w:val="both"/>
              <w:rPr>
                <w:rFonts w:ascii="Times New Roman" w:hAnsi="Times New Roman" w:cs="Times New Roman"/>
              </w:rPr>
            </w:pPr>
            <w:r w:rsidRPr="001802D1">
              <w:rPr>
                <w:rFonts w:ascii="Times New Roman" w:hAnsi="Times New Roman" w:cs="Times New Roman"/>
              </w:rPr>
              <w:t>§ 6 ust. 3 rozporządzenia Ministra Sprawiedliwości</w:t>
            </w:r>
            <w:r w:rsidR="00F40A4F" w:rsidRPr="001802D1">
              <w:rPr>
                <w:rFonts w:ascii="Times New Roman" w:hAnsi="Times New Roman" w:cs="Times New Roman"/>
              </w:rPr>
              <w:t xml:space="preserve"> </w:t>
            </w:r>
            <w:r w:rsidR="006722E3" w:rsidRPr="001802D1">
              <w:rPr>
                <w:rFonts w:ascii="Times New Roman" w:hAnsi="Times New Roman" w:cs="Times New Roman"/>
              </w:rPr>
              <w:t>z dnia 24 czerwca 2003 r. w</w:t>
            </w:r>
            <w:r w:rsidR="008C4892">
              <w:rPr>
                <w:rFonts w:ascii="Times New Roman" w:hAnsi="Times New Roman" w:cs="Times New Roman"/>
              </w:rPr>
              <w:t> </w:t>
            </w:r>
            <w:r w:rsidR="006722E3" w:rsidRPr="001802D1">
              <w:rPr>
                <w:rFonts w:ascii="Times New Roman" w:hAnsi="Times New Roman" w:cs="Times New Roman"/>
              </w:rPr>
              <w:t xml:space="preserve">sprawie sposobu technicznego przygotowania sieci służących do przekazywania informacji, do kontroli przekazów informacji oraz sposobu dokonywania, rejestracji, przechowywania, </w:t>
            </w:r>
            <w:r w:rsidR="006722E3" w:rsidRPr="001802D1">
              <w:rPr>
                <w:rFonts w:ascii="Times New Roman" w:hAnsi="Times New Roman" w:cs="Times New Roman"/>
              </w:rPr>
              <w:lastRenderedPageBreak/>
              <w:t>odtwarzania i niszczenia zapisów z</w:t>
            </w:r>
            <w:r w:rsidR="008C4892">
              <w:rPr>
                <w:rFonts w:ascii="Times New Roman" w:hAnsi="Times New Roman" w:cs="Times New Roman"/>
              </w:rPr>
              <w:t> </w:t>
            </w:r>
            <w:r w:rsidR="006722E3" w:rsidRPr="001802D1">
              <w:rPr>
                <w:rFonts w:ascii="Times New Roman" w:hAnsi="Times New Roman" w:cs="Times New Roman"/>
              </w:rPr>
              <w:t xml:space="preserve">kontrolowanych przekazów (Dz. U. </w:t>
            </w:r>
            <w:r w:rsidR="008C4892">
              <w:rPr>
                <w:rFonts w:ascii="Times New Roman" w:hAnsi="Times New Roman" w:cs="Times New Roman"/>
              </w:rPr>
              <w:t>po</w:t>
            </w:r>
            <w:r w:rsidR="006722E3" w:rsidRPr="001802D1">
              <w:rPr>
                <w:rFonts w:ascii="Times New Roman" w:hAnsi="Times New Roman" w:cs="Times New Roman"/>
              </w:rPr>
              <w:t xml:space="preserve">z 1052), </w:t>
            </w:r>
            <w:r w:rsidR="00F40A4F" w:rsidRPr="001802D1">
              <w:rPr>
                <w:rFonts w:ascii="Times New Roman" w:hAnsi="Times New Roman" w:cs="Times New Roman"/>
              </w:rPr>
              <w:t>brzmi</w:t>
            </w:r>
            <w:r w:rsidRPr="001802D1">
              <w:rPr>
                <w:rFonts w:ascii="Times New Roman" w:hAnsi="Times New Roman" w:cs="Times New Roman"/>
              </w:rPr>
              <w:t>:</w:t>
            </w:r>
          </w:p>
          <w:p w14:paraId="3A15533F" w14:textId="52FCCBD0" w:rsidR="0088443B" w:rsidRPr="001802D1" w:rsidRDefault="0088443B" w:rsidP="00135840">
            <w:pPr>
              <w:pStyle w:val="Bezodstpw"/>
              <w:jc w:val="both"/>
              <w:rPr>
                <w:rFonts w:ascii="Times New Roman" w:hAnsi="Times New Roman" w:cs="Times New Roman"/>
                <w:i/>
                <w:iCs/>
              </w:rPr>
            </w:pPr>
            <w:r w:rsidRPr="001802D1">
              <w:rPr>
                <w:rFonts w:ascii="Times New Roman" w:hAnsi="Times New Roman" w:cs="Times New Roman"/>
                <w:i/>
                <w:iCs/>
              </w:rPr>
              <w:t>§ 6 ust. 3. Osoba dokonująca utrwalenia przekazów informacji zapisuje lub oznacza na nośniku:</w:t>
            </w:r>
          </w:p>
          <w:p w14:paraId="05B33039" w14:textId="3E4B16A3" w:rsidR="0088443B" w:rsidRPr="001802D1" w:rsidRDefault="0088443B" w:rsidP="00135840">
            <w:pPr>
              <w:pStyle w:val="Bezodstpw"/>
              <w:jc w:val="both"/>
              <w:rPr>
                <w:rFonts w:ascii="Times New Roman" w:hAnsi="Times New Roman" w:cs="Times New Roman"/>
                <w:i/>
                <w:iCs/>
              </w:rPr>
            </w:pPr>
            <w:r w:rsidRPr="001802D1">
              <w:rPr>
                <w:rFonts w:ascii="Times New Roman" w:hAnsi="Times New Roman" w:cs="Times New Roman"/>
                <w:i/>
                <w:iCs/>
              </w:rPr>
              <w:t>1)  sygnaturę akt sprawy, w której czynność ta została zlecona;</w:t>
            </w:r>
          </w:p>
          <w:p w14:paraId="2CAA380D" w14:textId="42D47611" w:rsidR="0088443B" w:rsidRPr="001802D1" w:rsidRDefault="0088443B" w:rsidP="00135840">
            <w:pPr>
              <w:pStyle w:val="Bezodstpw"/>
              <w:jc w:val="both"/>
              <w:rPr>
                <w:rFonts w:ascii="Times New Roman" w:hAnsi="Times New Roman" w:cs="Times New Roman"/>
                <w:i/>
                <w:iCs/>
              </w:rPr>
            </w:pPr>
            <w:r w:rsidRPr="001802D1">
              <w:rPr>
                <w:rFonts w:ascii="Times New Roman" w:hAnsi="Times New Roman" w:cs="Times New Roman"/>
                <w:i/>
                <w:iCs/>
              </w:rPr>
              <w:t>2)  swoje imię, nazwisko i stanowisko służbowe albo imię, nazwisko i stanowisko służbowe osoby odpowiedzialnej za przeprowadzenie tej czynności;</w:t>
            </w:r>
          </w:p>
          <w:p w14:paraId="234A8235" w14:textId="18394DCC" w:rsidR="0088443B" w:rsidRPr="001802D1" w:rsidRDefault="0088443B" w:rsidP="00135840">
            <w:pPr>
              <w:pStyle w:val="Bezodstpw"/>
              <w:jc w:val="both"/>
              <w:rPr>
                <w:rFonts w:ascii="Times New Roman" w:hAnsi="Times New Roman" w:cs="Times New Roman"/>
                <w:i/>
                <w:iCs/>
              </w:rPr>
            </w:pPr>
            <w:r w:rsidRPr="001802D1">
              <w:rPr>
                <w:rFonts w:ascii="Times New Roman" w:hAnsi="Times New Roman" w:cs="Times New Roman"/>
                <w:i/>
                <w:iCs/>
              </w:rPr>
              <w:t>3)  dane dotyczące podstawy utrwalania;</w:t>
            </w:r>
          </w:p>
          <w:p w14:paraId="39C2035A" w14:textId="2F59AADA" w:rsidR="0088443B" w:rsidRPr="001802D1" w:rsidRDefault="0088443B" w:rsidP="00135840">
            <w:pPr>
              <w:pStyle w:val="Bezodstpw"/>
              <w:jc w:val="both"/>
              <w:rPr>
                <w:rFonts w:ascii="Times New Roman" w:hAnsi="Times New Roman" w:cs="Times New Roman"/>
              </w:rPr>
            </w:pPr>
            <w:r w:rsidRPr="001802D1">
              <w:rPr>
                <w:rFonts w:ascii="Times New Roman" w:hAnsi="Times New Roman" w:cs="Times New Roman"/>
                <w:i/>
                <w:iCs/>
              </w:rPr>
              <w:t>4)  czas rozpoczęcia i zakończenia utrwalania</w:t>
            </w:r>
            <w:r w:rsidRPr="001802D1">
              <w:rPr>
                <w:rFonts w:ascii="Times New Roman" w:hAnsi="Times New Roman" w:cs="Times New Roman"/>
              </w:rPr>
              <w:t>.</w:t>
            </w:r>
          </w:p>
          <w:p w14:paraId="60E32EA5" w14:textId="77777777" w:rsidR="00F40A4F" w:rsidRPr="001802D1" w:rsidRDefault="00F40A4F" w:rsidP="00135840">
            <w:pPr>
              <w:pStyle w:val="Bezodstpw"/>
              <w:jc w:val="both"/>
              <w:rPr>
                <w:rFonts w:ascii="Times New Roman" w:hAnsi="Times New Roman" w:cs="Times New Roman"/>
              </w:rPr>
            </w:pPr>
          </w:p>
          <w:p w14:paraId="28F84F54" w14:textId="782CBF00" w:rsidR="00F40A4F" w:rsidRPr="001802D1" w:rsidRDefault="00F40A4F" w:rsidP="00135840">
            <w:pPr>
              <w:pStyle w:val="Bezodstpw"/>
              <w:jc w:val="both"/>
              <w:rPr>
                <w:rFonts w:ascii="Times New Roman" w:hAnsi="Times New Roman" w:cs="Times New Roman"/>
              </w:rPr>
            </w:pPr>
            <w:r w:rsidRPr="001802D1">
              <w:rPr>
                <w:rFonts w:ascii="Times New Roman" w:hAnsi="Times New Roman" w:cs="Times New Roman"/>
              </w:rPr>
              <w:t>Przepis ten kierowany jest do osoby dokonującej utrwalenia przekazów informacji, czyli przedstawiciel</w:t>
            </w:r>
            <w:r w:rsidR="00FF3106" w:rsidRPr="001802D1">
              <w:rPr>
                <w:rFonts w:ascii="Times New Roman" w:hAnsi="Times New Roman" w:cs="Times New Roman"/>
              </w:rPr>
              <w:t>a</w:t>
            </w:r>
            <w:r w:rsidRPr="001802D1">
              <w:rPr>
                <w:rFonts w:ascii="Times New Roman" w:hAnsi="Times New Roman" w:cs="Times New Roman"/>
              </w:rPr>
              <w:t xml:space="preserve"> uprawnionego podmiotu, sądu albo prokuratora</w:t>
            </w:r>
            <w:r w:rsidR="00FF3106" w:rsidRPr="001802D1">
              <w:rPr>
                <w:rFonts w:ascii="Times New Roman" w:hAnsi="Times New Roman" w:cs="Times New Roman"/>
              </w:rPr>
              <w:t>, i określa w jaki sposób maj być oznaczane nośniki.</w:t>
            </w:r>
          </w:p>
          <w:p w14:paraId="50A2D013" w14:textId="102CEE3B" w:rsidR="00FF3106" w:rsidRPr="001802D1" w:rsidRDefault="00FF3106" w:rsidP="00135840">
            <w:pPr>
              <w:pStyle w:val="Bezodstpw"/>
              <w:jc w:val="both"/>
              <w:rPr>
                <w:rFonts w:ascii="Times New Roman" w:hAnsi="Times New Roman" w:cs="Times New Roman"/>
              </w:rPr>
            </w:pPr>
            <w:r w:rsidRPr="001802D1">
              <w:rPr>
                <w:rFonts w:ascii="Times New Roman" w:hAnsi="Times New Roman" w:cs="Times New Roman"/>
              </w:rPr>
              <w:t xml:space="preserve">§ 11 projektu rozporządzenia odnosi się do czynności podejmowanych </w:t>
            </w:r>
            <w:r w:rsidR="008C4892">
              <w:rPr>
                <w:rFonts w:ascii="Times New Roman" w:hAnsi="Times New Roman" w:cs="Times New Roman"/>
              </w:rPr>
              <w:t xml:space="preserve">przez </w:t>
            </w:r>
            <w:r w:rsidRPr="001802D1">
              <w:rPr>
                <w:rFonts w:ascii="Times New Roman" w:hAnsi="Times New Roman" w:cs="Times New Roman"/>
              </w:rPr>
              <w:t>przedsiębiorców telekomunikacyjnych w celu przygotowania technicznych i organizacyjnych warunków udostępniania danych. Powołanie</w:t>
            </w:r>
            <w:r w:rsidR="008C4892">
              <w:rPr>
                <w:rFonts w:ascii="Times New Roman" w:hAnsi="Times New Roman" w:cs="Times New Roman"/>
              </w:rPr>
              <w:t xml:space="preserve"> się</w:t>
            </w:r>
            <w:r w:rsidRPr="001802D1">
              <w:rPr>
                <w:rFonts w:ascii="Times New Roman" w:hAnsi="Times New Roman" w:cs="Times New Roman"/>
              </w:rPr>
              <w:t xml:space="preserve"> w</w:t>
            </w:r>
            <w:r w:rsidR="008C4892">
              <w:rPr>
                <w:rFonts w:ascii="Times New Roman" w:hAnsi="Times New Roman" w:cs="Times New Roman"/>
              </w:rPr>
              <w:t> </w:t>
            </w:r>
            <w:r w:rsidRPr="001802D1">
              <w:rPr>
                <w:rFonts w:ascii="Times New Roman" w:hAnsi="Times New Roman" w:cs="Times New Roman"/>
              </w:rPr>
              <w:t>projekcie na przepisy powyższego § 6 ust. 3 nie jest więc właściwe.</w:t>
            </w:r>
          </w:p>
          <w:p w14:paraId="3C13FE7B" w14:textId="70414729" w:rsidR="00FF3106" w:rsidRPr="001802D1" w:rsidRDefault="00FF3106" w:rsidP="00135840">
            <w:pPr>
              <w:pStyle w:val="Bezodstpw"/>
              <w:jc w:val="both"/>
              <w:rPr>
                <w:rFonts w:ascii="Times New Roman" w:hAnsi="Times New Roman" w:cs="Times New Roman"/>
              </w:rPr>
            </w:pPr>
            <w:r w:rsidRPr="001802D1">
              <w:rPr>
                <w:rFonts w:ascii="Times New Roman" w:hAnsi="Times New Roman" w:cs="Times New Roman"/>
              </w:rPr>
              <w:t xml:space="preserve">Przepis § 11 ust. 4 </w:t>
            </w:r>
            <w:r w:rsidR="00591560" w:rsidRPr="001802D1">
              <w:rPr>
                <w:rFonts w:ascii="Times New Roman" w:hAnsi="Times New Roman" w:cs="Times New Roman"/>
              </w:rPr>
              <w:t>określa zakres  informacji</w:t>
            </w:r>
            <w:r w:rsidR="004F0AB2" w:rsidRPr="001802D1">
              <w:rPr>
                <w:rFonts w:ascii="Times New Roman" w:hAnsi="Times New Roman" w:cs="Times New Roman"/>
              </w:rPr>
              <w:t>,</w:t>
            </w:r>
            <w:r w:rsidR="00591560" w:rsidRPr="001802D1">
              <w:rPr>
                <w:rFonts w:ascii="Times New Roman" w:hAnsi="Times New Roman" w:cs="Times New Roman"/>
              </w:rPr>
              <w:t xml:space="preserve"> jakie powinny być ustalone przez przedsiębiorcę telekomunikacyjnego, tzn. dane dotyczące osoby, rodzaju danych i czasu uzyskania danych. Przepis jest wystarczający do wymogu rozliczalności udostępniania danych.</w:t>
            </w:r>
          </w:p>
          <w:p w14:paraId="3088F9AE" w14:textId="3499B986" w:rsidR="0088443B" w:rsidRPr="001802D1" w:rsidRDefault="0088443B" w:rsidP="00135840">
            <w:pPr>
              <w:pStyle w:val="Bezodstpw"/>
              <w:jc w:val="both"/>
              <w:rPr>
                <w:rFonts w:ascii="Times New Roman" w:hAnsi="Times New Roman" w:cs="Times New Roman"/>
              </w:rPr>
            </w:pPr>
          </w:p>
        </w:tc>
      </w:tr>
    </w:tbl>
    <w:p w14:paraId="190C04C4" w14:textId="77777777" w:rsidR="00DF4527" w:rsidRPr="001802D1" w:rsidRDefault="00DF4527" w:rsidP="00D841A6">
      <w:pPr>
        <w:pStyle w:val="Bezodstpw"/>
        <w:spacing w:line="276" w:lineRule="auto"/>
        <w:rPr>
          <w:rFonts w:ascii="Times New Roman" w:hAnsi="Times New Roman" w:cs="Times New Roman"/>
          <w:b/>
          <w:bCs/>
        </w:rPr>
      </w:pPr>
    </w:p>
    <w:sectPr w:rsidR="00DF4527" w:rsidRPr="001802D1" w:rsidSect="00D841A6">
      <w:pgSz w:w="16838" w:h="11906" w:orient="landscape"/>
      <w:pgMar w:top="537"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5015" w14:textId="77777777" w:rsidR="00E05DCB" w:rsidRDefault="00E05DCB" w:rsidP="00D841A6">
      <w:r>
        <w:separator/>
      </w:r>
    </w:p>
  </w:endnote>
  <w:endnote w:type="continuationSeparator" w:id="0">
    <w:p w14:paraId="3BE23512" w14:textId="77777777" w:rsidR="00E05DCB" w:rsidRDefault="00E05DCB" w:rsidP="00D8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94CB" w14:textId="77777777" w:rsidR="00E05DCB" w:rsidRDefault="00E05DCB" w:rsidP="00D841A6">
      <w:r>
        <w:separator/>
      </w:r>
    </w:p>
  </w:footnote>
  <w:footnote w:type="continuationSeparator" w:id="0">
    <w:p w14:paraId="07632B7E" w14:textId="77777777" w:rsidR="00E05DCB" w:rsidRDefault="00E05DCB" w:rsidP="00D841A6">
      <w:r>
        <w:continuationSeparator/>
      </w:r>
    </w:p>
  </w:footnote>
  <w:footnote w:id="1">
    <w:p w14:paraId="3E3778C0" w14:textId="26914EC4" w:rsidR="0088443B" w:rsidRPr="00135840" w:rsidRDefault="0088443B" w:rsidP="00135840">
      <w:pPr>
        <w:pStyle w:val="Tekstprzypisudolnego"/>
        <w:jc w:val="both"/>
        <w:rPr>
          <w:rFonts w:ascii="Arial Narrow" w:hAnsi="Arial Narrow"/>
          <w:sz w:val="16"/>
          <w:szCs w:val="16"/>
        </w:rPr>
      </w:pPr>
      <w:r w:rsidRPr="00135840">
        <w:rPr>
          <w:rStyle w:val="Odwoanieprzypisudolnego"/>
          <w:rFonts w:ascii="Arial Narrow" w:hAnsi="Arial Narrow"/>
          <w:sz w:val="16"/>
          <w:szCs w:val="16"/>
        </w:rPr>
        <w:footnoteRef/>
      </w:r>
      <w:r w:rsidRPr="00135840">
        <w:rPr>
          <w:rFonts w:ascii="Arial Narrow" w:hAnsi="Arial Narrow"/>
          <w:sz w:val="16"/>
          <w:szCs w:val="16"/>
        </w:rPr>
        <w:t xml:space="preserve"> W OSR projektu rozporządzenia zaproponowano możliwość złagodzenia wymagań dotyczących ochrony informacji niejawnych dla większych przedsiębiorców ze zmianą klauzuli na „tajne” oraz dla mikro i małych przedsiębiorców bez kosztownych wymagań, co wynika z nowelizacji ustawy o ochronie informacji niejawnych z 2010 r. Wejście rozporządzenia ma zredukować liczbę procedur dzięki automatyzacji kontroli i zastosowaniu uproszczonych trybów dostępu (art. 34 ust. 5 oraz art. 54 ust. 8 ustawy o ochronie informacji niejawnych), w odniesieniu do mikro i małych przedsiębiorców.</w:t>
      </w:r>
    </w:p>
  </w:footnote>
  <w:footnote w:id="2">
    <w:p w14:paraId="620C462D" w14:textId="287D35C4" w:rsidR="0088443B" w:rsidRPr="00135840" w:rsidRDefault="0088443B" w:rsidP="00135840">
      <w:pPr>
        <w:pStyle w:val="Tekstprzypisudolnego"/>
        <w:jc w:val="both"/>
        <w:rPr>
          <w:sz w:val="16"/>
          <w:szCs w:val="16"/>
        </w:rPr>
      </w:pPr>
      <w:r w:rsidRPr="00135840">
        <w:rPr>
          <w:rStyle w:val="Odwoanieprzypisudolnego"/>
          <w:rFonts w:ascii="Arial Narrow" w:hAnsi="Arial Narrow"/>
          <w:sz w:val="16"/>
          <w:szCs w:val="16"/>
        </w:rPr>
        <w:footnoteRef/>
      </w:r>
      <w:r w:rsidRPr="00135840">
        <w:rPr>
          <w:rFonts w:ascii="Arial Narrow" w:hAnsi="Arial Narrow"/>
          <w:sz w:val="16"/>
          <w:szCs w:val="16"/>
        </w:rPr>
        <w:t xml:space="preserve"> Zgodnie z § 5 ust. 2 pkt 2 projektu rozporządzenia mikro i mali przedsiębiorcy będą stosować się do wymagań bezpieczeństwa określonych w ustawie o ochronie informacji niejawnych, co oznacza, że zapewnienie warunków dostępu i utrwalania będzie realizowane w trybie określonym w art. 34 ust. 5 pkt 1 lub art. 54 ust. 8 tej ustawy. Powołane przepisy regulują wyjątkowy tryb przekazywania informacji niejawnych osobom nieposiadającym odpowiedniego poświadczenia bezpieczeństwa lub przedsiębiorcom telekomunikacyjnym nieposiadającym stosownego poświadczenia bezpieczeństwa przemysłowego.</w:t>
      </w:r>
    </w:p>
  </w:footnote>
  <w:footnote w:id="3">
    <w:p w14:paraId="2EA8D56C" w14:textId="51A014B4" w:rsidR="0088443B" w:rsidRPr="00135840" w:rsidRDefault="0088443B">
      <w:pPr>
        <w:pStyle w:val="Tekstprzypisudolnego"/>
        <w:rPr>
          <w:sz w:val="16"/>
          <w:szCs w:val="16"/>
        </w:rPr>
      </w:pPr>
      <w:r w:rsidRPr="00135840">
        <w:rPr>
          <w:rStyle w:val="Odwoanieprzypisudolnego"/>
          <w:sz w:val="16"/>
          <w:szCs w:val="16"/>
        </w:rPr>
        <w:footnoteRef/>
      </w:r>
      <w:r w:rsidRPr="00135840">
        <w:rPr>
          <w:sz w:val="16"/>
          <w:szCs w:val="16"/>
        </w:rPr>
        <w:t xml:space="preserve"> </w:t>
      </w:r>
      <w:r w:rsidRPr="00135840">
        <w:rPr>
          <w:rFonts w:ascii="Arial Narrow" w:hAnsi="Arial Narrow"/>
          <w:sz w:val="16"/>
          <w:szCs w:val="16"/>
        </w:rPr>
        <w:t>Wyrok TK z dnia 23 listopada 2009 r. w sprawie P 61/08, zob. nb. 91.</w:t>
      </w:r>
    </w:p>
  </w:footnote>
  <w:footnote w:id="4">
    <w:p w14:paraId="60216454" w14:textId="01C593A6" w:rsidR="0088443B" w:rsidRPr="00135840" w:rsidRDefault="0088443B">
      <w:pPr>
        <w:pStyle w:val="Tekstprzypisudolnego"/>
        <w:rPr>
          <w:sz w:val="16"/>
          <w:szCs w:val="16"/>
        </w:rPr>
      </w:pPr>
      <w:r w:rsidRPr="00135840">
        <w:rPr>
          <w:rStyle w:val="Odwoanieprzypisudolnego"/>
          <w:sz w:val="16"/>
          <w:szCs w:val="16"/>
        </w:rPr>
        <w:footnoteRef/>
      </w:r>
      <w:r w:rsidRPr="00135840">
        <w:rPr>
          <w:sz w:val="16"/>
          <w:szCs w:val="16"/>
        </w:rPr>
        <w:t xml:space="preserve"> </w:t>
      </w:r>
      <w:r w:rsidRPr="00135840">
        <w:rPr>
          <w:rFonts w:ascii="Arial Narrow" w:hAnsi="Arial Narrow"/>
          <w:sz w:val="16"/>
          <w:szCs w:val="16"/>
        </w:rPr>
        <w:t>Tamże, zob. nb. 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F91"/>
    <w:multiLevelType w:val="hybridMultilevel"/>
    <w:tmpl w:val="46BAE420"/>
    <w:lvl w:ilvl="0" w:tplc="7DD4A444">
      <w:start w:val="1"/>
      <w:numFmt w:val="decimal"/>
      <w:lvlText w:val="%1)"/>
      <w:lvlJc w:val="left"/>
      <w:pPr>
        <w:ind w:left="720" w:hanging="360"/>
      </w:pPr>
      <w:rPr>
        <w:rFonts w:asciiTheme="minorHAnsi" w:hAnsiTheme="minorHAnsi"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2D3939"/>
    <w:multiLevelType w:val="hybridMultilevel"/>
    <w:tmpl w:val="212E388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F2436"/>
    <w:multiLevelType w:val="hybridMultilevel"/>
    <w:tmpl w:val="A86EF0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8C95904"/>
    <w:multiLevelType w:val="hybridMultilevel"/>
    <w:tmpl w:val="58EA8596"/>
    <w:lvl w:ilvl="0" w:tplc="D40EA03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5510F2"/>
    <w:multiLevelType w:val="hybridMultilevel"/>
    <w:tmpl w:val="E612FEB6"/>
    <w:lvl w:ilvl="0" w:tplc="D40EA03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195E6D"/>
    <w:multiLevelType w:val="hybridMultilevel"/>
    <w:tmpl w:val="8EC0DB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8536BFB"/>
    <w:multiLevelType w:val="hybridMultilevel"/>
    <w:tmpl w:val="804ED034"/>
    <w:lvl w:ilvl="0" w:tplc="04150001">
      <w:start w:val="1"/>
      <w:numFmt w:val="bullet"/>
      <w:lvlText w:val=""/>
      <w:lvlJc w:val="left"/>
      <w:pPr>
        <w:ind w:left="710" w:hanging="360"/>
      </w:pPr>
      <w:rPr>
        <w:rFonts w:ascii="Symbol" w:hAnsi="Symbo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num w:numId="1" w16cid:durableId="1486359420">
    <w:abstractNumId w:val="0"/>
  </w:num>
  <w:num w:numId="2" w16cid:durableId="408967821">
    <w:abstractNumId w:val="1"/>
  </w:num>
  <w:num w:numId="3" w16cid:durableId="589582081">
    <w:abstractNumId w:val="3"/>
  </w:num>
  <w:num w:numId="4" w16cid:durableId="1833519782">
    <w:abstractNumId w:val="6"/>
  </w:num>
  <w:num w:numId="5" w16cid:durableId="1174032451">
    <w:abstractNumId w:val="4"/>
  </w:num>
  <w:num w:numId="6" w16cid:durableId="329989490">
    <w:abstractNumId w:val="5"/>
  </w:num>
  <w:num w:numId="7" w16cid:durableId="1515456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5"/>
    <w:rsid w:val="00000FD9"/>
    <w:rsid w:val="00021A18"/>
    <w:rsid w:val="00050B75"/>
    <w:rsid w:val="0007502B"/>
    <w:rsid w:val="00075328"/>
    <w:rsid w:val="00087092"/>
    <w:rsid w:val="000A2410"/>
    <w:rsid w:val="000B394D"/>
    <w:rsid w:val="000E3924"/>
    <w:rsid w:val="000F693C"/>
    <w:rsid w:val="00105E79"/>
    <w:rsid w:val="00110686"/>
    <w:rsid w:val="00111205"/>
    <w:rsid w:val="0012268F"/>
    <w:rsid w:val="00135840"/>
    <w:rsid w:val="00151142"/>
    <w:rsid w:val="00165C69"/>
    <w:rsid w:val="00175898"/>
    <w:rsid w:val="00177DCB"/>
    <w:rsid w:val="001802D1"/>
    <w:rsid w:val="00190BF7"/>
    <w:rsid w:val="001A1DF4"/>
    <w:rsid w:val="001C2111"/>
    <w:rsid w:val="001D14B4"/>
    <w:rsid w:val="00214AF9"/>
    <w:rsid w:val="002707AC"/>
    <w:rsid w:val="002730BB"/>
    <w:rsid w:val="00282E5D"/>
    <w:rsid w:val="0028620F"/>
    <w:rsid w:val="0029361D"/>
    <w:rsid w:val="002B7F97"/>
    <w:rsid w:val="002D523F"/>
    <w:rsid w:val="002D58FF"/>
    <w:rsid w:val="002E67DA"/>
    <w:rsid w:val="002F19A1"/>
    <w:rsid w:val="0031626A"/>
    <w:rsid w:val="003559AF"/>
    <w:rsid w:val="003912B1"/>
    <w:rsid w:val="00396DAE"/>
    <w:rsid w:val="00397CC1"/>
    <w:rsid w:val="003A1D3D"/>
    <w:rsid w:val="003E0F79"/>
    <w:rsid w:val="003E72AA"/>
    <w:rsid w:val="003E7744"/>
    <w:rsid w:val="003F34F9"/>
    <w:rsid w:val="0041459A"/>
    <w:rsid w:val="00417CEA"/>
    <w:rsid w:val="00423B83"/>
    <w:rsid w:val="0043165B"/>
    <w:rsid w:val="00431D75"/>
    <w:rsid w:val="00436EBB"/>
    <w:rsid w:val="004449FB"/>
    <w:rsid w:val="00462D98"/>
    <w:rsid w:val="00471299"/>
    <w:rsid w:val="004A44A3"/>
    <w:rsid w:val="004C0B30"/>
    <w:rsid w:val="004D06A1"/>
    <w:rsid w:val="004F0AB2"/>
    <w:rsid w:val="004F3A08"/>
    <w:rsid w:val="004F4084"/>
    <w:rsid w:val="004F669B"/>
    <w:rsid w:val="0051425A"/>
    <w:rsid w:val="00525C4F"/>
    <w:rsid w:val="005272CC"/>
    <w:rsid w:val="00533B14"/>
    <w:rsid w:val="005347E4"/>
    <w:rsid w:val="00536E3E"/>
    <w:rsid w:val="00542C4B"/>
    <w:rsid w:val="00552AE5"/>
    <w:rsid w:val="00566ACF"/>
    <w:rsid w:val="00574C11"/>
    <w:rsid w:val="0057644A"/>
    <w:rsid w:val="00591560"/>
    <w:rsid w:val="005B123B"/>
    <w:rsid w:val="005B443B"/>
    <w:rsid w:val="005D4081"/>
    <w:rsid w:val="005E4AEA"/>
    <w:rsid w:val="005F7DA6"/>
    <w:rsid w:val="00615A82"/>
    <w:rsid w:val="006174B9"/>
    <w:rsid w:val="0062103A"/>
    <w:rsid w:val="0064569A"/>
    <w:rsid w:val="00662CE9"/>
    <w:rsid w:val="0067215A"/>
    <w:rsid w:val="006722E3"/>
    <w:rsid w:val="006972BE"/>
    <w:rsid w:val="006B2DFB"/>
    <w:rsid w:val="006C234B"/>
    <w:rsid w:val="006E5787"/>
    <w:rsid w:val="006E7782"/>
    <w:rsid w:val="006F492C"/>
    <w:rsid w:val="00705AAB"/>
    <w:rsid w:val="00724868"/>
    <w:rsid w:val="00726567"/>
    <w:rsid w:val="0074115F"/>
    <w:rsid w:val="0074319A"/>
    <w:rsid w:val="007575A6"/>
    <w:rsid w:val="00767CD4"/>
    <w:rsid w:val="007756B4"/>
    <w:rsid w:val="00777F8A"/>
    <w:rsid w:val="007B5746"/>
    <w:rsid w:val="007C2209"/>
    <w:rsid w:val="007C53D0"/>
    <w:rsid w:val="007C6FA0"/>
    <w:rsid w:val="007E69D7"/>
    <w:rsid w:val="007F1E4C"/>
    <w:rsid w:val="00802930"/>
    <w:rsid w:val="00822E68"/>
    <w:rsid w:val="008430F4"/>
    <w:rsid w:val="00881BBD"/>
    <w:rsid w:val="0088443B"/>
    <w:rsid w:val="0088536F"/>
    <w:rsid w:val="00887243"/>
    <w:rsid w:val="008B39AB"/>
    <w:rsid w:val="008C4892"/>
    <w:rsid w:val="008D09F7"/>
    <w:rsid w:val="008D560C"/>
    <w:rsid w:val="008D6C95"/>
    <w:rsid w:val="008F585C"/>
    <w:rsid w:val="00921CF2"/>
    <w:rsid w:val="00944F1F"/>
    <w:rsid w:val="00972FE6"/>
    <w:rsid w:val="009753A3"/>
    <w:rsid w:val="0099273F"/>
    <w:rsid w:val="009936E2"/>
    <w:rsid w:val="009A05B3"/>
    <w:rsid w:val="009A2493"/>
    <w:rsid w:val="009A6E0D"/>
    <w:rsid w:val="009B0D83"/>
    <w:rsid w:val="009C6B2D"/>
    <w:rsid w:val="009D0595"/>
    <w:rsid w:val="009D0C53"/>
    <w:rsid w:val="00A3010C"/>
    <w:rsid w:val="00A34E38"/>
    <w:rsid w:val="00A37947"/>
    <w:rsid w:val="00A410EF"/>
    <w:rsid w:val="00A57775"/>
    <w:rsid w:val="00A63814"/>
    <w:rsid w:val="00A675BC"/>
    <w:rsid w:val="00A90E9F"/>
    <w:rsid w:val="00A9454E"/>
    <w:rsid w:val="00AB6B2E"/>
    <w:rsid w:val="00AF0E30"/>
    <w:rsid w:val="00B0199B"/>
    <w:rsid w:val="00B0728D"/>
    <w:rsid w:val="00B135DF"/>
    <w:rsid w:val="00B142E2"/>
    <w:rsid w:val="00B20DFA"/>
    <w:rsid w:val="00B23985"/>
    <w:rsid w:val="00B3054D"/>
    <w:rsid w:val="00B37681"/>
    <w:rsid w:val="00B66BB2"/>
    <w:rsid w:val="00B82022"/>
    <w:rsid w:val="00BA7471"/>
    <w:rsid w:val="00BC2179"/>
    <w:rsid w:val="00BD2374"/>
    <w:rsid w:val="00BD2BBF"/>
    <w:rsid w:val="00BF0B52"/>
    <w:rsid w:val="00C0320C"/>
    <w:rsid w:val="00C10D57"/>
    <w:rsid w:val="00C35730"/>
    <w:rsid w:val="00C44D48"/>
    <w:rsid w:val="00C61D85"/>
    <w:rsid w:val="00C660AD"/>
    <w:rsid w:val="00C70398"/>
    <w:rsid w:val="00CB2DBF"/>
    <w:rsid w:val="00CB5944"/>
    <w:rsid w:val="00CB72F9"/>
    <w:rsid w:val="00CE21F8"/>
    <w:rsid w:val="00CF6ED4"/>
    <w:rsid w:val="00CF7A97"/>
    <w:rsid w:val="00D06704"/>
    <w:rsid w:val="00D17F79"/>
    <w:rsid w:val="00D25575"/>
    <w:rsid w:val="00D33B90"/>
    <w:rsid w:val="00D80C9C"/>
    <w:rsid w:val="00D841A6"/>
    <w:rsid w:val="00DA6AF0"/>
    <w:rsid w:val="00DF2ECD"/>
    <w:rsid w:val="00DF4527"/>
    <w:rsid w:val="00DF58E7"/>
    <w:rsid w:val="00E05DCB"/>
    <w:rsid w:val="00E65C89"/>
    <w:rsid w:val="00E80664"/>
    <w:rsid w:val="00EA4AB1"/>
    <w:rsid w:val="00EB0B5D"/>
    <w:rsid w:val="00EB4E8B"/>
    <w:rsid w:val="00EE7E41"/>
    <w:rsid w:val="00EF5063"/>
    <w:rsid w:val="00EF664D"/>
    <w:rsid w:val="00F00458"/>
    <w:rsid w:val="00F15832"/>
    <w:rsid w:val="00F26242"/>
    <w:rsid w:val="00F26B11"/>
    <w:rsid w:val="00F3088A"/>
    <w:rsid w:val="00F40A4F"/>
    <w:rsid w:val="00F42A24"/>
    <w:rsid w:val="00F47376"/>
    <w:rsid w:val="00F53C35"/>
    <w:rsid w:val="00F54180"/>
    <w:rsid w:val="00F65B1A"/>
    <w:rsid w:val="00F727FF"/>
    <w:rsid w:val="00FA0039"/>
    <w:rsid w:val="00FA61CE"/>
    <w:rsid w:val="00FC0280"/>
    <w:rsid w:val="00FC5B46"/>
    <w:rsid w:val="00FD4283"/>
    <w:rsid w:val="00FE39A4"/>
    <w:rsid w:val="00FF31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9F7"/>
  <w15:chartTrackingRefBased/>
  <w15:docId w15:val="{93B21FEE-3A9F-44A9-A3D0-188F8363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A18"/>
    <w:pPr>
      <w:spacing w:after="0" w:line="240" w:lineRule="auto"/>
    </w:pPr>
    <w:rPr>
      <w:rFonts w:ascii="Times New Roman" w:eastAsia="Times New Roman" w:hAnsi="Times New Roman" w:cs="Times New Roman"/>
      <w:kern w:val="0"/>
      <w:sz w:val="28"/>
      <w:szCs w:val="20"/>
      <w:lang w:eastAsia="pl-PL"/>
      <w14:ligatures w14:val="none"/>
    </w:rPr>
  </w:style>
  <w:style w:type="paragraph" w:styleId="Nagwek1">
    <w:name w:val="heading 1"/>
    <w:basedOn w:val="Normalny"/>
    <w:next w:val="Normalny"/>
    <w:link w:val="Nagwek1Znak"/>
    <w:uiPriority w:val="9"/>
    <w:qFormat/>
    <w:rsid w:val="00050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50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50B75"/>
    <w:pPr>
      <w:keepNext/>
      <w:keepLines/>
      <w:spacing w:before="160" w:after="80"/>
      <w:outlineLvl w:val="2"/>
    </w:pPr>
    <w:rPr>
      <w:rFonts w:eastAsiaTheme="majorEastAsia" w:cstheme="majorBidi"/>
      <w:color w:val="0F4761" w:themeColor="accent1" w:themeShade="BF"/>
      <w:szCs w:val="28"/>
    </w:rPr>
  </w:style>
  <w:style w:type="paragraph" w:styleId="Nagwek4">
    <w:name w:val="heading 4"/>
    <w:basedOn w:val="Normalny"/>
    <w:next w:val="Normalny"/>
    <w:link w:val="Nagwek4Znak"/>
    <w:uiPriority w:val="9"/>
    <w:semiHidden/>
    <w:unhideWhenUsed/>
    <w:qFormat/>
    <w:rsid w:val="00050B7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50B7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50B7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0B7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0B7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0B7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0B7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50B7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50B7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50B7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50B7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50B7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0B7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0B7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0B75"/>
    <w:rPr>
      <w:rFonts w:eastAsiaTheme="majorEastAsia" w:cstheme="majorBidi"/>
      <w:color w:val="272727" w:themeColor="text1" w:themeTint="D8"/>
    </w:rPr>
  </w:style>
  <w:style w:type="paragraph" w:styleId="Tytu">
    <w:name w:val="Title"/>
    <w:basedOn w:val="Normalny"/>
    <w:next w:val="Normalny"/>
    <w:link w:val="TytuZnak"/>
    <w:uiPriority w:val="10"/>
    <w:qFormat/>
    <w:rsid w:val="00050B7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B7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0B75"/>
    <w:pPr>
      <w:numPr>
        <w:ilvl w:val="1"/>
      </w:numPr>
    </w:pPr>
    <w:rPr>
      <w:rFonts w:eastAsiaTheme="majorEastAsia" w:cstheme="majorBidi"/>
      <w:color w:val="595959" w:themeColor="text1" w:themeTint="A6"/>
      <w:spacing w:val="15"/>
      <w:szCs w:val="28"/>
    </w:rPr>
  </w:style>
  <w:style w:type="character" w:customStyle="1" w:styleId="PodtytuZnak">
    <w:name w:val="Podtytuł Znak"/>
    <w:basedOn w:val="Domylnaczcionkaakapitu"/>
    <w:link w:val="Podtytu"/>
    <w:uiPriority w:val="11"/>
    <w:rsid w:val="00050B7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0B75"/>
    <w:pPr>
      <w:spacing w:before="160"/>
      <w:jc w:val="center"/>
    </w:pPr>
    <w:rPr>
      <w:i/>
      <w:iCs/>
      <w:color w:val="404040" w:themeColor="text1" w:themeTint="BF"/>
    </w:rPr>
  </w:style>
  <w:style w:type="character" w:customStyle="1" w:styleId="CytatZnak">
    <w:name w:val="Cytat Znak"/>
    <w:basedOn w:val="Domylnaczcionkaakapitu"/>
    <w:link w:val="Cytat"/>
    <w:uiPriority w:val="29"/>
    <w:rsid w:val="00050B75"/>
    <w:rPr>
      <w:i/>
      <w:iCs/>
      <w:color w:val="404040" w:themeColor="text1" w:themeTint="BF"/>
    </w:rPr>
  </w:style>
  <w:style w:type="paragraph" w:styleId="Akapitzlist">
    <w:name w:val="List Paragraph"/>
    <w:basedOn w:val="Normalny"/>
    <w:uiPriority w:val="34"/>
    <w:qFormat/>
    <w:rsid w:val="00050B75"/>
    <w:pPr>
      <w:ind w:left="720"/>
      <w:contextualSpacing/>
    </w:pPr>
  </w:style>
  <w:style w:type="character" w:styleId="Wyrnienieintensywne">
    <w:name w:val="Intense Emphasis"/>
    <w:basedOn w:val="Domylnaczcionkaakapitu"/>
    <w:uiPriority w:val="21"/>
    <w:qFormat/>
    <w:rsid w:val="00050B75"/>
    <w:rPr>
      <w:i/>
      <w:iCs/>
      <w:color w:val="0F4761" w:themeColor="accent1" w:themeShade="BF"/>
    </w:rPr>
  </w:style>
  <w:style w:type="paragraph" w:styleId="Cytatintensywny">
    <w:name w:val="Intense Quote"/>
    <w:basedOn w:val="Normalny"/>
    <w:next w:val="Normalny"/>
    <w:link w:val="CytatintensywnyZnak"/>
    <w:uiPriority w:val="30"/>
    <w:qFormat/>
    <w:rsid w:val="0005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50B75"/>
    <w:rPr>
      <w:i/>
      <w:iCs/>
      <w:color w:val="0F4761" w:themeColor="accent1" w:themeShade="BF"/>
    </w:rPr>
  </w:style>
  <w:style w:type="character" w:styleId="Odwoanieintensywne">
    <w:name w:val="Intense Reference"/>
    <w:basedOn w:val="Domylnaczcionkaakapitu"/>
    <w:uiPriority w:val="32"/>
    <w:qFormat/>
    <w:rsid w:val="00050B75"/>
    <w:rPr>
      <w:b/>
      <w:bCs/>
      <w:smallCaps/>
      <w:color w:val="0F4761" w:themeColor="accent1" w:themeShade="BF"/>
      <w:spacing w:val="5"/>
    </w:rPr>
  </w:style>
  <w:style w:type="paragraph" w:styleId="Bezodstpw">
    <w:name w:val="No Spacing"/>
    <w:uiPriority w:val="1"/>
    <w:qFormat/>
    <w:rsid w:val="00DF4527"/>
    <w:pPr>
      <w:spacing w:after="0" w:line="240" w:lineRule="auto"/>
    </w:pPr>
  </w:style>
  <w:style w:type="table" w:styleId="Tabela-Siatka">
    <w:name w:val="Table Grid"/>
    <w:basedOn w:val="Standardowy"/>
    <w:uiPriority w:val="39"/>
    <w:rsid w:val="00DF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021A18"/>
    <w:rPr>
      <w:sz w:val="20"/>
    </w:rPr>
  </w:style>
  <w:style w:type="character" w:customStyle="1" w:styleId="TekstkomentarzaZnak">
    <w:name w:val="Tekst komentarza Znak"/>
    <w:basedOn w:val="Domylnaczcionkaakapitu"/>
    <w:link w:val="Tekstkomentarza"/>
    <w:uiPriority w:val="99"/>
    <w:rsid w:val="00021A1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021A18"/>
    <w:rPr>
      <w:b/>
      <w:bCs/>
    </w:rPr>
  </w:style>
  <w:style w:type="character" w:customStyle="1" w:styleId="TematkomentarzaZnak">
    <w:name w:val="Temat komentarza Znak"/>
    <w:basedOn w:val="TekstkomentarzaZnak"/>
    <w:link w:val="Tematkomentarza"/>
    <w:rsid w:val="00021A18"/>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A9454E"/>
    <w:pPr>
      <w:spacing w:after="0" w:line="240" w:lineRule="auto"/>
    </w:pPr>
    <w:rPr>
      <w:rFonts w:ascii="Times New Roman" w:eastAsia="Times New Roman" w:hAnsi="Times New Roman" w:cs="Times New Roman"/>
      <w:kern w:val="0"/>
      <w:sz w:val="28"/>
      <w:szCs w:val="20"/>
      <w:lang w:eastAsia="pl-PL"/>
      <w14:ligatures w14:val="none"/>
    </w:rPr>
  </w:style>
  <w:style w:type="character" w:styleId="Odwoaniedokomentarza">
    <w:name w:val="annotation reference"/>
    <w:basedOn w:val="Domylnaczcionkaakapitu"/>
    <w:uiPriority w:val="99"/>
    <w:semiHidden/>
    <w:unhideWhenUsed/>
    <w:rsid w:val="003559AF"/>
    <w:rPr>
      <w:sz w:val="16"/>
      <w:szCs w:val="16"/>
    </w:rPr>
  </w:style>
  <w:style w:type="paragraph" w:styleId="Nagwek">
    <w:name w:val="header"/>
    <w:basedOn w:val="Normalny"/>
    <w:link w:val="NagwekZnak"/>
    <w:uiPriority w:val="99"/>
    <w:unhideWhenUsed/>
    <w:rsid w:val="00D841A6"/>
    <w:pPr>
      <w:tabs>
        <w:tab w:val="center" w:pos="4536"/>
        <w:tab w:val="right" w:pos="9072"/>
      </w:tabs>
    </w:pPr>
  </w:style>
  <w:style w:type="character" w:customStyle="1" w:styleId="NagwekZnak">
    <w:name w:val="Nagłówek Znak"/>
    <w:basedOn w:val="Domylnaczcionkaakapitu"/>
    <w:link w:val="Nagwek"/>
    <w:uiPriority w:val="99"/>
    <w:rsid w:val="00D841A6"/>
    <w:rPr>
      <w:rFonts w:ascii="Times New Roman" w:eastAsia="Times New Roman" w:hAnsi="Times New Roman" w:cs="Times New Roman"/>
      <w:kern w:val="0"/>
      <w:sz w:val="28"/>
      <w:szCs w:val="20"/>
      <w:lang w:eastAsia="pl-PL"/>
      <w14:ligatures w14:val="none"/>
    </w:rPr>
  </w:style>
  <w:style w:type="paragraph" w:styleId="Stopka">
    <w:name w:val="footer"/>
    <w:basedOn w:val="Normalny"/>
    <w:link w:val="StopkaZnak"/>
    <w:uiPriority w:val="99"/>
    <w:unhideWhenUsed/>
    <w:rsid w:val="00D841A6"/>
    <w:pPr>
      <w:tabs>
        <w:tab w:val="center" w:pos="4536"/>
        <w:tab w:val="right" w:pos="9072"/>
      </w:tabs>
    </w:pPr>
  </w:style>
  <w:style w:type="character" w:customStyle="1" w:styleId="StopkaZnak">
    <w:name w:val="Stopka Znak"/>
    <w:basedOn w:val="Domylnaczcionkaakapitu"/>
    <w:link w:val="Stopka"/>
    <w:uiPriority w:val="99"/>
    <w:rsid w:val="00D841A6"/>
    <w:rPr>
      <w:rFonts w:ascii="Times New Roman" w:eastAsia="Times New Roman" w:hAnsi="Times New Roman" w:cs="Times New Roman"/>
      <w:kern w:val="0"/>
      <w:sz w:val="28"/>
      <w:szCs w:val="20"/>
      <w:lang w:eastAsia="pl-PL"/>
      <w14:ligatures w14:val="none"/>
    </w:rPr>
  </w:style>
  <w:style w:type="paragraph" w:styleId="Tekstprzypisudolnego">
    <w:name w:val="footnote text"/>
    <w:basedOn w:val="Normalny"/>
    <w:link w:val="TekstprzypisudolnegoZnak"/>
    <w:uiPriority w:val="99"/>
    <w:semiHidden/>
    <w:unhideWhenUsed/>
    <w:rsid w:val="00574C11"/>
    <w:rPr>
      <w:sz w:val="20"/>
    </w:rPr>
  </w:style>
  <w:style w:type="character" w:customStyle="1" w:styleId="TekstprzypisudolnegoZnak">
    <w:name w:val="Tekst przypisu dolnego Znak"/>
    <w:basedOn w:val="Domylnaczcionkaakapitu"/>
    <w:link w:val="Tekstprzypisudolnego"/>
    <w:uiPriority w:val="99"/>
    <w:semiHidden/>
    <w:rsid w:val="00574C11"/>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574C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808063">
      <w:bodyDiv w:val="1"/>
      <w:marLeft w:val="0"/>
      <w:marRight w:val="0"/>
      <w:marTop w:val="0"/>
      <w:marBottom w:val="0"/>
      <w:divBdr>
        <w:top w:val="none" w:sz="0" w:space="0" w:color="auto"/>
        <w:left w:val="none" w:sz="0" w:space="0" w:color="auto"/>
        <w:bottom w:val="none" w:sz="0" w:space="0" w:color="auto"/>
        <w:right w:val="none" w:sz="0" w:space="0" w:color="auto"/>
      </w:divBdr>
    </w:div>
    <w:div w:id="1414350697">
      <w:bodyDiv w:val="1"/>
      <w:marLeft w:val="0"/>
      <w:marRight w:val="0"/>
      <w:marTop w:val="0"/>
      <w:marBottom w:val="0"/>
      <w:divBdr>
        <w:top w:val="none" w:sz="0" w:space="0" w:color="auto"/>
        <w:left w:val="none" w:sz="0" w:space="0" w:color="auto"/>
        <w:bottom w:val="none" w:sz="0" w:space="0" w:color="auto"/>
        <w:right w:val="none" w:sz="0" w:space="0" w:color="auto"/>
      </w:divBdr>
    </w:div>
    <w:div w:id="1526137988">
      <w:bodyDiv w:val="1"/>
      <w:marLeft w:val="0"/>
      <w:marRight w:val="0"/>
      <w:marTop w:val="0"/>
      <w:marBottom w:val="0"/>
      <w:divBdr>
        <w:top w:val="none" w:sz="0" w:space="0" w:color="auto"/>
        <w:left w:val="none" w:sz="0" w:space="0" w:color="auto"/>
        <w:bottom w:val="none" w:sz="0" w:space="0" w:color="auto"/>
        <w:right w:val="none" w:sz="0" w:space="0" w:color="auto"/>
      </w:divBdr>
    </w:div>
    <w:div w:id="1654605761">
      <w:bodyDiv w:val="1"/>
      <w:marLeft w:val="0"/>
      <w:marRight w:val="0"/>
      <w:marTop w:val="0"/>
      <w:marBottom w:val="0"/>
      <w:divBdr>
        <w:top w:val="none" w:sz="0" w:space="0" w:color="auto"/>
        <w:left w:val="none" w:sz="0" w:space="0" w:color="auto"/>
        <w:bottom w:val="none" w:sz="0" w:space="0" w:color="auto"/>
        <w:right w:val="none" w:sz="0" w:space="0" w:color="auto"/>
      </w:divBdr>
    </w:div>
    <w:div w:id="1806506158">
      <w:bodyDiv w:val="1"/>
      <w:marLeft w:val="0"/>
      <w:marRight w:val="0"/>
      <w:marTop w:val="0"/>
      <w:marBottom w:val="0"/>
      <w:divBdr>
        <w:top w:val="none" w:sz="0" w:space="0" w:color="auto"/>
        <w:left w:val="none" w:sz="0" w:space="0" w:color="auto"/>
        <w:bottom w:val="none" w:sz="0" w:space="0" w:color="auto"/>
        <w:right w:val="none" w:sz="0" w:space="0" w:color="auto"/>
      </w:divBdr>
    </w:div>
    <w:div w:id="1819490615">
      <w:bodyDiv w:val="1"/>
      <w:marLeft w:val="0"/>
      <w:marRight w:val="0"/>
      <w:marTop w:val="0"/>
      <w:marBottom w:val="0"/>
      <w:divBdr>
        <w:top w:val="none" w:sz="0" w:space="0" w:color="auto"/>
        <w:left w:val="none" w:sz="0" w:space="0" w:color="auto"/>
        <w:bottom w:val="none" w:sz="0" w:space="0" w:color="auto"/>
        <w:right w:val="none" w:sz="0" w:space="0" w:color="auto"/>
      </w:divBdr>
    </w:div>
    <w:div w:id="2029139036">
      <w:bodyDiv w:val="1"/>
      <w:marLeft w:val="0"/>
      <w:marRight w:val="0"/>
      <w:marTop w:val="0"/>
      <w:marBottom w:val="0"/>
      <w:divBdr>
        <w:top w:val="none" w:sz="0" w:space="0" w:color="auto"/>
        <w:left w:val="none" w:sz="0" w:space="0" w:color="auto"/>
        <w:bottom w:val="none" w:sz="0" w:space="0" w:color="auto"/>
        <w:right w:val="none" w:sz="0" w:space="0" w:color="auto"/>
      </w:divBdr>
    </w:div>
    <w:div w:id="21276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79E0C-216C-4DB3-B615-09A73CE3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2761</Words>
  <Characters>16569</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Muszyński Marcin</dc:creator>
  <cp:keywords/>
  <dc:description/>
  <cp:lastModifiedBy>DP WL</cp:lastModifiedBy>
  <cp:revision>2</cp:revision>
  <dcterms:created xsi:type="dcterms:W3CDTF">2026-06-16T10:37:00Z</dcterms:created>
  <dcterms:modified xsi:type="dcterms:W3CDTF">2026-06-16T10:37:00Z</dcterms:modified>
</cp:coreProperties>
</file>