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6BC" w:rsidRPr="00B456BC" w:rsidRDefault="00B456BC" w:rsidP="00432C5A">
      <w:pPr>
        <w:spacing w:after="0" w:line="240" w:lineRule="auto"/>
        <w:rPr>
          <w:rFonts w:asciiTheme="minorHAnsi" w:hAnsiTheme="minorHAnsi" w:cstheme="minorHAnsi"/>
          <w:sz w:val="20"/>
        </w:rPr>
      </w:pPr>
      <w:r w:rsidRPr="00B456BC">
        <w:rPr>
          <w:rFonts w:asciiTheme="minorHAnsi" w:hAnsiTheme="minorHAnsi" w:cstheme="minorHAnsi"/>
          <w:sz w:val="20"/>
        </w:rPr>
        <w:t>GENERALNY DYREKTOR OCHRONY ŚRODOWISKA</w:t>
      </w:r>
    </w:p>
    <w:p w:rsidR="00B456BC" w:rsidRPr="00B456BC" w:rsidRDefault="00CF7D59" w:rsidP="00432C5A">
      <w:pPr>
        <w:spacing w:after="0" w:line="240" w:lineRule="auto"/>
        <w:rPr>
          <w:rFonts w:asciiTheme="minorHAnsi" w:hAnsiTheme="minorHAnsi" w:cstheme="minorHAnsi"/>
          <w:sz w:val="20"/>
        </w:rPr>
      </w:pPr>
      <w:r w:rsidRPr="00B456BC">
        <w:rPr>
          <w:rFonts w:asciiTheme="minorHAnsi" w:hAnsiTheme="minorHAnsi" w:cstheme="minorHAnsi"/>
          <w:sz w:val="20"/>
        </w:rPr>
        <w:t xml:space="preserve">Warszawa, </w:t>
      </w:r>
      <w:r w:rsidR="00B456BC">
        <w:rPr>
          <w:rFonts w:asciiTheme="minorHAnsi" w:hAnsiTheme="minorHAnsi" w:cstheme="minorHAnsi"/>
          <w:sz w:val="20"/>
        </w:rPr>
        <w:t>10 września 2025 r.</w:t>
      </w:r>
    </w:p>
    <w:p w:rsidR="00B456BC" w:rsidRPr="00B456BC" w:rsidRDefault="00CF7D59" w:rsidP="00432C5A">
      <w:pPr>
        <w:spacing w:after="0" w:line="240" w:lineRule="auto"/>
        <w:rPr>
          <w:rFonts w:asciiTheme="minorHAnsi" w:hAnsiTheme="minorHAnsi" w:cstheme="minorHAnsi"/>
          <w:sz w:val="20"/>
        </w:rPr>
      </w:pPr>
      <w:bookmarkStart w:id="0" w:name="ezdSprawaZnak"/>
      <w:r w:rsidRPr="00B456BC">
        <w:rPr>
          <w:rFonts w:asciiTheme="minorHAnsi" w:hAnsiTheme="minorHAnsi" w:cstheme="minorHAnsi"/>
          <w:sz w:val="20"/>
        </w:rPr>
        <w:t>DOOŚ-WDŚIII.420.1.2023</w:t>
      </w:r>
      <w:bookmarkEnd w:id="0"/>
      <w:r w:rsidRPr="00B456BC">
        <w:rPr>
          <w:rFonts w:asciiTheme="minorHAnsi" w:hAnsiTheme="minorHAnsi" w:cstheme="minorHAnsi"/>
          <w:sz w:val="20"/>
        </w:rPr>
        <w:t>.</w:t>
      </w:r>
      <w:r w:rsidR="0004440C" w:rsidRPr="00B456BC">
        <w:rPr>
          <w:rFonts w:asciiTheme="minorHAnsi" w:hAnsiTheme="minorHAnsi" w:cstheme="minorHAnsi"/>
          <w:sz w:val="20"/>
        </w:rPr>
        <w:t>DL/AKu.31</w:t>
      </w:r>
    </w:p>
    <w:p w:rsidR="0004440C" w:rsidRPr="00B456BC" w:rsidRDefault="0004440C" w:rsidP="00432C5A">
      <w:pPr>
        <w:spacing w:after="0" w:line="240" w:lineRule="auto"/>
        <w:rPr>
          <w:rFonts w:asciiTheme="minorHAnsi" w:hAnsiTheme="minorHAnsi" w:cstheme="minorHAnsi"/>
          <w:bCs/>
        </w:rPr>
      </w:pPr>
      <w:r w:rsidRPr="00B456BC">
        <w:rPr>
          <w:rFonts w:asciiTheme="minorHAnsi" w:hAnsiTheme="minorHAnsi" w:cstheme="minorHAnsi"/>
          <w:bCs/>
        </w:rPr>
        <w:t>DECYZJA</w:t>
      </w:r>
    </w:p>
    <w:p w:rsidR="0004440C" w:rsidRPr="00B456BC" w:rsidRDefault="0004440C" w:rsidP="00432C5A">
      <w:pPr>
        <w:pStyle w:val="Podtytu"/>
        <w:spacing w:after="0" w:line="240" w:lineRule="auto"/>
        <w:ind w:firstLine="0"/>
        <w:rPr>
          <w:rFonts w:asciiTheme="minorHAnsi" w:hAnsiTheme="minorHAnsi" w:cstheme="minorHAnsi"/>
          <w:b w:val="0"/>
          <w:bCs/>
          <w:sz w:val="22"/>
          <w:szCs w:val="22"/>
          <w:lang w:bidi="pl-PL"/>
        </w:rPr>
      </w:pPr>
      <w:r w:rsidRPr="00B456BC">
        <w:rPr>
          <w:rStyle w:val="Uwydatnienie"/>
          <w:rFonts w:asciiTheme="minorHAnsi" w:hAnsiTheme="minorHAnsi" w:cstheme="minorHAnsi"/>
          <w:b w:val="0"/>
          <w:color w:val="auto"/>
          <w:sz w:val="22"/>
          <w:szCs w:val="22"/>
        </w:rPr>
        <w:t>Generalny Dyrektor Ochrony Środowiska, na podstawie art. 138 § 1 pkt 1 i 2 oraz 127 § 2 ustawy z dnia 14 czerwca 1960 r. – Kodeks postępowania administracyjnego (Dz. U. z 2024 r. poz. 572, ze zm.), dalej k.p.</w:t>
      </w:r>
      <w:r w:rsidRPr="00B456BC">
        <w:rPr>
          <w:rStyle w:val="Uwydatnienie"/>
          <w:rFonts w:asciiTheme="minorHAnsi" w:hAnsiTheme="minorHAnsi" w:cstheme="minorHAnsi"/>
          <w:b w:val="0"/>
          <w:iCs/>
          <w:color w:val="auto"/>
          <w:sz w:val="22"/>
          <w:szCs w:val="22"/>
        </w:rPr>
        <w:t>a.</w:t>
      </w:r>
      <w:r w:rsidRPr="00B456BC">
        <w:rPr>
          <w:rStyle w:val="Uwydatnienie"/>
          <w:rFonts w:asciiTheme="minorHAnsi" w:hAnsiTheme="minorHAnsi" w:cstheme="minorHAnsi"/>
          <w:b w:val="0"/>
          <w:color w:val="auto"/>
          <w:sz w:val="22"/>
          <w:szCs w:val="22"/>
        </w:rPr>
        <w:t xml:space="preserve">, w związku z art. 127 ust. 3 ustawy z dnia 3 października 2008 r. o udostępnianiu informacji o środowisku i jego ochronie, udziale społeczeństwa w ochronie środowiska oraz o ocenach oddziaływania na środowisko (Dz. U. z 2024 r. poz. 1112, ze zm.), dalej </w:t>
      </w:r>
      <w:proofErr w:type="spellStart"/>
      <w:r w:rsidRPr="00B456BC">
        <w:rPr>
          <w:rStyle w:val="Uwydatnienie"/>
          <w:rFonts w:asciiTheme="minorHAnsi" w:hAnsiTheme="minorHAnsi" w:cstheme="minorHAnsi"/>
          <w:b w:val="0"/>
          <w:iCs/>
          <w:color w:val="auto"/>
          <w:sz w:val="22"/>
          <w:szCs w:val="22"/>
        </w:rPr>
        <w:t>u.o.o.ś</w:t>
      </w:r>
      <w:proofErr w:type="spellEnd"/>
      <w:r w:rsidRPr="00B456BC">
        <w:rPr>
          <w:rStyle w:val="Uwydatnienie"/>
          <w:rFonts w:asciiTheme="minorHAnsi" w:hAnsiTheme="minorHAnsi" w:cstheme="minorHAnsi"/>
          <w:b w:val="0"/>
          <w:iCs/>
          <w:color w:val="auto"/>
          <w:sz w:val="22"/>
          <w:szCs w:val="22"/>
        </w:rPr>
        <w:t>.</w:t>
      </w:r>
      <w:r w:rsidRPr="00B456BC">
        <w:rPr>
          <w:rStyle w:val="Uwydatnienie"/>
          <w:rFonts w:asciiTheme="minorHAnsi" w:hAnsiTheme="minorHAnsi" w:cstheme="minorHAnsi"/>
          <w:b w:val="0"/>
          <w:color w:val="auto"/>
          <w:sz w:val="22"/>
          <w:szCs w:val="22"/>
        </w:rPr>
        <w:t>, po rozpatrzeniu odwołań wniesionych przez</w:t>
      </w:r>
      <w:r w:rsidR="002B01B9">
        <w:rPr>
          <w:rStyle w:val="Uwydatnienie"/>
          <w:rFonts w:asciiTheme="minorHAnsi" w:hAnsiTheme="minorHAnsi" w:cstheme="minorHAnsi"/>
          <w:b w:val="0"/>
          <w:color w:val="auto"/>
          <w:sz w:val="22"/>
          <w:szCs w:val="22"/>
        </w:rPr>
        <w:t xml:space="preserve">: (…) </w:t>
      </w:r>
      <w:r w:rsidRPr="00B456BC">
        <w:rPr>
          <w:rStyle w:val="Uwydatnienie"/>
          <w:rFonts w:asciiTheme="minorHAnsi" w:hAnsiTheme="minorHAnsi" w:cstheme="minorHAnsi"/>
          <w:b w:val="0"/>
          <w:color w:val="auto"/>
          <w:sz w:val="22"/>
          <w:szCs w:val="22"/>
        </w:rPr>
        <w:t xml:space="preserve">, </w:t>
      </w:r>
      <w:r w:rsidR="002B01B9">
        <w:rPr>
          <w:rStyle w:val="Uwydatnienie"/>
          <w:rFonts w:asciiTheme="minorHAnsi" w:hAnsiTheme="minorHAnsi" w:cstheme="minorHAnsi"/>
          <w:b w:val="0"/>
          <w:color w:val="auto"/>
          <w:sz w:val="22"/>
          <w:szCs w:val="22"/>
        </w:rPr>
        <w:t>(…)</w:t>
      </w:r>
      <w:r w:rsidRPr="00B456BC">
        <w:rPr>
          <w:rStyle w:val="Uwydatnienie"/>
          <w:rFonts w:asciiTheme="minorHAnsi" w:hAnsiTheme="minorHAnsi" w:cstheme="minorHAnsi"/>
          <w:b w:val="0"/>
          <w:color w:val="auto"/>
          <w:sz w:val="22"/>
          <w:szCs w:val="22"/>
        </w:rPr>
        <w:t xml:space="preserve">, </w:t>
      </w:r>
      <w:r w:rsidR="002B01B9">
        <w:rPr>
          <w:rStyle w:val="Uwydatnienie"/>
          <w:rFonts w:asciiTheme="minorHAnsi" w:hAnsiTheme="minorHAnsi" w:cstheme="minorHAnsi"/>
          <w:b w:val="0"/>
          <w:color w:val="auto"/>
          <w:sz w:val="22"/>
          <w:szCs w:val="22"/>
        </w:rPr>
        <w:t>(…)</w:t>
      </w:r>
      <w:r w:rsidRPr="00B456BC">
        <w:rPr>
          <w:rStyle w:val="Uwydatnienie"/>
          <w:rFonts w:asciiTheme="minorHAnsi" w:hAnsiTheme="minorHAnsi" w:cstheme="minorHAnsi"/>
          <w:b w:val="0"/>
          <w:color w:val="auto"/>
          <w:sz w:val="22"/>
          <w:szCs w:val="22"/>
        </w:rPr>
        <w:t xml:space="preserve">, </w:t>
      </w:r>
      <w:r w:rsidR="002B01B9">
        <w:rPr>
          <w:rStyle w:val="Uwydatnienie"/>
          <w:rFonts w:asciiTheme="minorHAnsi" w:hAnsiTheme="minorHAnsi" w:cstheme="minorHAnsi"/>
          <w:b w:val="0"/>
          <w:color w:val="auto"/>
          <w:sz w:val="22"/>
          <w:szCs w:val="22"/>
        </w:rPr>
        <w:t>(…)</w:t>
      </w:r>
      <w:r w:rsidRPr="00B456BC">
        <w:rPr>
          <w:rStyle w:val="Uwydatnienie"/>
          <w:rFonts w:asciiTheme="minorHAnsi" w:hAnsiTheme="minorHAnsi" w:cstheme="minorHAnsi"/>
          <w:b w:val="0"/>
          <w:color w:val="auto"/>
          <w:sz w:val="22"/>
          <w:szCs w:val="22"/>
        </w:rPr>
        <w:t xml:space="preserve">2 sierpnia 2023 r. </w:t>
      </w:r>
      <w:r w:rsidR="002B01B9">
        <w:rPr>
          <w:rStyle w:val="Uwydatnienie"/>
          <w:rFonts w:asciiTheme="minorHAnsi" w:hAnsiTheme="minorHAnsi" w:cstheme="minorHAnsi"/>
          <w:b w:val="0"/>
          <w:color w:val="auto"/>
          <w:sz w:val="22"/>
          <w:szCs w:val="22"/>
        </w:rPr>
        <w:t>(…)</w:t>
      </w:r>
      <w:r w:rsidRPr="00B456BC">
        <w:rPr>
          <w:rStyle w:val="Uwydatnienie"/>
          <w:rFonts w:asciiTheme="minorHAnsi" w:hAnsiTheme="minorHAnsi" w:cstheme="minorHAnsi"/>
          <w:b w:val="0"/>
          <w:color w:val="auto"/>
          <w:sz w:val="22"/>
          <w:szCs w:val="22"/>
        </w:rPr>
        <w:t xml:space="preserve"> 3 sierpnia 2023 r. od decyzji </w:t>
      </w:r>
      <w:r w:rsidRPr="00B456BC">
        <w:rPr>
          <w:rFonts w:asciiTheme="minorHAnsi" w:hAnsiTheme="minorHAnsi" w:cstheme="minorHAnsi"/>
          <w:b w:val="0"/>
          <w:bCs/>
          <w:sz w:val="22"/>
          <w:szCs w:val="22"/>
          <w:lang w:bidi="pl-PL"/>
        </w:rPr>
        <w:t xml:space="preserve">Regionalnego Dyrektora Ochrony Środowiska w Katowicach z 30 czerwca 2023 r., znak: WOOŚ.420.23.2023.AS3.14, o środowiskowych uwarunkowaniach dla przedsięwzięcia pn.: „Prace na podstawowych ciągach pasażerskich (E30 i E65) na obszarze Śląska, etap I: linia E65 na odc. Będzin – Katowice – Tychy – Czechowice Dziedzice – Zebrzydowice (granica państwa) dla LOT-u B odc. Tychy – </w:t>
      </w:r>
      <w:proofErr w:type="spellStart"/>
      <w:r w:rsidRPr="00B456BC">
        <w:rPr>
          <w:rFonts w:asciiTheme="minorHAnsi" w:hAnsiTheme="minorHAnsi" w:cstheme="minorHAnsi"/>
          <w:b w:val="0"/>
          <w:bCs/>
          <w:sz w:val="22"/>
          <w:szCs w:val="22"/>
          <w:lang w:bidi="pl-PL"/>
        </w:rPr>
        <w:t>podg</w:t>
      </w:r>
      <w:proofErr w:type="spellEnd"/>
      <w:r w:rsidRPr="00B456BC">
        <w:rPr>
          <w:rFonts w:asciiTheme="minorHAnsi" w:hAnsiTheme="minorHAnsi" w:cstheme="minorHAnsi"/>
          <w:b w:val="0"/>
          <w:bCs/>
          <w:sz w:val="22"/>
          <w:szCs w:val="22"/>
          <w:lang w:bidi="pl-PL"/>
        </w:rPr>
        <w:t>. Most Wisła w zakresie linii kolejowej nr 148 na odcinku Pszczyna – Żory”</w:t>
      </w:r>
      <w:r w:rsidRPr="00B456BC">
        <w:rPr>
          <w:rFonts w:asciiTheme="minorHAnsi" w:hAnsiTheme="minorHAnsi" w:cstheme="minorHAnsi"/>
          <w:b w:val="0"/>
          <w:bCs/>
          <w:iCs/>
          <w:sz w:val="22"/>
          <w:szCs w:val="22"/>
          <w:lang w:bidi="pl-PL"/>
        </w:rPr>
        <w:t>,</w:t>
      </w:r>
    </w:p>
    <w:p w:rsidR="0004440C" w:rsidRPr="00B456BC" w:rsidRDefault="0004440C" w:rsidP="00432C5A">
      <w:pPr>
        <w:pStyle w:val="Tytu"/>
        <w:spacing w:before="0" w:line="240" w:lineRule="auto"/>
        <w:ind w:left="357" w:hanging="357"/>
        <w:jc w:val="left"/>
        <w:outlineLvl w:val="9"/>
        <w:rPr>
          <w:rFonts w:asciiTheme="minorHAnsi" w:hAnsiTheme="minorHAnsi" w:cstheme="minorHAnsi"/>
          <w:b w:val="0"/>
          <w:color w:val="auto"/>
          <w:sz w:val="22"/>
          <w:szCs w:val="22"/>
        </w:rPr>
      </w:pPr>
      <w:r w:rsidRPr="00B456BC">
        <w:rPr>
          <w:rFonts w:asciiTheme="minorHAnsi" w:hAnsiTheme="minorHAnsi" w:cstheme="minorHAnsi"/>
          <w:b w:val="0"/>
          <w:sz w:val="22"/>
          <w:szCs w:val="22"/>
        </w:rPr>
        <w:t>uchyla zdanie wprowadzające do wyliczenia w pkt II.3. decyzji w brzmieniu:</w:t>
      </w:r>
    </w:p>
    <w:p w:rsidR="0004440C" w:rsidRPr="00B456BC" w:rsidRDefault="0004440C" w:rsidP="00432C5A">
      <w:pPr>
        <w:autoSpaceDE w:val="0"/>
        <w:adjustRightInd w:val="0"/>
        <w:spacing w:after="0" w:line="240" w:lineRule="auto"/>
        <w:rPr>
          <w:rFonts w:asciiTheme="minorHAnsi" w:hAnsiTheme="minorHAnsi" w:cstheme="minorHAnsi"/>
          <w:lang w:eastAsia="pl-PL"/>
        </w:rPr>
      </w:pPr>
      <w:r w:rsidRPr="00B456BC">
        <w:rPr>
          <w:rFonts w:asciiTheme="minorHAnsi" w:hAnsiTheme="minorHAnsi" w:cstheme="minorHAnsi"/>
          <w:lang w:eastAsia="pl-PL"/>
        </w:rPr>
        <w:t xml:space="preserve">„Zaplecza budowy należy lokalizować w pierwszej kolejności na terenie kolejowym lub w obrębie terenów przekształconych antropogenicznie. W szczególności zaplecza budowy należy lokalizować:” </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i w tym zakresie orzeka:</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„Zaplecza budowy i bazy materiałowo-sprzętowe należy lokalizować na terenie kolejowym lub w obrębie terenów przekształconych antropogenicznie. W szczególności wskazane elementy infrastruktury należy lokalizować:”;</w:t>
      </w:r>
    </w:p>
    <w:p w:rsidR="0004440C" w:rsidRPr="00B456BC" w:rsidRDefault="0004440C" w:rsidP="00432C5A">
      <w:pPr>
        <w:pStyle w:val="Tytu"/>
        <w:spacing w:before="0" w:line="240" w:lineRule="auto"/>
        <w:jc w:val="left"/>
        <w:outlineLvl w:val="9"/>
        <w:rPr>
          <w:rFonts w:asciiTheme="minorHAnsi" w:hAnsiTheme="minorHAnsi" w:cstheme="minorHAnsi"/>
          <w:b w:val="0"/>
          <w:color w:val="auto"/>
          <w:sz w:val="22"/>
          <w:szCs w:val="22"/>
        </w:rPr>
      </w:pPr>
      <w:r w:rsidRPr="00B456BC">
        <w:rPr>
          <w:rFonts w:asciiTheme="minorHAnsi" w:hAnsiTheme="minorHAnsi" w:cstheme="minorHAnsi"/>
          <w:b w:val="0"/>
          <w:color w:val="auto"/>
          <w:sz w:val="22"/>
          <w:szCs w:val="22"/>
        </w:rPr>
        <w:t>uchyla pkt II.4. decyzji w brzmieniu:</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lang w:eastAsia="pl-PL"/>
        </w:rPr>
        <w:t>„Należy wygrodzić/oznakować drzewa wchodzące w skład Alei Dębowej przy ul. Myśliwskiej i Słonecznej w Pszczynie, zlokalizowane po obu stronach LK148 w km od 3+100 do 3+200, dobrze widoczną, kolorową, ostrzegawczą podwójną taśmą, rozpiętą pomiędzy słupkami. Szczegółową lokalizację i długość wygrodzenia określi botanik pełniący nadzór przyrodniczy. Po zakończeniu prac taśmę należy usunąć.”</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bCs/>
          <w:color w:val="000000"/>
          <w:lang w:eastAsia="pl-PL"/>
        </w:rPr>
        <w:t>i w tym zakresie orzeka:</w:t>
      </w:r>
    </w:p>
    <w:p w:rsidR="0004440C" w:rsidRPr="00B456BC" w:rsidRDefault="0004440C" w:rsidP="00432C5A">
      <w:pPr>
        <w:spacing w:after="0" w:line="240" w:lineRule="auto"/>
        <w:rPr>
          <w:rFonts w:asciiTheme="minorHAnsi" w:hAnsiTheme="minorHAnsi" w:cstheme="minorHAnsi"/>
          <w:lang w:eastAsia="pl-PL"/>
        </w:rPr>
      </w:pPr>
      <w:r w:rsidRPr="00B456BC">
        <w:rPr>
          <w:rFonts w:asciiTheme="minorHAnsi" w:hAnsiTheme="minorHAnsi" w:cstheme="minorHAnsi"/>
          <w:lang w:eastAsia="pl-PL"/>
        </w:rPr>
        <w:t xml:space="preserve">„Należy wygrodzić/oznakować drzewa wchodzące w skład Alei Dębowej przy ul. Myśliwskiej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lang w:eastAsia="pl-PL"/>
        </w:rPr>
        <w:t xml:space="preserve">i Słonecznej w Pszczynie, zlokalizowane po obu stronach LK148 w km od 3+100 do 3+200 oraz pomnik przyrody – wiąz szypułkowy na działce o nr </w:t>
      </w:r>
      <w:proofErr w:type="spellStart"/>
      <w:r w:rsidRPr="00B456BC">
        <w:rPr>
          <w:rFonts w:asciiTheme="minorHAnsi" w:hAnsiTheme="minorHAnsi" w:cstheme="minorHAnsi"/>
          <w:lang w:eastAsia="pl-PL"/>
        </w:rPr>
        <w:t>ewid</w:t>
      </w:r>
      <w:proofErr w:type="spellEnd"/>
      <w:r w:rsidRPr="00B456BC">
        <w:rPr>
          <w:rFonts w:asciiTheme="minorHAnsi" w:hAnsiTheme="minorHAnsi" w:cstheme="minorHAnsi"/>
          <w:lang w:eastAsia="pl-PL"/>
        </w:rPr>
        <w:t>. 247/14 w miejscowości Suszec, dobrze widoczną, kolorową, ostrzegawczą podwójną taśmą, rozpiętą pomiędzy słupkami. Szczegółową lokalizację i długość wygrodzenia określi botanik pełniący nadzór przyrodniczy. Po zakończeniu prac taśmę należy usunąć.”;</w:t>
      </w:r>
    </w:p>
    <w:p w:rsidR="0004440C" w:rsidRPr="00B456BC" w:rsidRDefault="0004440C" w:rsidP="00432C5A">
      <w:pPr>
        <w:pStyle w:val="Tytu"/>
        <w:spacing w:before="0" w:line="240" w:lineRule="auto"/>
        <w:jc w:val="left"/>
        <w:outlineLvl w:val="9"/>
        <w:rPr>
          <w:rFonts w:asciiTheme="minorHAnsi" w:hAnsiTheme="minorHAnsi" w:cstheme="minorHAnsi"/>
          <w:b w:val="0"/>
          <w:color w:val="auto"/>
          <w:sz w:val="22"/>
          <w:szCs w:val="22"/>
        </w:rPr>
      </w:pPr>
      <w:r w:rsidRPr="00B456BC">
        <w:rPr>
          <w:rFonts w:asciiTheme="minorHAnsi" w:hAnsiTheme="minorHAnsi" w:cstheme="minorHAnsi"/>
          <w:b w:val="0"/>
          <w:color w:val="auto"/>
          <w:sz w:val="22"/>
          <w:szCs w:val="22"/>
        </w:rPr>
        <w:t>uchyla pkt II.5. decyzji w brzmieniu:</w:t>
      </w:r>
    </w:p>
    <w:p w:rsidR="0004440C" w:rsidRPr="00B456BC" w:rsidRDefault="0004440C" w:rsidP="00432C5A">
      <w:pPr>
        <w:autoSpaceDE w:val="0"/>
        <w:adjustRightInd w:val="0"/>
        <w:spacing w:after="0" w:line="240" w:lineRule="auto"/>
        <w:rPr>
          <w:rFonts w:asciiTheme="minorHAnsi" w:hAnsiTheme="minorHAnsi" w:cstheme="minorHAnsi"/>
          <w:lang w:eastAsia="pl-PL"/>
        </w:rPr>
      </w:pPr>
      <w:r w:rsidRPr="00B456BC">
        <w:rPr>
          <w:rFonts w:asciiTheme="minorHAnsi" w:hAnsiTheme="minorHAnsi" w:cstheme="minorHAnsi"/>
          <w:lang w:eastAsia="pl-PL"/>
        </w:rPr>
        <w:t>„Drzewa znajdujące się w obrębie inwestycji, nieprzeznaczone do wycinki, należy zabezpieczyć przed uszkodzeniami mechanicznymi lub chemicznymi w następujący sposób:</w:t>
      </w:r>
    </w:p>
    <w:p w:rsidR="0004440C" w:rsidRPr="00B456BC" w:rsidRDefault="0004440C" w:rsidP="00432C5A">
      <w:pPr>
        <w:pStyle w:val="Akapitzlist"/>
        <w:numPr>
          <w:ilvl w:val="0"/>
          <w:numId w:val="29"/>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pnie drzew, gdzie w rejonie rzutów ich koron konieczne będzie wykonywanie prac ziemnych, budowlanych oraz ruch pojazdów, zabezpieczyć przez szczelne oszalowanie deskami, wypełniając przestrzeń pomiędzy pniem a deską materiałem amortyzującym (np. matami słomianymi, jutą), deski mocować bez użycia gwoździ, wysokość szalowania ok. 2 m, do wysokości dolnych gałęzi korony, dolną krawędź opierać na podłożu, nie zaś na nabiegach korzeniowych,</w:t>
      </w:r>
    </w:p>
    <w:p w:rsidR="0004440C" w:rsidRPr="00B456BC" w:rsidRDefault="0004440C" w:rsidP="00432C5A">
      <w:pPr>
        <w:pStyle w:val="Akapitzlist"/>
        <w:numPr>
          <w:ilvl w:val="0"/>
          <w:numId w:val="29"/>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zachowane drzewa znajdujące się w bezpośrednim sąsiedztwie robót budowlanych, gdzie nie są planowane prace/przejazdy sprzętu mechanicznego w obrębie rzutu koron, wygrodzić trwałym ogrodzeniem o wysokości 1,5 m. Ewentualne prace prowadzone w strefie korzeniowej (od pnia drzewa do 2 m od obrysu korony) należy wykonywać ręcznie,</w:t>
      </w:r>
    </w:p>
    <w:p w:rsidR="0004440C" w:rsidRPr="00B456BC" w:rsidRDefault="0004440C" w:rsidP="00432C5A">
      <w:pPr>
        <w:pStyle w:val="Akapitzlist"/>
        <w:numPr>
          <w:ilvl w:val="0"/>
          <w:numId w:val="29"/>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 xml:space="preserve">korzenie odsłonięte w czasie wykopów należy, w miarę możliwości, ręcznie wpuścić głębiej i zabezpieczyć przed wysychaniem i przymrozkami, np. poprzez zastosowanie osłon jutowych, a wykopy w pobliżu drzew niezwłocznie zasypać po zakończeniu prac. W przypadku przerw w </w:t>
      </w:r>
      <w:r w:rsidRPr="00B456BC">
        <w:rPr>
          <w:rFonts w:asciiTheme="minorHAnsi" w:hAnsiTheme="minorHAnsi" w:cstheme="minorHAnsi"/>
          <w:lang w:eastAsia="pl-PL"/>
        </w:rPr>
        <w:lastRenderedPageBreak/>
        <w:t>pracy wykopy należy tymczasowo zasypać lub przykryć korzenie matami słomianymi, aby przeciwdziałać ich wysychaniu. W warunkach grożących przesuszeniem korzeni drzewa należy podlewać i utrzymywać korzenie w odpowiedniej wilgotności. Niedopuszczalne jest obcinanie korzeni szkieletowych drzew,</w:t>
      </w:r>
    </w:p>
    <w:p w:rsidR="0004440C" w:rsidRPr="00B456BC" w:rsidRDefault="0004440C" w:rsidP="00432C5A">
      <w:pPr>
        <w:pStyle w:val="Akapitzlist"/>
        <w:numPr>
          <w:ilvl w:val="0"/>
          <w:numId w:val="29"/>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w obrębie rzutu korony nie można magazynować materiałów chemicznych, budowlanych i ziemi z powstałych wykopów, stosować otwartego ognia, lokalizować placów manewrowych i miejsc postoju sprzętu ciężkiego,</w:t>
      </w:r>
    </w:p>
    <w:p w:rsidR="0004440C" w:rsidRPr="00B456BC" w:rsidRDefault="0004440C" w:rsidP="00432C5A">
      <w:pPr>
        <w:pStyle w:val="Akapitzlist"/>
        <w:numPr>
          <w:ilvl w:val="0"/>
          <w:numId w:val="29"/>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po zakończeniu prac zabezpieczenia drzew należy zdemontować.”</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i w tym zakresie orzeka:</w:t>
      </w:r>
    </w:p>
    <w:p w:rsidR="0004440C" w:rsidRPr="00B456BC" w:rsidRDefault="0004440C" w:rsidP="00432C5A">
      <w:pPr>
        <w:autoSpaceDE w:val="0"/>
        <w:adjustRightInd w:val="0"/>
        <w:spacing w:after="0" w:line="240" w:lineRule="auto"/>
        <w:rPr>
          <w:rFonts w:asciiTheme="minorHAnsi" w:hAnsiTheme="minorHAnsi" w:cstheme="minorHAnsi"/>
          <w:lang w:eastAsia="pl-PL"/>
        </w:rPr>
      </w:pPr>
      <w:r w:rsidRPr="00B456BC">
        <w:rPr>
          <w:rFonts w:asciiTheme="minorHAnsi" w:hAnsiTheme="minorHAnsi" w:cstheme="minorHAnsi"/>
          <w:lang w:eastAsia="pl-PL"/>
        </w:rPr>
        <w:t>„Drzewa i krzewy pozostające w zasięgu prac i niepodlegające usunięciu należy zabezpieczyć na czas prowadzenia robót przed przypadkowym uszkodzeniem:</w:t>
      </w:r>
    </w:p>
    <w:p w:rsidR="0004440C" w:rsidRPr="00B456BC" w:rsidRDefault="0004440C" w:rsidP="00432C5A">
      <w:pPr>
        <w:pStyle w:val="Akapitzlist"/>
        <w:numPr>
          <w:ilvl w:val="0"/>
          <w:numId w:val="30"/>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zachowane drzewa i/lub grupy drzew/krzewów znajdujące się w bezpośrednim sąsiedztwie robót budowlanych, gdzie nie są planowane prace/przejazdy sprzętu mechanicznego w obrębie rzutu koron należy wygrodzić trwałym ogrodzeniem o wysokości 1,5 m. Powierzchnia rozstawienia ogrodzenia powinna odpowiadać obszarowi wyznaczonemu przez rzuty koron, powiększonemu o bufor wielkości 1-2 m, w przypadku krzewów obszar ten powinien zostać ustalony przez specjalistę dendrologa;</w:t>
      </w:r>
    </w:p>
    <w:p w:rsidR="0004440C" w:rsidRPr="00B456BC" w:rsidRDefault="0004440C" w:rsidP="00432C5A">
      <w:pPr>
        <w:pStyle w:val="Akapitzlist"/>
        <w:numPr>
          <w:ilvl w:val="0"/>
          <w:numId w:val="30"/>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pnie pojedynczych drzew, gdzie w rejonie rzutów ich koron konieczne będzie wykonywanie prac ziemnych, budowlanych oraz ruch pojazdów, zabezpieczyć przez owinięcie materiałem amortyzującym w postaci mat wiklinowych lub słomianych, bądź tkaniny jutowej, a następnie oszalować deskami o wysokości 1,5-2,0 m (w zależności od wysokości drzewa) bez użycia gwoździ, przy czym należy zadbać, aby deski nie opierały się na szyjkach korzeniowych, tylko na podłożu, a samo oszalowanie powinno zapewniać swobodny dostęp powietrza;</w:t>
      </w:r>
    </w:p>
    <w:p w:rsidR="0004440C" w:rsidRPr="00B456BC" w:rsidRDefault="0004440C" w:rsidP="00432C5A">
      <w:pPr>
        <w:pStyle w:val="Akapitzlist"/>
        <w:numPr>
          <w:ilvl w:val="0"/>
          <w:numId w:val="30"/>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wykopy wykonywane w strefie korzeniowej drzew (od pnia drzewa do 2 m od obrysu korony) należy prowadzić ręcznie, na krótkich odcinkach, ograniczając czas otwarcia wykopów powodujących przesuszanie bryły korzeniowej. W przypadku przerw w pracy wykopy należy tymczasowo zasypać lub przykryć korzenie matami (np. słomianymi) ograniczającymi transpirację, aby przeciwdziałać ich wysychaniu. W warunkach grożących przesuszeniem korzeni drzewa należy podlewać i utrzymywać korzenie w odpowiedniej wilgotności. W okresie zimowym należy zabezpieczać odsłonięte korzenie przed przemarzaniem za pomocą mat, koców lub warstwy torfu oszalowanego deskami;</w:t>
      </w:r>
    </w:p>
    <w:p w:rsidR="0004440C" w:rsidRPr="00B456BC" w:rsidRDefault="0004440C" w:rsidP="00432C5A">
      <w:pPr>
        <w:pStyle w:val="Akapitzlist"/>
        <w:numPr>
          <w:ilvl w:val="0"/>
          <w:numId w:val="30"/>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 xml:space="preserve">przycinanie korzeni należy prowadzić ostrymi narzędziami tnącymi, niedopuszczalne jest rwanie, miażdżenie i obcinanie systemów korzeniowych, nie należy także uszkadzać korzeni szkieletowych, odpowiedzialnych za statykę drzewa; </w:t>
      </w:r>
    </w:p>
    <w:p w:rsidR="0004440C" w:rsidRPr="00B456BC" w:rsidRDefault="0004440C" w:rsidP="00432C5A">
      <w:pPr>
        <w:pStyle w:val="Akapitzlist"/>
        <w:numPr>
          <w:ilvl w:val="0"/>
          <w:numId w:val="30"/>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 xml:space="preserve">należy zabezpieczyć korony drzew przed uszkodzeniem, w miejscach w których będą one zagrożone np. poprzez podwiązanie narażonych gałęzi; </w:t>
      </w:r>
    </w:p>
    <w:p w:rsidR="0004440C" w:rsidRPr="00B456BC" w:rsidRDefault="0004440C" w:rsidP="00432C5A">
      <w:pPr>
        <w:pStyle w:val="Akapitzlist"/>
        <w:numPr>
          <w:ilvl w:val="0"/>
          <w:numId w:val="30"/>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 xml:space="preserve">w przypadku uszkodzenia korzeni, gałęzi lub pni należy podjąć działania ochronne: uszkodzone korzenie należy przyciąć pod kątem prostym, dokonując cięcia tam, gdzie zaczyna się żywy korzeń; pielęgnować należy wyłącznie rany świeże; w przypadku ran stycznych pielęgnacja sprowadza się wyłącznie do wyrównania brzegu rany ostrym narzędziem (należy przy tym uważać, aby nadmiernie nie poszerzać i nie pogłębiać rany), w przypadku ran poprzecznych gałąź należy przyciąć „na obrączkę”; ran nie należy powlekać impregnatami i różnego rodzaju preparatami, w tym grzybobójczymi; glebę w najbliższym otoczeniu uszkodzonych korzeni należy zastąpić bardziej zasobną w składniki odżywcze; </w:t>
      </w:r>
    </w:p>
    <w:p w:rsidR="0004440C" w:rsidRPr="00B456BC" w:rsidRDefault="0004440C" w:rsidP="00432C5A">
      <w:pPr>
        <w:pStyle w:val="Akapitzlist"/>
        <w:numPr>
          <w:ilvl w:val="0"/>
          <w:numId w:val="30"/>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 xml:space="preserve">nie lokalizować baz materiałowo-sprzętowych (magazyny, składy, bazy transportowe), urobku z wykopów i odpadów powstających podczas prowadzenia prac budowlanych w zasięgu rzutu pionowego koron drzew i co najmniej 2 m na zewnątrz od tego zasięgu; szczególnie należy unikać magazynowania w pobliżu drzew cementu, wapna i gruzu oraz stosowania otwartego ognia; </w:t>
      </w:r>
    </w:p>
    <w:p w:rsidR="0004440C" w:rsidRPr="00B456BC" w:rsidRDefault="0004440C" w:rsidP="00432C5A">
      <w:pPr>
        <w:pStyle w:val="Akapitzlist"/>
        <w:numPr>
          <w:ilvl w:val="0"/>
          <w:numId w:val="30"/>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t>nie obsypywać ziemią pni drzew i krzewów ponad pierwotny poziom terenu;</w:t>
      </w:r>
    </w:p>
    <w:p w:rsidR="0004440C" w:rsidRPr="00B456BC" w:rsidRDefault="0004440C" w:rsidP="00432C5A">
      <w:pPr>
        <w:pStyle w:val="Akapitzlist"/>
        <w:numPr>
          <w:ilvl w:val="0"/>
          <w:numId w:val="30"/>
        </w:numPr>
        <w:suppressAutoHyphens w:val="0"/>
        <w:autoSpaceDE w:val="0"/>
        <w:adjustRightInd w:val="0"/>
        <w:spacing w:after="0" w:line="240" w:lineRule="auto"/>
        <w:contextualSpacing/>
        <w:textAlignment w:val="auto"/>
        <w:rPr>
          <w:rFonts w:asciiTheme="minorHAnsi" w:hAnsiTheme="minorHAnsi" w:cstheme="minorHAnsi"/>
          <w:lang w:eastAsia="pl-PL"/>
        </w:rPr>
      </w:pPr>
      <w:r w:rsidRPr="00B456BC">
        <w:rPr>
          <w:rFonts w:asciiTheme="minorHAnsi" w:hAnsiTheme="minorHAnsi" w:cstheme="minorHAnsi"/>
          <w:lang w:eastAsia="pl-PL"/>
        </w:rPr>
        <w:lastRenderedPageBreak/>
        <w:t>w przypadku konieczności obniżenia poziomu gruntu, pozostawić teren wokół drzew i krzewów w zasięgu wyznaczonym przez obrys korony na wzmocnionych konstrukcyjnie wzniesieniach;</w:t>
      </w:r>
    </w:p>
    <w:p w:rsidR="0004440C" w:rsidRPr="00B456BC" w:rsidRDefault="0004440C" w:rsidP="00432C5A">
      <w:pPr>
        <w:pStyle w:val="Akapitzlist"/>
        <w:numPr>
          <w:ilvl w:val="0"/>
          <w:numId w:val="30"/>
        </w:numPr>
        <w:suppressAutoHyphens w:val="0"/>
        <w:autoSpaceDE w:val="0"/>
        <w:adjustRightInd w:val="0"/>
        <w:spacing w:after="0" w:line="240" w:lineRule="auto"/>
        <w:ind w:hanging="357"/>
        <w:contextualSpacing/>
        <w:textAlignment w:val="auto"/>
        <w:rPr>
          <w:rFonts w:asciiTheme="minorHAnsi" w:hAnsiTheme="minorHAnsi" w:cstheme="minorHAnsi"/>
        </w:rPr>
      </w:pPr>
      <w:r w:rsidRPr="00B456BC">
        <w:rPr>
          <w:rFonts w:asciiTheme="minorHAnsi" w:hAnsiTheme="minorHAnsi" w:cstheme="minorHAnsi"/>
          <w:lang w:eastAsia="pl-PL"/>
        </w:rPr>
        <w:t>szczegółowy sposób wykonania oraz zakres zabezpieczeń dostosować do warunków lokalnych, rodzaju prowadzonych prac, po uzgodnieniu z nadzorem przyrodniczym. Obowiązek zabezpieczenia dotyczy także terenów leśnych. Po zakończeniu prac zabezpieczenia należy zdemontować.”;</w:t>
      </w:r>
    </w:p>
    <w:p w:rsidR="0004440C" w:rsidRPr="00B456BC" w:rsidRDefault="0004440C" w:rsidP="00432C5A">
      <w:pPr>
        <w:pStyle w:val="Tytu"/>
        <w:spacing w:before="0" w:line="240" w:lineRule="auto"/>
        <w:ind w:hanging="357"/>
        <w:jc w:val="left"/>
        <w:outlineLvl w:val="9"/>
        <w:rPr>
          <w:rFonts w:asciiTheme="minorHAnsi" w:hAnsiTheme="minorHAnsi" w:cstheme="minorHAnsi"/>
          <w:b w:val="0"/>
          <w:color w:val="auto"/>
          <w:sz w:val="22"/>
          <w:szCs w:val="22"/>
        </w:rPr>
      </w:pPr>
      <w:r w:rsidRPr="00B456BC">
        <w:rPr>
          <w:rFonts w:asciiTheme="minorHAnsi" w:hAnsiTheme="minorHAnsi" w:cstheme="minorHAnsi"/>
          <w:b w:val="0"/>
          <w:color w:val="auto"/>
          <w:sz w:val="22"/>
          <w:szCs w:val="22"/>
        </w:rPr>
        <w:t>uchyla pkt II.7. decyzji w brzmieniu:</w:t>
      </w:r>
    </w:p>
    <w:p w:rsidR="0004440C" w:rsidRPr="00B456BC" w:rsidRDefault="0004440C" w:rsidP="00432C5A">
      <w:pPr>
        <w:autoSpaceDE w:val="0"/>
        <w:adjustRightInd w:val="0"/>
        <w:spacing w:after="0" w:line="240" w:lineRule="auto"/>
        <w:rPr>
          <w:rFonts w:asciiTheme="minorHAnsi" w:hAnsiTheme="minorHAnsi" w:cstheme="minorHAnsi"/>
          <w:lang w:eastAsia="pl-PL"/>
        </w:rPr>
      </w:pPr>
      <w:r w:rsidRPr="00B456BC">
        <w:rPr>
          <w:rFonts w:asciiTheme="minorHAnsi" w:hAnsiTheme="minorHAnsi" w:cstheme="minorHAnsi"/>
          <w:lang w:eastAsia="pl-PL"/>
        </w:rPr>
        <w:t>„Wszelkie prace związane z wycinką drzew i krzewów należy prowadzić poza okresem lęgowym ptaków, tj. w okresie od 16 października do końca lutego. W przypadku konieczności prowadzenia wycinki w okresie lęgowym ptaków, prace prowadzić pod ścisłym nadzorem ornitologicznym. Kontrolę zajęcia siedlisk przeprowadzić należy nie wcześniej niż 3 dni przed rozpoczęciem prac. W przypadku wykrycia lęgów gatunków chronionych należy zaprzestać wycinki do czasu stwierdzenia przez nadzór ornitologiczny wyprowadzenia młodych z gniazda oraz uzyskania zezwolenia na realizację czynności zakazanych w stosunku do chronionych gatunków zwierząt.”</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i w tym zakresie orzeka:</w:t>
      </w:r>
    </w:p>
    <w:p w:rsidR="0004440C" w:rsidRPr="00B456BC" w:rsidRDefault="0004440C" w:rsidP="00432C5A">
      <w:pPr>
        <w:autoSpaceDE w:val="0"/>
        <w:adjustRightInd w:val="0"/>
        <w:spacing w:after="0" w:line="240" w:lineRule="auto"/>
        <w:rPr>
          <w:rFonts w:asciiTheme="minorHAnsi" w:hAnsiTheme="minorHAnsi" w:cstheme="minorHAnsi"/>
        </w:rPr>
      </w:pPr>
      <w:r w:rsidRPr="00B456BC">
        <w:rPr>
          <w:rFonts w:asciiTheme="minorHAnsi" w:hAnsiTheme="minorHAnsi" w:cstheme="minorHAnsi"/>
          <w:lang w:eastAsia="pl-PL"/>
        </w:rPr>
        <w:t>„Wszelkie prace związane z wycinką drzew, krzewów oraz usuwaniem roślinności szuwarowej należy prowadzić poza okresem lęgowym ptaków, tj. w okresie od 16 października do końca lutego.”;</w:t>
      </w:r>
    </w:p>
    <w:p w:rsidR="0004440C" w:rsidRPr="00B456BC" w:rsidRDefault="0004440C" w:rsidP="00432C5A">
      <w:pPr>
        <w:pStyle w:val="Tytu"/>
        <w:spacing w:before="0" w:line="240" w:lineRule="auto"/>
        <w:ind w:left="357" w:hanging="357"/>
        <w:jc w:val="left"/>
        <w:outlineLvl w:val="9"/>
        <w:rPr>
          <w:rFonts w:asciiTheme="minorHAnsi" w:hAnsiTheme="minorHAnsi" w:cstheme="minorHAnsi"/>
          <w:b w:val="0"/>
          <w:color w:val="auto"/>
          <w:sz w:val="22"/>
          <w:szCs w:val="22"/>
        </w:rPr>
      </w:pPr>
      <w:r w:rsidRPr="00B456BC">
        <w:rPr>
          <w:rFonts w:asciiTheme="minorHAnsi" w:hAnsiTheme="minorHAnsi" w:cstheme="minorHAnsi"/>
          <w:b w:val="0"/>
          <w:color w:val="auto"/>
          <w:sz w:val="22"/>
          <w:szCs w:val="22"/>
        </w:rPr>
        <w:t>uchyla pkt II.8. decyzji w brzmieniu:</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lang w:eastAsia="pl-PL"/>
        </w:rPr>
        <w:t xml:space="preserve">„Należy skontrolować przeznaczone do rozbiórki lub remontu obiekty inżynieryjne, takie jak most oraz przepusty, a także przeznaczone do usunięcia drzewa stare, dziuplaste oraz o pierśnicy powyżej 50 cm, pod kątem wykorzystywania ich jako schronienia letnie oraz zimowe nietoperzy. Kontrola powinna zostać przeprowadzona przez specjalistę </w:t>
      </w:r>
      <w:proofErr w:type="spellStart"/>
      <w:r w:rsidRPr="00B456BC">
        <w:rPr>
          <w:rFonts w:asciiTheme="minorHAnsi" w:hAnsiTheme="minorHAnsi" w:cstheme="minorHAnsi"/>
          <w:lang w:eastAsia="pl-PL"/>
        </w:rPr>
        <w:t>teriologa</w:t>
      </w:r>
      <w:proofErr w:type="spellEnd"/>
      <w:r w:rsidRPr="00B456BC">
        <w:rPr>
          <w:rFonts w:asciiTheme="minorHAnsi" w:hAnsiTheme="minorHAnsi" w:cstheme="minorHAnsi"/>
          <w:lang w:eastAsia="pl-PL"/>
        </w:rPr>
        <w:t xml:space="preserve"> (</w:t>
      </w:r>
      <w:proofErr w:type="spellStart"/>
      <w:r w:rsidRPr="00B456BC">
        <w:rPr>
          <w:rFonts w:asciiTheme="minorHAnsi" w:hAnsiTheme="minorHAnsi" w:cstheme="minorHAnsi"/>
          <w:lang w:eastAsia="pl-PL"/>
        </w:rPr>
        <w:t>chiropterologa</w:t>
      </w:r>
      <w:proofErr w:type="spellEnd"/>
      <w:r w:rsidRPr="00B456BC">
        <w:rPr>
          <w:rFonts w:asciiTheme="minorHAnsi" w:hAnsiTheme="minorHAnsi" w:cstheme="minorHAnsi"/>
          <w:lang w:eastAsia="pl-PL"/>
        </w:rPr>
        <w:t>) z nadzoru przyrodniczego, na maksymalnie 3 dni przed rozpoczęciem prac. W przypadku stwierdzenia siedlisk nietoperzy dalsze prace będą możliwe po uzyskaniu zezwolenia na realizację czynności zakazanych w stosunku do chronionych gatunków zwierząt.”</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i w tym zakresie orzeka:</w:t>
      </w:r>
    </w:p>
    <w:p w:rsidR="0004440C" w:rsidRPr="00B456BC" w:rsidRDefault="0004440C" w:rsidP="00432C5A">
      <w:pPr>
        <w:autoSpaceDE w:val="0"/>
        <w:adjustRightInd w:val="0"/>
        <w:spacing w:after="0" w:line="240" w:lineRule="auto"/>
        <w:rPr>
          <w:rFonts w:asciiTheme="minorHAnsi" w:hAnsiTheme="minorHAnsi" w:cstheme="minorHAnsi"/>
          <w:lang w:eastAsia="pl-PL"/>
        </w:rPr>
      </w:pPr>
      <w:r w:rsidRPr="00B456BC">
        <w:rPr>
          <w:rFonts w:asciiTheme="minorHAnsi" w:hAnsiTheme="minorHAnsi" w:cstheme="minorHAnsi"/>
          <w:lang w:eastAsia="pl-PL"/>
        </w:rPr>
        <w:t xml:space="preserve">„Należy skontrolować przeznaczone do rozbiórki lub remontu obiekty inżynieryjne, takie jak mosty oraz przepusty, pod kątem wykorzystania ich jako schronienia nietoperzy oraz miejsca lęgowe ptaków. Ponadto należy także skontrolować przeznaczone do usunięcia drzewa stare, dziuplaste oraz o pierśnicy powyżej 50 cm, pod kątem wykorzystania ich jako schronienia nietoperzy oraz w celu zweryfikowania obecności siedlisk owadów </w:t>
      </w:r>
      <w:proofErr w:type="spellStart"/>
      <w:r w:rsidRPr="00B456BC">
        <w:rPr>
          <w:rFonts w:asciiTheme="minorHAnsi" w:hAnsiTheme="minorHAnsi" w:cstheme="minorHAnsi"/>
          <w:lang w:eastAsia="pl-PL"/>
        </w:rPr>
        <w:t>saproksylicznych</w:t>
      </w:r>
      <w:proofErr w:type="spellEnd"/>
      <w:r w:rsidRPr="00B456BC">
        <w:rPr>
          <w:rFonts w:asciiTheme="minorHAnsi" w:hAnsiTheme="minorHAnsi" w:cstheme="minorHAnsi"/>
          <w:lang w:eastAsia="pl-PL"/>
        </w:rPr>
        <w:t xml:space="preserve">. Kontrole należy przeprowadzić na maksymalnie 3 dni przed rozpoczęciem prac. W przypadku prac związanych z rozbiórką lub remontem obiektów inżynieryjnych kontrolę przeprowadzi specjalista </w:t>
      </w:r>
      <w:proofErr w:type="spellStart"/>
      <w:r w:rsidRPr="00B456BC">
        <w:rPr>
          <w:rFonts w:asciiTheme="minorHAnsi" w:hAnsiTheme="minorHAnsi" w:cstheme="minorHAnsi"/>
          <w:lang w:eastAsia="pl-PL"/>
        </w:rPr>
        <w:t>chiropterolog</w:t>
      </w:r>
      <w:proofErr w:type="spellEnd"/>
      <w:r w:rsidRPr="00B456BC">
        <w:rPr>
          <w:rFonts w:asciiTheme="minorHAnsi" w:hAnsiTheme="minorHAnsi" w:cstheme="minorHAnsi"/>
          <w:lang w:eastAsia="pl-PL"/>
        </w:rPr>
        <w:t xml:space="preserve"> i ornitolog z nadzoru przyrodniczego. Kontrolę drzew przeprowadzi ornitolog, </w:t>
      </w:r>
      <w:proofErr w:type="spellStart"/>
      <w:r w:rsidRPr="00B456BC">
        <w:rPr>
          <w:rFonts w:asciiTheme="minorHAnsi" w:hAnsiTheme="minorHAnsi" w:cstheme="minorHAnsi"/>
          <w:lang w:eastAsia="pl-PL"/>
        </w:rPr>
        <w:t>chiropterolog</w:t>
      </w:r>
      <w:proofErr w:type="spellEnd"/>
      <w:r w:rsidRPr="00B456BC">
        <w:rPr>
          <w:rFonts w:asciiTheme="minorHAnsi" w:hAnsiTheme="minorHAnsi" w:cstheme="minorHAnsi"/>
          <w:lang w:eastAsia="pl-PL"/>
        </w:rPr>
        <w:t xml:space="preserve"> i entomolog z nadzoru przyrodniczego. W przypadku stwierdzenia siedlisk nietoperzy, ptaków lub owadów dalsze prace będą możliwe po uzyskaniu zezwolenia na realizację czynności zakazanych w stosunku do chronionych gatunków zwierząt.”;</w:t>
      </w:r>
    </w:p>
    <w:p w:rsidR="0004440C" w:rsidRPr="00B456BC" w:rsidRDefault="0004440C" w:rsidP="00432C5A">
      <w:pPr>
        <w:pStyle w:val="Tytu"/>
        <w:spacing w:before="0" w:line="240" w:lineRule="auto"/>
        <w:ind w:left="357" w:hanging="357"/>
        <w:jc w:val="left"/>
        <w:outlineLvl w:val="9"/>
        <w:rPr>
          <w:rFonts w:asciiTheme="minorHAnsi" w:hAnsiTheme="minorHAnsi" w:cstheme="minorHAnsi"/>
          <w:b w:val="0"/>
          <w:color w:val="auto"/>
          <w:sz w:val="22"/>
          <w:szCs w:val="22"/>
        </w:rPr>
      </w:pPr>
      <w:r w:rsidRPr="00B456BC">
        <w:rPr>
          <w:rFonts w:asciiTheme="minorHAnsi" w:hAnsiTheme="minorHAnsi" w:cstheme="minorHAnsi"/>
          <w:b w:val="0"/>
          <w:color w:val="auto"/>
          <w:sz w:val="22"/>
          <w:szCs w:val="22"/>
        </w:rPr>
        <w:t>uchyla pkt II.12. decyzji w brzmieniu:</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lang w:eastAsia="pl-PL"/>
        </w:rPr>
        <w:t>„Do oświetlenia zaplecza budowy, baz postojowych i placu budowy należy stosować lampy o możliwie najniższej emisji barw niebieskich i promieniowania UV, o szczelnych obudowach. Niedopuszczalne jest stosowanie lamp rtęciowych. Oświetlenie należy montować tak, aby nie rozpraszać światła (stosować lampy ze strumieniem skierowanym na określoną powierzchnię), powinno ono być skierowane w stronę zaplecza budowy.”</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i w tym zakresie orzeka:</w:t>
      </w:r>
    </w:p>
    <w:p w:rsidR="0004440C" w:rsidRPr="00B456BC" w:rsidRDefault="0004440C" w:rsidP="00432C5A">
      <w:pPr>
        <w:autoSpaceDE w:val="0"/>
        <w:adjustRightInd w:val="0"/>
        <w:spacing w:after="0" w:line="240" w:lineRule="auto"/>
        <w:rPr>
          <w:rFonts w:asciiTheme="minorHAnsi" w:hAnsiTheme="minorHAnsi" w:cstheme="minorHAnsi"/>
        </w:rPr>
      </w:pPr>
      <w:r w:rsidRPr="00B456BC">
        <w:rPr>
          <w:rFonts w:asciiTheme="minorHAnsi" w:hAnsiTheme="minorHAnsi" w:cstheme="minorHAnsi"/>
          <w:lang w:eastAsia="pl-PL"/>
        </w:rPr>
        <w:t>„Do oświetlenia zaplecza budowy, baz postojowych i placu budowy należy stosować lampy o możliwie najniższej emisji barw niebieskich i promieniowania UV, o szczelnych obudowach. Niedopuszczalne jest stosowanie lamp rtęciowych. Oświetlenie należy montować tak, aby nie rozpraszać światła (stosować lampy ze strumieniem skierowanym na określona powierzchnię), powinno ono być skierowane w stronę zaplecza budowy. Takie same warunki powinno spełniać oświetlenie stosowane na etapie eksploatacji przedsięwzięcia.”;</w:t>
      </w:r>
    </w:p>
    <w:p w:rsidR="0004440C" w:rsidRPr="00B456BC" w:rsidRDefault="0004440C" w:rsidP="00432C5A">
      <w:pPr>
        <w:pStyle w:val="Tytu"/>
        <w:spacing w:before="0" w:line="240" w:lineRule="auto"/>
        <w:ind w:left="357" w:hanging="357"/>
        <w:jc w:val="left"/>
        <w:outlineLvl w:val="9"/>
        <w:rPr>
          <w:rFonts w:asciiTheme="minorHAnsi" w:hAnsiTheme="minorHAnsi" w:cstheme="minorHAnsi"/>
          <w:b w:val="0"/>
          <w:sz w:val="22"/>
          <w:szCs w:val="22"/>
        </w:rPr>
      </w:pPr>
      <w:r w:rsidRPr="00B456BC">
        <w:rPr>
          <w:rFonts w:asciiTheme="minorHAnsi" w:hAnsiTheme="minorHAnsi" w:cstheme="minorHAnsi"/>
          <w:b w:val="0"/>
          <w:color w:val="auto"/>
          <w:sz w:val="22"/>
          <w:szCs w:val="22"/>
        </w:rPr>
        <w:t xml:space="preserve">uchyla pkt </w:t>
      </w:r>
      <w:r w:rsidRPr="00B456BC">
        <w:rPr>
          <w:rFonts w:asciiTheme="minorHAnsi" w:hAnsiTheme="minorHAnsi" w:cstheme="minorHAnsi"/>
          <w:b w:val="0"/>
          <w:sz w:val="22"/>
          <w:szCs w:val="22"/>
        </w:rPr>
        <w:t>II.13.4) lit. b decyzji w brzmieniu:</w:t>
      </w:r>
    </w:p>
    <w:p w:rsidR="0004440C" w:rsidRPr="00B456BC" w:rsidRDefault="0004440C" w:rsidP="00432C5A">
      <w:pPr>
        <w:spacing w:after="0" w:line="240" w:lineRule="auto"/>
        <w:rPr>
          <w:rFonts w:asciiTheme="minorHAnsi" w:hAnsiTheme="minorHAnsi" w:cstheme="minorHAnsi"/>
          <w:lang w:eastAsia="pl-PL"/>
        </w:rPr>
      </w:pPr>
      <w:r w:rsidRPr="00B456BC">
        <w:rPr>
          <w:rFonts w:asciiTheme="minorHAnsi" w:hAnsiTheme="minorHAnsi" w:cstheme="minorHAnsi"/>
          <w:lang w:eastAsia="pl-PL"/>
        </w:rPr>
        <w:lastRenderedPageBreak/>
        <w:t>„Prace związane z realizacją przedsięwzięcia należy prowadzić pod nadzorem przyrodniczym w celu kontroli stanu środowiska przyrodniczego i oceny zgodności wykonywanych prac z decyzją o środowiskowych uwarunkowaniach na etapie realizacji inwestycji, pełniony przez osoby legitymujące się doświadczeniem odpowiednim do zakresu wykonywanego nadzoru, a w szczególności:</w:t>
      </w:r>
    </w:p>
    <w:p w:rsidR="0004440C" w:rsidRPr="00B456BC" w:rsidRDefault="0004440C" w:rsidP="00432C5A">
      <w:pPr>
        <w:pStyle w:val="Akapitzlist"/>
        <w:numPr>
          <w:ilvl w:val="0"/>
          <w:numId w:val="31"/>
        </w:numPr>
        <w:spacing w:after="0" w:line="240" w:lineRule="auto"/>
        <w:rPr>
          <w:rFonts w:asciiTheme="minorHAnsi" w:hAnsiTheme="minorHAnsi" w:cstheme="minorHAnsi"/>
          <w:lang w:eastAsia="pl-PL"/>
        </w:rPr>
      </w:pPr>
      <w:r w:rsidRPr="00B456BC">
        <w:rPr>
          <w:rFonts w:asciiTheme="minorHAnsi" w:hAnsiTheme="minorHAnsi" w:cstheme="minorHAnsi"/>
          <w:lang w:eastAsia="pl-PL"/>
        </w:rPr>
        <w:t>ornitologicznym: – w okresie marzec-październik, w zakresie:</w:t>
      </w:r>
    </w:p>
    <w:p w:rsidR="0004440C" w:rsidRPr="00B456BC" w:rsidRDefault="0004440C" w:rsidP="00432C5A">
      <w:pPr>
        <w:pStyle w:val="Akapitzlist"/>
        <w:numPr>
          <w:ilvl w:val="0"/>
          <w:numId w:val="32"/>
        </w:numPr>
        <w:spacing w:after="0" w:line="240" w:lineRule="auto"/>
        <w:rPr>
          <w:rFonts w:asciiTheme="minorHAnsi" w:hAnsiTheme="minorHAnsi" w:cstheme="minorHAnsi"/>
          <w:lang w:eastAsia="pl-PL"/>
        </w:rPr>
      </w:pPr>
      <w:r w:rsidRPr="00B456BC">
        <w:rPr>
          <w:rFonts w:asciiTheme="minorHAnsi" w:hAnsiTheme="minorHAnsi" w:cstheme="minorHAnsi"/>
          <w:lang w:eastAsia="pl-PL"/>
        </w:rPr>
        <w:t>kontroli obecności zajętych gniazd ptaków w roślinności drzewiastej na trasie planowanej inwestycji.”</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i w tym zakresie orzeka:</w:t>
      </w:r>
    </w:p>
    <w:p w:rsidR="0004440C" w:rsidRPr="00B456BC" w:rsidRDefault="0004440C" w:rsidP="00432C5A">
      <w:pPr>
        <w:spacing w:after="0" w:line="240" w:lineRule="auto"/>
        <w:rPr>
          <w:rFonts w:asciiTheme="minorHAnsi" w:hAnsiTheme="minorHAnsi" w:cstheme="minorHAnsi"/>
          <w:lang w:eastAsia="pl-PL"/>
        </w:rPr>
      </w:pPr>
      <w:r w:rsidRPr="00B456BC">
        <w:rPr>
          <w:rFonts w:asciiTheme="minorHAnsi" w:hAnsiTheme="minorHAnsi" w:cstheme="minorHAnsi"/>
          <w:lang w:eastAsia="pl-PL"/>
        </w:rPr>
        <w:t>„Prace związane z realizacją przedsięwzięcia należy prowadzić pod nadzorem przyrodniczym w celu kontroli stanu środowiska przyrodniczego i oceny zgodności wykonywanych prac z decyzją o środowiskowych uwarunkowaniach na etapie realizacji inwestycji, pełniony przez osoby legitymujące się doświadczeniem odpowiednim do zakresu wykonywanego nadzoru, a w szczególności:</w:t>
      </w:r>
    </w:p>
    <w:p w:rsidR="0004440C" w:rsidRPr="00B456BC" w:rsidRDefault="0004440C" w:rsidP="00432C5A">
      <w:pPr>
        <w:pStyle w:val="Akapitzlist"/>
        <w:numPr>
          <w:ilvl w:val="0"/>
          <w:numId w:val="33"/>
        </w:numPr>
        <w:spacing w:after="0" w:line="240" w:lineRule="auto"/>
        <w:rPr>
          <w:rFonts w:asciiTheme="minorHAnsi" w:hAnsiTheme="minorHAnsi" w:cstheme="minorHAnsi"/>
          <w:lang w:eastAsia="pl-PL"/>
        </w:rPr>
      </w:pPr>
      <w:r w:rsidRPr="00B456BC">
        <w:rPr>
          <w:rFonts w:asciiTheme="minorHAnsi" w:hAnsiTheme="minorHAnsi" w:cstheme="minorHAnsi"/>
          <w:lang w:eastAsia="pl-PL"/>
        </w:rPr>
        <w:t>ornitologicznym: – w okresie marzec-październik, w zakresie:</w:t>
      </w:r>
    </w:p>
    <w:p w:rsidR="0004440C" w:rsidRPr="00B456BC" w:rsidRDefault="0004440C" w:rsidP="00432C5A">
      <w:pPr>
        <w:pStyle w:val="Akapitzlist"/>
        <w:numPr>
          <w:ilvl w:val="0"/>
          <w:numId w:val="34"/>
        </w:numPr>
        <w:spacing w:after="0" w:line="240" w:lineRule="auto"/>
        <w:rPr>
          <w:rFonts w:asciiTheme="minorHAnsi" w:hAnsiTheme="minorHAnsi" w:cstheme="minorHAnsi"/>
          <w:lang w:eastAsia="pl-PL"/>
        </w:rPr>
      </w:pPr>
      <w:r w:rsidRPr="00B456BC">
        <w:rPr>
          <w:rFonts w:asciiTheme="minorHAnsi" w:hAnsiTheme="minorHAnsi" w:cstheme="minorHAnsi"/>
          <w:lang w:eastAsia="pl-PL"/>
        </w:rPr>
        <w:t xml:space="preserve">kontroli obecności zajętych gniazd ptaków w obiektach inżynieryjnych przeznaczonych do modernizacji lub rozbiórki.”; </w:t>
      </w:r>
    </w:p>
    <w:p w:rsidR="0004440C" w:rsidRPr="00B456BC" w:rsidRDefault="0004440C" w:rsidP="00432C5A">
      <w:pPr>
        <w:pStyle w:val="Tytu"/>
        <w:spacing w:before="0" w:line="240" w:lineRule="auto"/>
        <w:ind w:left="357" w:hanging="357"/>
        <w:jc w:val="left"/>
        <w:outlineLvl w:val="9"/>
        <w:rPr>
          <w:rFonts w:asciiTheme="minorHAnsi" w:hAnsiTheme="minorHAnsi" w:cstheme="minorHAnsi"/>
          <w:b w:val="0"/>
          <w:color w:val="auto"/>
          <w:sz w:val="22"/>
          <w:szCs w:val="22"/>
        </w:rPr>
      </w:pPr>
      <w:r w:rsidRPr="00B456BC">
        <w:rPr>
          <w:rFonts w:asciiTheme="minorHAnsi" w:hAnsiTheme="minorHAnsi" w:cstheme="minorHAnsi"/>
          <w:b w:val="0"/>
          <w:color w:val="auto"/>
          <w:sz w:val="22"/>
          <w:szCs w:val="22"/>
        </w:rPr>
        <w:t>uchyla pkt III.3. decyzji w brzmieniu:</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lang w:eastAsia="pl-PL"/>
        </w:rPr>
        <w:t>„Zaprojektować oznakowanie przeźroczystych ścian wiat na peronach, w postaci pionowych pasów o szerokości min. 2 cm, umieszczonych w odległości 10 cm od siebie lub czarnych kropek o średnicy 0,8 cm w odległości 14 mm od siebie (metoda sitodruku), na całej wysokości panelu.”</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i w tym zakresie orzeka:</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lang w:eastAsia="pl-PL"/>
        </w:rPr>
        <w:t>„Zaprojektować oznakowanie przeźroczystych ścian wiat na peronach, w postaci pionowych pasów o szerokości min. 2 cm, umieszczonych w odległości 10 cm od siebie, na całej wysokości panelu.”;</w:t>
      </w:r>
    </w:p>
    <w:p w:rsidR="0004440C" w:rsidRPr="00B456BC" w:rsidRDefault="0004440C" w:rsidP="00432C5A">
      <w:pPr>
        <w:pStyle w:val="Tytu"/>
        <w:spacing w:before="0" w:line="240" w:lineRule="auto"/>
        <w:ind w:left="357" w:hanging="357"/>
        <w:jc w:val="left"/>
        <w:outlineLvl w:val="9"/>
        <w:rPr>
          <w:rFonts w:asciiTheme="minorHAnsi" w:hAnsiTheme="minorHAnsi" w:cstheme="minorHAnsi"/>
          <w:b w:val="0"/>
          <w:color w:val="auto"/>
          <w:sz w:val="22"/>
          <w:szCs w:val="22"/>
        </w:rPr>
      </w:pPr>
      <w:r w:rsidRPr="00B456BC">
        <w:rPr>
          <w:rFonts w:asciiTheme="minorHAnsi" w:hAnsiTheme="minorHAnsi" w:cstheme="minorHAnsi"/>
          <w:b w:val="0"/>
          <w:color w:val="auto"/>
          <w:sz w:val="22"/>
          <w:szCs w:val="22"/>
        </w:rPr>
        <w:t>uchyla pkt III.4. decyzji w brzmieniu:</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lang w:eastAsia="pl-PL"/>
        </w:rPr>
        <w:t>„Należy dostosować przepusty do pełnienia funkcji przejścia dla małych zwierząt, w tym w szczególności płazów, zgodnie z zestawieniem w tabeli 2 i w tabeli 3”</w:t>
      </w:r>
    </w:p>
    <w:p w:rsidR="0004440C" w:rsidRPr="00B456BC" w:rsidRDefault="0004440C" w:rsidP="00432C5A">
      <w:pPr>
        <w:pStyle w:val="Legenda"/>
        <w:keepNext/>
        <w:spacing w:after="0"/>
        <w:rPr>
          <w:rFonts w:asciiTheme="minorHAnsi" w:hAnsiTheme="minorHAnsi" w:cstheme="minorHAnsi"/>
          <w:i w:val="0"/>
          <w:iCs w:val="0"/>
          <w:color w:val="auto"/>
          <w:sz w:val="22"/>
          <w:szCs w:val="22"/>
          <w:lang w:eastAsia="pl-PL"/>
        </w:rPr>
      </w:pPr>
      <w:r w:rsidRPr="00B456BC">
        <w:rPr>
          <w:rFonts w:asciiTheme="minorHAnsi" w:hAnsiTheme="minorHAnsi" w:cstheme="minorHAnsi"/>
          <w:i w:val="0"/>
          <w:iCs w:val="0"/>
          <w:color w:val="auto"/>
          <w:sz w:val="22"/>
          <w:szCs w:val="22"/>
          <w:lang w:eastAsia="pl-PL"/>
        </w:rPr>
        <w:t>Tabela 2.</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494"/>
        <w:gridCol w:w="2053"/>
        <w:gridCol w:w="2693"/>
        <w:gridCol w:w="3969"/>
      </w:tblGrid>
      <w:tr w:rsidR="0004440C" w:rsidRPr="00B456BC" w:rsidTr="00B456BC">
        <w:trPr>
          <w:trHeight w:val="939"/>
          <w:jc w:val="center"/>
        </w:trPr>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Lp.</w:t>
            </w:r>
          </w:p>
        </w:tc>
        <w:tc>
          <w:tcPr>
            <w:tcW w:w="2053"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Typ obiektu kolejowego w km LK148</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Parametry po dostosowaniu</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Półki, współczynnik względnej ciasnoty</w:t>
            </w:r>
          </w:p>
        </w:tc>
      </w:tr>
      <w:tr w:rsidR="0004440C" w:rsidRPr="00B456BC" w:rsidTr="00B456BC">
        <w:trPr>
          <w:trHeight w:val="2114"/>
          <w:jc w:val="center"/>
        </w:trPr>
        <w:tc>
          <w:tcPr>
            <w:tcW w:w="494"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1.</w:t>
            </w:r>
          </w:p>
        </w:tc>
        <w:tc>
          <w:tcPr>
            <w:tcW w:w="2053"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Most w km 5+322 zintegrowany z ciekiem bez nazwy</w:t>
            </w:r>
          </w:p>
        </w:tc>
        <w:tc>
          <w:tcPr>
            <w:tcW w:w="2693"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2,5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5,0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4,9 m</w:t>
            </w:r>
          </w:p>
        </w:tc>
        <w:tc>
          <w:tcPr>
            <w:tcW w:w="3969" w:type="dxa"/>
            <w:tcBorders>
              <w:top w:val="single" w:sz="4" w:space="0" w:color="auto"/>
              <w:left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półki ziemne obustronne (gruntowe pasy terenu powyżej poziomu wody średniej) szerokość minimalna</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 2 x szerokość koryta cieku - nie mniej niż 1,5 m; wysokość minimalna (światło pionowe) od półki do spodu konstrukcji przepustu ≥ 1,5 m; współczynnik względnej ciasnoty: 2,55</w:t>
            </w:r>
          </w:p>
        </w:tc>
      </w:tr>
      <w:tr w:rsidR="0004440C" w:rsidRPr="00B456BC" w:rsidTr="00B456BC">
        <w:trPr>
          <w:trHeight w:val="2116"/>
          <w:jc w:val="center"/>
        </w:trPr>
        <w:tc>
          <w:tcPr>
            <w:tcW w:w="494"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2.</w:t>
            </w:r>
          </w:p>
        </w:tc>
        <w:tc>
          <w:tcPr>
            <w:tcW w:w="2053"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 xml:space="preserve">Most w km 7+074 na strumieniu Stara </w:t>
            </w:r>
            <w:proofErr w:type="spellStart"/>
            <w:r w:rsidRPr="00B456BC">
              <w:rPr>
                <w:rFonts w:asciiTheme="minorHAnsi" w:hAnsiTheme="minorHAnsi" w:cstheme="minorHAnsi"/>
              </w:rPr>
              <w:t>Dokawa</w:t>
            </w:r>
            <w:proofErr w:type="spellEnd"/>
          </w:p>
        </w:tc>
        <w:tc>
          <w:tcPr>
            <w:tcW w:w="2693"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3,5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5,0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4,9 m</w:t>
            </w:r>
          </w:p>
        </w:tc>
        <w:tc>
          <w:tcPr>
            <w:tcW w:w="3969" w:type="dxa"/>
            <w:tcBorders>
              <w:top w:val="single" w:sz="4" w:space="0" w:color="auto"/>
              <w:left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półki ziemne obustronne (gruntowe pasy terenu powyżej poziomu wody średniej) szerokość minimalna</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  2 x szerokość koryta cieku - nie mniej niż 1,0 m; wysokość minimalna (światło pionowe) od półki do spodu konstrukcji przepustu ≥  1,5 m; współczynnik względnej ciasnoty min. 3,57</w:t>
            </w:r>
          </w:p>
        </w:tc>
      </w:tr>
      <w:tr w:rsidR="0004440C" w:rsidRPr="00B456BC" w:rsidTr="00B456BC">
        <w:trPr>
          <w:trHeight w:val="1551"/>
          <w:jc w:val="center"/>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3.</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10+301</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na rowie odwadniającym</w:t>
            </w:r>
          </w:p>
        </w:tc>
        <w:tc>
          <w:tcPr>
            <w:tcW w:w="269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12,0 m</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 xml:space="preserve">parametry minimalne dla pełnienia funkcji przejścia dolnego dla małych zwierząt tj. szer. min. 1,0 m i wys. min. 0,75 m, </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współczynnik względnej ciasnoty min. 0,07</w:t>
            </w:r>
          </w:p>
        </w:tc>
      </w:tr>
      <w:tr w:rsidR="0004440C" w:rsidRPr="00B456BC" w:rsidTr="00B456BC">
        <w:trPr>
          <w:trHeight w:val="1404"/>
          <w:jc w:val="center"/>
        </w:trPr>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lastRenderedPageBreak/>
              <w:t>4.</w:t>
            </w:r>
          </w:p>
        </w:tc>
        <w:tc>
          <w:tcPr>
            <w:tcW w:w="2053"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11+796</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na rowie odwadniającym</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1,5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1,5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w:t>
            </w:r>
          </w:p>
          <w:p w:rsidR="0004440C" w:rsidRPr="00B456BC" w:rsidRDefault="0004440C" w:rsidP="00432C5A">
            <w:pPr>
              <w:pStyle w:val="Other0"/>
              <w:shd w:val="clear" w:color="auto" w:fill="auto"/>
              <w:tabs>
                <w:tab w:val="left" w:pos="403"/>
              </w:tabs>
              <w:spacing w:after="0" w:line="240" w:lineRule="auto"/>
              <w:rPr>
                <w:rFonts w:asciiTheme="minorHAnsi" w:hAnsiTheme="minorHAnsi" w:cstheme="minorHAnsi"/>
              </w:rPr>
            </w:pPr>
            <w:r w:rsidRPr="00B456BC">
              <w:rPr>
                <w:rFonts w:asciiTheme="minorHAnsi" w:hAnsiTheme="minorHAnsi" w:cstheme="minorHAnsi"/>
              </w:rPr>
              <w:t>13,5 m</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posiada parametry minimalne dla pełnienia funkcji przejścia dolnego dla małych zwierząt tj. szer. min. 1,5 m i wys. min. 1,0 m, współczynnik względnej ciasnoty min. 0,07;</w:t>
            </w:r>
          </w:p>
        </w:tc>
      </w:tr>
      <w:tr w:rsidR="0004440C" w:rsidRPr="00B456BC" w:rsidTr="00B456BC">
        <w:trPr>
          <w:trHeight w:val="1551"/>
          <w:jc w:val="center"/>
        </w:trPr>
        <w:tc>
          <w:tcPr>
            <w:tcW w:w="494"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5.</w:t>
            </w:r>
          </w:p>
        </w:tc>
        <w:tc>
          <w:tcPr>
            <w:tcW w:w="2053"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12+187</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na rowie odwadniającym</w:t>
            </w:r>
          </w:p>
        </w:tc>
        <w:tc>
          <w:tcPr>
            <w:tcW w:w="2693"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10,0 m</w:t>
            </w:r>
          </w:p>
        </w:tc>
        <w:tc>
          <w:tcPr>
            <w:tcW w:w="3969" w:type="dxa"/>
            <w:tcBorders>
              <w:top w:val="single" w:sz="4" w:space="0" w:color="auto"/>
              <w:left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posiada parametry minimalne dla pełnienia funkcji przejścia dolnego dla małych zwierząt- dla płazów tj. szer. min. 1,0 m i wys. min. 0,75 m dla przepustów do 20 m; współczynnik względnej ciasnoty: 0,1</w:t>
            </w:r>
          </w:p>
        </w:tc>
      </w:tr>
      <w:tr w:rsidR="0004440C" w:rsidRPr="00B456BC" w:rsidTr="00B456BC">
        <w:trPr>
          <w:trHeight w:val="1969"/>
          <w:jc w:val="center"/>
        </w:trPr>
        <w:tc>
          <w:tcPr>
            <w:tcW w:w="494"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6.</w:t>
            </w:r>
          </w:p>
        </w:tc>
        <w:tc>
          <w:tcPr>
            <w:tcW w:w="2053"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14+340; na rowie odwadniającym</w:t>
            </w:r>
          </w:p>
        </w:tc>
        <w:tc>
          <w:tcPr>
            <w:tcW w:w="2693"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1,5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1,5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10,0 m</w:t>
            </w:r>
          </w:p>
        </w:tc>
        <w:tc>
          <w:tcPr>
            <w:tcW w:w="3969" w:type="dxa"/>
            <w:tcBorders>
              <w:top w:val="single" w:sz="4" w:space="0" w:color="auto"/>
              <w:left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posiada parametry minimalne dla pełnienia funkcji przejścia dolnego dla małych zwierząt, również dla płazów tj. szer. min. 1,5 m i wys. min. 1,5 m dla przepustów dł. do 30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współczynnik względnej ciasnoty:0,07</w:t>
            </w:r>
          </w:p>
        </w:tc>
      </w:tr>
      <w:tr w:rsidR="0004440C" w:rsidRPr="00B456BC" w:rsidTr="00B456BC">
        <w:trPr>
          <w:trHeight w:val="1544"/>
          <w:jc w:val="center"/>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7.</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18+056;</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na rowie odwadniającym</w:t>
            </w:r>
          </w:p>
        </w:tc>
        <w:tc>
          <w:tcPr>
            <w:tcW w:w="269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15,0 m</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posiada parametry minimalne dla pełnienia funkcji przejścia dolnego dla płazów tj. szer. min. 1,0 m i wys. min. 0,75 m dla przepustów do 20 m, współczynnik względnej ciasnoty:0,06</w:t>
            </w:r>
          </w:p>
        </w:tc>
      </w:tr>
      <w:tr w:rsidR="0004440C" w:rsidRPr="00B456BC" w:rsidTr="00B456BC">
        <w:trPr>
          <w:trHeight w:val="1686"/>
          <w:jc w:val="center"/>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8.</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18+564;</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na rowie odwadniającym</w:t>
            </w:r>
          </w:p>
        </w:tc>
        <w:tc>
          <w:tcPr>
            <w:tcW w:w="269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15,0 m</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posiada parametry minimalne dla pełnienia funkcji przejścia dolnego dla płazów tj. szer. min. 1,0 m i wys. min. 0,75 m dla przepustów do 20 m; współczynnik względnej ciasnoty:0,06</w:t>
            </w:r>
          </w:p>
        </w:tc>
      </w:tr>
      <w:tr w:rsidR="0004440C" w:rsidRPr="00B456BC" w:rsidTr="00B456BC">
        <w:trPr>
          <w:trHeight w:val="1553"/>
          <w:jc w:val="center"/>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9.</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sklepiony żelbetowy/ ramowy żelbetowy w km 20+861</w:t>
            </w:r>
          </w:p>
        </w:tc>
        <w:tc>
          <w:tcPr>
            <w:tcW w:w="269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2,0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2,0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19,0 m</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 xml:space="preserve">posiada parametry minimalne dla pełnienia funkcji przejścia dolnego dla małych zwierząt tj. szer. min. 1,5 m i wys. min. 1,0 m; </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współczynnik względnej ciasnoty: 0,2</w:t>
            </w:r>
          </w:p>
        </w:tc>
      </w:tr>
      <w:tr w:rsidR="0004440C" w:rsidRPr="00B456BC" w:rsidTr="00B456BC">
        <w:trPr>
          <w:trHeight w:val="2256"/>
          <w:jc w:val="center"/>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10.</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Most w km 21+121</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Zintegrowany z rzeką Rudą</w:t>
            </w:r>
          </w:p>
        </w:tc>
        <w:tc>
          <w:tcPr>
            <w:tcW w:w="269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2,2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8,5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9,0 m</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półki ziemne (gruntowe pasy terenu powyżej poziomu wody średniej) szerokość minimalna &gt; 2 x szerokość koryta cieku - nie mniej niż 1,0 m; wysokość minimalna (światło pionowe) od półki do spodu konstrukcji przepustu ≥ 1,5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współczynnik względnej ciasnoty: 2,08</w:t>
            </w:r>
          </w:p>
        </w:tc>
      </w:tr>
    </w:tbl>
    <w:p w:rsidR="0004440C" w:rsidRPr="00B456BC" w:rsidRDefault="0004440C" w:rsidP="00432C5A">
      <w:pPr>
        <w:autoSpaceDE w:val="0"/>
        <w:adjustRightInd w:val="0"/>
        <w:spacing w:after="0" w:line="240" w:lineRule="auto"/>
        <w:ind w:left="360"/>
        <w:rPr>
          <w:rFonts w:asciiTheme="minorHAnsi" w:hAnsiTheme="minorHAnsi" w:cstheme="minorHAnsi"/>
          <w:lang w:eastAsia="pl-PL"/>
        </w:rPr>
      </w:pPr>
    </w:p>
    <w:p w:rsidR="0004440C" w:rsidRPr="00B456BC" w:rsidRDefault="0004440C" w:rsidP="00432C5A">
      <w:pPr>
        <w:pStyle w:val="Legenda"/>
        <w:keepNext/>
        <w:spacing w:after="0"/>
        <w:rPr>
          <w:rFonts w:asciiTheme="minorHAnsi" w:hAnsiTheme="minorHAnsi" w:cstheme="minorHAnsi"/>
          <w:i w:val="0"/>
          <w:iCs w:val="0"/>
          <w:color w:val="auto"/>
          <w:sz w:val="22"/>
          <w:szCs w:val="22"/>
          <w:lang w:eastAsia="pl-PL"/>
        </w:rPr>
      </w:pPr>
      <w:r w:rsidRPr="00B456BC">
        <w:rPr>
          <w:rFonts w:asciiTheme="minorHAnsi" w:hAnsiTheme="minorHAnsi" w:cstheme="minorHAnsi"/>
          <w:i w:val="0"/>
          <w:iCs w:val="0"/>
          <w:color w:val="auto"/>
          <w:sz w:val="22"/>
          <w:szCs w:val="22"/>
          <w:lang w:eastAsia="pl-PL"/>
        </w:rPr>
        <w:t>Tabela 3.</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906"/>
        <w:gridCol w:w="2760"/>
        <w:gridCol w:w="2850"/>
        <w:gridCol w:w="2693"/>
      </w:tblGrid>
      <w:tr w:rsidR="0004440C" w:rsidRPr="00B456BC" w:rsidTr="00B456BC">
        <w:trPr>
          <w:trHeight w:val="880"/>
          <w:jc w:val="center"/>
        </w:trPr>
        <w:tc>
          <w:tcPr>
            <w:tcW w:w="906"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Lp.</w:t>
            </w:r>
          </w:p>
        </w:tc>
        <w:tc>
          <w:tcPr>
            <w:tcW w:w="2760"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Typ obiektu drogowego w km LK148</w:t>
            </w:r>
          </w:p>
        </w:tc>
        <w:tc>
          <w:tcPr>
            <w:tcW w:w="2850"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Parametry po dostosowaniu</w:t>
            </w:r>
          </w:p>
        </w:tc>
        <w:tc>
          <w:tcPr>
            <w:tcW w:w="2693" w:type="dxa"/>
            <w:tcBorders>
              <w:top w:val="single" w:sz="4" w:space="0" w:color="auto"/>
              <w:left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Półki, współczynnik względnej ciasnoty</w:t>
            </w:r>
          </w:p>
        </w:tc>
      </w:tr>
      <w:tr w:rsidR="0004440C" w:rsidRPr="00B456BC" w:rsidTr="00B456BC">
        <w:trPr>
          <w:trHeight w:val="1558"/>
          <w:jc w:val="center"/>
        </w:trPr>
        <w:tc>
          <w:tcPr>
            <w:tcW w:w="906"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lastRenderedPageBreak/>
              <w:t>1.</w:t>
            </w:r>
          </w:p>
        </w:tc>
        <w:tc>
          <w:tcPr>
            <w:tcW w:w="2760"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w km 5,501 str. lewa na rowie odwadniającym</w:t>
            </w:r>
          </w:p>
        </w:tc>
        <w:tc>
          <w:tcPr>
            <w:tcW w:w="2850"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konstrukcja gruntowo - powłokowa, (rura stalowa) szer. min. 1 m i wys. min. 0,75 m dla przepustów do 20 m,</w:t>
            </w:r>
          </w:p>
        </w:tc>
        <w:tc>
          <w:tcPr>
            <w:tcW w:w="2693" w:type="dxa"/>
            <w:tcBorders>
              <w:top w:val="single" w:sz="4" w:space="0" w:color="auto"/>
              <w:left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współczynnik względnej ciasnoty: 0,06</w:t>
            </w:r>
          </w:p>
        </w:tc>
      </w:tr>
      <w:tr w:rsidR="0004440C" w:rsidRPr="00B456BC" w:rsidTr="00B456BC">
        <w:trPr>
          <w:trHeight w:val="1538"/>
          <w:jc w:val="center"/>
        </w:trPr>
        <w:tc>
          <w:tcPr>
            <w:tcW w:w="906"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2.</w:t>
            </w:r>
          </w:p>
        </w:tc>
        <w:tc>
          <w:tcPr>
            <w:tcW w:w="2760"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km 11,541 str. prawa na rowie odwadniającym</w:t>
            </w:r>
          </w:p>
        </w:tc>
        <w:tc>
          <w:tcPr>
            <w:tcW w:w="2850"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konstrukcja gruntowo - powłokowa, (rura stalowa) szer. min. 1 m i wys. min. 0,75 m dla przepustów do 20 m.</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współczynnik względnej ciasnoty: 0,06</w:t>
            </w:r>
          </w:p>
        </w:tc>
      </w:tr>
    </w:tbl>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i w tym zakresie orzeka:</w:t>
      </w:r>
    </w:p>
    <w:p w:rsidR="0004440C" w:rsidRPr="00B456BC" w:rsidRDefault="0004440C" w:rsidP="00432C5A">
      <w:pPr>
        <w:spacing w:after="0" w:line="240" w:lineRule="auto"/>
        <w:rPr>
          <w:rFonts w:asciiTheme="minorHAnsi" w:hAnsiTheme="minorHAnsi" w:cstheme="minorHAnsi"/>
          <w:lang w:eastAsia="pl-PL"/>
        </w:rPr>
      </w:pPr>
      <w:r w:rsidRPr="00B456BC">
        <w:rPr>
          <w:rFonts w:asciiTheme="minorHAnsi" w:hAnsiTheme="minorHAnsi" w:cstheme="minorHAnsi"/>
          <w:lang w:eastAsia="pl-PL"/>
        </w:rPr>
        <w:t>„Należy dostosować przepusty do pełnienia funkcji przejścia dla małych zwierząt, w tym w szczególności płazów, zgodnie z zestawieniem w tabeli 2 i w tabeli 3”</w:t>
      </w:r>
    </w:p>
    <w:p w:rsidR="0004440C" w:rsidRPr="00B456BC" w:rsidRDefault="0004440C" w:rsidP="00432C5A">
      <w:pPr>
        <w:pStyle w:val="Legenda"/>
        <w:keepNext/>
        <w:spacing w:after="0"/>
        <w:rPr>
          <w:rFonts w:asciiTheme="minorHAnsi" w:hAnsiTheme="minorHAnsi" w:cstheme="minorHAnsi"/>
          <w:i w:val="0"/>
          <w:iCs w:val="0"/>
          <w:color w:val="auto"/>
          <w:sz w:val="22"/>
          <w:szCs w:val="22"/>
          <w:lang w:eastAsia="pl-PL"/>
        </w:rPr>
      </w:pPr>
      <w:r w:rsidRPr="00B456BC">
        <w:rPr>
          <w:rFonts w:asciiTheme="minorHAnsi" w:hAnsiTheme="minorHAnsi" w:cstheme="minorHAnsi"/>
          <w:i w:val="0"/>
          <w:iCs w:val="0"/>
          <w:color w:val="auto"/>
          <w:sz w:val="22"/>
          <w:szCs w:val="22"/>
          <w:lang w:eastAsia="pl-PL"/>
        </w:rPr>
        <w:t>Tabela 2</w:t>
      </w:r>
    </w:p>
    <w:tbl>
      <w:tblPr>
        <w:tblpPr w:leftFromText="141" w:rightFromText="141" w:vertAnchor="text" w:horzAnchor="margin" w:tblpY="283"/>
        <w:tblOverlap w:val="never"/>
        <w:tblW w:w="9209" w:type="dxa"/>
        <w:tblLayout w:type="fixed"/>
        <w:tblCellMar>
          <w:left w:w="10" w:type="dxa"/>
          <w:right w:w="10" w:type="dxa"/>
        </w:tblCellMar>
        <w:tblLook w:val="04A0" w:firstRow="1" w:lastRow="0" w:firstColumn="1" w:lastColumn="0" w:noHBand="0" w:noVBand="1"/>
      </w:tblPr>
      <w:tblGrid>
        <w:gridCol w:w="494"/>
        <w:gridCol w:w="2053"/>
        <w:gridCol w:w="2410"/>
        <w:gridCol w:w="4252"/>
      </w:tblGrid>
      <w:tr w:rsidR="0004440C" w:rsidRPr="00B456BC" w:rsidTr="00FA7764">
        <w:trPr>
          <w:trHeight w:hRule="exact" w:val="1010"/>
        </w:trPr>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Lp.</w:t>
            </w:r>
          </w:p>
        </w:tc>
        <w:tc>
          <w:tcPr>
            <w:tcW w:w="2053"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Typ obiektu kolejowego w km LK148</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Parametry po dostosowaniu</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Półki, współczynnik względnej ciasnoty</w:t>
            </w:r>
          </w:p>
        </w:tc>
      </w:tr>
      <w:tr w:rsidR="0004440C" w:rsidRPr="00B456BC" w:rsidTr="00FA7764">
        <w:trPr>
          <w:trHeight w:hRule="exact" w:val="2284"/>
        </w:trPr>
        <w:tc>
          <w:tcPr>
            <w:tcW w:w="494"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1.</w:t>
            </w:r>
          </w:p>
        </w:tc>
        <w:tc>
          <w:tcPr>
            <w:tcW w:w="2053"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Most w km 5+322 zintegrowany z ciekiem bez nazwy;</w:t>
            </w:r>
          </w:p>
        </w:tc>
        <w:tc>
          <w:tcPr>
            <w:tcW w:w="2410"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minimalna wysokość 2,5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minimalna szerokość 5,0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ok. 4,9 m</w:t>
            </w:r>
          </w:p>
        </w:tc>
        <w:tc>
          <w:tcPr>
            <w:tcW w:w="4252" w:type="dxa"/>
            <w:tcBorders>
              <w:top w:val="single" w:sz="4" w:space="0" w:color="auto"/>
              <w:left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Półki ziemne obustronne (gruntowe pasy terenu powyżej poziomu wody średniej) szerokość minimalna ≥ 2 x szerokość koryta cieku - nie mniej niż 1,5 m; wysokość minimalna (światło pionowe) od półki do spodu konstrukcji przepustu ≥ 1,5 m; współczynnik względnej ciasnoty: 2,55</w:t>
            </w:r>
          </w:p>
        </w:tc>
      </w:tr>
      <w:tr w:rsidR="0004440C" w:rsidRPr="00B456BC" w:rsidTr="00FA7764">
        <w:trPr>
          <w:trHeight w:hRule="exact" w:val="2401"/>
        </w:trPr>
        <w:tc>
          <w:tcPr>
            <w:tcW w:w="494"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2.</w:t>
            </w:r>
          </w:p>
        </w:tc>
        <w:tc>
          <w:tcPr>
            <w:tcW w:w="2053"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 xml:space="preserve">Most w km 7+074 na strumieniu Stara </w:t>
            </w:r>
            <w:proofErr w:type="spellStart"/>
            <w:r w:rsidRPr="00B456BC">
              <w:rPr>
                <w:rFonts w:asciiTheme="minorHAnsi" w:hAnsiTheme="minorHAnsi" w:cstheme="minorHAnsi"/>
              </w:rPr>
              <w:t>Dokawa</w:t>
            </w:r>
            <w:proofErr w:type="spellEnd"/>
            <w:r w:rsidRPr="00B456BC">
              <w:rPr>
                <w:rFonts w:asciiTheme="minorHAnsi" w:hAnsiTheme="minorHAnsi" w:cstheme="minorHAnsi"/>
              </w:rPr>
              <w:t>;</w:t>
            </w:r>
          </w:p>
        </w:tc>
        <w:tc>
          <w:tcPr>
            <w:tcW w:w="2410"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minimalna wysokość 3,5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minimalna szerokość 5,0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ok. 4,9 m</w:t>
            </w:r>
          </w:p>
        </w:tc>
        <w:tc>
          <w:tcPr>
            <w:tcW w:w="4252" w:type="dxa"/>
            <w:tcBorders>
              <w:top w:val="single" w:sz="4" w:space="0" w:color="auto"/>
              <w:left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Półki ziemne obustronne (gruntowe pasy terenu powyżej poziomu wody średniej) szerokość minimalna ≥ 2 x szerokość koryta cieku - nie mniej niż 1,0 m; wysokość minimalna (światło pionowe) od półki do spodu konstrukcji przepustu ≥ 1,5 m; współczynnik względnej ciasnoty min. 3,57</w:t>
            </w:r>
          </w:p>
        </w:tc>
      </w:tr>
      <w:tr w:rsidR="0004440C" w:rsidRPr="00B456BC" w:rsidTr="00FA7764">
        <w:trPr>
          <w:trHeight w:hRule="exact" w:val="2265"/>
        </w:trPr>
        <w:tc>
          <w:tcPr>
            <w:tcW w:w="494"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3.</w:t>
            </w:r>
          </w:p>
        </w:tc>
        <w:tc>
          <w:tcPr>
            <w:tcW w:w="2053"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10+301 na rowie odwadniającym;</w:t>
            </w:r>
          </w:p>
        </w:tc>
        <w:tc>
          <w:tcPr>
            <w:tcW w:w="2410" w:type="dxa"/>
            <w:tcBorders>
              <w:top w:val="single" w:sz="4" w:space="0" w:color="auto"/>
              <w:lef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minimalna wysokość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minimalna szerokość</w:t>
            </w:r>
            <w:r w:rsidRPr="00B456BC" w:rsidDel="00BB0272">
              <w:rPr>
                <w:rFonts w:asciiTheme="minorHAnsi" w:hAnsiTheme="minorHAnsi" w:cstheme="minorHAnsi"/>
              </w:rPr>
              <w:t xml:space="preserve"> </w:t>
            </w:r>
            <w:r w:rsidRPr="00B456BC">
              <w:rPr>
                <w:rFonts w:asciiTheme="minorHAnsi" w:hAnsiTheme="minorHAnsi" w:cstheme="minorHAnsi"/>
              </w:rPr>
              <w:t>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ok. 12,0 m</w:t>
            </w:r>
          </w:p>
        </w:tc>
        <w:tc>
          <w:tcPr>
            <w:tcW w:w="4252" w:type="dxa"/>
            <w:tcBorders>
              <w:top w:val="single" w:sz="4" w:space="0" w:color="auto"/>
              <w:left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Parametry minimalne dla pełnienia funkcji przejścia dolnego dla małych zwierząt tj. szerokość minimalna 1,0 m i wysokość minimalna 0,75 m, współczynnik względnej ciasnoty minimum 0,07</w:t>
            </w:r>
          </w:p>
        </w:tc>
      </w:tr>
      <w:tr w:rsidR="0004440C" w:rsidRPr="00B456BC" w:rsidTr="00FA7764">
        <w:trPr>
          <w:trHeight w:hRule="exact" w:val="2127"/>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lastRenderedPageBreak/>
              <w:t>4.</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11+796 na rowie odwadniającym;</w:t>
            </w:r>
          </w:p>
        </w:tc>
        <w:tc>
          <w:tcPr>
            <w:tcW w:w="2410"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minimalna wysokość 1,5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minimalna  szerokość</w:t>
            </w:r>
            <w:r w:rsidRPr="00B456BC" w:rsidDel="00BB0272">
              <w:rPr>
                <w:rFonts w:asciiTheme="minorHAnsi" w:hAnsiTheme="minorHAnsi" w:cstheme="minorHAnsi"/>
              </w:rPr>
              <w:t xml:space="preserve"> </w:t>
            </w:r>
            <w:r w:rsidRPr="00B456BC">
              <w:rPr>
                <w:rFonts w:asciiTheme="minorHAnsi" w:hAnsiTheme="minorHAnsi" w:cstheme="minorHAnsi"/>
              </w:rPr>
              <w:t xml:space="preserve"> 1,5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ok. 13,5 m</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Posiada parametry minimalne dla pełnienia funkcji przejścia dolnego dla małych zwierząt tj. szerokość minimalna 1,5 m i wysokość minimalna 1,0 m, współczynnik względnej ciasnoty minimum 0,07</w:t>
            </w:r>
          </w:p>
        </w:tc>
      </w:tr>
      <w:tr w:rsidR="0004440C" w:rsidRPr="00B456BC" w:rsidTr="00FA7764">
        <w:trPr>
          <w:trHeight w:hRule="exact" w:val="2421"/>
        </w:trPr>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5.</w:t>
            </w:r>
          </w:p>
        </w:tc>
        <w:tc>
          <w:tcPr>
            <w:tcW w:w="2053"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12+187 na rowie odwadniającym;</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minimalna wysokość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minimalna  szerokość</w:t>
            </w:r>
            <w:r w:rsidRPr="00B456BC" w:rsidDel="00BB0272">
              <w:rPr>
                <w:rFonts w:asciiTheme="minorHAnsi" w:hAnsiTheme="minorHAnsi" w:cstheme="minorHAnsi"/>
              </w:rPr>
              <w:t xml:space="preserve"> </w:t>
            </w:r>
            <w:r w:rsidRPr="00B456BC">
              <w:rPr>
                <w:rFonts w:asciiTheme="minorHAnsi" w:hAnsiTheme="minorHAnsi" w:cstheme="minorHAnsi"/>
              </w:rPr>
              <w:t xml:space="preserve">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ok. 10,0 m</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Posiada parametry minimalne dla pełnienia funkcji przejścia dolnego dla małych zwierząt - dla płazów tj. szerokość minimalna 1,0 m i wysokość minimalna 0,75 m dla przepustów długości do 20 m; współczynnik względnej ciasnoty: 0,1</w:t>
            </w:r>
          </w:p>
        </w:tc>
      </w:tr>
      <w:tr w:rsidR="0004440C" w:rsidRPr="00B456BC" w:rsidTr="00FA7764">
        <w:trPr>
          <w:trHeight w:hRule="exact" w:val="2370"/>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6.</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14+340 na rowie odwadniającym;</w:t>
            </w:r>
          </w:p>
        </w:tc>
        <w:tc>
          <w:tcPr>
            <w:tcW w:w="2410"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minimalna wysokość 1,5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minimalna  szerokość</w:t>
            </w:r>
            <w:r w:rsidRPr="00B456BC" w:rsidDel="00BB0272">
              <w:rPr>
                <w:rFonts w:asciiTheme="minorHAnsi" w:hAnsiTheme="minorHAnsi" w:cstheme="minorHAnsi"/>
              </w:rPr>
              <w:t xml:space="preserve"> </w:t>
            </w:r>
            <w:r w:rsidRPr="00B456BC">
              <w:rPr>
                <w:rFonts w:asciiTheme="minorHAnsi" w:hAnsiTheme="minorHAnsi" w:cstheme="minorHAnsi"/>
              </w:rPr>
              <w:t xml:space="preserve"> 1,5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ok. 10,0 m</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Posiada parametry minimalne dla pełnienia funkcji przejścia dolnego dla małych zwierząt, również dla płazów tj. szerokość minimalna 1,5 m i wysokość minimalna 1,5 m dla przepustów długości do 30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współczynnik względnej ciasnoty: 0,07</w:t>
            </w:r>
          </w:p>
        </w:tc>
      </w:tr>
      <w:tr w:rsidR="00FA7764" w:rsidRPr="00B456BC" w:rsidTr="00FA7764">
        <w:trPr>
          <w:trHeight w:hRule="exact" w:val="5"/>
        </w:trPr>
        <w:tc>
          <w:tcPr>
            <w:tcW w:w="494" w:type="dxa"/>
            <w:tcBorders>
              <w:top w:val="single" w:sz="4" w:space="0" w:color="auto"/>
              <w:left w:val="single" w:sz="4" w:space="0" w:color="auto"/>
              <w:bottom w:val="single" w:sz="4" w:space="0" w:color="auto"/>
            </w:tcBorders>
            <w:shd w:val="clear" w:color="auto" w:fill="FFFFFF"/>
            <w:vAlign w:val="center"/>
          </w:tcPr>
          <w:p w:rsidR="00FA7764" w:rsidRPr="00B456BC" w:rsidRDefault="00FA7764" w:rsidP="00432C5A">
            <w:pPr>
              <w:pStyle w:val="Other0"/>
              <w:shd w:val="clear" w:color="auto" w:fill="auto"/>
              <w:spacing w:after="0" w:line="240" w:lineRule="auto"/>
              <w:rPr>
                <w:rFonts w:asciiTheme="minorHAnsi" w:hAnsiTheme="minorHAnsi" w:cstheme="minorHAnsi"/>
              </w:rPr>
            </w:pPr>
          </w:p>
        </w:tc>
        <w:tc>
          <w:tcPr>
            <w:tcW w:w="2053" w:type="dxa"/>
            <w:tcBorders>
              <w:top w:val="single" w:sz="4" w:space="0" w:color="auto"/>
              <w:left w:val="single" w:sz="4" w:space="0" w:color="auto"/>
              <w:bottom w:val="single" w:sz="4" w:space="0" w:color="auto"/>
            </w:tcBorders>
            <w:shd w:val="clear" w:color="auto" w:fill="FFFFFF"/>
            <w:vAlign w:val="center"/>
          </w:tcPr>
          <w:p w:rsidR="00FA7764" w:rsidRPr="00B456BC" w:rsidRDefault="00FA7764" w:rsidP="00432C5A">
            <w:pPr>
              <w:pStyle w:val="Other0"/>
              <w:shd w:val="clear" w:color="auto" w:fill="auto"/>
              <w:spacing w:after="0" w:line="240" w:lineRule="auto"/>
              <w:rPr>
                <w:rFonts w:asciiTheme="minorHAnsi" w:hAnsiTheme="minorHAnsi" w:cstheme="minorHAnsi"/>
              </w:rPr>
            </w:pPr>
          </w:p>
        </w:tc>
        <w:tc>
          <w:tcPr>
            <w:tcW w:w="2410" w:type="dxa"/>
            <w:tcBorders>
              <w:top w:val="single" w:sz="4" w:space="0" w:color="auto"/>
              <w:left w:val="single" w:sz="4" w:space="0" w:color="auto"/>
              <w:bottom w:val="single" w:sz="4" w:space="0" w:color="auto"/>
            </w:tcBorders>
            <w:shd w:val="clear" w:color="auto" w:fill="FFFFFF"/>
            <w:vAlign w:val="center"/>
          </w:tcPr>
          <w:p w:rsidR="00FA7764" w:rsidRPr="00B456BC" w:rsidRDefault="00FA7764" w:rsidP="00432C5A">
            <w:pPr>
              <w:pStyle w:val="Other0"/>
              <w:shd w:val="clear" w:color="auto" w:fill="auto"/>
              <w:spacing w:after="0" w:line="240" w:lineRule="auto"/>
              <w:rPr>
                <w:rFonts w:asciiTheme="minorHAnsi" w:hAnsiTheme="minorHAnsi" w:cstheme="minorHAnsi"/>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FA7764" w:rsidRPr="00B456BC" w:rsidRDefault="00FA7764" w:rsidP="00432C5A">
            <w:pPr>
              <w:pStyle w:val="Other0"/>
              <w:shd w:val="clear" w:color="auto" w:fill="auto"/>
              <w:spacing w:after="0" w:line="240" w:lineRule="auto"/>
              <w:rPr>
                <w:rFonts w:asciiTheme="minorHAnsi" w:hAnsiTheme="minorHAnsi" w:cstheme="minorHAnsi"/>
              </w:rPr>
            </w:pPr>
          </w:p>
        </w:tc>
      </w:tr>
      <w:tr w:rsidR="00FA7764" w:rsidRPr="00B456BC" w:rsidTr="00FA7764">
        <w:trPr>
          <w:trHeight w:hRule="exact" w:val="17"/>
        </w:trPr>
        <w:tc>
          <w:tcPr>
            <w:tcW w:w="494" w:type="dxa"/>
            <w:tcBorders>
              <w:top w:val="single" w:sz="4" w:space="0" w:color="auto"/>
              <w:left w:val="single" w:sz="4" w:space="0" w:color="auto"/>
            </w:tcBorders>
            <w:shd w:val="clear" w:color="auto" w:fill="FFFFFF"/>
            <w:vAlign w:val="center"/>
          </w:tcPr>
          <w:p w:rsidR="00FA7764" w:rsidRPr="00B456BC" w:rsidRDefault="00FA7764" w:rsidP="00432C5A">
            <w:pPr>
              <w:pStyle w:val="Other0"/>
              <w:shd w:val="clear" w:color="auto" w:fill="auto"/>
              <w:spacing w:after="0" w:line="240" w:lineRule="auto"/>
              <w:rPr>
                <w:rFonts w:asciiTheme="minorHAnsi" w:hAnsiTheme="minorHAnsi" w:cstheme="minorHAnsi"/>
              </w:rPr>
            </w:pPr>
          </w:p>
        </w:tc>
        <w:tc>
          <w:tcPr>
            <w:tcW w:w="2053" w:type="dxa"/>
            <w:tcBorders>
              <w:top w:val="single" w:sz="4" w:space="0" w:color="auto"/>
              <w:left w:val="single" w:sz="4" w:space="0" w:color="auto"/>
            </w:tcBorders>
            <w:shd w:val="clear" w:color="auto" w:fill="FFFFFF"/>
            <w:vAlign w:val="center"/>
          </w:tcPr>
          <w:p w:rsidR="00FA7764" w:rsidRPr="00B456BC" w:rsidRDefault="00FA7764" w:rsidP="00432C5A">
            <w:pPr>
              <w:pStyle w:val="Other0"/>
              <w:shd w:val="clear" w:color="auto" w:fill="auto"/>
              <w:spacing w:after="0" w:line="240" w:lineRule="auto"/>
              <w:rPr>
                <w:rFonts w:asciiTheme="minorHAnsi" w:hAnsiTheme="minorHAnsi" w:cstheme="minorHAnsi"/>
              </w:rPr>
            </w:pPr>
          </w:p>
        </w:tc>
        <w:tc>
          <w:tcPr>
            <w:tcW w:w="2410" w:type="dxa"/>
            <w:tcBorders>
              <w:top w:val="single" w:sz="4" w:space="0" w:color="auto"/>
              <w:left w:val="single" w:sz="4" w:space="0" w:color="auto"/>
            </w:tcBorders>
            <w:shd w:val="clear" w:color="auto" w:fill="FFFFFF"/>
            <w:vAlign w:val="center"/>
          </w:tcPr>
          <w:p w:rsidR="00FA7764" w:rsidRPr="00B456BC" w:rsidRDefault="00FA7764" w:rsidP="00432C5A">
            <w:pPr>
              <w:pStyle w:val="Other0"/>
              <w:shd w:val="clear" w:color="auto" w:fill="auto"/>
              <w:spacing w:after="0" w:line="240" w:lineRule="auto"/>
              <w:rPr>
                <w:rFonts w:asciiTheme="minorHAnsi" w:hAnsiTheme="minorHAnsi" w:cstheme="minorHAnsi"/>
              </w:rPr>
            </w:pPr>
          </w:p>
        </w:tc>
        <w:tc>
          <w:tcPr>
            <w:tcW w:w="4252" w:type="dxa"/>
            <w:tcBorders>
              <w:top w:val="single" w:sz="4" w:space="0" w:color="auto"/>
              <w:left w:val="single" w:sz="4" w:space="0" w:color="auto"/>
              <w:right w:val="single" w:sz="4" w:space="0" w:color="auto"/>
            </w:tcBorders>
            <w:shd w:val="clear" w:color="auto" w:fill="FFFFFF"/>
            <w:vAlign w:val="center"/>
          </w:tcPr>
          <w:p w:rsidR="00FA7764" w:rsidRPr="00B456BC" w:rsidRDefault="00FA7764" w:rsidP="00432C5A">
            <w:pPr>
              <w:pStyle w:val="Other0"/>
              <w:shd w:val="clear" w:color="auto" w:fill="auto"/>
              <w:spacing w:after="0" w:line="240" w:lineRule="auto"/>
              <w:rPr>
                <w:rFonts w:asciiTheme="minorHAnsi" w:hAnsiTheme="minorHAnsi" w:cstheme="minorHAnsi"/>
              </w:rPr>
            </w:pPr>
          </w:p>
        </w:tc>
      </w:tr>
      <w:tr w:rsidR="0004440C" w:rsidRPr="00B456BC" w:rsidTr="00FA7764">
        <w:trPr>
          <w:trHeight w:hRule="exact" w:val="2405"/>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7.</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18+056 na rowie odwadniającym;</w:t>
            </w:r>
          </w:p>
        </w:tc>
        <w:tc>
          <w:tcPr>
            <w:tcW w:w="2410"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minimalna wysokość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minimalna  szerokość</w:t>
            </w:r>
            <w:r w:rsidRPr="00B456BC" w:rsidDel="00BB0272">
              <w:rPr>
                <w:rFonts w:asciiTheme="minorHAnsi" w:hAnsiTheme="minorHAnsi" w:cstheme="minorHAnsi"/>
              </w:rPr>
              <w:t xml:space="preserve"> </w:t>
            </w:r>
            <w:r w:rsidRPr="00B456BC">
              <w:rPr>
                <w:rFonts w:asciiTheme="minorHAnsi" w:hAnsiTheme="minorHAnsi" w:cstheme="minorHAnsi"/>
              </w:rPr>
              <w:t xml:space="preserve">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ok. 15,0 m</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Posiada parametry minimalne dla pełnienia funkcji przejścia dolnego dla płazów tj. szerokość minimalna 1,0 m i wysokość minimalna 0,75 m dla przepustów długości do 20 m, współczynnik względnej ciasnoty: minimum 0,06</w:t>
            </w:r>
          </w:p>
        </w:tc>
      </w:tr>
      <w:tr w:rsidR="0004440C" w:rsidRPr="00B456BC" w:rsidTr="00FA7764">
        <w:trPr>
          <w:trHeight w:hRule="exact" w:val="2410"/>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8.</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ramowy żelbetowy w km 18+564 na rowie odwadniającym;</w:t>
            </w:r>
          </w:p>
        </w:tc>
        <w:tc>
          <w:tcPr>
            <w:tcW w:w="2410"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minimalna wysokość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minimalna szerokość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ok. 15,0 m</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Posiada parametry minimalne dla pełnienia funkcji przejścia dolnego dla płazów tj. szerokość minimum 1,0 m i wysokość minimum 0,75 m dla przepustów długości do 20 m; współczynnik względnej ciasnoty: minimum 0,06</w:t>
            </w:r>
          </w:p>
        </w:tc>
      </w:tr>
      <w:tr w:rsidR="0004440C" w:rsidRPr="00B456BC" w:rsidTr="00FA7764">
        <w:trPr>
          <w:trHeight w:hRule="exact" w:val="2281"/>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lastRenderedPageBreak/>
              <w:t>9.</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sklepiony żelbetowy/ ramowy żelbetowy w km 20+861;</w:t>
            </w:r>
          </w:p>
        </w:tc>
        <w:tc>
          <w:tcPr>
            <w:tcW w:w="2410"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minimalna wysokość 2,0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minimalna  szerokość</w:t>
            </w:r>
            <w:r w:rsidRPr="00B456BC" w:rsidDel="00BB0272">
              <w:rPr>
                <w:rFonts w:asciiTheme="minorHAnsi" w:hAnsiTheme="minorHAnsi" w:cstheme="minorHAnsi"/>
              </w:rPr>
              <w:t xml:space="preserve"> </w:t>
            </w:r>
            <w:r w:rsidRPr="00B456BC">
              <w:rPr>
                <w:rFonts w:asciiTheme="minorHAnsi" w:hAnsiTheme="minorHAnsi" w:cstheme="minorHAnsi"/>
              </w:rPr>
              <w:t xml:space="preserve"> 2,0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ok. 19,0 m</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Posiada parametry minimalne dla pełnienia funkcji przejścia dolnego dla małych zwierząt tj. szerokość minimum 1,5 m i wysokość minimum 1,0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współczynnik względnej ciasnoty: minimum 0,2</w:t>
            </w:r>
          </w:p>
        </w:tc>
      </w:tr>
      <w:tr w:rsidR="0004440C" w:rsidRPr="00B456BC" w:rsidTr="00FA7764">
        <w:trPr>
          <w:trHeight w:hRule="exact" w:val="2412"/>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10.</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Most w km 21+121</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Zintegrowany z rzeką Rudą;</w:t>
            </w:r>
          </w:p>
        </w:tc>
        <w:tc>
          <w:tcPr>
            <w:tcW w:w="2410"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minimalna wysokość 2,2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minimalna  szerokość</w:t>
            </w:r>
            <w:r w:rsidRPr="00B456BC" w:rsidDel="00BB0272">
              <w:rPr>
                <w:rFonts w:asciiTheme="minorHAnsi" w:hAnsiTheme="minorHAnsi" w:cstheme="minorHAnsi"/>
              </w:rPr>
              <w:t xml:space="preserve"> </w:t>
            </w:r>
            <w:r w:rsidRPr="00B456BC">
              <w:rPr>
                <w:rFonts w:asciiTheme="minorHAnsi" w:hAnsiTheme="minorHAnsi" w:cstheme="minorHAnsi"/>
              </w:rPr>
              <w:t xml:space="preserve"> 8,5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Długość eksploatacyjna: ok. 9,0 m</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Półki ziemne (gruntowe pasy terenu powyżej poziomu wody średniej) szerokość minimalna  ≥ 2 x szerokość koryta cieku - nie mniej niż 1,0 m; wysokość minimalna (światło pionowe) od półki do spodu konstrukcji przepustu ≥ 1,5 m; współczynnik względnej ciasnoty: minimum 2,08</w:t>
            </w:r>
          </w:p>
        </w:tc>
      </w:tr>
      <w:tr w:rsidR="0004440C" w:rsidRPr="00B456BC" w:rsidTr="00FA7764">
        <w:trPr>
          <w:trHeight w:hRule="exact" w:val="2122"/>
        </w:trPr>
        <w:tc>
          <w:tcPr>
            <w:tcW w:w="494"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11.</w:t>
            </w:r>
          </w:p>
        </w:tc>
        <w:tc>
          <w:tcPr>
            <w:tcW w:w="2053"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Most w km 12+894 – 12+907 zintegrowany z ciekiem bez nazwy;</w:t>
            </w:r>
          </w:p>
        </w:tc>
        <w:tc>
          <w:tcPr>
            <w:tcW w:w="2410" w:type="dxa"/>
            <w:tcBorders>
              <w:top w:val="single" w:sz="4" w:space="0" w:color="auto"/>
              <w:left w:val="single" w:sz="4" w:space="0" w:color="auto"/>
              <w:bottom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pionowe: minimalna wysokość 3,5 m;</w:t>
            </w:r>
          </w:p>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Światło poziome: minimalna szerokość 7,5 m</w:t>
            </w: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Półki ziemne obustronne (gruntowe pasy terenu powyżej poziomu wody średniej) szerokość minimalna ≥ 2 x szerokość koryta cieku - nie mniej niż 2,0 m; wysokość minimalna (światło pionowe) od półki do spodu konstrukcji przepustu ≥ 1,5 m</w:t>
            </w:r>
          </w:p>
        </w:tc>
      </w:tr>
    </w:tbl>
    <w:p w:rsidR="0004440C" w:rsidRPr="00B456BC" w:rsidRDefault="0004440C" w:rsidP="00432C5A">
      <w:pPr>
        <w:autoSpaceDE w:val="0"/>
        <w:adjustRightInd w:val="0"/>
        <w:spacing w:after="0" w:line="240" w:lineRule="auto"/>
        <w:ind w:left="360"/>
        <w:rPr>
          <w:rFonts w:asciiTheme="minorHAnsi" w:hAnsiTheme="minorHAnsi" w:cstheme="minorHAnsi"/>
          <w:lang w:eastAsia="pl-PL"/>
        </w:rPr>
      </w:pPr>
    </w:p>
    <w:p w:rsidR="0004440C" w:rsidRPr="00B456BC" w:rsidRDefault="0004440C" w:rsidP="00432C5A">
      <w:pPr>
        <w:pStyle w:val="Legenda"/>
        <w:keepNext/>
        <w:spacing w:after="0"/>
        <w:rPr>
          <w:rFonts w:asciiTheme="minorHAnsi" w:hAnsiTheme="minorHAnsi" w:cstheme="minorHAnsi"/>
          <w:i w:val="0"/>
          <w:iCs w:val="0"/>
          <w:color w:val="auto"/>
          <w:sz w:val="22"/>
          <w:szCs w:val="22"/>
          <w:lang w:eastAsia="pl-PL"/>
        </w:rPr>
      </w:pPr>
      <w:r w:rsidRPr="00B456BC">
        <w:rPr>
          <w:rFonts w:asciiTheme="minorHAnsi" w:hAnsiTheme="minorHAnsi" w:cstheme="minorHAnsi"/>
          <w:i w:val="0"/>
          <w:iCs w:val="0"/>
          <w:color w:val="auto"/>
          <w:sz w:val="22"/>
          <w:szCs w:val="22"/>
          <w:lang w:eastAsia="pl-PL"/>
        </w:rPr>
        <w:t>Tabela 3</w:t>
      </w:r>
    </w:p>
    <w:tbl>
      <w:tblPr>
        <w:tblStyle w:val="Tabela-Siatka"/>
        <w:tblW w:w="9214" w:type="dxa"/>
        <w:tblInd w:w="-5" w:type="dxa"/>
        <w:tblLayout w:type="fixed"/>
        <w:tblLook w:val="04A0" w:firstRow="1" w:lastRow="0" w:firstColumn="1" w:lastColumn="0" w:noHBand="0" w:noVBand="1"/>
      </w:tblPr>
      <w:tblGrid>
        <w:gridCol w:w="567"/>
        <w:gridCol w:w="2835"/>
        <w:gridCol w:w="2694"/>
        <w:gridCol w:w="3118"/>
      </w:tblGrid>
      <w:tr w:rsidR="0004440C" w:rsidRPr="00B456BC" w:rsidTr="00B456BC">
        <w:trPr>
          <w:trHeight w:hRule="exact" w:val="1104"/>
        </w:trPr>
        <w:tc>
          <w:tcPr>
            <w:tcW w:w="567"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Lp.</w:t>
            </w:r>
          </w:p>
        </w:tc>
        <w:tc>
          <w:tcPr>
            <w:tcW w:w="2835"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Typ obiektu drogowego w km LK148</w:t>
            </w:r>
          </w:p>
        </w:tc>
        <w:tc>
          <w:tcPr>
            <w:tcW w:w="2694"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Parametry po dostosowaniu</w:t>
            </w:r>
          </w:p>
        </w:tc>
        <w:tc>
          <w:tcPr>
            <w:tcW w:w="3118"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Półki, współczynnik względnej ciasnoty</w:t>
            </w:r>
          </w:p>
        </w:tc>
      </w:tr>
      <w:tr w:rsidR="0004440C" w:rsidRPr="00B456BC" w:rsidTr="00B456BC">
        <w:trPr>
          <w:trHeight w:hRule="exact" w:val="1706"/>
        </w:trPr>
        <w:tc>
          <w:tcPr>
            <w:tcW w:w="567"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1.</w:t>
            </w:r>
          </w:p>
        </w:tc>
        <w:tc>
          <w:tcPr>
            <w:tcW w:w="2835"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w km 5,501 str. lewa na rowie odwadniającym</w:t>
            </w:r>
          </w:p>
        </w:tc>
        <w:tc>
          <w:tcPr>
            <w:tcW w:w="2694"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konstrukcja gruntowo - powłokowa, (rura stalowa) szer. min. 1 m i wys. min. 0,75 m dla przepustów do 20 m</w:t>
            </w:r>
          </w:p>
        </w:tc>
        <w:tc>
          <w:tcPr>
            <w:tcW w:w="3118"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współczynnik względnej ciasnoty: 0,06</w:t>
            </w:r>
          </w:p>
        </w:tc>
      </w:tr>
      <w:tr w:rsidR="0004440C" w:rsidRPr="00B456BC" w:rsidTr="00B456BC">
        <w:trPr>
          <w:trHeight w:hRule="exact" w:val="1559"/>
        </w:trPr>
        <w:tc>
          <w:tcPr>
            <w:tcW w:w="567"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2.</w:t>
            </w:r>
          </w:p>
        </w:tc>
        <w:tc>
          <w:tcPr>
            <w:tcW w:w="2835"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Przepust km 11,541 str. prawa na rowie odwadniającym</w:t>
            </w:r>
          </w:p>
        </w:tc>
        <w:tc>
          <w:tcPr>
            <w:tcW w:w="2694"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konstrukcja gruntowo - powłokowa, (rura stalowa) szer. min. 1 m i wys. min. 0,75 m dla przepustów do 20 m</w:t>
            </w:r>
          </w:p>
        </w:tc>
        <w:tc>
          <w:tcPr>
            <w:tcW w:w="3118" w:type="dxa"/>
            <w:vAlign w:val="center"/>
          </w:tcPr>
          <w:p w:rsidR="0004440C" w:rsidRPr="00B456BC" w:rsidRDefault="0004440C" w:rsidP="00432C5A">
            <w:pPr>
              <w:pStyle w:val="Other0"/>
              <w:shd w:val="clear" w:color="auto" w:fill="auto"/>
              <w:spacing w:after="0" w:line="240" w:lineRule="auto"/>
              <w:rPr>
                <w:rFonts w:asciiTheme="minorHAnsi" w:hAnsiTheme="minorHAnsi" w:cstheme="minorHAnsi"/>
              </w:rPr>
            </w:pPr>
            <w:r w:rsidRPr="00B456BC">
              <w:rPr>
                <w:rFonts w:asciiTheme="minorHAnsi" w:hAnsiTheme="minorHAnsi" w:cstheme="minorHAnsi"/>
              </w:rPr>
              <w:t>współczynnik względnej ciasnoty: 0,06</w:t>
            </w:r>
          </w:p>
        </w:tc>
      </w:tr>
    </w:tbl>
    <w:p w:rsidR="0004440C" w:rsidRPr="00B456BC" w:rsidRDefault="0004440C" w:rsidP="00432C5A">
      <w:pPr>
        <w:spacing w:after="0" w:line="240" w:lineRule="auto"/>
        <w:rPr>
          <w:rFonts w:asciiTheme="minorHAnsi" w:hAnsiTheme="minorHAnsi" w:cstheme="minorHAnsi"/>
        </w:rPr>
      </w:pPr>
    </w:p>
    <w:p w:rsidR="0004440C" w:rsidRPr="00B456BC" w:rsidRDefault="0004440C" w:rsidP="00432C5A">
      <w:pPr>
        <w:pStyle w:val="Tytu"/>
        <w:spacing w:before="0" w:line="240" w:lineRule="auto"/>
        <w:jc w:val="left"/>
        <w:outlineLvl w:val="9"/>
        <w:rPr>
          <w:rFonts w:asciiTheme="minorHAnsi" w:hAnsiTheme="minorHAnsi" w:cstheme="minorHAnsi"/>
          <w:b w:val="0"/>
          <w:color w:val="auto"/>
          <w:sz w:val="22"/>
          <w:szCs w:val="22"/>
        </w:rPr>
      </w:pPr>
      <w:r w:rsidRPr="00B456BC">
        <w:rPr>
          <w:rFonts w:asciiTheme="minorHAnsi" w:hAnsiTheme="minorHAnsi" w:cstheme="minorHAnsi"/>
          <w:b w:val="0"/>
          <w:color w:val="auto"/>
          <w:sz w:val="22"/>
          <w:szCs w:val="22"/>
        </w:rPr>
        <w:t>uchyla pkt III.5. decyzji w brzmieniu:</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„Należy zaprojektować:</w:t>
      </w:r>
    </w:p>
    <w:p w:rsidR="0004440C" w:rsidRPr="00B456BC" w:rsidRDefault="0004440C" w:rsidP="00432C5A">
      <w:pPr>
        <w:pStyle w:val="Akapitzlist"/>
        <w:numPr>
          <w:ilvl w:val="0"/>
          <w:numId w:val="25"/>
        </w:num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ekrany akustyczne szczelnie połączone z gruntem, określone w tabeli 4</w:t>
      </w:r>
    </w:p>
    <w:p w:rsidR="0004440C" w:rsidRPr="00B456BC" w:rsidRDefault="0004440C" w:rsidP="00432C5A">
      <w:pPr>
        <w:pStyle w:val="Akapitzlist"/>
        <w:spacing w:after="0" w:line="240" w:lineRule="auto"/>
        <w:ind w:left="0"/>
        <w:rPr>
          <w:rFonts w:asciiTheme="minorHAnsi" w:hAnsiTheme="minorHAnsi" w:cstheme="minorHAnsi"/>
          <w:bCs/>
          <w:color w:val="000000"/>
          <w:lang w:eastAsia="pl-PL"/>
        </w:rPr>
      </w:pPr>
      <w:r w:rsidRPr="00B456BC">
        <w:rPr>
          <w:rFonts w:asciiTheme="minorHAnsi" w:hAnsiTheme="minorHAnsi" w:cstheme="minorHAnsi"/>
          <w:bCs/>
          <w:color w:val="000000"/>
          <w:lang w:eastAsia="pl-PL"/>
        </w:rPr>
        <w:t>Tabela 4.</w:t>
      </w:r>
    </w:p>
    <w:p w:rsidR="0004440C" w:rsidRPr="00B456BC" w:rsidRDefault="0004440C" w:rsidP="00432C5A">
      <w:pPr>
        <w:pStyle w:val="Akapitzlist"/>
        <w:spacing w:after="0" w:line="240" w:lineRule="auto"/>
        <w:ind w:left="0"/>
        <w:rPr>
          <w:rFonts w:asciiTheme="minorHAnsi" w:hAnsiTheme="minorHAnsi" w:cstheme="minorHAnsi"/>
          <w:bCs/>
          <w:color w:val="000000"/>
          <w:lang w:eastAsia="pl-PL"/>
        </w:rPr>
      </w:pPr>
    </w:p>
    <w:tbl>
      <w:tblPr>
        <w:tblStyle w:val="Tabela-Siatka"/>
        <w:tblW w:w="9493" w:type="dxa"/>
        <w:jc w:val="center"/>
        <w:tblLayout w:type="fixed"/>
        <w:tblLook w:val="04A0" w:firstRow="1" w:lastRow="0" w:firstColumn="1" w:lastColumn="0" w:noHBand="0" w:noVBand="1"/>
      </w:tblPr>
      <w:tblGrid>
        <w:gridCol w:w="562"/>
        <w:gridCol w:w="709"/>
        <w:gridCol w:w="1418"/>
        <w:gridCol w:w="1431"/>
        <w:gridCol w:w="968"/>
        <w:gridCol w:w="9"/>
        <w:gridCol w:w="1277"/>
        <w:gridCol w:w="1422"/>
        <w:gridCol w:w="1697"/>
      </w:tblGrid>
      <w:tr w:rsidR="0004440C" w:rsidRPr="00B456BC" w:rsidTr="00B456BC">
        <w:trPr>
          <w:trHeight w:val="81"/>
          <w:jc w:val="center"/>
        </w:trPr>
        <w:tc>
          <w:tcPr>
            <w:tcW w:w="562" w:type="dxa"/>
            <w:vMerge w:val="restart"/>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Lp.</w:t>
            </w:r>
          </w:p>
        </w:tc>
        <w:tc>
          <w:tcPr>
            <w:tcW w:w="709" w:type="dxa"/>
            <w:vMerge w:val="restart"/>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Nr linii</w:t>
            </w:r>
          </w:p>
        </w:tc>
        <w:tc>
          <w:tcPr>
            <w:tcW w:w="2849"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Kilometraż</w:t>
            </w:r>
          </w:p>
        </w:tc>
        <w:tc>
          <w:tcPr>
            <w:tcW w:w="5373" w:type="dxa"/>
            <w:gridSpan w:val="5"/>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Parametry</w:t>
            </w:r>
          </w:p>
        </w:tc>
      </w:tr>
      <w:tr w:rsidR="0004440C" w:rsidRPr="00B456BC" w:rsidTr="00B456BC">
        <w:trPr>
          <w:trHeight w:val="1163"/>
          <w:jc w:val="center"/>
        </w:trPr>
        <w:tc>
          <w:tcPr>
            <w:tcW w:w="562" w:type="dxa"/>
            <w:vMerge/>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p>
        </w:tc>
        <w:tc>
          <w:tcPr>
            <w:tcW w:w="709" w:type="dxa"/>
            <w:vMerge/>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od</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do</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Strona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Długość [m]</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Wysokość [m]</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Rodzaj</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3+010</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3+077</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 xml:space="preserve">67 </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 xml:space="preserve">4 </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3+097 odgięty w kierunku ul. Myśliwskiej w Pszczynie</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3+180</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96</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3+528</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3+623</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95</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3+809</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3+930</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121</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5+023</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5+132</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109</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6.</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5+143</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5+294</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151</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4,5</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7.</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5+154</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5+267</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113</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8.</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5+485</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5+510 odgięty w kierunku ul. Jasnej w Czarkowie</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31</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 xml:space="preserve">4,5 </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9.</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5+552</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5+843</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291</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10.</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6+253</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6+868</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615</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11.</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6+750</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6+868</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118</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12.</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6+928</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7+013</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85</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13.</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7+230</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7+395</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165</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13+684</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13+713</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29</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15.</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14+987</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15+055 odgięty w kierunku ul. Św. Jana w Suszcu</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85</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16.</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15+063 odgięty w kierunku ul. Św. Jana w Suszcu</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15+126</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80</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 xml:space="preserve">4 </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17.</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15+068</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15+196</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128</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18.</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16+101</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16+324</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223</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19.</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17+632</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17+671</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39</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20.</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18+557</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18+601 odgięty w kierunku ul. Targowej w Żorach</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45</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19+595</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19+654</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59</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22.</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19+758</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19+824</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66</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23.</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19+810</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19+863</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53</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24.</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 xml:space="preserve">20+566 odgięty w kierunku ul. </w:t>
            </w:r>
            <w:r w:rsidRPr="00B456BC">
              <w:rPr>
                <w:rFonts w:asciiTheme="minorHAnsi" w:hAnsiTheme="minorHAnsi" w:cstheme="minorHAnsi"/>
                <w:bCs/>
                <w:lang w:eastAsia="pl-PL"/>
              </w:rPr>
              <w:lastRenderedPageBreak/>
              <w:t>Rybnej w Żorach</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lastRenderedPageBreak/>
              <w:t>20+602</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44</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25.</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20+581</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20+717</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136</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26.</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20+602</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21+095</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493</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27.</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21+616</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21+666</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50</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28.</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21+666</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21+680</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29.</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21+701</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21+707</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6</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30.</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21+731</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21+740</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9</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4</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31.</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21+746</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21+845</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99</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32.</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21+887</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22+234</w:t>
            </w:r>
          </w:p>
        </w:tc>
        <w:tc>
          <w:tcPr>
            <w:tcW w:w="96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prawa</w:t>
            </w:r>
          </w:p>
        </w:tc>
        <w:tc>
          <w:tcPr>
            <w:tcW w:w="1286"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347</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6</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33.</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22+190</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22+380</w:t>
            </w:r>
          </w:p>
        </w:tc>
        <w:tc>
          <w:tcPr>
            <w:tcW w:w="977"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7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190</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5,5</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34.</w:t>
            </w:r>
          </w:p>
        </w:tc>
        <w:tc>
          <w:tcPr>
            <w:tcW w:w="709"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148</w:t>
            </w:r>
          </w:p>
        </w:tc>
        <w:tc>
          <w:tcPr>
            <w:tcW w:w="1418"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22+566</w:t>
            </w:r>
          </w:p>
        </w:tc>
        <w:tc>
          <w:tcPr>
            <w:tcW w:w="1431"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22+627</w:t>
            </w:r>
          </w:p>
        </w:tc>
        <w:tc>
          <w:tcPr>
            <w:tcW w:w="977" w:type="dxa"/>
            <w:gridSpan w:val="2"/>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lewa</w:t>
            </w:r>
          </w:p>
        </w:tc>
        <w:tc>
          <w:tcPr>
            <w:tcW w:w="127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61</w:t>
            </w:r>
          </w:p>
        </w:tc>
        <w:tc>
          <w:tcPr>
            <w:tcW w:w="1422"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5</w:t>
            </w:r>
          </w:p>
        </w:tc>
        <w:tc>
          <w:tcPr>
            <w:tcW w:w="1697" w:type="dxa"/>
            <w:vAlign w:val="center"/>
          </w:tcPr>
          <w:p w:rsidR="0004440C" w:rsidRPr="00B456BC" w:rsidRDefault="0004440C" w:rsidP="00432C5A">
            <w:pPr>
              <w:pStyle w:val="Akapitzlist"/>
              <w:spacing w:after="0" w:line="240" w:lineRule="auto"/>
              <w:ind w:left="0"/>
              <w:rPr>
                <w:rFonts w:asciiTheme="minorHAnsi" w:hAnsiTheme="minorHAnsi" w:cstheme="minorHAnsi"/>
                <w:bCs/>
                <w:lang w:eastAsia="pl-PL"/>
              </w:rPr>
            </w:pPr>
            <w:r w:rsidRPr="00B456BC">
              <w:rPr>
                <w:rFonts w:asciiTheme="minorHAnsi" w:hAnsiTheme="minorHAnsi" w:cstheme="minorHAnsi"/>
                <w:bCs/>
                <w:lang w:eastAsia="pl-PL"/>
              </w:rPr>
              <w:t>pochłaniający</w:t>
            </w:r>
          </w:p>
        </w:tc>
      </w:tr>
    </w:tbl>
    <w:p w:rsidR="0004440C" w:rsidRPr="00B456BC" w:rsidRDefault="0004440C" w:rsidP="00432C5A">
      <w:pPr>
        <w:pStyle w:val="Akapitzlist"/>
        <w:spacing w:after="0" w:line="240" w:lineRule="auto"/>
        <w:rPr>
          <w:rFonts w:asciiTheme="minorHAnsi" w:hAnsiTheme="minorHAnsi" w:cstheme="minorHAnsi"/>
          <w:bCs/>
          <w:color w:val="000000"/>
          <w:lang w:eastAsia="pl-PL"/>
        </w:rPr>
      </w:pPr>
    </w:p>
    <w:p w:rsidR="0004440C" w:rsidRPr="00B456BC" w:rsidRDefault="0004440C" w:rsidP="00432C5A">
      <w:pPr>
        <w:pStyle w:val="Akapitzlist"/>
        <w:numPr>
          <w:ilvl w:val="0"/>
          <w:numId w:val="25"/>
        </w:num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 xml:space="preserve">tłumiki </w:t>
      </w:r>
      <w:proofErr w:type="spellStart"/>
      <w:r w:rsidRPr="00B456BC">
        <w:rPr>
          <w:rFonts w:asciiTheme="minorHAnsi" w:hAnsiTheme="minorHAnsi" w:cstheme="minorHAnsi"/>
          <w:bCs/>
          <w:color w:val="000000"/>
          <w:lang w:eastAsia="pl-PL"/>
        </w:rPr>
        <w:t>przyszynowe</w:t>
      </w:r>
      <w:proofErr w:type="spellEnd"/>
      <w:r w:rsidRPr="00B456BC">
        <w:rPr>
          <w:rFonts w:asciiTheme="minorHAnsi" w:hAnsiTheme="minorHAnsi" w:cstheme="minorHAnsi"/>
          <w:bCs/>
          <w:color w:val="000000"/>
          <w:lang w:eastAsia="pl-PL"/>
        </w:rPr>
        <w:t xml:space="preserve"> o redukcji hałasu toczenia nie mniejszej niż 2 </w:t>
      </w:r>
      <w:proofErr w:type="spellStart"/>
      <w:r w:rsidRPr="00B456BC">
        <w:rPr>
          <w:rFonts w:asciiTheme="minorHAnsi" w:hAnsiTheme="minorHAnsi" w:cstheme="minorHAnsi"/>
          <w:bCs/>
          <w:color w:val="000000"/>
          <w:lang w:eastAsia="pl-PL"/>
        </w:rPr>
        <w:t>dB</w:t>
      </w:r>
      <w:proofErr w:type="spellEnd"/>
      <w:r w:rsidRPr="00B456BC">
        <w:rPr>
          <w:rFonts w:asciiTheme="minorHAnsi" w:hAnsiTheme="minorHAnsi" w:cstheme="minorHAnsi"/>
          <w:bCs/>
          <w:color w:val="000000"/>
          <w:lang w:eastAsia="pl-PL"/>
        </w:rPr>
        <w:t xml:space="preserve">, których lokalizację określa tabela 5 </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Tabela 5.</w:t>
      </w:r>
    </w:p>
    <w:tbl>
      <w:tblPr>
        <w:tblStyle w:val="Tabela-Siatka"/>
        <w:tblW w:w="9351" w:type="dxa"/>
        <w:jc w:val="center"/>
        <w:tblLayout w:type="fixed"/>
        <w:tblLook w:val="04A0" w:firstRow="1" w:lastRow="0" w:firstColumn="1" w:lastColumn="0" w:noHBand="0" w:noVBand="1"/>
      </w:tblPr>
      <w:tblGrid>
        <w:gridCol w:w="568"/>
        <w:gridCol w:w="703"/>
        <w:gridCol w:w="2268"/>
        <w:gridCol w:w="2268"/>
        <w:gridCol w:w="3544"/>
      </w:tblGrid>
      <w:tr w:rsidR="0004440C" w:rsidRPr="00B456BC" w:rsidTr="00B456BC">
        <w:trPr>
          <w:trHeight w:val="130"/>
          <w:jc w:val="center"/>
        </w:trPr>
        <w:tc>
          <w:tcPr>
            <w:tcW w:w="568" w:type="dxa"/>
            <w:vMerge w:val="restart"/>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Lp.</w:t>
            </w:r>
          </w:p>
        </w:tc>
        <w:tc>
          <w:tcPr>
            <w:tcW w:w="703" w:type="dxa"/>
            <w:vMerge w:val="restart"/>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Nr linii</w:t>
            </w:r>
          </w:p>
        </w:tc>
        <w:tc>
          <w:tcPr>
            <w:tcW w:w="4536" w:type="dxa"/>
            <w:gridSpan w:val="2"/>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Kilometraż</w:t>
            </w:r>
          </w:p>
        </w:tc>
        <w:tc>
          <w:tcPr>
            <w:tcW w:w="3544" w:type="dxa"/>
            <w:vMerge w:val="restart"/>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Długość [m]</w:t>
            </w:r>
          </w:p>
        </w:tc>
      </w:tr>
      <w:tr w:rsidR="0004440C" w:rsidRPr="00B456BC" w:rsidTr="00B456BC">
        <w:trPr>
          <w:trHeight w:val="130"/>
          <w:jc w:val="center"/>
        </w:trPr>
        <w:tc>
          <w:tcPr>
            <w:tcW w:w="568" w:type="dxa"/>
            <w:vMerge/>
            <w:vAlign w:val="center"/>
          </w:tcPr>
          <w:p w:rsidR="0004440C" w:rsidRPr="00B456BC" w:rsidRDefault="0004440C" w:rsidP="00432C5A">
            <w:pPr>
              <w:spacing w:after="0" w:line="240" w:lineRule="auto"/>
              <w:rPr>
                <w:rFonts w:asciiTheme="minorHAnsi" w:hAnsiTheme="minorHAnsi" w:cstheme="minorHAnsi"/>
                <w:bCs/>
                <w:color w:val="000000"/>
                <w:lang w:eastAsia="pl-PL"/>
              </w:rPr>
            </w:pPr>
          </w:p>
        </w:tc>
        <w:tc>
          <w:tcPr>
            <w:tcW w:w="703" w:type="dxa"/>
            <w:vMerge/>
            <w:vAlign w:val="center"/>
          </w:tcPr>
          <w:p w:rsidR="0004440C" w:rsidRPr="00B456BC" w:rsidRDefault="0004440C" w:rsidP="00432C5A">
            <w:pPr>
              <w:spacing w:after="0" w:line="240" w:lineRule="auto"/>
              <w:rPr>
                <w:rFonts w:asciiTheme="minorHAnsi" w:hAnsiTheme="minorHAnsi" w:cstheme="minorHAnsi"/>
                <w:bCs/>
                <w:color w:val="000000"/>
                <w:lang w:eastAsia="pl-PL"/>
              </w:rPr>
            </w:pP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od</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do</w:t>
            </w:r>
          </w:p>
        </w:tc>
        <w:tc>
          <w:tcPr>
            <w:tcW w:w="3544" w:type="dxa"/>
            <w:vMerge/>
            <w:vAlign w:val="center"/>
          </w:tcPr>
          <w:p w:rsidR="0004440C" w:rsidRPr="00B456BC" w:rsidRDefault="0004440C" w:rsidP="00432C5A">
            <w:pPr>
              <w:spacing w:after="0" w:line="240" w:lineRule="auto"/>
              <w:rPr>
                <w:rFonts w:asciiTheme="minorHAnsi" w:hAnsiTheme="minorHAnsi" w:cstheme="minorHAnsi"/>
                <w:bCs/>
                <w:color w:val="000000"/>
                <w:lang w:eastAsia="pl-PL"/>
              </w:rPr>
            </w:pPr>
          </w:p>
        </w:tc>
      </w:tr>
      <w:tr w:rsidR="0004440C" w:rsidRPr="00B456BC" w:rsidTr="00B456BC">
        <w:trPr>
          <w:trHeight w:val="223"/>
          <w:jc w:val="center"/>
        </w:trPr>
        <w:tc>
          <w:tcPr>
            <w:tcW w:w="5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w:t>
            </w:r>
          </w:p>
        </w:tc>
        <w:tc>
          <w:tcPr>
            <w:tcW w:w="703"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148</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3+079</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3+128</w:t>
            </w:r>
          </w:p>
        </w:tc>
        <w:tc>
          <w:tcPr>
            <w:tcW w:w="3544"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49</w:t>
            </w:r>
          </w:p>
        </w:tc>
      </w:tr>
      <w:tr w:rsidR="0004440C" w:rsidRPr="00B456BC" w:rsidTr="00B456BC">
        <w:trPr>
          <w:jc w:val="center"/>
        </w:trPr>
        <w:tc>
          <w:tcPr>
            <w:tcW w:w="5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2.</w:t>
            </w:r>
          </w:p>
        </w:tc>
        <w:tc>
          <w:tcPr>
            <w:tcW w:w="703"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148</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5+131</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5+148</w:t>
            </w:r>
          </w:p>
        </w:tc>
        <w:tc>
          <w:tcPr>
            <w:tcW w:w="3544"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17</w:t>
            </w:r>
          </w:p>
        </w:tc>
      </w:tr>
      <w:tr w:rsidR="0004440C" w:rsidRPr="00B456BC" w:rsidTr="00B456BC">
        <w:trPr>
          <w:jc w:val="center"/>
        </w:trPr>
        <w:tc>
          <w:tcPr>
            <w:tcW w:w="5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3.</w:t>
            </w:r>
          </w:p>
        </w:tc>
        <w:tc>
          <w:tcPr>
            <w:tcW w:w="703"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148</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5+267</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5+539</w:t>
            </w:r>
          </w:p>
        </w:tc>
        <w:tc>
          <w:tcPr>
            <w:tcW w:w="3544"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272</w:t>
            </w:r>
          </w:p>
        </w:tc>
      </w:tr>
      <w:tr w:rsidR="0004440C" w:rsidRPr="00B456BC" w:rsidTr="00B456BC">
        <w:trPr>
          <w:jc w:val="center"/>
        </w:trPr>
        <w:tc>
          <w:tcPr>
            <w:tcW w:w="5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4.</w:t>
            </w:r>
          </w:p>
        </w:tc>
        <w:tc>
          <w:tcPr>
            <w:tcW w:w="703"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148</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6+868</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6+891</w:t>
            </w:r>
          </w:p>
        </w:tc>
        <w:tc>
          <w:tcPr>
            <w:tcW w:w="3544"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23</w:t>
            </w:r>
          </w:p>
        </w:tc>
      </w:tr>
      <w:tr w:rsidR="0004440C" w:rsidRPr="00B456BC" w:rsidTr="00B456BC">
        <w:trPr>
          <w:jc w:val="center"/>
        </w:trPr>
        <w:tc>
          <w:tcPr>
            <w:tcW w:w="5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5.</w:t>
            </w:r>
          </w:p>
        </w:tc>
        <w:tc>
          <w:tcPr>
            <w:tcW w:w="703"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148</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15+050</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15+067</w:t>
            </w:r>
          </w:p>
        </w:tc>
        <w:tc>
          <w:tcPr>
            <w:tcW w:w="3544"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17</w:t>
            </w:r>
          </w:p>
        </w:tc>
      </w:tr>
      <w:tr w:rsidR="0004440C" w:rsidRPr="00B456BC" w:rsidTr="00B456BC">
        <w:trPr>
          <w:jc w:val="center"/>
        </w:trPr>
        <w:tc>
          <w:tcPr>
            <w:tcW w:w="5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6.</w:t>
            </w:r>
          </w:p>
        </w:tc>
        <w:tc>
          <w:tcPr>
            <w:tcW w:w="703"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148</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20+021</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20+139</w:t>
            </w:r>
          </w:p>
        </w:tc>
        <w:tc>
          <w:tcPr>
            <w:tcW w:w="3544"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118</w:t>
            </w:r>
          </w:p>
        </w:tc>
      </w:tr>
      <w:tr w:rsidR="0004440C" w:rsidRPr="00B456BC" w:rsidTr="00B456BC">
        <w:trPr>
          <w:jc w:val="center"/>
        </w:trPr>
        <w:tc>
          <w:tcPr>
            <w:tcW w:w="5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7.</w:t>
            </w:r>
          </w:p>
        </w:tc>
        <w:tc>
          <w:tcPr>
            <w:tcW w:w="703"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148</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21+643</w:t>
            </w:r>
          </w:p>
        </w:tc>
        <w:tc>
          <w:tcPr>
            <w:tcW w:w="2268"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21+728</w:t>
            </w:r>
          </w:p>
        </w:tc>
        <w:tc>
          <w:tcPr>
            <w:tcW w:w="3544" w:type="dxa"/>
            <w:vAlign w:val="center"/>
          </w:tcPr>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85</w:t>
            </w:r>
          </w:p>
        </w:tc>
      </w:tr>
    </w:tbl>
    <w:p w:rsidR="0004440C" w:rsidRPr="00B456BC" w:rsidRDefault="0004440C" w:rsidP="00432C5A">
      <w:pPr>
        <w:spacing w:after="0" w:line="240" w:lineRule="auto"/>
        <w:rPr>
          <w:rFonts w:asciiTheme="minorHAnsi" w:hAnsiTheme="minorHAnsi" w:cstheme="minorHAnsi"/>
          <w:bCs/>
          <w:color w:val="000000"/>
          <w:lang w:eastAsia="pl-PL"/>
        </w:rPr>
      </w:pP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i w tym zakresie orzeka:</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„Należy zaprojektować:</w:t>
      </w:r>
    </w:p>
    <w:p w:rsidR="0004440C" w:rsidRPr="00B456BC" w:rsidRDefault="0004440C" w:rsidP="00432C5A">
      <w:pPr>
        <w:pStyle w:val="Akapitzlist"/>
        <w:numPr>
          <w:ilvl w:val="0"/>
          <w:numId w:val="27"/>
        </w:num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ekrany akustyczne szczelnie połączone z gruntem, określone w tabeli 4</w:t>
      </w: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Tabela 4</w:t>
      </w:r>
    </w:p>
    <w:p w:rsidR="0004440C" w:rsidRPr="00B456BC" w:rsidRDefault="0004440C" w:rsidP="00432C5A">
      <w:pPr>
        <w:spacing w:after="0" w:line="240" w:lineRule="auto"/>
        <w:rPr>
          <w:rFonts w:asciiTheme="minorHAnsi" w:hAnsiTheme="minorHAnsi" w:cstheme="minorHAnsi"/>
          <w:bCs/>
          <w:color w:val="000000"/>
          <w:lang w:eastAsia="pl-PL"/>
        </w:rPr>
      </w:pPr>
    </w:p>
    <w:tbl>
      <w:tblPr>
        <w:tblStyle w:val="Tabela-Siatka"/>
        <w:tblW w:w="9634" w:type="dxa"/>
        <w:jc w:val="center"/>
        <w:tblLayout w:type="fixed"/>
        <w:tblLook w:val="04A0" w:firstRow="1" w:lastRow="0" w:firstColumn="1" w:lastColumn="0" w:noHBand="0" w:noVBand="1"/>
      </w:tblPr>
      <w:tblGrid>
        <w:gridCol w:w="562"/>
        <w:gridCol w:w="993"/>
        <w:gridCol w:w="708"/>
        <w:gridCol w:w="1134"/>
        <w:gridCol w:w="1276"/>
        <w:gridCol w:w="992"/>
        <w:gridCol w:w="1134"/>
        <w:gridCol w:w="1276"/>
        <w:gridCol w:w="1559"/>
      </w:tblGrid>
      <w:tr w:rsidR="0004440C" w:rsidRPr="00B456BC" w:rsidTr="00B456BC">
        <w:trPr>
          <w:trHeight w:val="150"/>
          <w:jc w:val="center"/>
        </w:trPr>
        <w:tc>
          <w:tcPr>
            <w:tcW w:w="562" w:type="dxa"/>
            <w:vMerge w:val="restart"/>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Lp.</w:t>
            </w:r>
          </w:p>
          <w:p w:rsidR="0004440C" w:rsidRPr="00B456BC" w:rsidRDefault="0004440C" w:rsidP="00432C5A">
            <w:pPr>
              <w:spacing w:after="0" w:line="240" w:lineRule="auto"/>
              <w:rPr>
                <w:rFonts w:asciiTheme="minorHAnsi" w:hAnsiTheme="minorHAnsi" w:cstheme="minorHAnsi"/>
                <w:bCs/>
                <w:lang w:eastAsia="pl-PL"/>
              </w:rPr>
            </w:pPr>
          </w:p>
        </w:tc>
        <w:tc>
          <w:tcPr>
            <w:tcW w:w="993" w:type="dxa"/>
            <w:vMerge w:val="restart"/>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Nr ekranu</w:t>
            </w:r>
          </w:p>
        </w:tc>
        <w:tc>
          <w:tcPr>
            <w:tcW w:w="708" w:type="dxa"/>
            <w:vMerge w:val="restart"/>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Nr linii</w:t>
            </w:r>
          </w:p>
        </w:tc>
        <w:tc>
          <w:tcPr>
            <w:tcW w:w="2410" w:type="dxa"/>
            <w:gridSpan w:val="2"/>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Kilometraż</w:t>
            </w:r>
          </w:p>
        </w:tc>
        <w:tc>
          <w:tcPr>
            <w:tcW w:w="4961" w:type="dxa"/>
            <w:gridSpan w:val="4"/>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Parametry</w:t>
            </w:r>
          </w:p>
        </w:tc>
      </w:tr>
      <w:tr w:rsidR="0004440C" w:rsidRPr="00B456BC" w:rsidTr="00B456BC">
        <w:trPr>
          <w:trHeight w:val="150"/>
          <w:jc w:val="center"/>
        </w:trPr>
        <w:tc>
          <w:tcPr>
            <w:tcW w:w="562" w:type="dxa"/>
            <w:vMerge/>
            <w:vAlign w:val="center"/>
          </w:tcPr>
          <w:p w:rsidR="0004440C" w:rsidRPr="00B456BC" w:rsidRDefault="0004440C" w:rsidP="00432C5A">
            <w:pPr>
              <w:spacing w:after="0" w:line="240" w:lineRule="auto"/>
              <w:rPr>
                <w:rFonts w:asciiTheme="minorHAnsi" w:hAnsiTheme="minorHAnsi" w:cstheme="minorHAnsi"/>
                <w:bCs/>
                <w:lang w:eastAsia="pl-PL"/>
              </w:rPr>
            </w:pPr>
          </w:p>
        </w:tc>
        <w:tc>
          <w:tcPr>
            <w:tcW w:w="993" w:type="dxa"/>
            <w:vMerge/>
            <w:vAlign w:val="center"/>
          </w:tcPr>
          <w:p w:rsidR="0004440C" w:rsidRPr="00B456BC" w:rsidRDefault="0004440C" w:rsidP="00432C5A">
            <w:pPr>
              <w:spacing w:after="0" w:line="240" w:lineRule="auto"/>
              <w:rPr>
                <w:rFonts w:asciiTheme="minorHAnsi" w:hAnsiTheme="minorHAnsi" w:cstheme="minorHAnsi"/>
                <w:bCs/>
                <w:lang w:eastAsia="pl-PL"/>
              </w:rPr>
            </w:pPr>
          </w:p>
        </w:tc>
        <w:tc>
          <w:tcPr>
            <w:tcW w:w="708" w:type="dxa"/>
            <w:vMerge/>
            <w:vAlign w:val="center"/>
          </w:tcPr>
          <w:p w:rsidR="0004440C" w:rsidRPr="00B456BC" w:rsidRDefault="0004440C" w:rsidP="00432C5A">
            <w:pPr>
              <w:spacing w:after="0" w:line="240" w:lineRule="auto"/>
              <w:rPr>
                <w:rFonts w:asciiTheme="minorHAnsi" w:hAnsiTheme="minorHAnsi" w:cstheme="minorHAnsi"/>
                <w:bCs/>
                <w:lang w:eastAsia="pl-PL"/>
              </w:rPr>
            </w:pP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od</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do</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Strona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Długość [m]</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Wysokość [m]</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Rodzaj</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3+015 </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3+082</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67</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E2a</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3+117 </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3+146</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29</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3.</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E2b</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3+136 </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3+185</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50</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E3</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3+534 </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3+629</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95</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5.</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E4</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3+814 </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3+947</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133</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E5</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5+028 </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5+299</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272</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7.</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E7</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5+117 </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5+272</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(271*)</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5</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8.</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E8</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5+460 </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5+761</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 xml:space="preserve">155 </w:t>
            </w:r>
            <w:r w:rsidRPr="00B456BC">
              <w:rPr>
                <w:rFonts w:asciiTheme="minorHAnsi" w:hAnsiTheme="minorHAnsi" w:cstheme="minorHAnsi"/>
                <w:bCs/>
                <w:lang w:eastAsia="pl-PL"/>
              </w:rPr>
              <w:br/>
              <w:t>(154*)</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trHeight w:val="1964"/>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9.</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E9</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6+257</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6+875 odgięty w kierunku ul. Kolejowej w Czarkowie</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627 (618*)</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trHeight w:val="2120"/>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lastRenderedPageBreak/>
              <w:t>10.</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E10</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6+754</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6+875 odgięty w kierunku ul. Kolejowej w Czarkowie</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124 (121*)</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11.</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E11</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6+932 </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7+017</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85</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12.</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E12</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7+234 </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7+399</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165</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13.</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E13</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13+649 </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13+779</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130</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trHeight w:val="1952"/>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E14</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14+987</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15+057 odgięty w kierunku ul. Św. Jana w Suszcu</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70</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15.</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E15</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15+070 odgięty w kierunku ul. Św. Jana w Suszcu</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15+115</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59 (45*)</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16.</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E16</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15+077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15+198</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121</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17.</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E17a</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16+103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16+144</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49</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18.</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E17b</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16+141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16+177</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47</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19.</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E17c</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16+168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16+325</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158</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20.</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E18</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16+500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16+657</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157</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21.</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E19</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17+633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17+672</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39</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22.</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E20</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17+827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17+934</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107</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23.</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E21</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17+899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18+154</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 xml:space="preserve">lewa </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255</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24.</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E22</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18+557</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8+599 odgięty w kierunku ul. Targowej w Żorach</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45</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25.</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E23</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19+583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19+673</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90</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26.</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E24</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19+738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19+848</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110</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27.</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E25</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19+810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19+863</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54</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28.</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E26</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20+039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20+116</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 xml:space="preserve">lewa </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77</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4,5</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29.</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E27</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0+572 odgięty w kierunku ul. Rybnej w Żorach</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21+095</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525</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30.</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E28</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20+585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20+717</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 xml:space="preserve">lewa </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132</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31.</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E29</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21+771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21+844</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73</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32.</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E30a</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21+898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22+187</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292</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33.</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E30b</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22+182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22+288</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prawa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107</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34.</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E31</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22+185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22+403</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218</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5,5</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r w:rsidR="0004440C" w:rsidRPr="00B456BC" w:rsidTr="00B456BC">
        <w:trPr>
          <w:jc w:val="center"/>
        </w:trPr>
        <w:tc>
          <w:tcPr>
            <w:tcW w:w="56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lastRenderedPageBreak/>
              <w:t>35.</w:t>
            </w:r>
          </w:p>
        </w:tc>
        <w:tc>
          <w:tcPr>
            <w:tcW w:w="993"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E32</w:t>
            </w:r>
          </w:p>
        </w:tc>
        <w:tc>
          <w:tcPr>
            <w:tcW w:w="70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134"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22+566 </w:t>
            </w:r>
          </w:p>
        </w:tc>
        <w:tc>
          <w:tcPr>
            <w:tcW w:w="1276"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22+627</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lewa</w:t>
            </w:r>
          </w:p>
        </w:tc>
        <w:tc>
          <w:tcPr>
            <w:tcW w:w="1134"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61</w:t>
            </w:r>
          </w:p>
        </w:tc>
        <w:tc>
          <w:tcPr>
            <w:tcW w:w="127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5</w:t>
            </w:r>
          </w:p>
        </w:tc>
        <w:tc>
          <w:tcPr>
            <w:tcW w:w="1559"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pochłaniający</w:t>
            </w:r>
          </w:p>
        </w:tc>
      </w:tr>
    </w:tbl>
    <w:p w:rsidR="0004440C" w:rsidRPr="00B456BC" w:rsidRDefault="0004440C" w:rsidP="00432C5A">
      <w:pPr>
        <w:spacing w:after="0" w:line="240" w:lineRule="auto"/>
        <w:ind w:left="360"/>
        <w:rPr>
          <w:rFonts w:asciiTheme="minorHAnsi" w:hAnsiTheme="minorHAnsi" w:cstheme="minorHAnsi"/>
          <w:bCs/>
          <w:color w:val="000000"/>
          <w:lang w:eastAsia="pl-PL"/>
        </w:rPr>
      </w:pPr>
      <w:r w:rsidRPr="00B456BC">
        <w:rPr>
          <w:rFonts w:asciiTheme="minorHAnsi" w:hAnsiTheme="minorHAnsi" w:cstheme="minorHAnsi"/>
          <w:bCs/>
          <w:color w:val="000000"/>
          <w:lang w:eastAsia="pl-PL"/>
        </w:rPr>
        <w:t>* - długość rzeczywista (długość po km)</w:t>
      </w:r>
    </w:p>
    <w:p w:rsidR="0004440C" w:rsidRPr="00B456BC" w:rsidRDefault="0004440C" w:rsidP="00432C5A">
      <w:pPr>
        <w:spacing w:after="0" w:line="240" w:lineRule="auto"/>
        <w:rPr>
          <w:rFonts w:asciiTheme="minorHAnsi" w:hAnsiTheme="minorHAnsi" w:cstheme="minorHAnsi"/>
          <w:bCs/>
          <w:color w:val="000000"/>
          <w:lang w:eastAsia="pl-PL"/>
        </w:rPr>
      </w:pPr>
    </w:p>
    <w:p w:rsidR="0004440C" w:rsidRPr="00B456BC" w:rsidRDefault="0004440C" w:rsidP="00432C5A">
      <w:pPr>
        <w:pStyle w:val="Akapitzlist"/>
        <w:numPr>
          <w:ilvl w:val="0"/>
          <w:numId w:val="27"/>
        </w:num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 xml:space="preserve">absorbery </w:t>
      </w:r>
      <w:proofErr w:type="spellStart"/>
      <w:r w:rsidRPr="00B456BC">
        <w:rPr>
          <w:rFonts w:asciiTheme="minorHAnsi" w:hAnsiTheme="minorHAnsi" w:cstheme="minorHAnsi"/>
          <w:bCs/>
          <w:color w:val="000000"/>
          <w:lang w:eastAsia="pl-PL"/>
        </w:rPr>
        <w:t>przyszynowe</w:t>
      </w:r>
      <w:proofErr w:type="spellEnd"/>
      <w:r w:rsidRPr="00B456BC">
        <w:rPr>
          <w:rFonts w:asciiTheme="minorHAnsi" w:hAnsiTheme="minorHAnsi" w:cstheme="minorHAnsi"/>
          <w:bCs/>
          <w:color w:val="000000"/>
          <w:lang w:eastAsia="pl-PL"/>
        </w:rPr>
        <w:t xml:space="preserve">/płyty przejazdowe o właściwościach tłumienia hałasu, określone w tabeli 5 </w:t>
      </w:r>
    </w:p>
    <w:p w:rsidR="0004440C" w:rsidRPr="00B456BC" w:rsidRDefault="0004440C" w:rsidP="00432C5A">
      <w:pPr>
        <w:spacing w:after="0" w:line="240" w:lineRule="auto"/>
        <w:rPr>
          <w:rFonts w:asciiTheme="minorHAnsi" w:hAnsiTheme="minorHAnsi" w:cstheme="minorHAnsi"/>
          <w:bCs/>
          <w:color w:val="000000"/>
          <w:lang w:eastAsia="pl-PL"/>
        </w:rPr>
      </w:pPr>
    </w:p>
    <w:p w:rsidR="0004440C" w:rsidRPr="00B456BC" w:rsidRDefault="0004440C" w:rsidP="00432C5A">
      <w:pPr>
        <w:spacing w:after="0" w:line="240" w:lineRule="auto"/>
        <w:rPr>
          <w:rFonts w:asciiTheme="minorHAnsi" w:hAnsiTheme="minorHAnsi" w:cstheme="minorHAnsi"/>
          <w:bCs/>
          <w:color w:val="000000"/>
          <w:lang w:eastAsia="pl-PL"/>
        </w:rPr>
      </w:pPr>
    </w:p>
    <w:p w:rsidR="0004440C" w:rsidRPr="00B456BC" w:rsidRDefault="0004440C" w:rsidP="00432C5A">
      <w:pPr>
        <w:spacing w:after="0" w:line="240" w:lineRule="auto"/>
        <w:rPr>
          <w:rFonts w:asciiTheme="minorHAnsi" w:hAnsiTheme="minorHAnsi" w:cstheme="minorHAnsi"/>
          <w:bCs/>
          <w:color w:val="000000"/>
          <w:lang w:eastAsia="pl-PL"/>
        </w:rPr>
      </w:pPr>
    </w:p>
    <w:p w:rsidR="0004440C" w:rsidRPr="00B456BC" w:rsidRDefault="0004440C" w:rsidP="00432C5A">
      <w:pPr>
        <w:spacing w:after="0" w:line="240" w:lineRule="auto"/>
        <w:rPr>
          <w:rFonts w:asciiTheme="minorHAnsi" w:hAnsiTheme="minorHAnsi" w:cstheme="minorHAnsi"/>
          <w:bCs/>
          <w:color w:val="000000"/>
          <w:lang w:eastAsia="pl-PL"/>
        </w:rPr>
      </w:pP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Tabela 5</w:t>
      </w:r>
    </w:p>
    <w:tbl>
      <w:tblPr>
        <w:tblStyle w:val="Tabela-Siatka"/>
        <w:tblW w:w="9209" w:type="dxa"/>
        <w:jc w:val="center"/>
        <w:tblLook w:val="04A0" w:firstRow="1" w:lastRow="0" w:firstColumn="1" w:lastColumn="0" w:noHBand="0" w:noVBand="1"/>
      </w:tblPr>
      <w:tblGrid>
        <w:gridCol w:w="846"/>
        <w:gridCol w:w="992"/>
        <w:gridCol w:w="1701"/>
        <w:gridCol w:w="1548"/>
        <w:gridCol w:w="1571"/>
        <w:gridCol w:w="2551"/>
      </w:tblGrid>
      <w:tr w:rsidR="0004440C" w:rsidRPr="00B456BC" w:rsidTr="00B456BC">
        <w:trPr>
          <w:trHeight w:val="139"/>
          <w:jc w:val="center"/>
        </w:trPr>
        <w:tc>
          <w:tcPr>
            <w:tcW w:w="846" w:type="dxa"/>
            <w:vMerge w:val="restart"/>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Lp.</w:t>
            </w:r>
          </w:p>
        </w:tc>
        <w:tc>
          <w:tcPr>
            <w:tcW w:w="992" w:type="dxa"/>
            <w:vMerge w:val="restart"/>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Nr linii</w:t>
            </w:r>
          </w:p>
        </w:tc>
        <w:tc>
          <w:tcPr>
            <w:tcW w:w="3249" w:type="dxa"/>
            <w:gridSpan w:val="2"/>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Kilometraż</w:t>
            </w:r>
          </w:p>
        </w:tc>
        <w:tc>
          <w:tcPr>
            <w:tcW w:w="1571" w:type="dxa"/>
            <w:vMerge w:val="restart"/>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Nr absorbera</w:t>
            </w:r>
          </w:p>
        </w:tc>
        <w:tc>
          <w:tcPr>
            <w:tcW w:w="2551" w:type="dxa"/>
            <w:vMerge w:val="restart"/>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Długość [m]</w:t>
            </w:r>
          </w:p>
        </w:tc>
      </w:tr>
      <w:tr w:rsidR="0004440C" w:rsidRPr="00B456BC" w:rsidTr="00B456BC">
        <w:trPr>
          <w:trHeight w:val="138"/>
          <w:jc w:val="center"/>
        </w:trPr>
        <w:tc>
          <w:tcPr>
            <w:tcW w:w="846" w:type="dxa"/>
            <w:vMerge/>
            <w:vAlign w:val="center"/>
          </w:tcPr>
          <w:p w:rsidR="0004440C" w:rsidRPr="00B456BC" w:rsidRDefault="0004440C" w:rsidP="00432C5A">
            <w:pPr>
              <w:spacing w:after="0" w:line="240" w:lineRule="auto"/>
              <w:rPr>
                <w:rFonts w:asciiTheme="minorHAnsi" w:hAnsiTheme="minorHAnsi" w:cstheme="minorHAnsi"/>
                <w:bCs/>
                <w:lang w:eastAsia="pl-PL"/>
              </w:rPr>
            </w:pPr>
          </w:p>
        </w:tc>
        <w:tc>
          <w:tcPr>
            <w:tcW w:w="992" w:type="dxa"/>
            <w:vMerge/>
            <w:vAlign w:val="center"/>
          </w:tcPr>
          <w:p w:rsidR="0004440C" w:rsidRPr="00B456BC" w:rsidRDefault="0004440C" w:rsidP="00432C5A">
            <w:pPr>
              <w:spacing w:after="0" w:line="240" w:lineRule="auto"/>
              <w:rPr>
                <w:rFonts w:asciiTheme="minorHAnsi" w:hAnsiTheme="minorHAnsi" w:cstheme="minorHAnsi"/>
                <w:bCs/>
                <w:lang w:eastAsia="pl-PL"/>
              </w:rPr>
            </w:pPr>
          </w:p>
        </w:tc>
        <w:tc>
          <w:tcPr>
            <w:tcW w:w="170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od</w:t>
            </w:r>
          </w:p>
        </w:tc>
        <w:tc>
          <w:tcPr>
            <w:tcW w:w="1548"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do</w:t>
            </w:r>
          </w:p>
        </w:tc>
        <w:tc>
          <w:tcPr>
            <w:tcW w:w="1571" w:type="dxa"/>
            <w:vMerge/>
            <w:vAlign w:val="center"/>
          </w:tcPr>
          <w:p w:rsidR="0004440C" w:rsidRPr="00B456BC" w:rsidRDefault="0004440C" w:rsidP="00432C5A">
            <w:pPr>
              <w:spacing w:after="0" w:line="240" w:lineRule="auto"/>
              <w:rPr>
                <w:rFonts w:asciiTheme="minorHAnsi" w:hAnsiTheme="minorHAnsi" w:cstheme="minorHAnsi"/>
                <w:bCs/>
                <w:lang w:eastAsia="pl-PL"/>
              </w:rPr>
            </w:pPr>
          </w:p>
        </w:tc>
        <w:tc>
          <w:tcPr>
            <w:tcW w:w="2551" w:type="dxa"/>
            <w:vMerge/>
            <w:vAlign w:val="center"/>
          </w:tcPr>
          <w:p w:rsidR="0004440C" w:rsidRPr="00B456BC" w:rsidRDefault="0004440C" w:rsidP="00432C5A">
            <w:pPr>
              <w:spacing w:after="0" w:line="240" w:lineRule="auto"/>
              <w:rPr>
                <w:rFonts w:asciiTheme="minorHAnsi" w:hAnsiTheme="minorHAnsi" w:cstheme="minorHAnsi"/>
                <w:bCs/>
                <w:lang w:eastAsia="pl-PL"/>
              </w:rPr>
            </w:pPr>
          </w:p>
        </w:tc>
      </w:tr>
      <w:tr w:rsidR="0004440C" w:rsidRPr="00B456BC" w:rsidTr="00B456BC">
        <w:trPr>
          <w:jc w:val="center"/>
        </w:trPr>
        <w:tc>
          <w:tcPr>
            <w:tcW w:w="84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 xml:space="preserve">1. </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701"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3+082 </w:t>
            </w:r>
          </w:p>
        </w:tc>
        <w:tc>
          <w:tcPr>
            <w:tcW w:w="1548"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3+136</w:t>
            </w:r>
          </w:p>
        </w:tc>
        <w:tc>
          <w:tcPr>
            <w:tcW w:w="157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w:t>
            </w:r>
          </w:p>
        </w:tc>
        <w:tc>
          <w:tcPr>
            <w:tcW w:w="255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54</w:t>
            </w:r>
          </w:p>
        </w:tc>
      </w:tr>
      <w:tr w:rsidR="0004440C" w:rsidRPr="00B456BC" w:rsidTr="00B456BC">
        <w:trPr>
          <w:jc w:val="center"/>
        </w:trPr>
        <w:tc>
          <w:tcPr>
            <w:tcW w:w="84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 xml:space="preserve">2. </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701"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5+268 </w:t>
            </w:r>
          </w:p>
        </w:tc>
        <w:tc>
          <w:tcPr>
            <w:tcW w:w="1548"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5+540</w:t>
            </w:r>
          </w:p>
        </w:tc>
        <w:tc>
          <w:tcPr>
            <w:tcW w:w="157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3</w:t>
            </w:r>
          </w:p>
        </w:tc>
        <w:tc>
          <w:tcPr>
            <w:tcW w:w="255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272</w:t>
            </w:r>
          </w:p>
        </w:tc>
      </w:tr>
      <w:tr w:rsidR="0004440C" w:rsidRPr="00B456BC" w:rsidTr="00B456BC">
        <w:trPr>
          <w:jc w:val="center"/>
        </w:trPr>
        <w:tc>
          <w:tcPr>
            <w:tcW w:w="84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 xml:space="preserve">3. </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701"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6+102 </w:t>
            </w:r>
          </w:p>
        </w:tc>
        <w:tc>
          <w:tcPr>
            <w:tcW w:w="1548"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6+202</w:t>
            </w:r>
          </w:p>
        </w:tc>
        <w:tc>
          <w:tcPr>
            <w:tcW w:w="157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4</w:t>
            </w:r>
          </w:p>
        </w:tc>
        <w:tc>
          <w:tcPr>
            <w:tcW w:w="255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100</w:t>
            </w:r>
          </w:p>
        </w:tc>
      </w:tr>
      <w:tr w:rsidR="0004440C" w:rsidRPr="00B456BC" w:rsidTr="00B456BC">
        <w:trPr>
          <w:jc w:val="center"/>
        </w:trPr>
        <w:tc>
          <w:tcPr>
            <w:tcW w:w="84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 xml:space="preserve">4. </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701"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6+871</w:t>
            </w:r>
          </w:p>
        </w:tc>
        <w:tc>
          <w:tcPr>
            <w:tcW w:w="1548"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6+891</w:t>
            </w:r>
          </w:p>
        </w:tc>
        <w:tc>
          <w:tcPr>
            <w:tcW w:w="157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5</w:t>
            </w:r>
          </w:p>
        </w:tc>
        <w:tc>
          <w:tcPr>
            <w:tcW w:w="255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20</w:t>
            </w:r>
          </w:p>
        </w:tc>
      </w:tr>
      <w:tr w:rsidR="0004440C" w:rsidRPr="00B456BC" w:rsidTr="00B456BC">
        <w:trPr>
          <w:jc w:val="center"/>
        </w:trPr>
        <w:tc>
          <w:tcPr>
            <w:tcW w:w="84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 xml:space="preserve">5. </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701"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15+046 </w:t>
            </w:r>
          </w:p>
        </w:tc>
        <w:tc>
          <w:tcPr>
            <w:tcW w:w="1548"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15+078</w:t>
            </w:r>
          </w:p>
        </w:tc>
        <w:tc>
          <w:tcPr>
            <w:tcW w:w="157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w:t>
            </w:r>
          </w:p>
        </w:tc>
        <w:tc>
          <w:tcPr>
            <w:tcW w:w="255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32</w:t>
            </w:r>
          </w:p>
        </w:tc>
      </w:tr>
      <w:tr w:rsidR="0004440C" w:rsidRPr="00B456BC" w:rsidTr="00B456BC">
        <w:trPr>
          <w:jc w:val="center"/>
        </w:trPr>
        <w:tc>
          <w:tcPr>
            <w:tcW w:w="846"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6.</w:t>
            </w:r>
          </w:p>
        </w:tc>
        <w:tc>
          <w:tcPr>
            <w:tcW w:w="992"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148</w:t>
            </w:r>
          </w:p>
        </w:tc>
        <w:tc>
          <w:tcPr>
            <w:tcW w:w="1701"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 xml:space="preserve">21+626 </w:t>
            </w:r>
          </w:p>
        </w:tc>
        <w:tc>
          <w:tcPr>
            <w:tcW w:w="1548" w:type="dxa"/>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rPr>
              <w:t>21+734</w:t>
            </w:r>
          </w:p>
        </w:tc>
        <w:tc>
          <w:tcPr>
            <w:tcW w:w="157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8</w:t>
            </w:r>
          </w:p>
        </w:tc>
        <w:tc>
          <w:tcPr>
            <w:tcW w:w="2551" w:type="dxa"/>
            <w:vAlign w:val="center"/>
          </w:tcPr>
          <w:p w:rsidR="0004440C" w:rsidRPr="00B456BC" w:rsidRDefault="0004440C" w:rsidP="00432C5A">
            <w:pPr>
              <w:spacing w:after="0" w:line="240" w:lineRule="auto"/>
              <w:rPr>
                <w:rFonts w:asciiTheme="minorHAnsi" w:hAnsiTheme="minorHAnsi" w:cstheme="minorHAnsi"/>
                <w:bCs/>
                <w:lang w:eastAsia="pl-PL"/>
              </w:rPr>
            </w:pPr>
            <w:r w:rsidRPr="00B456BC">
              <w:rPr>
                <w:rFonts w:asciiTheme="minorHAnsi" w:hAnsiTheme="minorHAnsi" w:cstheme="minorHAnsi"/>
                <w:bCs/>
                <w:lang w:eastAsia="pl-PL"/>
              </w:rPr>
              <w:t>108</w:t>
            </w:r>
          </w:p>
        </w:tc>
      </w:tr>
    </w:tbl>
    <w:p w:rsidR="00BC4EC0" w:rsidRPr="00B456BC" w:rsidRDefault="00BC4EC0" w:rsidP="00432C5A">
      <w:pPr>
        <w:pStyle w:val="Tytu"/>
        <w:spacing w:before="0" w:line="240" w:lineRule="auto"/>
        <w:jc w:val="left"/>
        <w:outlineLvl w:val="9"/>
        <w:rPr>
          <w:rStyle w:val="FontStyle32"/>
          <w:rFonts w:asciiTheme="minorHAnsi" w:hAnsiTheme="minorHAnsi" w:cstheme="minorHAnsi"/>
          <w:b w:val="0"/>
        </w:rPr>
      </w:pPr>
      <w:r w:rsidRPr="00B456BC">
        <w:rPr>
          <w:rStyle w:val="FontStyle32"/>
          <w:rFonts w:asciiTheme="minorHAnsi" w:hAnsiTheme="minorHAnsi" w:cstheme="minorHAnsi"/>
          <w:b w:val="0"/>
        </w:rPr>
        <w:t>uchyla w załączniku do decyzji Regionalnego Dyrektora Ochrony Środowiska w Katowicach o środowiskowych uwarunkowaniach z 30 czerwca 2023 r., znak: WOOŚ.420.23.2023.AS3.14, „Charakterystyka planowanego przedsięwzięcia”, punkt II. Branża torowa w brzmieniu:</w:t>
      </w:r>
    </w:p>
    <w:p w:rsidR="00BC4EC0" w:rsidRPr="00B456BC" w:rsidRDefault="00BC4EC0" w:rsidP="00432C5A">
      <w:pPr>
        <w:pStyle w:val="Tytu"/>
        <w:numPr>
          <w:ilvl w:val="0"/>
          <w:numId w:val="0"/>
        </w:numPr>
        <w:spacing w:before="0" w:line="240" w:lineRule="auto"/>
        <w:jc w:val="left"/>
        <w:outlineLvl w:val="9"/>
        <w:rPr>
          <w:rFonts w:asciiTheme="minorHAnsi" w:hAnsiTheme="minorHAnsi" w:cstheme="minorHAnsi"/>
          <w:b w:val="0"/>
          <w:sz w:val="22"/>
          <w:szCs w:val="22"/>
        </w:rPr>
      </w:pPr>
      <w:r w:rsidRPr="00B456BC">
        <w:rPr>
          <w:rStyle w:val="FontStyle32"/>
          <w:rFonts w:asciiTheme="minorHAnsi" w:hAnsiTheme="minorHAnsi" w:cstheme="minorHAnsi"/>
          <w:b w:val="0"/>
        </w:rPr>
        <w:t xml:space="preserve">„Realizacja inwestycji obejmuje kompleksową wymianę nawierzchni torów LK148 na odcinku w km ok. 2,753 do km ok. 22,631. Istniejąca geometria toru zostanie dostosowana do prędkości </w:t>
      </w:r>
      <w:proofErr w:type="spellStart"/>
      <w:r w:rsidRPr="00B456BC">
        <w:rPr>
          <w:rStyle w:val="FontStyle32"/>
          <w:rFonts w:asciiTheme="minorHAnsi" w:hAnsiTheme="minorHAnsi" w:cstheme="minorHAnsi"/>
          <w:b w:val="0"/>
        </w:rPr>
        <w:t>V</w:t>
      </w:r>
      <w:r w:rsidRPr="00B456BC">
        <w:rPr>
          <w:rStyle w:val="FontStyle32"/>
          <w:rFonts w:asciiTheme="minorHAnsi" w:hAnsiTheme="minorHAnsi" w:cstheme="minorHAnsi"/>
          <w:b w:val="0"/>
          <w:vertAlign w:val="subscript"/>
        </w:rPr>
        <w:t>max</w:t>
      </w:r>
      <w:proofErr w:type="spellEnd"/>
      <w:r w:rsidRPr="00B456BC">
        <w:rPr>
          <w:rStyle w:val="FontStyle32"/>
          <w:rFonts w:asciiTheme="minorHAnsi" w:hAnsiTheme="minorHAnsi" w:cstheme="minorHAnsi"/>
          <w:b w:val="0"/>
        </w:rPr>
        <w:t xml:space="preserve"> = 120 km/h. Zakres prac obejmuje także regulację torów w profilu, do obowiązujących warunków i standardów technicznych. W ramach przedsięwzięcia wykonana zostanie również wymiana nawierzchni torowej LK159 na odcinku od km ok. 13,135 do km ok. 13,994, regulacja toru oraz drenaż. Planowane jest odtworzenie i budowa nowego odwodnienia w postaci rowów otwartych umocnionych oraz budowa odwodnienia wgłębnego wraz z umocnieniem wylotów do odbiorników. Zakres prac w nawierzchni, podtorzu i odwodnieniu przedstawia tabela 1.</w:t>
      </w:r>
    </w:p>
    <w:p w:rsidR="00BC4EC0" w:rsidRPr="00B456BC" w:rsidRDefault="00BC4EC0" w:rsidP="00432C5A">
      <w:pPr>
        <w:pStyle w:val="Tytu"/>
        <w:numPr>
          <w:ilvl w:val="0"/>
          <w:numId w:val="0"/>
        </w:numPr>
        <w:spacing w:before="0" w:line="240" w:lineRule="auto"/>
        <w:jc w:val="left"/>
        <w:outlineLvl w:val="9"/>
        <w:rPr>
          <w:rStyle w:val="FontStyle32"/>
          <w:rFonts w:asciiTheme="minorHAnsi" w:hAnsiTheme="minorHAnsi" w:cstheme="minorHAnsi"/>
          <w:b w:val="0"/>
        </w:rPr>
      </w:pPr>
      <w:r w:rsidRPr="00B456BC">
        <w:rPr>
          <w:rStyle w:val="FontStyle32"/>
          <w:rFonts w:asciiTheme="minorHAnsi" w:hAnsiTheme="minorHAnsi" w:cstheme="minorHAnsi"/>
          <w:b w:val="0"/>
        </w:rPr>
        <w:t xml:space="preserve"> Tabela 1. Przewidywany zakres prac nawierzchniowych, </w:t>
      </w:r>
      <w:proofErr w:type="spellStart"/>
      <w:r w:rsidRPr="00B456BC">
        <w:rPr>
          <w:rStyle w:val="FontStyle32"/>
          <w:rFonts w:asciiTheme="minorHAnsi" w:hAnsiTheme="minorHAnsi" w:cstheme="minorHAnsi"/>
          <w:b w:val="0"/>
        </w:rPr>
        <w:t>podtorzowych</w:t>
      </w:r>
      <w:proofErr w:type="spellEnd"/>
      <w:r w:rsidRPr="00B456BC">
        <w:rPr>
          <w:rStyle w:val="FontStyle32"/>
          <w:rFonts w:asciiTheme="minorHAnsi" w:hAnsiTheme="minorHAnsi" w:cstheme="minorHAnsi"/>
          <w:b w:val="0"/>
        </w:rPr>
        <w:t>, odwodnieniowych”</w:t>
      </w:r>
    </w:p>
    <w:tbl>
      <w:tblPr>
        <w:tblStyle w:val="Tabela-Siatka"/>
        <w:tblW w:w="0" w:type="auto"/>
        <w:jc w:val="center"/>
        <w:tblLook w:val="04A0" w:firstRow="1" w:lastRow="0" w:firstColumn="1" w:lastColumn="0" w:noHBand="0" w:noVBand="1"/>
      </w:tblPr>
      <w:tblGrid>
        <w:gridCol w:w="4105"/>
        <w:gridCol w:w="2977"/>
        <w:gridCol w:w="1978"/>
      </w:tblGrid>
      <w:tr w:rsidR="00BC4EC0" w:rsidRPr="00B456BC" w:rsidTr="00BC4EC0">
        <w:trPr>
          <w:jc w:val="center"/>
        </w:trPr>
        <w:tc>
          <w:tcPr>
            <w:tcW w:w="3356" w:type="dxa"/>
            <w:vAlign w:val="center"/>
          </w:tcPr>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Zakres prac nawierzchniowych</w:t>
            </w:r>
          </w:p>
        </w:tc>
        <w:tc>
          <w:tcPr>
            <w:tcW w:w="2434" w:type="dxa"/>
            <w:vAlign w:val="center"/>
          </w:tcPr>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 xml:space="preserve">Zakres prac </w:t>
            </w:r>
            <w:proofErr w:type="spellStart"/>
            <w:r w:rsidRPr="00B456BC">
              <w:rPr>
                <w:rFonts w:asciiTheme="minorHAnsi" w:hAnsiTheme="minorHAnsi" w:cstheme="minorHAnsi"/>
                <w:sz w:val="20"/>
                <w:szCs w:val="20"/>
                <w:lang w:eastAsia="pl-PL"/>
              </w:rPr>
              <w:t>podtorzowych</w:t>
            </w:r>
            <w:proofErr w:type="spellEnd"/>
          </w:p>
        </w:tc>
        <w:tc>
          <w:tcPr>
            <w:tcW w:w="0" w:type="auto"/>
            <w:vAlign w:val="center"/>
          </w:tcPr>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Zakres prac odwodnieniowych</w:t>
            </w:r>
          </w:p>
        </w:tc>
      </w:tr>
      <w:tr w:rsidR="00BC4EC0" w:rsidRPr="00B456BC" w:rsidTr="00B456BC">
        <w:trPr>
          <w:jc w:val="center"/>
        </w:trPr>
        <w:tc>
          <w:tcPr>
            <w:tcW w:w="0" w:type="auto"/>
            <w:gridSpan w:val="3"/>
            <w:vAlign w:val="center"/>
          </w:tcPr>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 xml:space="preserve">tor nr 1 w km 2,753 - 22,631 (obejmuje zakres prac nawierzchniowych, </w:t>
            </w:r>
            <w:proofErr w:type="spellStart"/>
            <w:r w:rsidRPr="00B456BC">
              <w:rPr>
                <w:rFonts w:asciiTheme="minorHAnsi" w:hAnsiTheme="minorHAnsi" w:cstheme="minorHAnsi"/>
                <w:sz w:val="20"/>
                <w:szCs w:val="20"/>
                <w:lang w:eastAsia="pl-PL"/>
              </w:rPr>
              <w:t>podtorzowych</w:t>
            </w:r>
            <w:proofErr w:type="spellEnd"/>
            <w:r w:rsidRPr="00B456BC">
              <w:rPr>
                <w:rFonts w:asciiTheme="minorHAnsi" w:hAnsiTheme="minorHAnsi" w:cstheme="minorHAnsi"/>
                <w:sz w:val="20"/>
                <w:szCs w:val="20"/>
                <w:lang w:eastAsia="pl-PL"/>
              </w:rPr>
              <w:t xml:space="preserve"> oraz odwodnieniowych na p.o. Czarków km ok. 6,275, na Stacji Suszec Kopalnia km ok. 16,200, na p.o. Suszec Rudziczka km ok. 17,721 )</w:t>
            </w:r>
          </w:p>
        </w:tc>
      </w:tr>
      <w:tr w:rsidR="00BC4EC0" w:rsidRPr="00B456BC" w:rsidTr="00BC4EC0">
        <w:trPr>
          <w:jc w:val="center"/>
        </w:trPr>
        <w:tc>
          <w:tcPr>
            <w:tcW w:w="3356" w:type="dxa"/>
            <w:vAlign w:val="center"/>
          </w:tcPr>
          <w:p w:rsidR="00BC4EC0" w:rsidRPr="00B456BC" w:rsidRDefault="00BC4EC0"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Wymiana nawierzchni torowej na nową na odcinku ok. 2,753 — 22,631 1</w:t>
            </w:r>
          </w:p>
          <w:p w:rsidR="00BC4EC0" w:rsidRPr="00B456BC" w:rsidRDefault="00BC4EC0"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2. Dostosowanie istniejącej geometrii toru 2 do prędkości V </w:t>
            </w:r>
            <w:r w:rsidRPr="00B456BC">
              <w:rPr>
                <w:rFonts w:asciiTheme="minorHAnsi" w:hAnsiTheme="minorHAnsi" w:cstheme="minorHAnsi"/>
                <w:color w:val="000000"/>
                <w:sz w:val="20"/>
                <w:szCs w:val="20"/>
                <w:vertAlign w:val="subscript"/>
                <w:lang w:eastAsia="pl-PL"/>
              </w:rPr>
              <w:t>max</w:t>
            </w:r>
            <w:r w:rsidRPr="00B456BC">
              <w:rPr>
                <w:rFonts w:asciiTheme="minorHAnsi" w:hAnsiTheme="minorHAnsi" w:cstheme="minorHAnsi"/>
                <w:color w:val="000000"/>
                <w:sz w:val="20"/>
                <w:szCs w:val="20"/>
                <w:lang w:eastAsia="pl-PL"/>
              </w:rPr>
              <w:t xml:space="preserve"> = 120 km/h</w:t>
            </w:r>
          </w:p>
          <w:p w:rsidR="00BC4EC0" w:rsidRPr="00B456BC" w:rsidRDefault="00BC4EC0"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3. Regulacja torów w profilu do obowiązujących warunków 3 i standardów technicznych</w:t>
            </w:r>
          </w:p>
          <w:p w:rsidR="00BC4EC0" w:rsidRPr="00B456BC" w:rsidRDefault="00BC4EC0"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4. Regulacja odcinków stycznych do przedmiotowego zamierzenia 4 tj.: do zadania LOT B oraz do rozjazdu</w:t>
            </w:r>
          </w:p>
          <w:p w:rsidR="00BC4EC0" w:rsidRPr="00B456BC" w:rsidRDefault="00BC4EC0"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Nr 29 na stacji Żory</w:t>
            </w:r>
          </w:p>
          <w:p w:rsidR="00BC4EC0" w:rsidRPr="00B456BC" w:rsidRDefault="00BC4EC0"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5. Zabudowa szyn przejściowych 5 w rejonie przejazdu w km 6+879 oraz przed rozjazdem Nr 29 na stacji Żory</w:t>
            </w:r>
          </w:p>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6. Szlifowanie szyn</w:t>
            </w:r>
          </w:p>
        </w:tc>
        <w:tc>
          <w:tcPr>
            <w:tcW w:w="2434" w:type="dxa"/>
            <w:vAlign w:val="center"/>
          </w:tcPr>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1. Wykonanie wykopów i nasypów</w:t>
            </w:r>
          </w:p>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 xml:space="preserve">2. </w:t>
            </w:r>
            <w:proofErr w:type="spellStart"/>
            <w:r w:rsidRPr="00B456BC">
              <w:rPr>
                <w:rFonts w:asciiTheme="minorHAnsi" w:hAnsiTheme="minorHAnsi" w:cstheme="minorHAnsi"/>
                <w:sz w:val="20"/>
                <w:szCs w:val="20"/>
                <w:lang w:eastAsia="pl-PL"/>
              </w:rPr>
              <w:t>Profilacja</w:t>
            </w:r>
            <w:proofErr w:type="spellEnd"/>
            <w:r w:rsidRPr="00B456BC">
              <w:rPr>
                <w:rFonts w:asciiTheme="minorHAnsi" w:hAnsiTheme="minorHAnsi" w:cstheme="minorHAnsi"/>
                <w:sz w:val="20"/>
                <w:szCs w:val="20"/>
                <w:lang w:eastAsia="pl-PL"/>
              </w:rPr>
              <w:t xml:space="preserve"> skarp nasypów i przekopów, usunięcie drzew 1 i krzewów</w:t>
            </w:r>
          </w:p>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3. Wykonanie poszerzenia istniejących nasypów na wybranych odcinkach</w:t>
            </w:r>
          </w:p>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4. Zabudowa warstwy ochronnej na całej długości wymiany nawierzchni</w:t>
            </w:r>
          </w:p>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5. Wzmocnienie podtorza na wybranych odcinkach</w:t>
            </w:r>
          </w:p>
        </w:tc>
        <w:tc>
          <w:tcPr>
            <w:tcW w:w="0" w:type="auto"/>
            <w:vAlign w:val="center"/>
          </w:tcPr>
          <w:p w:rsidR="00BC4EC0" w:rsidRPr="00B456BC" w:rsidRDefault="00BC4EC0"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Odtworzenie i budowa nowego odwodnienia w postaci rowów otwartych nieumocnionych i umocnionych ‘</w:t>
            </w:r>
          </w:p>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2. Budowa odwodnienia wgłębnego wraz z umocnieniem wylotów do odbiorników</w:t>
            </w:r>
          </w:p>
        </w:tc>
      </w:tr>
      <w:tr w:rsidR="00BC4EC0" w:rsidRPr="00B456BC" w:rsidTr="00B456BC">
        <w:trPr>
          <w:jc w:val="center"/>
        </w:trPr>
        <w:tc>
          <w:tcPr>
            <w:tcW w:w="0" w:type="auto"/>
            <w:gridSpan w:val="3"/>
            <w:vAlign w:val="center"/>
          </w:tcPr>
          <w:p w:rsidR="00BC4EC0" w:rsidRPr="00B456BC" w:rsidRDefault="00BC4EC0"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MPO Radostowice km 7,621</w:t>
            </w:r>
          </w:p>
        </w:tc>
      </w:tr>
    </w:tbl>
    <w:p w:rsidR="0004440C" w:rsidRPr="00B456BC" w:rsidRDefault="0004440C" w:rsidP="00432C5A">
      <w:pPr>
        <w:spacing w:after="0" w:line="240" w:lineRule="auto"/>
        <w:rPr>
          <w:rFonts w:asciiTheme="minorHAnsi" w:hAnsiTheme="minorHAnsi" w:cstheme="minorHAnsi"/>
          <w:color w:val="FF0000"/>
        </w:rPr>
        <w:sectPr w:rsidR="0004440C" w:rsidRPr="00B456BC" w:rsidSect="00FA7764">
          <w:headerReference w:type="default" r:id="rId8"/>
          <w:footerReference w:type="default" r:id="rId9"/>
          <w:headerReference w:type="first" r:id="rId10"/>
          <w:footerReference w:type="first" r:id="rId11"/>
          <w:pgSz w:w="11906" w:h="16838"/>
          <w:pgMar w:top="1418" w:right="1418" w:bottom="1418" w:left="1418" w:header="851" w:footer="510" w:gutter="0"/>
          <w:pgNumType w:start="1"/>
          <w:cols w:space="708"/>
          <w:titlePg/>
        </w:sectPr>
      </w:pPr>
    </w:p>
    <w:tbl>
      <w:tblPr>
        <w:tblStyle w:val="Tabela-Siatka"/>
        <w:tblW w:w="0" w:type="auto"/>
        <w:jc w:val="center"/>
        <w:tblLook w:val="04A0" w:firstRow="1" w:lastRow="0" w:firstColumn="1" w:lastColumn="0" w:noHBand="0" w:noVBand="1"/>
      </w:tblPr>
      <w:tblGrid>
        <w:gridCol w:w="3695"/>
        <w:gridCol w:w="2226"/>
        <w:gridCol w:w="3141"/>
      </w:tblGrid>
      <w:tr w:rsidR="0004440C" w:rsidRPr="00B456BC" w:rsidTr="00B456BC">
        <w:trPr>
          <w:trHeight w:val="3379"/>
          <w:jc w:val="center"/>
        </w:trPr>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lastRenderedPageBreak/>
              <w:t xml:space="preserve">1. Wymiana nawierzchni torowej na nową w torze Nr 2 od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1 do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12 wraz z zabudową tłucznia</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2. Wydłużenie torów stacyjnych do 750 m</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3. Wymiana rozjazdów zwyczajnych Nr 1(1) i Nr 4(12) i wstawek torowych wraz z zabudową tłucznia</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4. Budowa żeberek ochronnych wraz z kozłami oporowymi oraz zabudowa nowych rozjazdów łukowanych Nr 2</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i Nr 11</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 xml:space="preserve">5. </w:t>
            </w:r>
            <w:proofErr w:type="spellStart"/>
            <w:r w:rsidRPr="00B456BC">
              <w:rPr>
                <w:rFonts w:asciiTheme="minorHAnsi" w:hAnsiTheme="minorHAnsi" w:cstheme="minorHAnsi"/>
                <w:color w:val="000000"/>
                <w:sz w:val="20"/>
                <w:szCs w:val="20"/>
                <w:lang w:eastAsia="pl-PL"/>
              </w:rPr>
              <w:t>Reprofilacja</w:t>
            </w:r>
            <w:proofErr w:type="spellEnd"/>
            <w:r w:rsidRPr="00B456BC">
              <w:rPr>
                <w:rFonts w:asciiTheme="minorHAnsi" w:hAnsiTheme="minorHAnsi" w:cstheme="minorHAnsi"/>
                <w:color w:val="000000"/>
                <w:sz w:val="20"/>
                <w:szCs w:val="20"/>
                <w:lang w:eastAsia="pl-PL"/>
              </w:rPr>
              <w:t xml:space="preserve"> torowiska, wyrównanie międzytorzy klińcem (równia stacyjna)</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t xml:space="preserve">1. </w:t>
            </w:r>
            <w:r w:rsidRPr="00B456BC">
              <w:rPr>
                <w:rFonts w:asciiTheme="minorHAnsi" w:hAnsiTheme="minorHAnsi" w:cstheme="minorHAnsi"/>
                <w:color w:val="000000"/>
                <w:sz w:val="20"/>
                <w:szCs w:val="20"/>
                <w:lang w:eastAsia="pl-PL"/>
              </w:rPr>
              <w:t>. Wykonanie wykopów i nasypów</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2. </w:t>
            </w:r>
            <w:proofErr w:type="spellStart"/>
            <w:r w:rsidRPr="00B456BC">
              <w:rPr>
                <w:rFonts w:asciiTheme="minorHAnsi" w:hAnsiTheme="minorHAnsi" w:cstheme="minorHAnsi"/>
                <w:color w:val="000000"/>
                <w:sz w:val="20"/>
                <w:szCs w:val="20"/>
                <w:lang w:eastAsia="pl-PL"/>
              </w:rPr>
              <w:t>Profilacja</w:t>
            </w:r>
            <w:proofErr w:type="spellEnd"/>
            <w:r w:rsidRPr="00B456BC">
              <w:rPr>
                <w:rFonts w:asciiTheme="minorHAnsi" w:hAnsiTheme="minorHAnsi" w:cstheme="minorHAnsi"/>
                <w:color w:val="000000"/>
                <w:sz w:val="20"/>
                <w:szCs w:val="20"/>
                <w:lang w:eastAsia="pl-PL"/>
              </w:rPr>
              <w:t xml:space="preserve"> skarp nasypów i przekopów, usunięcie drzew i krzewów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3. Zabudowa warstwy ochronnej na całej długości wymiany nawierzchni</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t>1. O</w:t>
            </w:r>
            <w:r w:rsidRPr="00B456BC">
              <w:rPr>
                <w:rFonts w:asciiTheme="minorHAnsi" w:hAnsiTheme="minorHAnsi" w:cstheme="minorHAnsi"/>
                <w:color w:val="000000"/>
                <w:sz w:val="20"/>
                <w:szCs w:val="20"/>
                <w:lang w:eastAsia="pl-PL"/>
              </w:rPr>
              <w:t>dtworzenie i budowa nowego odwodnienia w postaci rowów otwartych nieumocnionych i umocnionych</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2. Budowa odwodnienia wgłębnego wraz umocnieniem wylotów do odbiorników</w:t>
            </w:r>
          </w:p>
        </w:tc>
      </w:tr>
      <w:tr w:rsidR="0004440C" w:rsidRPr="00B456BC" w:rsidTr="00B456BC">
        <w:trPr>
          <w:jc w:val="center"/>
        </w:trPr>
        <w:tc>
          <w:tcPr>
            <w:tcW w:w="0" w:type="auto"/>
            <w:gridSpan w:val="3"/>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Stacja Suszec km 14,770</w:t>
            </w:r>
          </w:p>
        </w:tc>
      </w:tr>
      <w:tr w:rsidR="0004440C" w:rsidRPr="00B456BC" w:rsidTr="00B456BC">
        <w:trPr>
          <w:jc w:val="center"/>
        </w:trPr>
        <w:tc>
          <w:tcPr>
            <w:tcW w:w="0" w:type="auto"/>
            <w:vAlign w:val="center"/>
          </w:tcPr>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1. Wymiana nawierzchni torowej na nową w torze Nr 3 od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1 do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13 wraz z zabudową tłucznia</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2. Wymiana nawierzchni torowej na nową w torze Nr 2 od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2 do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14 wraz z zabudową tłucznia</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3. Wymiana nawierzchni torowej w torze Nr 4 od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5 do brany wraz z zabudową tłucznia w tym zabudowa szyny przejściowej.</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Nawierzchnie za rozjazdem Nr 5 wraz z szyną przejściową wykonać z nowych materiałów, pozostałą część toru ze </w:t>
            </w:r>
            <w:proofErr w:type="spellStart"/>
            <w:r w:rsidRPr="00B456BC">
              <w:rPr>
                <w:rFonts w:asciiTheme="minorHAnsi" w:hAnsiTheme="minorHAnsi" w:cstheme="minorHAnsi"/>
                <w:color w:val="000000"/>
                <w:sz w:val="20"/>
                <w:szCs w:val="20"/>
                <w:lang w:eastAsia="pl-PL"/>
              </w:rPr>
              <w:t>staroużytecznych</w:t>
            </w:r>
            <w:proofErr w:type="spellEnd"/>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4. Wydłużenie torów stacyjnych do 750 m, a także budowa dodatkowych torów stacyjnych</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5. Wymiana rozjazdów zwyczajnych</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Nr 1(1) i Nr 2(2), Nr 3(5), Nr 5 (14) Nr 6</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(13) i wstawek torowych wraz z zabudową tłucznia</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6. Budowa żeberek ochronnych wraz z kozłami oporowymi oraz zabudowa nowych rozjazdów łukowanych Nr 3,</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Nr 4, Nr 11 i Nr 12,</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 xml:space="preserve">7. </w:t>
            </w:r>
            <w:proofErr w:type="spellStart"/>
            <w:r w:rsidRPr="00B456BC">
              <w:rPr>
                <w:rFonts w:asciiTheme="minorHAnsi" w:hAnsiTheme="minorHAnsi" w:cstheme="minorHAnsi"/>
                <w:color w:val="000000"/>
                <w:sz w:val="20"/>
                <w:szCs w:val="20"/>
                <w:lang w:eastAsia="pl-PL"/>
              </w:rPr>
              <w:t>Reprofilacja</w:t>
            </w:r>
            <w:proofErr w:type="spellEnd"/>
            <w:r w:rsidRPr="00B456BC">
              <w:rPr>
                <w:rFonts w:asciiTheme="minorHAnsi" w:hAnsiTheme="minorHAnsi" w:cstheme="minorHAnsi"/>
                <w:color w:val="000000"/>
                <w:sz w:val="20"/>
                <w:szCs w:val="20"/>
                <w:lang w:eastAsia="pl-PL"/>
              </w:rPr>
              <w:t xml:space="preserve"> torowiska, wyrównanie międzytorzy klińcem (równia stacyjna)</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Wykonanie wykopów i nasypów</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2. </w:t>
            </w:r>
            <w:proofErr w:type="spellStart"/>
            <w:r w:rsidRPr="00B456BC">
              <w:rPr>
                <w:rFonts w:asciiTheme="minorHAnsi" w:hAnsiTheme="minorHAnsi" w:cstheme="minorHAnsi"/>
                <w:color w:val="000000"/>
                <w:sz w:val="20"/>
                <w:szCs w:val="20"/>
                <w:lang w:eastAsia="pl-PL"/>
              </w:rPr>
              <w:t>Profilacja</w:t>
            </w:r>
            <w:proofErr w:type="spellEnd"/>
            <w:r w:rsidRPr="00B456BC">
              <w:rPr>
                <w:rFonts w:asciiTheme="minorHAnsi" w:hAnsiTheme="minorHAnsi" w:cstheme="minorHAnsi"/>
                <w:color w:val="000000"/>
                <w:sz w:val="20"/>
                <w:szCs w:val="20"/>
                <w:lang w:eastAsia="pl-PL"/>
              </w:rPr>
              <w:t xml:space="preserve"> skarp nasypów i przekopów, usunięcie drzew i krzewów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3. Zabudowa warstwy ochronnej na całej długości wymiany nawierzchni</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t xml:space="preserve">1. </w:t>
            </w:r>
            <w:r w:rsidRPr="00B456BC">
              <w:rPr>
                <w:rFonts w:asciiTheme="minorHAnsi" w:hAnsiTheme="minorHAnsi" w:cstheme="minorHAnsi"/>
                <w:color w:val="000000"/>
                <w:sz w:val="20"/>
                <w:szCs w:val="20"/>
                <w:lang w:eastAsia="pl-PL"/>
              </w:rPr>
              <w:t>Odtworzenie i budowa nowego odwodnienia w postaci rowów otwartych nieumocnionych i umocnionych</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2. Budowa odwodnienia wgłębnego wraz z umocnieniem wylotów do odbiorników</w:t>
            </w:r>
          </w:p>
        </w:tc>
      </w:tr>
      <w:tr w:rsidR="0004440C" w:rsidRPr="00B456BC" w:rsidTr="00B456BC">
        <w:trPr>
          <w:jc w:val="center"/>
        </w:trPr>
        <w:tc>
          <w:tcPr>
            <w:tcW w:w="0" w:type="auto"/>
            <w:gridSpan w:val="3"/>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P.ODG Suszec Rudziczka km 18+096</w:t>
            </w:r>
          </w:p>
        </w:tc>
      </w:tr>
      <w:tr w:rsidR="0004440C" w:rsidRPr="00B456BC" w:rsidTr="00B456BC">
        <w:trPr>
          <w:jc w:val="center"/>
        </w:trPr>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Likwidacja posterunku</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2. Rozbiórka rozjazdu Nr 2 i wstawki </w:t>
            </w:r>
            <w:proofErr w:type="spellStart"/>
            <w:r w:rsidRPr="00B456BC">
              <w:rPr>
                <w:rFonts w:asciiTheme="minorHAnsi" w:hAnsiTheme="minorHAnsi" w:cstheme="minorHAnsi"/>
                <w:color w:val="000000"/>
                <w:sz w:val="20"/>
                <w:szCs w:val="20"/>
                <w:lang w:eastAsia="pl-PL"/>
              </w:rPr>
              <w:t>międzyrozjazdowej</w:t>
            </w:r>
            <w:proofErr w:type="spellEnd"/>
            <w:r w:rsidRPr="00B456BC">
              <w:rPr>
                <w:rFonts w:asciiTheme="minorHAnsi" w:hAnsiTheme="minorHAnsi" w:cstheme="minorHAnsi"/>
                <w:color w:val="000000"/>
                <w:sz w:val="20"/>
                <w:szCs w:val="20"/>
                <w:lang w:eastAsia="pl-PL"/>
              </w:rPr>
              <w:t xml:space="preserve"> nr 1-2</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3. Rozbiórka żeberka ochronnego linii kolejowej 878 wraz  z kozłem oporowym</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4. Zabudowa toru w miejscu zlikwidowanego rozjazdu nr 2</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5. Regulacja toru w profilu do obowiązujących warunków i standardów technicznych</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Wykonanie wykopów i nasypów</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2. Usunięcie drzew i krzewów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3. Zabudowa warstwy ochronnej na całej długości wymiany nawierzchni</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Odtworzenie i budowa nowego odwodnienia w postaci rowów otwartych nieumocnionych i umocnionych</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2. Budowa odwodnienia wgłębnego wraz z umocnieniem wylotów do odbiorników</w:t>
            </w:r>
          </w:p>
        </w:tc>
      </w:tr>
      <w:tr w:rsidR="0004440C" w:rsidRPr="00B456BC" w:rsidTr="00B456BC">
        <w:trPr>
          <w:jc w:val="center"/>
        </w:trPr>
        <w:tc>
          <w:tcPr>
            <w:tcW w:w="0" w:type="auto"/>
            <w:gridSpan w:val="3"/>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P.ODG Kleszczów km 20+565</w:t>
            </w:r>
          </w:p>
        </w:tc>
      </w:tr>
      <w:tr w:rsidR="0004440C" w:rsidRPr="00B456BC" w:rsidTr="00B456BC">
        <w:trPr>
          <w:jc w:val="center"/>
        </w:trPr>
        <w:tc>
          <w:tcPr>
            <w:tcW w:w="0" w:type="auto"/>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1. Wymiana rozjazdu zwyczajnych Nr 1 i wstawki torowej (szyna przejściowa) wraz z zabudową tłucznia</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lastRenderedPageBreak/>
              <w:t xml:space="preserve">2. </w:t>
            </w:r>
            <w:r w:rsidRPr="00B456BC">
              <w:rPr>
                <w:rFonts w:asciiTheme="minorHAnsi" w:hAnsiTheme="minorHAnsi" w:cstheme="minorHAnsi"/>
                <w:color w:val="000000"/>
                <w:sz w:val="20"/>
                <w:szCs w:val="20"/>
                <w:lang w:eastAsia="pl-PL"/>
              </w:rPr>
              <w:t xml:space="preserve">Wymiana nawierzchni torowej przed rozjazdem Nr 2 – L=30m w rejonie przejazdu w km 20,272 </w:t>
            </w:r>
            <w:r w:rsidRPr="00B456BC">
              <w:rPr>
                <w:rFonts w:asciiTheme="minorHAnsi" w:hAnsiTheme="minorHAnsi" w:cstheme="minorHAnsi"/>
                <w:sz w:val="20"/>
                <w:szCs w:val="20"/>
                <w:lang w:eastAsia="pl-PL"/>
              </w:rPr>
              <w:t>wraz z zabudową tłucznia</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3. </w:t>
            </w:r>
            <w:proofErr w:type="spellStart"/>
            <w:r w:rsidRPr="00B456BC">
              <w:rPr>
                <w:rFonts w:asciiTheme="minorHAnsi" w:hAnsiTheme="minorHAnsi" w:cstheme="minorHAnsi"/>
                <w:color w:val="000000"/>
                <w:sz w:val="20"/>
                <w:szCs w:val="20"/>
                <w:lang w:eastAsia="pl-PL"/>
              </w:rPr>
              <w:t>Reprofilacja</w:t>
            </w:r>
            <w:proofErr w:type="spellEnd"/>
            <w:r w:rsidRPr="00B456BC">
              <w:rPr>
                <w:rFonts w:asciiTheme="minorHAnsi" w:hAnsiTheme="minorHAnsi" w:cstheme="minorHAnsi"/>
                <w:color w:val="000000"/>
                <w:sz w:val="20"/>
                <w:szCs w:val="20"/>
                <w:lang w:eastAsia="pl-PL"/>
              </w:rPr>
              <w:t xml:space="preserve"> torowiska, wyrównanie międzytorzy klińcem</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4. Regulacja w planie i w profilu rozjazdu Nr 2 wraz z odcinkami torów przed i za rozjazdem.</w:t>
            </w:r>
          </w:p>
        </w:tc>
        <w:tc>
          <w:tcPr>
            <w:tcW w:w="0" w:type="auto"/>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lastRenderedPageBreak/>
              <w:t>1. Wykonanie wykopów i nasypów</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lastRenderedPageBreak/>
              <w:t xml:space="preserve">2. </w:t>
            </w:r>
            <w:r w:rsidRPr="00B456BC">
              <w:rPr>
                <w:rFonts w:asciiTheme="minorHAnsi" w:hAnsiTheme="minorHAnsi" w:cstheme="minorHAnsi"/>
                <w:color w:val="000000"/>
                <w:sz w:val="20"/>
                <w:szCs w:val="20"/>
                <w:lang w:eastAsia="pl-PL"/>
              </w:rPr>
              <w:t>Usunięcie drzew i krzewów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3. Zabudowa warstwy ochronnej na całej długości wymiany nawierzchni</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lastRenderedPageBreak/>
              <w:t xml:space="preserve">1. </w:t>
            </w:r>
            <w:r w:rsidRPr="00B456BC">
              <w:rPr>
                <w:rFonts w:asciiTheme="minorHAnsi" w:hAnsiTheme="minorHAnsi" w:cstheme="minorHAnsi"/>
                <w:color w:val="000000"/>
                <w:sz w:val="20"/>
                <w:szCs w:val="20"/>
                <w:lang w:eastAsia="pl-PL"/>
              </w:rPr>
              <w:t>Odtworzenie i budowa nowego odwodnienia w postaci rowów otwartych umocnionych</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lastRenderedPageBreak/>
              <w:t>2. Budowa odwodnienia wgłębnego wraz z umocnieniem wylotów do odbiorników</w:t>
            </w:r>
          </w:p>
        </w:tc>
      </w:tr>
      <w:tr w:rsidR="0004440C" w:rsidRPr="00B456BC" w:rsidTr="00B456BC">
        <w:trPr>
          <w:jc w:val="center"/>
        </w:trPr>
        <w:tc>
          <w:tcPr>
            <w:tcW w:w="0" w:type="auto"/>
            <w:gridSpan w:val="3"/>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lastRenderedPageBreak/>
              <w:t>Stacja Żory</w:t>
            </w:r>
          </w:p>
        </w:tc>
      </w:tr>
      <w:tr w:rsidR="0004440C" w:rsidRPr="00B456BC" w:rsidTr="00B456BC">
        <w:trPr>
          <w:jc w:val="center"/>
        </w:trPr>
        <w:tc>
          <w:tcPr>
            <w:tcW w:w="0" w:type="auto"/>
            <w:vAlign w:val="center"/>
          </w:tcPr>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t xml:space="preserve">1. </w:t>
            </w:r>
            <w:r w:rsidRPr="00B456BC">
              <w:rPr>
                <w:rFonts w:asciiTheme="minorHAnsi" w:hAnsiTheme="minorHAnsi" w:cstheme="minorHAnsi"/>
                <w:color w:val="000000"/>
                <w:sz w:val="20"/>
                <w:szCs w:val="20"/>
                <w:lang w:eastAsia="pl-PL"/>
              </w:rPr>
              <w:t>Wymiana nawierzchni torowej na nową w torze Nr 9, 11, 13, 15 od km</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13,135 do km 13,994 wraz z zabudową tłucznia</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2. </w:t>
            </w:r>
            <w:proofErr w:type="spellStart"/>
            <w:r w:rsidRPr="00B456BC">
              <w:rPr>
                <w:rFonts w:asciiTheme="minorHAnsi" w:hAnsiTheme="minorHAnsi" w:cstheme="minorHAnsi"/>
                <w:color w:val="000000"/>
                <w:sz w:val="20"/>
                <w:szCs w:val="20"/>
                <w:lang w:eastAsia="pl-PL"/>
              </w:rPr>
              <w:t>Reprofilacja</w:t>
            </w:r>
            <w:proofErr w:type="spellEnd"/>
            <w:r w:rsidRPr="00B456BC">
              <w:rPr>
                <w:rFonts w:asciiTheme="minorHAnsi" w:hAnsiTheme="minorHAnsi" w:cstheme="minorHAnsi"/>
                <w:color w:val="000000"/>
                <w:sz w:val="20"/>
                <w:szCs w:val="20"/>
                <w:lang w:eastAsia="pl-PL"/>
              </w:rPr>
              <w:t xml:space="preserve"> torowiska, wyrównanie międzytorzy klińcem (równia stacyjna)</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3. Regulacja torów Nr 9,11,13,15 w planie</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i w profilu rozjazdu na włączeniu w stan istniejący</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Wykonanie wykopów i nasypów</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2. Usunięcie drzew i krzewów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3. Zabudowa warstwy ochronnej na całej długości wymiany nawierzchni</w:t>
            </w:r>
          </w:p>
        </w:tc>
        <w:tc>
          <w:tcPr>
            <w:tcW w:w="0" w:type="auto"/>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 xml:space="preserve">1. </w:t>
            </w:r>
            <w:r w:rsidRPr="00B456BC">
              <w:rPr>
                <w:rFonts w:asciiTheme="minorHAnsi" w:hAnsiTheme="minorHAnsi" w:cstheme="minorHAnsi"/>
                <w:color w:val="000000"/>
                <w:sz w:val="20"/>
                <w:szCs w:val="20"/>
                <w:lang w:eastAsia="pl-PL"/>
              </w:rPr>
              <w:t>Budowa odwodnienia wgłębnego wraz z umocnieniem wylotów do odbiorników</w:t>
            </w:r>
          </w:p>
        </w:tc>
      </w:tr>
    </w:tbl>
    <w:p w:rsidR="0004440C" w:rsidRPr="00B456BC" w:rsidRDefault="0004440C" w:rsidP="00432C5A">
      <w:pPr>
        <w:spacing w:after="0" w:line="240" w:lineRule="auto"/>
        <w:rPr>
          <w:rFonts w:asciiTheme="minorHAnsi" w:hAnsiTheme="minorHAnsi" w:cstheme="minorHAnsi"/>
          <w:lang w:eastAsia="pl-PL"/>
        </w:rPr>
      </w:pPr>
    </w:p>
    <w:p w:rsidR="0004440C" w:rsidRPr="00B456BC" w:rsidRDefault="0004440C" w:rsidP="00432C5A">
      <w:pPr>
        <w:spacing w:after="0" w:line="240" w:lineRule="auto"/>
        <w:rPr>
          <w:rFonts w:asciiTheme="minorHAnsi" w:hAnsiTheme="minorHAnsi" w:cstheme="minorHAnsi"/>
          <w:bCs/>
          <w:color w:val="000000"/>
          <w:lang w:eastAsia="pl-PL"/>
        </w:rPr>
      </w:pPr>
      <w:r w:rsidRPr="00B456BC">
        <w:rPr>
          <w:rFonts w:asciiTheme="minorHAnsi" w:hAnsiTheme="minorHAnsi" w:cstheme="minorHAnsi"/>
          <w:bCs/>
          <w:color w:val="000000"/>
          <w:lang w:eastAsia="pl-PL"/>
        </w:rPr>
        <w:t>i w tym zakresie orzeka:</w:t>
      </w:r>
    </w:p>
    <w:p w:rsidR="0004440C" w:rsidRPr="00B456BC" w:rsidRDefault="0004440C" w:rsidP="00432C5A">
      <w:pPr>
        <w:pStyle w:val="Tytu"/>
        <w:numPr>
          <w:ilvl w:val="0"/>
          <w:numId w:val="0"/>
        </w:numPr>
        <w:spacing w:before="0" w:line="240" w:lineRule="auto"/>
        <w:jc w:val="left"/>
        <w:outlineLvl w:val="9"/>
        <w:rPr>
          <w:rFonts w:asciiTheme="minorHAnsi" w:hAnsiTheme="minorHAnsi" w:cstheme="minorHAnsi"/>
          <w:b w:val="0"/>
          <w:sz w:val="22"/>
          <w:szCs w:val="22"/>
        </w:rPr>
      </w:pPr>
      <w:r w:rsidRPr="00B456BC">
        <w:rPr>
          <w:rStyle w:val="FontStyle32"/>
          <w:rFonts w:asciiTheme="minorHAnsi" w:hAnsiTheme="minorHAnsi" w:cstheme="minorHAnsi"/>
          <w:b w:val="0"/>
        </w:rPr>
        <w:t xml:space="preserve">„Realizacja inwestycji obejmuje kompleksową wymianę nawierzchni torów LK148 na odcinku w km ok. 2,753 do km ok. 22,631. Istniejąca geometria toru zostanie dostosowana do prędkości </w:t>
      </w:r>
      <w:proofErr w:type="spellStart"/>
      <w:r w:rsidRPr="00B456BC">
        <w:rPr>
          <w:rStyle w:val="FontStyle32"/>
          <w:rFonts w:asciiTheme="minorHAnsi" w:hAnsiTheme="minorHAnsi" w:cstheme="minorHAnsi"/>
          <w:b w:val="0"/>
        </w:rPr>
        <w:t>V</w:t>
      </w:r>
      <w:r w:rsidRPr="00B456BC">
        <w:rPr>
          <w:rStyle w:val="FontStyle32"/>
          <w:rFonts w:asciiTheme="minorHAnsi" w:hAnsiTheme="minorHAnsi" w:cstheme="minorHAnsi"/>
          <w:b w:val="0"/>
          <w:vertAlign w:val="subscript"/>
        </w:rPr>
        <w:t>max</w:t>
      </w:r>
      <w:proofErr w:type="spellEnd"/>
      <w:r w:rsidRPr="00B456BC">
        <w:rPr>
          <w:rStyle w:val="FontStyle32"/>
          <w:rFonts w:asciiTheme="minorHAnsi" w:hAnsiTheme="minorHAnsi" w:cstheme="minorHAnsi"/>
          <w:b w:val="0"/>
        </w:rPr>
        <w:t xml:space="preserve"> = 160 km/h. Zakres prac obejmuje także regulację torów w profilu, do obowiązujących warunków i standardów technicznych. W ramach przedsięwzięcia wykonana zostanie również wymiana nawierzchni torowej LK159 na odcinku od km ok. 13,135 do km ok. 13,994, regulacja toru oraz drenaż. Planowane jest odtworzenie i budowa nowego odwodnienia w postaci rowów otwartych umocnionych oraz budowa odwodnienia wgłębnego wraz z umocnieniem wylotów do odbiorników. Zakres prac w nawierzchni, podtorzu i odwodnieniu przedstawia tabela 1.</w:t>
      </w:r>
    </w:p>
    <w:p w:rsidR="0004440C" w:rsidRPr="00B456BC" w:rsidRDefault="0004440C" w:rsidP="00432C5A">
      <w:pPr>
        <w:pStyle w:val="Tytu"/>
        <w:numPr>
          <w:ilvl w:val="0"/>
          <w:numId w:val="0"/>
        </w:numPr>
        <w:spacing w:before="0" w:line="240" w:lineRule="auto"/>
        <w:jc w:val="left"/>
        <w:outlineLvl w:val="9"/>
        <w:rPr>
          <w:rStyle w:val="FontStyle32"/>
          <w:rFonts w:asciiTheme="minorHAnsi" w:hAnsiTheme="minorHAnsi" w:cstheme="minorHAnsi"/>
          <w:b w:val="0"/>
        </w:rPr>
      </w:pPr>
      <w:r w:rsidRPr="00B456BC">
        <w:rPr>
          <w:rStyle w:val="FontStyle32"/>
          <w:rFonts w:asciiTheme="minorHAnsi" w:hAnsiTheme="minorHAnsi" w:cstheme="minorHAnsi"/>
          <w:b w:val="0"/>
        </w:rPr>
        <w:t xml:space="preserve"> Tabela 1. Przewidywany zakres prac nawierzchniowych, </w:t>
      </w:r>
      <w:proofErr w:type="spellStart"/>
      <w:r w:rsidRPr="00B456BC">
        <w:rPr>
          <w:rStyle w:val="FontStyle32"/>
          <w:rFonts w:asciiTheme="minorHAnsi" w:hAnsiTheme="minorHAnsi" w:cstheme="minorHAnsi"/>
          <w:b w:val="0"/>
        </w:rPr>
        <w:t>podtorzowych</w:t>
      </w:r>
      <w:proofErr w:type="spellEnd"/>
      <w:r w:rsidRPr="00B456BC">
        <w:rPr>
          <w:rStyle w:val="FontStyle32"/>
          <w:rFonts w:asciiTheme="minorHAnsi" w:hAnsiTheme="minorHAnsi" w:cstheme="minorHAnsi"/>
          <w:b w:val="0"/>
        </w:rPr>
        <w:t>, odwodnieniowych”</w:t>
      </w:r>
    </w:p>
    <w:tbl>
      <w:tblPr>
        <w:tblStyle w:val="Tabela-Siatka"/>
        <w:tblW w:w="0" w:type="auto"/>
        <w:jc w:val="center"/>
        <w:tblLook w:val="04A0" w:firstRow="1" w:lastRow="0" w:firstColumn="1" w:lastColumn="0" w:noHBand="0" w:noVBand="1"/>
      </w:tblPr>
      <w:tblGrid>
        <w:gridCol w:w="3565"/>
        <w:gridCol w:w="2326"/>
        <w:gridCol w:w="3171"/>
      </w:tblGrid>
      <w:tr w:rsidR="0004440C" w:rsidRPr="00B456BC" w:rsidTr="00B456BC">
        <w:trPr>
          <w:jc w:val="center"/>
        </w:trPr>
        <w:tc>
          <w:tcPr>
            <w:tcW w:w="0" w:type="auto"/>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Zakres prac nawierzchniowych</w:t>
            </w:r>
          </w:p>
        </w:tc>
        <w:tc>
          <w:tcPr>
            <w:tcW w:w="0" w:type="auto"/>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 xml:space="preserve">Zakres prac </w:t>
            </w:r>
            <w:proofErr w:type="spellStart"/>
            <w:r w:rsidRPr="00B456BC">
              <w:rPr>
                <w:rFonts w:asciiTheme="minorHAnsi" w:hAnsiTheme="minorHAnsi" w:cstheme="minorHAnsi"/>
                <w:sz w:val="20"/>
                <w:szCs w:val="20"/>
                <w:lang w:eastAsia="pl-PL"/>
              </w:rPr>
              <w:t>podtorzowych</w:t>
            </w:r>
            <w:proofErr w:type="spellEnd"/>
          </w:p>
        </w:tc>
        <w:tc>
          <w:tcPr>
            <w:tcW w:w="0" w:type="auto"/>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Zakres prac odwodnieniowych</w:t>
            </w:r>
          </w:p>
        </w:tc>
      </w:tr>
      <w:tr w:rsidR="0004440C" w:rsidRPr="00B456BC" w:rsidTr="00B456BC">
        <w:trPr>
          <w:jc w:val="center"/>
        </w:trPr>
        <w:tc>
          <w:tcPr>
            <w:tcW w:w="0" w:type="auto"/>
            <w:gridSpan w:val="3"/>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 xml:space="preserve">tor nr 1 w km 2,753 - 22,631 (obejmuje zakres prac nawierzchniowych, </w:t>
            </w:r>
            <w:proofErr w:type="spellStart"/>
            <w:r w:rsidRPr="00B456BC">
              <w:rPr>
                <w:rFonts w:asciiTheme="minorHAnsi" w:hAnsiTheme="minorHAnsi" w:cstheme="minorHAnsi"/>
                <w:sz w:val="20"/>
                <w:szCs w:val="20"/>
                <w:lang w:eastAsia="pl-PL"/>
              </w:rPr>
              <w:t>podtorzowych</w:t>
            </w:r>
            <w:proofErr w:type="spellEnd"/>
            <w:r w:rsidRPr="00B456BC">
              <w:rPr>
                <w:rFonts w:asciiTheme="minorHAnsi" w:hAnsiTheme="minorHAnsi" w:cstheme="minorHAnsi"/>
                <w:sz w:val="20"/>
                <w:szCs w:val="20"/>
                <w:lang w:eastAsia="pl-PL"/>
              </w:rPr>
              <w:t xml:space="preserve"> oraz odwodnieniowych na p.o. Czarków km ok. 6,275, na Stacji Suszec Kopalnia km ok. 16,200, na p.o. Suszec Rudziczka km ok. 17,721 )</w:t>
            </w:r>
          </w:p>
        </w:tc>
      </w:tr>
      <w:tr w:rsidR="0004440C" w:rsidRPr="00B456BC" w:rsidTr="00B456BC">
        <w:trPr>
          <w:jc w:val="center"/>
        </w:trPr>
        <w:tc>
          <w:tcPr>
            <w:tcW w:w="0" w:type="auto"/>
            <w:vAlign w:val="center"/>
          </w:tcPr>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Wymiana nawierzchni torowej na nową na odcinku ok. 2,753 — 22,631 1</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2. Dostosowanie istniejącej geometrii toru 2 do prędkości V </w:t>
            </w:r>
            <w:r w:rsidRPr="00B456BC">
              <w:rPr>
                <w:rFonts w:asciiTheme="minorHAnsi" w:hAnsiTheme="minorHAnsi" w:cstheme="minorHAnsi"/>
                <w:color w:val="000000"/>
                <w:sz w:val="20"/>
                <w:szCs w:val="20"/>
                <w:vertAlign w:val="subscript"/>
                <w:lang w:eastAsia="pl-PL"/>
              </w:rPr>
              <w:t>max</w:t>
            </w:r>
            <w:r w:rsidRPr="00B456BC">
              <w:rPr>
                <w:rFonts w:asciiTheme="minorHAnsi" w:hAnsiTheme="minorHAnsi" w:cstheme="minorHAnsi"/>
                <w:color w:val="000000"/>
                <w:sz w:val="20"/>
                <w:szCs w:val="20"/>
                <w:lang w:eastAsia="pl-PL"/>
              </w:rPr>
              <w:t xml:space="preserve"> = 160 km/h</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3. Regulacja torów w profilu do obowiązujących warunków 3 i standardów technicznych</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4. Regulacja odcinków stycznych do przedmiotowego zamierzenia 4 tj.: do zadania LOT B oraz do rozjazdu</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Nr 29 na stacji Żory</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5. Zabudowa szyn przejściowych 5 w rejonie przejazdu w km 6+879 oraz przed rozjazdem Nr 29 na stacji Żory</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6. Szlifowanie szyn</w:t>
            </w:r>
          </w:p>
        </w:tc>
        <w:tc>
          <w:tcPr>
            <w:tcW w:w="0" w:type="auto"/>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1. Wykonanie wykopów i nasypów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 xml:space="preserve">2. </w:t>
            </w:r>
            <w:proofErr w:type="spellStart"/>
            <w:r w:rsidRPr="00B456BC">
              <w:rPr>
                <w:rFonts w:asciiTheme="minorHAnsi" w:hAnsiTheme="minorHAnsi" w:cstheme="minorHAnsi"/>
                <w:sz w:val="20"/>
                <w:szCs w:val="20"/>
                <w:lang w:eastAsia="pl-PL"/>
              </w:rPr>
              <w:t>Profilacja</w:t>
            </w:r>
            <w:proofErr w:type="spellEnd"/>
            <w:r w:rsidRPr="00B456BC">
              <w:rPr>
                <w:rFonts w:asciiTheme="minorHAnsi" w:hAnsiTheme="minorHAnsi" w:cstheme="minorHAnsi"/>
                <w:sz w:val="20"/>
                <w:szCs w:val="20"/>
                <w:lang w:eastAsia="pl-PL"/>
              </w:rPr>
              <w:t xml:space="preserve"> skarp nasypów i przekopów, usunięcie drzew 1 i krzewów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3. Wykonanie poszerzenia istniejących nasypów na wybranych odcinkach</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4. Zabudowa warstwy ochronnej na całej długości wymiany nawierzchni</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5. Wzmocnienie podtorza na wybranych odcinkach</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Odtworzenie i budowa nowego odwodnienia w postaci rowów otwartych nieumocnionych i umocnionych ‘</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2. Budowa odwodnienia wgłębnego wraz z umocnieniem wylotów do odbiorników</w:t>
            </w:r>
          </w:p>
        </w:tc>
      </w:tr>
      <w:tr w:rsidR="0004440C" w:rsidRPr="00B456BC" w:rsidTr="00B456BC">
        <w:trPr>
          <w:jc w:val="center"/>
        </w:trPr>
        <w:tc>
          <w:tcPr>
            <w:tcW w:w="0" w:type="auto"/>
            <w:gridSpan w:val="3"/>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MPO Radostowice km 7,621</w:t>
            </w:r>
          </w:p>
        </w:tc>
      </w:tr>
      <w:tr w:rsidR="0004440C" w:rsidRPr="00B456BC" w:rsidTr="00B456BC">
        <w:trPr>
          <w:jc w:val="center"/>
        </w:trPr>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1. Wymiana nawierzchni torowej na nową w torze Nr 2 od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1 do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12 wraz z zabudową tłucznia</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lastRenderedPageBreak/>
              <w:t>2. Wydłużenie torów stacyjnych do 750 m</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3. Wymiana rozjazdów zwyczajnych Nr 1(1) i Nr 4(12) i wstawek torowych wraz z zabudową tłucznia</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4. Budowa żeberek ochronnych wraz z kozłami oporowymi oraz zabudowa nowych rozjazdów łukowanych Nr 2</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i Nr 11</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 xml:space="preserve">5. </w:t>
            </w:r>
            <w:proofErr w:type="spellStart"/>
            <w:r w:rsidRPr="00B456BC">
              <w:rPr>
                <w:rFonts w:asciiTheme="minorHAnsi" w:hAnsiTheme="minorHAnsi" w:cstheme="minorHAnsi"/>
                <w:color w:val="000000"/>
                <w:sz w:val="20"/>
                <w:szCs w:val="20"/>
                <w:lang w:eastAsia="pl-PL"/>
              </w:rPr>
              <w:t>Reprofilacja</w:t>
            </w:r>
            <w:proofErr w:type="spellEnd"/>
            <w:r w:rsidRPr="00B456BC">
              <w:rPr>
                <w:rFonts w:asciiTheme="minorHAnsi" w:hAnsiTheme="minorHAnsi" w:cstheme="minorHAnsi"/>
                <w:color w:val="000000"/>
                <w:sz w:val="20"/>
                <w:szCs w:val="20"/>
                <w:lang w:eastAsia="pl-PL"/>
              </w:rPr>
              <w:t xml:space="preserve"> torowiska, wyrównanie międzytorzy klińcem (równia stacyjna)</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lastRenderedPageBreak/>
              <w:t xml:space="preserve">1. </w:t>
            </w:r>
            <w:r w:rsidRPr="00B456BC">
              <w:rPr>
                <w:rFonts w:asciiTheme="minorHAnsi" w:hAnsiTheme="minorHAnsi" w:cstheme="minorHAnsi"/>
                <w:color w:val="000000"/>
                <w:sz w:val="20"/>
                <w:szCs w:val="20"/>
                <w:lang w:eastAsia="pl-PL"/>
              </w:rPr>
              <w:t>. Wykonanie wykopów i nasypów</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lastRenderedPageBreak/>
              <w:t xml:space="preserve">2. </w:t>
            </w:r>
            <w:proofErr w:type="spellStart"/>
            <w:r w:rsidRPr="00B456BC">
              <w:rPr>
                <w:rFonts w:asciiTheme="minorHAnsi" w:hAnsiTheme="minorHAnsi" w:cstheme="minorHAnsi"/>
                <w:color w:val="000000"/>
                <w:sz w:val="20"/>
                <w:szCs w:val="20"/>
                <w:lang w:eastAsia="pl-PL"/>
              </w:rPr>
              <w:t>Profilacja</w:t>
            </w:r>
            <w:proofErr w:type="spellEnd"/>
            <w:r w:rsidRPr="00B456BC">
              <w:rPr>
                <w:rFonts w:asciiTheme="minorHAnsi" w:hAnsiTheme="minorHAnsi" w:cstheme="minorHAnsi"/>
                <w:color w:val="000000"/>
                <w:sz w:val="20"/>
                <w:szCs w:val="20"/>
                <w:lang w:eastAsia="pl-PL"/>
              </w:rPr>
              <w:t xml:space="preserve"> skarp nasypów i przekopów, usunięcie drzew i krzewów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3. Zabudowa warstwy ochronnej na całej długości wymiany nawierzchni</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lastRenderedPageBreak/>
              <w:t>1. O</w:t>
            </w:r>
            <w:r w:rsidRPr="00B456BC">
              <w:rPr>
                <w:rFonts w:asciiTheme="minorHAnsi" w:hAnsiTheme="minorHAnsi" w:cstheme="minorHAnsi"/>
                <w:color w:val="000000"/>
                <w:sz w:val="20"/>
                <w:szCs w:val="20"/>
                <w:lang w:eastAsia="pl-PL"/>
              </w:rPr>
              <w:t xml:space="preserve">dtworzenie i budowa nowego odwodnienia w postaci rowów </w:t>
            </w:r>
            <w:r w:rsidRPr="00B456BC">
              <w:rPr>
                <w:rFonts w:asciiTheme="minorHAnsi" w:hAnsiTheme="minorHAnsi" w:cstheme="minorHAnsi"/>
                <w:color w:val="000000"/>
                <w:sz w:val="20"/>
                <w:szCs w:val="20"/>
                <w:lang w:eastAsia="pl-PL"/>
              </w:rPr>
              <w:lastRenderedPageBreak/>
              <w:t>otwartych nieumocnionych i umocnionych</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2. Budowa odwodnienia wgłębnego wraz umocnieniem wylotów do odbiorników</w:t>
            </w:r>
          </w:p>
        </w:tc>
      </w:tr>
      <w:tr w:rsidR="0004440C" w:rsidRPr="00B456BC" w:rsidTr="00B456BC">
        <w:trPr>
          <w:jc w:val="center"/>
        </w:trPr>
        <w:tc>
          <w:tcPr>
            <w:tcW w:w="0" w:type="auto"/>
            <w:gridSpan w:val="3"/>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lastRenderedPageBreak/>
              <w:t>Stacja Suszec km 14,770</w:t>
            </w:r>
          </w:p>
        </w:tc>
      </w:tr>
      <w:tr w:rsidR="0004440C" w:rsidRPr="00B456BC" w:rsidTr="00B456BC">
        <w:trPr>
          <w:trHeight w:val="6857"/>
          <w:jc w:val="center"/>
        </w:trPr>
        <w:tc>
          <w:tcPr>
            <w:tcW w:w="0" w:type="auto"/>
            <w:vAlign w:val="center"/>
          </w:tcPr>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1. Wymiana nawierzchni torowej na nową w torze Nr 3 od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1 do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13 wraz z zabudową tłucznia</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2. Wymiana nawierzchni torowej na nową w torze Nr 2 od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2 do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14 wraz z zabudową tłucznia</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3. Wymiana nawierzchni torowej w torze Nr 4 od </w:t>
            </w:r>
            <w:proofErr w:type="spellStart"/>
            <w:r w:rsidRPr="00B456BC">
              <w:rPr>
                <w:rFonts w:asciiTheme="minorHAnsi" w:hAnsiTheme="minorHAnsi" w:cstheme="minorHAnsi"/>
                <w:color w:val="000000"/>
                <w:sz w:val="20"/>
                <w:szCs w:val="20"/>
                <w:lang w:eastAsia="pl-PL"/>
              </w:rPr>
              <w:t>Rz</w:t>
            </w:r>
            <w:proofErr w:type="spellEnd"/>
            <w:r w:rsidRPr="00B456BC">
              <w:rPr>
                <w:rFonts w:asciiTheme="minorHAnsi" w:hAnsiTheme="minorHAnsi" w:cstheme="minorHAnsi"/>
                <w:color w:val="000000"/>
                <w:sz w:val="20"/>
                <w:szCs w:val="20"/>
                <w:lang w:eastAsia="pl-PL"/>
              </w:rPr>
              <w:t xml:space="preserve"> Nr 5 do brany wraz z zabudową tłucznia w tym zabudowa szyny przejściowej.</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Nawierzchnie za rozjazdem Nr 5 wraz z szyną przejściową wykonać z nowych materiałów, pozostałą część toru ze </w:t>
            </w:r>
            <w:proofErr w:type="spellStart"/>
            <w:r w:rsidRPr="00B456BC">
              <w:rPr>
                <w:rFonts w:asciiTheme="minorHAnsi" w:hAnsiTheme="minorHAnsi" w:cstheme="minorHAnsi"/>
                <w:color w:val="000000"/>
                <w:sz w:val="20"/>
                <w:szCs w:val="20"/>
                <w:lang w:eastAsia="pl-PL"/>
              </w:rPr>
              <w:t>staroużytecznych</w:t>
            </w:r>
            <w:proofErr w:type="spellEnd"/>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4. Wydłużenie torów stacyjnych do 750 m, a także budowa dodatkowych torów stacyjnych</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5. Wymiana rozjazdów zwyczajnych</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Nr 1(1) i Nr 2(2), Nr 3(5), Nr 5 (14) Nr 6</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(13) i wstawek torowych wraz z zabudową tłucznia</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6. Budowa żeberek ochronnych wraz z kozłami oporowymi oraz zabudowa nowych rozjazdów łukowanych Nr 3,</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Nr 4, Nr 11 i Nr 12,</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 xml:space="preserve">7. </w:t>
            </w:r>
            <w:proofErr w:type="spellStart"/>
            <w:r w:rsidRPr="00B456BC">
              <w:rPr>
                <w:rFonts w:asciiTheme="minorHAnsi" w:hAnsiTheme="minorHAnsi" w:cstheme="minorHAnsi"/>
                <w:color w:val="000000"/>
                <w:sz w:val="20"/>
                <w:szCs w:val="20"/>
                <w:lang w:eastAsia="pl-PL"/>
              </w:rPr>
              <w:t>Reprofilacja</w:t>
            </w:r>
            <w:proofErr w:type="spellEnd"/>
            <w:r w:rsidRPr="00B456BC">
              <w:rPr>
                <w:rFonts w:asciiTheme="minorHAnsi" w:hAnsiTheme="minorHAnsi" w:cstheme="minorHAnsi"/>
                <w:color w:val="000000"/>
                <w:sz w:val="20"/>
                <w:szCs w:val="20"/>
                <w:lang w:eastAsia="pl-PL"/>
              </w:rPr>
              <w:t xml:space="preserve"> torowiska, wyrównanie międzytorzy klińcem (równia stacyjna)</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Wykonanie wykopów i nasypów</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2. </w:t>
            </w:r>
            <w:proofErr w:type="spellStart"/>
            <w:r w:rsidRPr="00B456BC">
              <w:rPr>
                <w:rFonts w:asciiTheme="minorHAnsi" w:hAnsiTheme="minorHAnsi" w:cstheme="minorHAnsi"/>
                <w:color w:val="000000"/>
                <w:sz w:val="20"/>
                <w:szCs w:val="20"/>
                <w:lang w:eastAsia="pl-PL"/>
              </w:rPr>
              <w:t>Profilacja</w:t>
            </w:r>
            <w:proofErr w:type="spellEnd"/>
            <w:r w:rsidRPr="00B456BC">
              <w:rPr>
                <w:rFonts w:asciiTheme="minorHAnsi" w:hAnsiTheme="minorHAnsi" w:cstheme="minorHAnsi"/>
                <w:color w:val="000000"/>
                <w:sz w:val="20"/>
                <w:szCs w:val="20"/>
                <w:lang w:eastAsia="pl-PL"/>
              </w:rPr>
              <w:t xml:space="preserve"> skarp nasypów i przekopów, usunięcie drzew i krzewów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3. Zabudowa warstwy ochronnej na całej długości wymiany nawierzchni</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t xml:space="preserve">1. </w:t>
            </w:r>
            <w:r w:rsidRPr="00B456BC">
              <w:rPr>
                <w:rFonts w:asciiTheme="minorHAnsi" w:hAnsiTheme="minorHAnsi" w:cstheme="minorHAnsi"/>
                <w:color w:val="000000"/>
                <w:sz w:val="20"/>
                <w:szCs w:val="20"/>
                <w:lang w:eastAsia="pl-PL"/>
              </w:rPr>
              <w:t>Odtworzenie i budowa nowego odwodnienia w postaci rowów otwartych nieumocnionych i umocnionych</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2. Budowa odwodnienia wgłębnego wraz z umocnieniem wylotów do odbiorników</w:t>
            </w:r>
          </w:p>
        </w:tc>
      </w:tr>
      <w:tr w:rsidR="0004440C" w:rsidRPr="00B456BC" w:rsidTr="00B456BC">
        <w:trPr>
          <w:jc w:val="center"/>
        </w:trPr>
        <w:tc>
          <w:tcPr>
            <w:tcW w:w="0" w:type="auto"/>
            <w:gridSpan w:val="3"/>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P.ODG Suszec Rudziczka km 18+096</w:t>
            </w:r>
          </w:p>
        </w:tc>
      </w:tr>
      <w:tr w:rsidR="0004440C" w:rsidRPr="00B456BC" w:rsidTr="00B456BC">
        <w:trPr>
          <w:jc w:val="center"/>
        </w:trPr>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Likwidacja posterunku</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2. Rozbiórka rozjazdu Nr 2 i wstawki </w:t>
            </w:r>
            <w:proofErr w:type="spellStart"/>
            <w:r w:rsidRPr="00B456BC">
              <w:rPr>
                <w:rFonts w:asciiTheme="minorHAnsi" w:hAnsiTheme="minorHAnsi" w:cstheme="minorHAnsi"/>
                <w:color w:val="000000"/>
                <w:sz w:val="20"/>
                <w:szCs w:val="20"/>
                <w:lang w:eastAsia="pl-PL"/>
              </w:rPr>
              <w:t>międzyrozjazdowej</w:t>
            </w:r>
            <w:proofErr w:type="spellEnd"/>
            <w:r w:rsidRPr="00B456BC">
              <w:rPr>
                <w:rFonts w:asciiTheme="minorHAnsi" w:hAnsiTheme="minorHAnsi" w:cstheme="minorHAnsi"/>
                <w:color w:val="000000"/>
                <w:sz w:val="20"/>
                <w:szCs w:val="20"/>
                <w:lang w:eastAsia="pl-PL"/>
              </w:rPr>
              <w:t xml:space="preserve"> nr 1-2</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3. Rozbiórka żeberka ochronnego linii kolejowej 878 wraz  z kozłem oporowym</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4. Zabudowa toru w miejscu zlikwidowanego rozjazdu nr 2</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5. Regulacja toru w profilu do obowiązujących warunków i standardów technicznych</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Wykonanie wykopów i nasypów</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2. Usunięcie drzew i krzewów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3. Zabudowa warstwy ochronnej na całej długości wymiany nawierzchni</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Odtworzenie i budowa nowego odwodnienia w postaci rowów otwartych nieumocnionych i umocnionych</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2. Budowa odwodnienia wgłębnego wraz z umocnieniem wylotów do odbiorników</w:t>
            </w:r>
          </w:p>
        </w:tc>
      </w:tr>
      <w:tr w:rsidR="0004440C" w:rsidRPr="00B456BC" w:rsidTr="00B456BC">
        <w:trPr>
          <w:jc w:val="center"/>
        </w:trPr>
        <w:tc>
          <w:tcPr>
            <w:tcW w:w="0" w:type="auto"/>
            <w:gridSpan w:val="3"/>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P.ODG Kleszczów km 20+565</w:t>
            </w:r>
          </w:p>
        </w:tc>
      </w:tr>
      <w:tr w:rsidR="0004440C" w:rsidRPr="00B456BC" w:rsidTr="00B456BC">
        <w:trPr>
          <w:jc w:val="center"/>
        </w:trPr>
        <w:tc>
          <w:tcPr>
            <w:tcW w:w="0" w:type="auto"/>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1. Wymiana rozjazdu zwyczajnych Nr 1 i wstawki torowej (szyna przejściowa) wraz z zabudową tłucznia</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lastRenderedPageBreak/>
              <w:t xml:space="preserve">2. </w:t>
            </w:r>
            <w:r w:rsidRPr="00B456BC">
              <w:rPr>
                <w:rFonts w:asciiTheme="minorHAnsi" w:hAnsiTheme="minorHAnsi" w:cstheme="minorHAnsi"/>
                <w:color w:val="000000"/>
                <w:sz w:val="20"/>
                <w:szCs w:val="20"/>
                <w:lang w:eastAsia="pl-PL"/>
              </w:rPr>
              <w:t xml:space="preserve">Wymiana nawierzchni torowej przed rozjazdem Nr 2 – L=30m w rejonie przejazdu w km 20,272 </w:t>
            </w:r>
            <w:r w:rsidRPr="00B456BC">
              <w:rPr>
                <w:rFonts w:asciiTheme="minorHAnsi" w:hAnsiTheme="minorHAnsi" w:cstheme="minorHAnsi"/>
                <w:sz w:val="20"/>
                <w:szCs w:val="20"/>
                <w:lang w:eastAsia="pl-PL"/>
              </w:rPr>
              <w:t>wraz z zabudową tłucznia</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3. </w:t>
            </w:r>
            <w:proofErr w:type="spellStart"/>
            <w:r w:rsidRPr="00B456BC">
              <w:rPr>
                <w:rFonts w:asciiTheme="minorHAnsi" w:hAnsiTheme="minorHAnsi" w:cstheme="minorHAnsi"/>
                <w:color w:val="000000"/>
                <w:sz w:val="20"/>
                <w:szCs w:val="20"/>
                <w:lang w:eastAsia="pl-PL"/>
              </w:rPr>
              <w:t>Reprofilacja</w:t>
            </w:r>
            <w:proofErr w:type="spellEnd"/>
            <w:r w:rsidRPr="00B456BC">
              <w:rPr>
                <w:rFonts w:asciiTheme="minorHAnsi" w:hAnsiTheme="minorHAnsi" w:cstheme="minorHAnsi"/>
                <w:color w:val="000000"/>
                <w:sz w:val="20"/>
                <w:szCs w:val="20"/>
                <w:lang w:eastAsia="pl-PL"/>
              </w:rPr>
              <w:t xml:space="preserve"> torowiska, wyrównanie międzytorzy klińcem</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4. Regulacja w planie i w profilu rozjazdu Nr 2 wraz z odcinkami torów przed i za rozjazdem.</w:t>
            </w:r>
          </w:p>
        </w:tc>
        <w:tc>
          <w:tcPr>
            <w:tcW w:w="0" w:type="auto"/>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lastRenderedPageBreak/>
              <w:t>1. Wykonanie wykopów i nasypów</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t xml:space="preserve">2. </w:t>
            </w:r>
            <w:r w:rsidRPr="00B456BC">
              <w:rPr>
                <w:rFonts w:asciiTheme="minorHAnsi" w:hAnsiTheme="minorHAnsi" w:cstheme="minorHAnsi"/>
                <w:color w:val="000000"/>
                <w:sz w:val="20"/>
                <w:szCs w:val="20"/>
                <w:lang w:eastAsia="pl-PL"/>
              </w:rPr>
              <w:t>Usunięcie drzew i krzewów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lastRenderedPageBreak/>
              <w:t>3. Zabudowa warstwy ochronnej na całej długości wymiany nawierzchni</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lastRenderedPageBreak/>
              <w:t xml:space="preserve">1. </w:t>
            </w:r>
            <w:r w:rsidRPr="00B456BC">
              <w:rPr>
                <w:rFonts w:asciiTheme="minorHAnsi" w:hAnsiTheme="minorHAnsi" w:cstheme="minorHAnsi"/>
                <w:color w:val="000000"/>
                <w:sz w:val="20"/>
                <w:szCs w:val="20"/>
                <w:lang w:eastAsia="pl-PL"/>
              </w:rPr>
              <w:t>Odtworzenie i budowa nowego odwodnienia w postaci rowów otwartych umocnionych</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lastRenderedPageBreak/>
              <w:t>2. Budowa odwodnienia wgłębnego wraz z umocnieniem wylotów do odbiorników</w:t>
            </w:r>
          </w:p>
        </w:tc>
      </w:tr>
      <w:tr w:rsidR="0004440C" w:rsidRPr="00B456BC" w:rsidTr="00B456BC">
        <w:trPr>
          <w:jc w:val="center"/>
        </w:trPr>
        <w:tc>
          <w:tcPr>
            <w:tcW w:w="0" w:type="auto"/>
            <w:gridSpan w:val="3"/>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lastRenderedPageBreak/>
              <w:t>Stacja Żory</w:t>
            </w:r>
          </w:p>
        </w:tc>
      </w:tr>
      <w:tr w:rsidR="0004440C" w:rsidRPr="00B456BC" w:rsidTr="00B456BC">
        <w:trPr>
          <w:jc w:val="center"/>
        </w:trPr>
        <w:tc>
          <w:tcPr>
            <w:tcW w:w="0" w:type="auto"/>
            <w:vAlign w:val="center"/>
          </w:tcPr>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sz w:val="20"/>
                <w:szCs w:val="20"/>
                <w:lang w:eastAsia="pl-PL"/>
              </w:rPr>
              <w:t xml:space="preserve">1. </w:t>
            </w:r>
            <w:r w:rsidRPr="00B456BC">
              <w:rPr>
                <w:rFonts w:asciiTheme="minorHAnsi" w:hAnsiTheme="minorHAnsi" w:cstheme="minorHAnsi"/>
                <w:color w:val="000000"/>
                <w:sz w:val="20"/>
                <w:szCs w:val="20"/>
                <w:lang w:eastAsia="pl-PL"/>
              </w:rPr>
              <w:t>Wymiana nawierzchni torowej na nową w torze Nr 9, 11, 13, 15 od km</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13,135 do km 13,994 wraz z zabudową tłucznia</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 xml:space="preserve">2. </w:t>
            </w:r>
            <w:proofErr w:type="spellStart"/>
            <w:r w:rsidRPr="00B456BC">
              <w:rPr>
                <w:rFonts w:asciiTheme="minorHAnsi" w:hAnsiTheme="minorHAnsi" w:cstheme="minorHAnsi"/>
                <w:color w:val="000000"/>
                <w:sz w:val="20"/>
                <w:szCs w:val="20"/>
                <w:lang w:eastAsia="pl-PL"/>
              </w:rPr>
              <w:t>Reprofilacja</w:t>
            </w:r>
            <w:proofErr w:type="spellEnd"/>
            <w:r w:rsidRPr="00B456BC">
              <w:rPr>
                <w:rFonts w:asciiTheme="minorHAnsi" w:hAnsiTheme="minorHAnsi" w:cstheme="minorHAnsi"/>
                <w:color w:val="000000"/>
                <w:sz w:val="20"/>
                <w:szCs w:val="20"/>
                <w:lang w:eastAsia="pl-PL"/>
              </w:rPr>
              <w:t xml:space="preserve"> torowiska, wyrównanie międzytorzy klińcem (równia stacyjna)</w:t>
            </w:r>
          </w:p>
          <w:p w:rsidR="0004440C" w:rsidRPr="00B456BC" w:rsidRDefault="0004440C" w:rsidP="00432C5A">
            <w:pPr>
              <w:autoSpaceDE w:val="0"/>
              <w:adjustRightInd w:val="0"/>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3. Regulacja torów Nr 9,11,13,15 w planie</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i w profilu rozjazdu na włączeniu w stan istniejący</w:t>
            </w:r>
          </w:p>
        </w:tc>
        <w:tc>
          <w:tcPr>
            <w:tcW w:w="0" w:type="auto"/>
            <w:vAlign w:val="center"/>
          </w:tcPr>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1. Wykonanie wykopów i nasypów</w:t>
            </w:r>
          </w:p>
          <w:p w:rsidR="0004440C" w:rsidRPr="00B456BC" w:rsidRDefault="0004440C" w:rsidP="00432C5A">
            <w:pPr>
              <w:spacing w:after="0" w:line="240" w:lineRule="auto"/>
              <w:rPr>
                <w:rFonts w:asciiTheme="minorHAnsi" w:hAnsiTheme="minorHAnsi" w:cstheme="minorHAnsi"/>
                <w:color w:val="000000"/>
                <w:sz w:val="20"/>
                <w:szCs w:val="20"/>
                <w:lang w:eastAsia="pl-PL"/>
              </w:rPr>
            </w:pPr>
            <w:r w:rsidRPr="00B456BC">
              <w:rPr>
                <w:rFonts w:asciiTheme="minorHAnsi" w:hAnsiTheme="minorHAnsi" w:cstheme="minorHAnsi"/>
                <w:color w:val="000000"/>
                <w:sz w:val="20"/>
                <w:szCs w:val="20"/>
                <w:lang w:eastAsia="pl-PL"/>
              </w:rPr>
              <w:t>2. Usunięcie drzew i krzewów</w:t>
            </w:r>
          </w:p>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color w:val="000000"/>
                <w:sz w:val="20"/>
                <w:szCs w:val="20"/>
                <w:lang w:eastAsia="pl-PL"/>
              </w:rPr>
              <w:t>3. Zabudowa warstwy ochronnej na całej długości wymiany nawierzchni</w:t>
            </w:r>
          </w:p>
        </w:tc>
        <w:tc>
          <w:tcPr>
            <w:tcW w:w="0" w:type="auto"/>
            <w:vAlign w:val="center"/>
          </w:tcPr>
          <w:p w:rsidR="0004440C" w:rsidRPr="00B456BC" w:rsidRDefault="0004440C" w:rsidP="00432C5A">
            <w:pPr>
              <w:spacing w:after="0" w:line="240" w:lineRule="auto"/>
              <w:rPr>
                <w:rFonts w:asciiTheme="minorHAnsi" w:hAnsiTheme="minorHAnsi" w:cstheme="minorHAnsi"/>
                <w:sz w:val="20"/>
                <w:szCs w:val="20"/>
                <w:lang w:eastAsia="pl-PL"/>
              </w:rPr>
            </w:pPr>
            <w:r w:rsidRPr="00B456BC">
              <w:rPr>
                <w:rFonts w:asciiTheme="minorHAnsi" w:hAnsiTheme="minorHAnsi" w:cstheme="minorHAnsi"/>
                <w:sz w:val="20"/>
                <w:szCs w:val="20"/>
                <w:lang w:eastAsia="pl-PL"/>
              </w:rPr>
              <w:t xml:space="preserve">1. </w:t>
            </w:r>
            <w:r w:rsidRPr="00B456BC">
              <w:rPr>
                <w:rFonts w:asciiTheme="minorHAnsi" w:hAnsiTheme="minorHAnsi" w:cstheme="minorHAnsi"/>
                <w:color w:val="000000"/>
                <w:sz w:val="20"/>
                <w:szCs w:val="20"/>
                <w:lang w:eastAsia="pl-PL"/>
              </w:rPr>
              <w:t>Budowa odwodnienia wgłębnego wraz z umocnieniem wylotów do odbiorników</w:t>
            </w:r>
          </w:p>
        </w:tc>
      </w:tr>
    </w:tbl>
    <w:p w:rsidR="0004440C" w:rsidRPr="00B456BC" w:rsidRDefault="0004440C" w:rsidP="00432C5A">
      <w:pPr>
        <w:spacing w:after="0" w:line="240" w:lineRule="auto"/>
        <w:rPr>
          <w:rFonts w:asciiTheme="minorHAnsi" w:hAnsiTheme="minorHAnsi" w:cstheme="minorHAnsi"/>
          <w:lang w:eastAsia="pl-PL"/>
        </w:rPr>
      </w:pPr>
    </w:p>
    <w:p w:rsidR="0004440C" w:rsidRPr="00B456BC" w:rsidRDefault="0004440C" w:rsidP="00432C5A">
      <w:pPr>
        <w:pStyle w:val="Tytu"/>
        <w:spacing w:before="0" w:line="240" w:lineRule="auto"/>
        <w:ind w:left="357" w:hanging="357"/>
        <w:jc w:val="left"/>
        <w:outlineLvl w:val="9"/>
        <w:rPr>
          <w:rFonts w:asciiTheme="minorHAnsi" w:hAnsiTheme="minorHAnsi" w:cstheme="minorHAnsi"/>
          <w:b w:val="0"/>
          <w:sz w:val="22"/>
          <w:szCs w:val="22"/>
        </w:rPr>
      </w:pPr>
      <w:r w:rsidRPr="00B456BC">
        <w:rPr>
          <w:rStyle w:val="FontStyle32"/>
          <w:rFonts w:asciiTheme="minorHAnsi" w:hAnsiTheme="minorHAnsi" w:cstheme="minorHAnsi"/>
          <w:b w:val="0"/>
          <w:color w:val="auto"/>
        </w:rPr>
        <w:t>w pozostałej części utrzymuje decyzję organu pierwszej instancji w mocy.</w:t>
      </w:r>
    </w:p>
    <w:p w:rsidR="0004440C" w:rsidRPr="00B456BC" w:rsidRDefault="0004440C" w:rsidP="00432C5A">
      <w:pPr>
        <w:spacing w:after="0" w:line="240" w:lineRule="auto"/>
        <w:rPr>
          <w:rFonts w:asciiTheme="minorHAnsi" w:hAnsiTheme="minorHAnsi" w:cstheme="minorHAnsi"/>
          <w:bCs/>
        </w:rPr>
      </w:pPr>
    </w:p>
    <w:p w:rsidR="00593A34" w:rsidRPr="00B456BC" w:rsidRDefault="0004440C" w:rsidP="00432C5A">
      <w:pPr>
        <w:spacing w:after="0" w:line="240" w:lineRule="auto"/>
        <w:rPr>
          <w:rFonts w:asciiTheme="minorHAnsi" w:hAnsiTheme="minorHAnsi" w:cstheme="minorHAnsi"/>
          <w:bCs/>
        </w:rPr>
      </w:pPr>
      <w:r w:rsidRPr="00B456BC">
        <w:rPr>
          <w:rFonts w:asciiTheme="minorHAnsi" w:hAnsiTheme="minorHAnsi" w:cstheme="minorHAnsi"/>
          <w:bCs/>
        </w:rPr>
        <w:t>UZASADNIENIE</w:t>
      </w:r>
    </w:p>
    <w:p w:rsidR="0004440C" w:rsidRPr="00B456BC" w:rsidRDefault="0004440C" w:rsidP="00432C5A">
      <w:pPr>
        <w:spacing w:after="0" w:line="240" w:lineRule="auto"/>
        <w:rPr>
          <w:rFonts w:asciiTheme="minorHAnsi" w:hAnsiTheme="minorHAnsi" w:cstheme="minorHAnsi"/>
          <w:bCs/>
          <w:lang w:bidi="pl-PL"/>
        </w:rPr>
      </w:pPr>
      <w:r w:rsidRPr="00B456BC">
        <w:rPr>
          <w:rStyle w:val="Uwydatnienie"/>
          <w:rFonts w:asciiTheme="minorHAnsi" w:hAnsiTheme="minorHAnsi" w:cstheme="minorHAnsi"/>
          <w:color w:val="auto"/>
          <w:sz w:val="22"/>
          <w:szCs w:val="22"/>
        </w:rPr>
        <w:t xml:space="preserve">Decyzją z </w:t>
      </w:r>
      <w:r w:rsidRPr="00B456BC">
        <w:rPr>
          <w:rStyle w:val="Wyrnieniedelikatne"/>
          <w:rFonts w:asciiTheme="minorHAnsi" w:hAnsiTheme="minorHAnsi" w:cstheme="minorHAnsi"/>
          <w:sz w:val="22"/>
          <w:szCs w:val="22"/>
        </w:rPr>
        <w:t xml:space="preserve">30 czerwca 2023 r., znak: WOOŚ.420.23.2023.AS3.14, Regionalny Dyrektor Ochrony Środowiska w Katowicach, dalej RDOŚ w Katowicach, po rozpatrzeniu wniosku PKP Polskie Linie Kolejowe S.A. z siedzibą w Warszawie z sierpnia 2021 r. (brak dokładnej daty na wniosku, data wpływu: 25 sierpnia 2021 r.), znak: IOS6.452.21.2021.AŁ.2.IRE-02555-I, działając na podstawie art. </w:t>
      </w:r>
      <w:r w:rsidRPr="00B456BC">
        <w:rPr>
          <w:rFonts w:asciiTheme="minorHAnsi" w:hAnsiTheme="minorHAnsi" w:cstheme="minorHAnsi"/>
        </w:rPr>
        <w:t xml:space="preserve">71 ust. 1 oraz art. 71 ust. 2 pkt 2 </w:t>
      </w:r>
      <w:proofErr w:type="spellStart"/>
      <w:r w:rsidRPr="00B456BC">
        <w:rPr>
          <w:rFonts w:asciiTheme="minorHAnsi" w:hAnsiTheme="minorHAnsi" w:cstheme="minorHAnsi"/>
        </w:rPr>
        <w:t>u.o.o.ś</w:t>
      </w:r>
      <w:proofErr w:type="spellEnd"/>
      <w:r w:rsidRPr="00B456BC">
        <w:rPr>
          <w:rFonts w:asciiTheme="minorHAnsi" w:hAnsiTheme="minorHAnsi" w:cstheme="minorHAnsi"/>
        </w:rPr>
        <w:t>.</w:t>
      </w:r>
      <w:r w:rsidRPr="00B456BC">
        <w:rPr>
          <w:rStyle w:val="Wyrnieniedelikatne"/>
          <w:rFonts w:asciiTheme="minorHAnsi" w:hAnsiTheme="minorHAnsi" w:cstheme="minorHAnsi"/>
          <w:sz w:val="22"/>
          <w:szCs w:val="22"/>
        </w:rPr>
        <w:t xml:space="preserve"> stwierdził brak potrzeby przeprowadzenia oceny oddziaływania na środowisko oraz </w:t>
      </w:r>
      <w:r w:rsidRPr="00B456BC">
        <w:rPr>
          <w:rStyle w:val="Uwydatnienie"/>
          <w:rFonts w:asciiTheme="minorHAnsi" w:hAnsiTheme="minorHAnsi" w:cstheme="minorHAnsi"/>
          <w:color w:val="auto"/>
          <w:sz w:val="22"/>
          <w:szCs w:val="22"/>
        </w:rPr>
        <w:t>określił środowiskowe uwarunkowania realizacji przedsięwzięcia pn.</w:t>
      </w:r>
      <w:r w:rsidRPr="00B456BC">
        <w:rPr>
          <w:rFonts w:asciiTheme="minorHAnsi" w:hAnsiTheme="minorHAnsi" w:cstheme="minorHAnsi"/>
          <w:bCs/>
          <w:lang w:bidi="pl-PL"/>
        </w:rPr>
        <w:t xml:space="preserve">: „Prace na podstawowych ciągach pasażerskich (E30 i E65) na obszarze Śląska, etap I: linia E65 na odc. Będzin – Katowice – Tychy – Czechowice Dziedzice – Zebrzydowice (granica państwa) dla LOT-u B odc. Tychy – </w:t>
      </w:r>
      <w:proofErr w:type="spellStart"/>
      <w:r w:rsidRPr="00B456BC">
        <w:rPr>
          <w:rFonts w:asciiTheme="minorHAnsi" w:hAnsiTheme="minorHAnsi" w:cstheme="minorHAnsi"/>
          <w:bCs/>
          <w:lang w:bidi="pl-PL"/>
        </w:rPr>
        <w:t>podg</w:t>
      </w:r>
      <w:proofErr w:type="spellEnd"/>
      <w:r w:rsidRPr="00B456BC">
        <w:rPr>
          <w:rFonts w:asciiTheme="minorHAnsi" w:hAnsiTheme="minorHAnsi" w:cstheme="minorHAnsi"/>
          <w:bCs/>
          <w:lang w:bidi="pl-PL"/>
        </w:rPr>
        <w:t>. Most Wisła w zakresie linii kolejowej nr 148 na odcinku Pszczyna – Żory”.</w:t>
      </w:r>
    </w:p>
    <w:p w:rsidR="0004440C" w:rsidRPr="00B456BC" w:rsidRDefault="0004440C" w:rsidP="00432C5A">
      <w:pPr>
        <w:spacing w:after="0" w:line="240" w:lineRule="auto"/>
        <w:rPr>
          <w:rFonts w:asciiTheme="minorHAnsi" w:hAnsiTheme="minorHAnsi" w:cstheme="minorHAnsi"/>
        </w:rPr>
      </w:pPr>
      <w:bookmarkStart w:id="1" w:name="_Hlk73087210"/>
      <w:r w:rsidRPr="00B456BC">
        <w:rPr>
          <w:rFonts w:asciiTheme="minorHAnsi" w:hAnsiTheme="minorHAnsi" w:cstheme="minorHAnsi"/>
        </w:rPr>
        <w:t>Odwołania od ww. decyzji wnieśli:</w:t>
      </w:r>
    </w:p>
    <w:p w:rsidR="0004440C" w:rsidRPr="00B456BC" w:rsidRDefault="0004440C" w:rsidP="00432C5A">
      <w:pPr>
        <w:pStyle w:val="Akapitzlist"/>
        <w:numPr>
          <w:ilvl w:val="0"/>
          <w:numId w:val="24"/>
        </w:numPr>
        <w:spacing w:after="0" w:line="240" w:lineRule="auto"/>
        <w:ind w:left="357" w:hanging="357"/>
        <w:rPr>
          <w:rFonts w:asciiTheme="minorHAnsi" w:hAnsiTheme="minorHAnsi" w:cstheme="minorHAnsi"/>
        </w:rPr>
      </w:pPr>
      <w:r w:rsidRPr="00B456BC">
        <w:rPr>
          <w:rFonts w:asciiTheme="minorHAnsi" w:hAnsiTheme="minorHAnsi" w:cstheme="minorHAnsi"/>
        </w:rPr>
        <w:t xml:space="preserve">pismami z 2 sierpnia 2023 r. </w:t>
      </w:r>
      <w:r w:rsidR="002B01B9">
        <w:rPr>
          <w:rStyle w:val="Uwydatnienie"/>
          <w:rFonts w:asciiTheme="minorHAnsi" w:hAnsiTheme="minorHAnsi" w:cstheme="minorHAnsi"/>
          <w:b/>
          <w:color w:val="auto"/>
          <w:sz w:val="22"/>
          <w:szCs w:val="22"/>
        </w:rPr>
        <w:t>(…)</w:t>
      </w:r>
      <w:r w:rsidRPr="00B456BC">
        <w:rPr>
          <w:rFonts w:asciiTheme="minorHAnsi" w:hAnsiTheme="minorHAnsi" w:cstheme="minorHAnsi"/>
        </w:rPr>
        <w:t xml:space="preserve">, </w:t>
      </w:r>
      <w:r w:rsidR="002B01B9">
        <w:rPr>
          <w:rStyle w:val="Uwydatnienie"/>
          <w:rFonts w:asciiTheme="minorHAnsi" w:hAnsiTheme="minorHAnsi" w:cstheme="minorHAnsi"/>
          <w:b/>
          <w:color w:val="auto"/>
          <w:sz w:val="22"/>
          <w:szCs w:val="22"/>
        </w:rPr>
        <w:t>(…)</w:t>
      </w:r>
      <w:r w:rsidRPr="00B456BC">
        <w:rPr>
          <w:rFonts w:asciiTheme="minorHAnsi" w:hAnsiTheme="minorHAnsi" w:cstheme="minorHAnsi"/>
        </w:rPr>
        <w:t xml:space="preserve">, </w:t>
      </w:r>
      <w:r w:rsidR="002B01B9">
        <w:rPr>
          <w:rStyle w:val="Uwydatnienie"/>
          <w:rFonts w:asciiTheme="minorHAnsi" w:hAnsiTheme="minorHAnsi" w:cstheme="minorHAnsi"/>
          <w:b/>
          <w:color w:val="auto"/>
          <w:sz w:val="22"/>
          <w:szCs w:val="22"/>
        </w:rPr>
        <w:t>(…)</w:t>
      </w:r>
      <w:r w:rsidRPr="00B456BC">
        <w:rPr>
          <w:rFonts w:asciiTheme="minorHAnsi" w:hAnsiTheme="minorHAnsi" w:cstheme="minorHAnsi"/>
        </w:rPr>
        <w:t xml:space="preserve">i </w:t>
      </w:r>
      <w:r w:rsidR="002B01B9">
        <w:rPr>
          <w:rStyle w:val="Uwydatnienie"/>
          <w:rFonts w:asciiTheme="minorHAnsi" w:hAnsiTheme="minorHAnsi" w:cstheme="minorHAnsi"/>
          <w:b/>
          <w:color w:val="auto"/>
          <w:sz w:val="22"/>
          <w:szCs w:val="22"/>
        </w:rPr>
        <w:t>(…)</w:t>
      </w:r>
      <w:r w:rsidRPr="00B456BC">
        <w:rPr>
          <w:rFonts w:asciiTheme="minorHAnsi" w:hAnsiTheme="minorHAnsi" w:cstheme="minorHAnsi"/>
        </w:rPr>
        <w:t xml:space="preserve">, </w:t>
      </w:r>
    </w:p>
    <w:p w:rsidR="0004440C" w:rsidRPr="00B456BC" w:rsidRDefault="0004440C" w:rsidP="00432C5A">
      <w:pPr>
        <w:pStyle w:val="Akapitzlist"/>
        <w:numPr>
          <w:ilvl w:val="0"/>
          <w:numId w:val="24"/>
        </w:numPr>
        <w:spacing w:after="0" w:line="240" w:lineRule="auto"/>
        <w:ind w:left="357" w:hanging="357"/>
        <w:rPr>
          <w:rFonts w:asciiTheme="minorHAnsi" w:hAnsiTheme="minorHAnsi" w:cstheme="minorHAnsi"/>
        </w:rPr>
      </w:pPr>
      <w:r w:rsidRPr="00B456BC">
        <w:rPr>
          <w:rFonts w:asciiTheme="minorHAnsi" w:hAnsiTheme="minorHAnsi" w:cstheme="minorHAnsi"/>
        </w:rPr>
        <w:t xml:space="preserve">pismem z 3 sierpnia 2023 r. </w:t>
      </w:r>
      <w:r w:rsidR="002B01B9">
        <w:rPr>
          <w:rStyle w:val="Uwydatnienie"/>
          <w:rFonts w:asciiTheme="minorHAnsi" w:hAnsiTheme="minorHAnsi" w:cstheme="minorHAnsi"/>
          <w:b/>
          <w:color w:val="auto"/>
          <w:sz w:val="22"/>
          <w:szCs w:val="22"/>
        </w:rPr>
        <w:t>(…)</w:t>
      </w:r>
      <w:r w:rsidRPr="00B456BC">
        <w:rPr>
          <w:rFonts w:asciiTheme="minorHAnsi" w:hAnsiTheme="minorHAnsi" w:cstheme="minorHAnsi"/>
        </w:rPr>
        <w:t>.</w:t>
      </w:r>
    </w:p>
    <w:p w:rsidR="0004440C" w:rsidRPr="00B456BC" w:rsidRDefault="0004440C" w:rsidP="00432C5A">
      <w:pPr>
        <w:spacing w:after="0" w:line="240" w:lineRule="auto"/>
        <w:rPr>
          <w:rFonts w:asciiTheme="minorHAnsi" w:hAnsiTheme="minorHAnsi" w:cstheme="minorHAnsi"/>
          <w:color w:val="000000"/>
        </w:rPr>
      </w:pPr>
      <w:r w:rsidRPr="00B456BC">
        <w:rPr>
          <w:rFonts w:asciiTheme="minorHAnsi" w:hAnsiTheme="minorHAnsi" w:cstheme="minorHAnsi"/>
        </w:rPr>
        <w:t xml:space="preserve">Odwołującym status stron postępowania przysługuje z tytułu posiadania prawa własności do nieruchomości znajdujących się w miejscu realizacji przedsięwzięcia oraz obszarze objętym jego oddziaływaniem. Środki zaskarżenia zostały </w:t>
      </w:r>
      <w:r w:rsidRPr="00B456BC">
        <w:rPr>
          <w:rFonts w:asciiTheme="minorHAnsi" w:hAnsiTheme="minorHAnsi" w:cstheme="minorHAnsi"/>
          <w:color w:val="000000"/>
        </w:rPr>
        <w:t xml:space="preserve">wniesione z zachowaniem terminu przewidzianego w art. 129 § 2 k.p.a. Decyzja </w:t>
      </w:r>
      <w:r w:rsidRPr="00B456BC">
        <w:rPr>
          <w:rFonts w:asciiTheme="minorHAnsi" w:hAnsiTheme="minorHAnsi" w:cstheme="minorHAnsi"/>
        </w:rPr>
        <w:t>została doręczona stronom przez obwieszczenie w trybie art. 49 k.p.a., a termin na wniesienie odwołania upłynął 3 sierpnia 2023 r</w:t>
      </w:r>
      <w:r w:rsidRPr="00B456BC">
        <w:rPr>
          <w:rFonts w:asciiTheme="minorHAnsi" w:hAnsiTheme="minorHAnsi" w:cstheme="minorHAnsi"/>
          <w:color w:val="000000"/>
        </w:rPr>
        <w:t>.</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color w:val="000000" w:themeColor="text1"/>
        </w:rPr>
        <w:t xml:space="preserve">W stosunku do osób, którym nie przysługuje przymiot strony postępowania w rozpatrywanej sprawie, tj. </w:t>
      </w:r>
      <w:r w:rsidR="002B01B9">
        <w:rPr>
          <w:rStyle w:val="Uwydatnienie"/>
          <w:rFonts w:asciiTheme="minorHAnsi" w:hAnsiTheme="minorHAnsi" w:cstheme="minorHAnsi"/>
          <w:b/>
          <w:color w:val="auto"/>
          <w:sz w:val="22"/>
          <w:szCs w:val="22"/>
        </w:rPr>
        <w:t>(…)</w:t>
      </w:r>
      <w:r w:rsidRPr="00B456BC">
        <w:rPr>
          <w:rFonts w:asciiTheme="minorHAnsi" w:hAnsiTheme="minorHAnsi" w:cstheme="minorHAnsi"/>
          <w:color w:val="000000" w:themeColor="text1"/>
        </w:rPr>
        <w:t xml:space="preserve">, </w:t>
      </w:r>
      <w:r w:rsidR="002B01B9">
        <w:rPr>
          <w:rStyle w:val="Uwydatnienie"/>
          <w:rFonts w:asciiTheme="minorHAnsi" w:hAnsiTheme="minorHAnsi" w:cstheme="minorHAnsi"/>
          <w:b/>
          <w:color w:val="auto"/>
          <w:sz w:val="22"/>
          <w:szCs w:val="22"/>
        </w:rPr>
        <w:t>(…)</w:t>
      </w:r>
      <w:r w:rsidRPr="00B456BC">
        <w:rPr>
          <w:rFonts w:asciiTheme="minorHAnsi" w:hAnsiTheme="minorHAnsi" w:cstheme="minorHAnsi"/>
          <w:color w:val="000000" w:themeColor="text1"/>
        </w:rPr>
        <w:t xml:space="preserve">, </w:t>
      </w:r>
      <w:r w:rsidR="002B01B9">
        <w:rPr>
          <w:rStyle w:val="Uwydatnienie"/>
          <w:rFonts w:asciiTheme="minorHAnsi" w:hAnsiTheme="minorHAnsi" w:cstheme="minorHAnsi"/>
          <w:b/>
          <w:color w:val="auto"/>
          <w:sz w:val="22"/>
          <w:szCs w:val="22"/>
        </w:rPr>
        <w:t>(…)</w:t>
      </w:r>
      <w:r w:rsidRPr="00B456BC">
        <w:rPr>
          <w:rFonts w:asciiTheme="minorHAnsi" w:hAnsiTheme="minorHAnsi" w:cstheme="minorHAnsi"/>
          <w:color w:val="000000" w:themeColor="text1"/>
        </w:rPr>
        <w:t xml:space="preserve">i </w:t>
      </w:r>
      <w:r w:rsidR="002B01B9">
        <w:rPr>
          <w:rStyle w:val="Uwydatnienie"/>
          <w:rFonts w:asciiTheme="minorHAnsi" w:hAnsiTheme="minorHAnsi" w:cstheme="minorHAnsi"/>
          <w:b/>
          <w:color w:val="auto"/>
          <w:sz w:val="22"/>
          <w:szCs w:val="22"/>
        </w:rPr>
        <w:t>(…)</w:t>
      </w:r>
      <w:r w:rsidRPr="00B456BC">
        <w:rPr>
          <w:rFonts w:asciiTheme="minorHAnsi" w:hAnsiTheme="minorHAnsi" w:cstheme="minorHAnsi"/>
        </w:rPr>
        <w:t>,</w:t>
      </w:r>
      <w:r w:rsidRPr="00B456BC">
        <w:rPr>
          <w:rFonts w:asciiTheme="minorHAnsi" w:hAnsiTheme="minorHAnsi" w:cstheme="minorHAnsi"/>
          <w:color w:val="000000" w:themeColor="text1"/>
        </w:rPr>
        <w:t xml:space="preserve"> Generalny Dyrektor Ochrony Środowiska, dalej GDOŚ, decyzją z 16 czerwca 2025</w:t>
      </w:r>
      <w:r w:rsidRPr="00B456BC">
        <w:rPr>
          <w:rFonts w:asciiTheme="minorHAnsi" w:hAnsiTheme="minorHAnsi" w:cstheme="minorHAnsi"/>
        </w:rPr>
        <w:t xml:space="preserve"> r., znak: DOOŚ-WDŚIII.420.1.2023.DL/AKu.22, </w:t>
      </w:r>
      <w:r w:rsidRPr="00B456BC">
        <w:rPr>
          <w:rFonts w:asciiTheme="minorHAnsi" w:hAnsiTheme="minorHAnsi" w:cstheme="minorHAnsi"/>
          <w:color w:val="000000" w:themeColor="text1"/>
        </w:rPr>
        <w:t xml:space="preserve">na podstawie art. 138 </w:t>
      </w:r>
      <w:r w:rsidRPr="00B456BC">
        <w:rPr>
          <w:rFonts w:asciiTheme="minorHAnsi" w:hAnsiTheme="minorHAnsi" w:cstheme="minorHAnsi"/>
          <w:color w:val="000000" w:themeColor="text1"/>
          <w:u w:color="FF0000"/>
        </w:rPr>
        <w:t xml:space="preserve">§ 1 pkt 3 k.p.a. </w:t>
      </w:r>
      <w:r w:rsidRPr="00B456BC">
        <w:rPr>
          <w:rFonts w:asciiTheme="minorHAnsi" w:hAnsiTheme="minorHAnsi" w:cstheme="minorHAnsi"/>
          <w:color w:val="000000" w:themeColor="text1"/>
        </w:rPr>
        <w:t xml:space="preserve">umorzył postępowanie odwoławcze. </w:t>
      </w:r>
    </w:p>
    <w:p w:rsidR="0004440C" w:rsidRPr="00B456BC" w:rsidRDefault="0004440C" w:rsidP="00432C5A">
      <w:pPr>
        <w:spacing w:after="0" w:line="240" w:lineRule="auto"/>
        <w:rPr>
          <w:rFonts w:asciiTheme="minorHAnsi" w:hAnsiTheme="minorHAnsi" w:cstheme="minorHAnsi"/>
          <w:highlight w:val="yellow"/>
        </w:rPr>
      </w:pPr>
      <w:bookmarkStart w:id="2" w:name="_Hlk105404992"/>
      <w:r w:rsidRPr="00B456BC">
        <w:rPr>
          <w:rFonts w:asciiTheme="minorHAnsi" w:hAnsiTheme="minorHAnsi" w:cstheme="minorHAnsi"/>
        </w:rPr>
        <w:t xml:space="preserve">W złożonych </w:t>
      </w:r>
      <w:proofErr w:type="spellStart"/>
      <w:r w:rsidRPr="00B456BC">
        <w:rPr>
          <w:rFonts w:asciiTheme="minorHAnsi" w:hAnsiTheme="minorHAnsi" w:cstheme="minorHAnsi"/>
        </w:rPr>
        <w:t>odwołaniach</w:t>
      </w:r>
      <w:proofErr w:type="spellEnd"/>
      <w:r w:rsidRPr="00B456BC">
        <w:rPr>
          <w:rFonts w:asciiTheme="minorHAnsi" w:hAnsiTheme="minorHAnsi" w:cstheme="minorHAnsi"/>
        </w:rPr>
        <w:t xml:space="preserve"> skarżący podnieśli następujące zarzuty: </w:t>
      </w:r>
    </w:p>
    <w:p w:rsidR="0004440C" w:rsidRPr="00B456BC" w:rsidRDefault="0004440C" w:rsidP="00432C5A">
      <w:pPr>
        <w:pStyle w:val="Akapitzlist"/>
        <w:numPr>
          <w:ilvl w:val="0"/>
          <w:numId w:val="21"/>
        </w:numPr>
        <w:spacing w:after="0" w:line="240" w:lineRule="auto"/>
        <w:rPr>
          <w:rFonts w:asciiTheme="minorHAnsi" w:hAnsiTheme="minorHAnsi" w:cstheme="minorHAnsi"/>
        </w:rPr>
      </w:pPr>
      <w:bookmarkStart w:id="3" w:name="_Hlk99451532"/>
      <w:r w:rsidRPr="00B456BC">
        <w:rPr>
          <w:rFonts w:asciiTheme="minorHAnsi" w:hAnsiTheme="minorHAnsi" w:cstheme="minorHAnsi"/>
        </w:rPr>
        <w:t>w decyzji z 30 czerwca 2023 r. nie zapewniono ochrony cennych wartości przyrodniczych, zasobów naturalnych i zabytków oraz nie ograniczono uciążliwości dla terenów sąsiednich, ze względu na brak określenia w jej sentencji istotnych warunków korzystania ze środowiska w fazie eksploatacji lub użytkowania przedsięwzięcia;</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 xml:space="preserve">organ pierwszej instancji nie uwzględnił wszystkich kryteriów określonych w art. 63 ust. 1 </w:t>
      </w:r>
      <w:proofErr w:type="spellStart"/>
      <w:r w:rsidRPr="00B456BC">
        <w:rPr>
          <w:rFonts w:asciiTheme="minorHAnsi" w:hAnsiTheme="minorHAnsi" w:cstheme="minorHAnsi"/>
        </w:rPr>
        <w:t>u.o.o.ś</w:t>
      </w:r>
      <w:proofErr w:type="spellEnd"/>
      <w:r w:rsidRPr="00B456BC">
        <w:rPr>
          <w:rFonts w:asciiTheme="minorHAnsi" w:hAnsiTheme="minorHAnsi" w:cstheme="minorHAnsi"/>
        </w:rPr>
        <w:t>. podczas analizy dokumentacji, w związku z czym niesłusznie odstąpił od stwierdzenia obowiązku przeprowadzenia oceny oddziaływania planowanego przedsięwzięcia na środowisko;</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lastRenderedPageBreak/>
        <w:t xml:space="preserve">„zgromadzony materiał dowodowy jest niepełny, zawiera nieprawdziwe informacje, nie zawiera dokładnego wyjaśnienia stanu faktycznego i prawnego sprawy, a w postępowaniu naruszono obowiązujące przepisy prawa"; </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RDOŚ w Katowicach nie przeanalizował wszystkich możliwych oddziaływań planowanej inwestycji na środowisko, nie uwzględnił oddziaływań skumulowanych przedsięwzięć realizowanych i zrealizowanych, dla których wydana została decyzja o środowiskowych uwarunkowaniach, znajdujących się na terenie, na którym planuje się realizację planowanego przedsięwzięcia oraz w obszarze jego oddziaływania, lub których oddziaływania mogą się kumulować z oddziaływaniami linii kolejowych nr 148 i 159, dalej LK 148 i 159;</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 xml:space="preserve">w karcie informacyjnej przedsięwzięcia, dalej kip, nie oceniono wpływu drgań i hałasu na środowisko, które powstaną zarówno podczas rozbiórki istniejącej linii kolejowej wraz z infrastrukturą i obiektami jej towarzyszącymi, jak i na etapie prac budowlanych na linii kolejowej (np. drgań od palowania) oraz na etapie jej eksploatacji; </w:t>
      </w:r>
    </w:p>
    <w:p w:rsidR="00593A34" w:rsidRPr="00B456BC" w:rsidRDefault="00593A34" w:rsidP="00432C5A">
      <w:pPr>
        <w:pStyle w:val="Akapitzlist"/>
        <w:spacing w:after="0" w:line="240" w:lineRule="auto"/>
        <w:ind w:left="360"/>
        <w:rPr>
          <w:rFonts w:asciiTheme="minorHAnsi" w:hAnsiTheme="minorHAnsi" w:cstheme="minorHAnsi"/>
        </w:rPr>
      </w:pP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 xml:space="preserve">załączone do kip mapy propagacji hałasu są nierzetelne, nie przedstawiają wszystkich terenów chronionych akustycznie ustanowionych na podstawie miejscowych planów zagospodarowania przestrzennego, dalej </w:t>
      </w:r>
      <w:proofErr w:type="spellStart"/>
      <w:r w:rsidRPr="00B456BC">
        <w:rPr>
          <w:rFonts w:asciiTheme="minorHAnsi" w:hAnsiTheme="minorHAnsi" w:cstheme="minorHAnsi"/>
        </w:rPr>
        <w:t>mpzp</w:t>
      </w:r>
      <w:proofErr w:type="spellEnd"/>
      <w:r w:rsidRPr="00B456BC">
        <w:rPr>
          <w:rFonts w:asciiTheme="minorHAnsi" w:hAnsiTheme="minorHAnsi" w:cstheme="minorHAnsi"/>
        </w:rPr>
        <w:t xml:space="preserve">, oraz nie uwzględniają planowanych do utworzenia terenów mieszkaniowych zgodnie z procedowanym </w:t>
      </w:r>
      <w:proofErr w:type="spellStart"/>
      <w:r w:rsidRPr="00B456BC">
        <w:rPr>
          <w:rFonts w:asciiTheme="minorHAnsi" w:hAnsiTheme="minorHAnsi" w:cstheme="minorHAnsi"/>
        </w:rPr>
        <w:t>mpzp</w:t>
      </w:r>
      <w:proofErr w:type="spellEnd"/>
      <w:r w:rsidRPr="00B456BC">
        <w:rPr>
          <w:rFonts w:asciiTheme="minorHAnsi" w:hAnsiTheme="minorHAnsi" w:cstheme="minorHAnsi"/>
        </w:rPr>
        <w:t xml:space="preserve"> Gminy Suszec dla sołectwa Rudziczka; </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w aktach sprawy brak jest dowodów, które potwierdziłyby prawidłowość wyznaczonych na mapach propagacji hałasu izolinii poziomu hałasu wzdłuż linii kolejowej i na granicy terenów chronionych akustycznie (wiele izolinii i terenów chronionych, a także budynków mieszkalnych nie posiada punktów analizy akustycznej, np. odcinek linii kolejowej pomiędzy boczną ul. Szkolnej w Rudziczce (km 17,114) a ul. Targową w Żorach-Kleszczowie (km 18,600);</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 xml:space="preserve">zasięg obecnie emitowanego hałasu i drgań przez ruch pociągów na LK 148 przekracza wyznaczoną strefę oddziaływania 100 m od granic terenu inwestycji. Strony zwracają uwagę, że szczególnie odczuwalne jest to na terenach, gdzie pomiędzy linią kolejową a terenami zabudowy mieszkaniowej nie ma przeszkód, np. drzew lub budynków, a teren stanowi otwartą przestrzeń, użytkowaną rolniczo. Ponadto strony zarzucają, że nieprawidłowo ustalono krąg stron postępowania, który nie uwzględnił właścicieli  działek, na których w wyniku realizacji, eksploatacji lub użytkowania analizowanego przedsięwzięcia zostałyby przekroczone standardy jakości środowiska oraz właścicieli działek znajdujących się w zasięgu znaczącego oddziaływania przedsięwzięcia, które może wprowadzić ograniczenia w zagospodarowaniu nieruchomości zgodnie z jej aktualnym przeznaczeniem (art. 74 ust. 3a ust. 2 i 3 </w:t>
      </w:r>
      <w:proofErr w:type="spellStart"/>
      <w:r w:rsidRPr="00B456BC">
        <w:rPr>
          <w:rFonts w:asciiTheme="minorHAnsi" w:hAnsiTheme="minorHAnsi" w:cstheme="minorHAnsi"/>
        </w:rPr>
        <w:t>u.o.o.ś</w:t>
      </w:r>
      <w:proofErr w:type="spellEnd"/>
      <w:r w:rsidRPr="00B456BC">
        <w:rPr>
          <w:rFonts w:asciiTheme="minorHAnsi" w:hAnsiTheme="minorHAnsi" w:cstheme="minorHAnsi"/>
        </w:rPr>
        <w:t>);</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w aktach sprawy brak jest wiarygodnych dowodów potwierdzających prognozowane natężenie ruchu na LK 148 po realizacji inwestycji (tj. 24 pociągi pasażerskie i 6 pociągów towarowych na dobę); w kip znajduje się nieprawdziwe twierdzenie, że „poprawa jakości torów kolejowych znacznie zmniejszy liczbę pociągów towarowych, co będzie miało pozytywny wpływ na klimat akustyczny”;</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 xml:space="preserve"> z uzasadnienia decyzji RDOŚ w Katowicach wynika, że na odcinku LK 148 pomiędzy ul. </w:t>
      </w:r>
      <w:proofErr w:type="spellStart"/>
      <w:r w:rsidRPr="00B456BC">
        <w:rPr>
          <w:rFonts w:asciiTheme="minorHAnsi" w:hAnsiTheme="minorHAnsi" w:cstheme="minorHAnsi"/>
        </w:rPr>
        <w:t>Woszczycką</w:t>
      </w:r>
      <w:proofErr w:type="spellEnd"/>
      <w:r w:rsidRPr="00B456BC">
        <w:rPr>
          <w:rFonts w:asciiTheme="minorHAnsi" w:hAnsiTheme="minorHAnsi" w:cstheme="minorHAnsi"/>
        </w:rPr>
        <w:t xml:space="preserve"> w Rudziczce (km 17,694) a przejazdem prywatnym w Żorach (km 18,080), nie określono wymogu zaprojektowania ekranów akustycznych i/lub tłumików </w:t>
      </w:r>
      <w:proofErr w:type="spellStart"/>
      <w:r w:rsidRPr="00B456BC">
        <w:rPr>
          <w:rFonts w:asciiTheme="minorHAnsi" w:hAnsiTheme="minorHAnsi" w:cstheme="minorHAnsi"/>
        </w:rPr>
        <w:t>przyszynowych</w:t>
      </w:r>
      <w:proofErr w:type="spellEnd"/>
      <w:r w:rsidRPr="00B456BC">
        <w:rPr>
          <w:rFonts w:asciiTheme="minorHAnsi" w:hAnsiTheme="minorHAnsi" w:cstheme="minorHAnsi"/>
        </w:rPr>
        <w:t>, w związku z równoległym do tego odcinka przebiegiem torów LK 878 Suszec Rudziczka KWK „Krupiński” i możliwym występowaniem oddziaływań skumulowanych na ww. odcinku. Ponadto RDOŚ w Katowicach nie przeanalizował oddziaływań skumulowanych na ww. odcinku, związanych z ruchem pociągów na równoległych do LK 148 torach LK 878, przyjął deklarację inwestora, że „na torach tych nie jest prowadzony ruch kolejowy ani nie jest planowane jego przywrócenie, zatem oddziaływania skumulowane we wskazanym miejscu nie wystąpią”. Skarżący wskazują, że 25 maja 2023 r. Rada Gminy Suszec podjęła Uchwałę nr LVI/517/2023</w:t>
      </w:r>
      <w:r w:rsidRPr="00B456BC">
        <w:rPr>
          <w:rFonts w:asciiTheme="minorHAnsi" w:eastAsiaTheme="minorHAnsi" w:hAnsiTheme="minorHAnsi" w:cstheme="minorHAnsi"/>
        </w:rPr>
        <w:t xml:space="preserve"> </w:t>
      </w:r>
      <w:proofErr w:type="spellStart"/>
      <w:r w:rsidRPr="00B456BC">
        <w:rPr>
          <w:rFonts w:asciiTheme="minorHAnsi" w:hAnsiTheme="minorHAnsi" w:cstheme="minorHAnsi"/>
        </w:rPr>
        <w:t>ws</w:t>
      </w:r>
      <w:proofErr w:type="spellEnd"/>
      <w:r w:rsidRPr="00B456BC">
        <w:rPr>
          <w:rFonts w:asciiTheme="minorHAnsi" w:hAnsiTheme="minorHAnsi" w:cstheme="minorHAnsi"/>
        </w:rPr>
        <w:t>. sprzeciwu wobec likwidacji LK 878, którą przekazano do inwestora. Następnie na Sesji Rady Gminy Suszec 27 lipca 2023 r. podano do publicznej wiadomości informację, że PKP nie przewiduje likwidacji LK 878 i zrezygnowało z likwidacji jej połączenia z LK 148;</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lastRenderedPageBreak/>
        <w:t>decyzja RDOŚ w Katowicach narusza art. 107 k.p.a., przez brak oznaczenia w niej wszystkich stron postępowania;</w:t>
      </w:r>
    </w:p>
    <w:p w:rsidR="0004440C" w:rsidRPr="00B456BC" w:rsidRDefault="0004440C" w:rsidP="00432C5A">
      <w:pPr>
        <w:pStyle w:val="Akapitzlist"/>
        <w:numPr>
          <w:ilvl w:val="0"/>
          <w:numId w:val="21"/>
        </w:numPr>
        <w:spacing w:after="0" w:line="240" w:lineRule="auto"/>
        <w:rPr>
          <w:rFonts w:asciiTheme="minorHAnsi" w:hAnsiTheme="minorHAnsi" w:cstheme="minorHAnsi"/>
        </w:rPr>
      </w:pPr>
      <w:bookmarkStart w:id="4" w:name="_Hlk207018377"/>
      <w:r w:rsidRPr="00B456BC">
        <w:rPr>
          <w:rFonts w:asciiTheme="minorHAnsi" w:hAnsiTheme="minorHAnsi" w:cstheme="minorHAnsi"/>
        </w:rPr>
        <w:t>uzasadnienie faktyczne i prawne decyzji z 30 czerwca 2023 r. jest niewystarczające, „nienależyte i niezgodne z prawdą”;</w:t>
      </w:r>
    </w:p>
    <w:bookmarkEnd w:id="4"/>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 xml:space="preserve">kip zawiera nieprawdziwe informacje, które zostały powielone w decyzji RDOŚ w Katowicach, w zakresie określenia kilometrażu inwestycji, w którym LK 148 koliduje z obszarem Parku Krajobrazowego „Cysterskie Kompozycje Rud Wielkich” oraz jego otuliny. Mapa granic ww. parku przedstawiona w aktach sprawy jest niezgodna z rozporządzeniem nr 181/93 Wojewody Katowickiego z dnia 23 listopada 1993 r. w sprawie utworzenia Parku Krajobrazowego Cysterskie Kompozycje Krajobrazowe Rud Wielkich (Dz. Urz. Woj. Kat. z 1993 r. nr 15 poz. 130) oraz dokumentami planistycznymi obowiązującymi w Gminie Suszec, takimi jak </w:t>
      </w:r>
      <w:proofErr w:type="spellStart"/>
      <w:r w:rsidRPr="00B456BC">
        <w:rPr>
          <w:rFonts w:asciiTheme="minorHAnsi" w:hAnsiTheme="minorHAnsi" w:cstheme="minorHAnsi"/>
        </w:rPr>
        <w:t>mpzp</w:t>
      </w:r>
      <w:proofErr w:type="spellEnd"/>
      <w:r w:rsidRPr="00B456BC">
        <w:rPr>
          <w:rFonts w:asciiTheme="minorHAnsi" w:hAnsiTheme="minorHAnsi" w:cstheme="minorHAnsi"/>
        </w:rPr>
        <w:t xml:space="preserve"> i studium uwarunkowań i kierunków zagospodarowania przestrzennego;</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w kip nie uwzględniono informacji o pomniku przyrody - drzewie rosnącym na działce nr 247/14 w Suszcu w bliskiej odległości od przebudowywanej linii kolejowej;</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„w postępowaniu naruszono przepisy prawa zawarte w art. 6, w art. 7, w art. 7b, w art. 8 oraz w art. 9 k.p.a.”;</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obwieszczenie RDOŚ w Katowicach z 3 lipca 2023 r. o wydaniu decyzji o środowiskowych uwarunkowaniach i załącznik do decyzji z 30 czerwca 2023 r. zawierają błędny numer decyzji, co świadczy o nierzetelności organu prowadzącego postępowanie i wprowadza strony postępowania w błąd. W aktach sprawy brak jest obwieszczenia z 20 lutego 2023 r., znak: WOOŚ.420.7.2023.AS3.2, o którym mowa w uzasadnieniu zaskarżonej decyzji;</w:t>
      </w:r>
    </w:p>
    <w:p w:rsidR="0004440C" w:rsidRPr="00B456BC" w:rsidRDefault="0004440C" w:rsidP="00432C5A">
      <w:pPr>
        <w:pStyle w:val="Akapitzlist"/>
        <w:numPr>
          <w:ilvl w:val="0"/>
          <w:numId w:val="21"/>
        </w:numPr>
        <w:spacing w:after="0" w:line="240" w:lineRule="auto"/>
        <w:rPr>
          <w:rFonts w:asciiTheme="minorHAnsi" w:hAnsiTheme="minorHAnsi" w:cstheme="minorHAnsi"/>
        </w:rPr>
      </w:pPr>
      <w:r w:rsidRPr="00B456BC">
        <w:rPr>
          <w:rFonts w:asciiTheme="minorHAnsi" w:hAnsiTheme="minorHAnsi" w:cstheme="minorHAnsi"/>
        </w:rPr>
        <w:t xml:space="preserve">decyzja z </w:t>
      </w:r>
      <w:r w:rsidRPr="00B456BC">
        <w:rPr>
          <w:rStyle w:val="Wyrnieniedelikatne"/>
          <w:rFonts w:asciiTheme="minorHAnsi" w:hAnsiTheme="minorHAnsi" w:cstheme="minorHAnsi"/>
          <w:sz w:val="22"/>
          <w:szCs w:val="22"/>
        </w:rPr>
        <w:t>30 czerwca 2023 r.</w:t>
      </w:r>
      <w:r w:rsidRPr="00B456BC">
        <w:rPr>
          <w:rFonts w:asciiTheme="minorHAnsi" w:hAnsiTheme="minorHAnsi" w:cstheme="minorHAnsi"/>
        </w:rPr>
        <w:t xml:space="preserve"> narusza przepisy obowiązującego prawa; RDOŚ w Katowicach nienależycie ocenił oddziaływanie planowanej inwestycji na środowisko oraz nie przewidział ochrony terenów, które będą podlegać</w:t>
      </w:r>
      <w:r w:rsidRPr="00B456BC">
        <w:rPr>
          <w:rFonts w:asciiTheme="minorHAnsi" w:eastAsiaTheme="minorHAnsi" w:hAnsiTheme="minorHAnsi" w:cstheme="minorHAnsi"/>
        </w:rPr>
        <w:t xml:space="preserve"> </w:t>
      </w:r>
      <w:r w:rsidRPr="00B456BC">
        <w:rPr>
          <w:rFonts w:asciiTheme="minorHAnsi" w:hAnsiTheme="minorHAnsi" w:cstheme="minorHAnsi"/>
        </w:rPr>
        <w:t>negatywnym oddziaływaniom.</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złożonych </w:t>
      </w:r>
      <w:proofErr w:type="spellStart"/>
      <w:r w:rsidRPr="00B456BC">
        <w:rPr>
          <w:rFonts w:asciiTheme="minorHAnsi" w:hAnsiTheme="minorHAnsi" w:cstheme="minorHAnsi"/>
        </w:rPr>
        <w:t>odwołaniach</w:t>
      </w:r>
      <w:proofErr w:type="spellEnd"/>
      <w:r w:rsidRPr="00B456BC">
        <w:rPr>
          <w:rFonts w:asciiTheme="minorHAnsi" w:hAnsiTheme="minorHAnsi" w:cstheme="minorHAnsi"/>
        </w:rPr>
        <w:t xml:space="preserve"> skarżący wnoszą o budowę ekranów akustycznych i/lub tłumików </w:t>
      </w:r>
      <w:proofErr w:type="spellStart"/>
      <w:r w:rsidRPr="00B456BC">
        <w:rPr>
          <w:rFonts w:asciiTheme="minorHAnsi" w:hAnsiTheme="minorHAnsi" w:cstheme="minorHAnsi"/>
        </w:rPr>
        <w:t>przyszynowych</w:t>
      </w:r>
      <w:proofErr w:type="spellEnd"/>
      <w:r w:rsidRPr="00B456BC">
        <w:rPr>
          <w:rFonts w:asciiTheme="minorHAnsi" w:hAnsiTheme="minorHAnsi" w:cstheme="minorHAnsi"/>
        </w:rPr>
        <w:t xml:space="preserve"> oraz zastosowanie innych rozwiązań, które zabezpieczą ich nieruchomości przed drganiami i hałasem emitowanym przez planowaną linię kolejową.</w:t>
      </w:r>
      <w:bookmarkEnd w:id="1"/>
      <w:bookmarkEnd w:id="2"/>
      <w:bookmarkEnd w:id="3"/>
    </w:p>
    <w:p w:rsidR="0004440C" w:rsidRPr="00B456BC" w:rsidRDefault="0004440C" w:rsidP="00432C5A">
      <w:pPr>
        <w:spacing w:after="0" w:line="240" w:lineRule="auto"/>
        <w:rPr>
          <w:rFonts w:asciiTheme="minorHAnsi" w:hAnsiTheme="minorHAnsi" w:cstheme="minorHAnsi"/>
          <w:bCs/>
        </w:rPr>
      </w:pPr>
      <w:r w:rsidRPr="00B456BC">
        <w:rPr>
          <w:rFonts w:asciiTheme="minorHAnsi" w:hAnsiTheme="minorHAnsi" w:cstheme="minorHAnsi"/>
          <w:bCs/>
        </w:rPr>
        <w:t>GDOŚ ustalił i zważył, co następuje.</w:t>
      </w:r>
    </w:p>
    <w:p w:rsidR="0004440C" w:rsidRPr="00B456BC" w:rsidRDefault="0004440C" w:rsidP="00432C5A">
      <w:pPr>
        <w:spacing w:after="0" w:line="240" w:lineRule="auto"/>
        <w:rPr>
          <w:rFonts w:asciiTheme="minorHAnsi" w:hAnsiTheme="minorHAnsi" w:cstheme="minorHAnsi"/>
          <w:bCs/>
        </w:rPr>
      </w:pPr>
      <w:r w:rsidRPr="00B456BC">
        <w:rPr>
          <w:rFonts w:asciiTheme="minorHAnsi" w:hAnsiTheme="minorHAnsi" w:cstheme="minorHAnsi"/>
          <w:bCs/>
        </w:rPr>
        <w:t>Mając na uwadze zasadę dwuinstancyjności postępowania administracyjnego, której istotą jest zapewnienie stronom prawa do dwukrotnego rozpatrzenia i rozstrzygnięcia sprawy, organ drugiej instancji w ramach postępowania odwoławczego dokonał ponownej analizy zgromadzonego materiału dowodowego. W toku postępowania odwoławczego GDOŚ rozpatrzył sprawę w pełnym zakresie, co do okoliczności faktycznych i prawnych. Organ nie znalazł przyczyn, które uzasadniałyby uchylenie zaskarżonej decyzji.</w:t>
      </w:r>
    </w:p>
    <w:p w:rsidR="0004440C" w:rsidRPr="00B456BC" w:rsidRDefault="0004440C" w:rsidP="00432C5A">
      <w:pPr>
        <w:spacing w:after="0" w:line="240" w:lineRule="auto"/>
        <w:rPr>
          <w:rFonts w:asciiTheme="minorHAnsi" w:hAnsiTheme="minorHAnsi" w:cstheme="minorHAnsi"/>
          <w:color w:val="000000"/>
          <w:lang w:eastAsia="pl-PL"/>
        </w:rPr>
      </w:pPr>
      <w:r w:rsidRPr="00B456BC">
        <w:rPr>
          <w:rFonts w:asciiTheme="minorHAnsi" w:hAnsiTheme="minorHAnsi" w:cstheme="minorHAnsi"/>
        </w:rPr>
        <w:t xml:space="preserve">Planowane przedsięwzięcie polega na przebudowie LK 148, na  odcinku od km ok. 2,753 do km ok. 22,631. Inwestycja zlokalizowana jest w województwie śląskim, na terenie powiatu pszczyńskiego, w gminach Pszczyna i Suszec oraz na terenie miasta Żory. Omawiana inwestycja zalicza się do przedsięwzięć mogących potencjalnie znacząco oddziaływać na środowisko, o których mowa w § 3 ust. 2 pkt 1 rozporządzenia Rady Ministrów z dnia 10 września 2019 r. w sprawie przedsięwzięć mogących znacząco oddziaływać na środowisko (Dz. U. poz. 1839, z </w:t>
      </w:r>
      <w:proofErr w:type="spellStart"/>
      <w:r w:rsidRPr="00B456BC">
        <w:rPr>
          <w:rFonts w:asciiTheme="minorHAnsi" w:hAnsiTheme="minorHAnsi" w:cstheme="minorHAnsi"/>
        </w:rPr>
        <w:t>późn</w:t>
      </w:r>
      <w:proofErr w:type="spellEnd"/>
      <w:r w:rsidRPr="00B456BC">
        <w:rPr>
          <w:rFonts w:asciiTheme="minorHAnsi" w:hAnsiTheme="minorHAnsi" w:cstheme="minorHAnsi"/>
        </w:rPr>
        <w:t xml:space="preserve">. zm.), dalej </w:t>
      </w:r>
      <w:proofErr w:type="spellStart"/>
      <w:r w:rsidRPr="00B456BC">
        <w:rPr>
          <w:rFonts w:asciiTheme="minorHAnsi" w:hAnsiTheme="minorHAnsi" w:cstheme="minorHAnsi"/>
        </w:rPr>
        <w:t>r.o.o.ś</w:t>
      </w:r>
      <w:proofErr w:type="spellEnd"/>
      <w:r w:rsidRPr="00B456BC">
        <w:rPr>
          <w:rFonts w:asciiTheme="minorHAnsi" w:hAnsiTheme="minorHAnsi" w:cstheme="minorHAnsi"/>
        </w:rPr>
        <w:t xml:space="preserve">., polegających na rozbudowie, przebudowie lub montażu realizowanego lub zrealizowanego przedsięwzięcia wymienionego w § 2 ust. 1 pkt 29 </w:t>
      </w:r>
      <w:proofErr w:type="spellStart"/>
      <w:r w:rsidRPr="00B456BC">
        <w:rPr>
          <w:rFonts w:asciiTheme="minorHAnsi" w:hAnsiTheme="minorHAnsi" w:cstheme="minorHAnsi"/>
        </w:rPr>
        <w:t>r.o.o.ś</w:t>
      </w:r>
      <w:proofErr w:type="spellEnd"/>
      <w:r w:rsidRPr="00B456BC">
        <w:rPr>
          <w:rFonts w:asciiTheme="minorHAnsi" w:hAnsiTheme="minorHAnsi" w:cstheme="minorHAnsi"/>
        </w:rPr>
        <w:t xml:space="preserve">., tj., linie kolejowe wchodzące w skład infrastruktury transportu kolejowego transeuropejskiej sieci transportowej, o której mowa w rozporządzeniu Parlamentu Europejskiego i Rady (UE) nr 1315/2013 z dnia 11 grudnia 2013 r. w sprawie unijnych wytycznych dotyczących rozwoju transeuropejskiej sieci transportowej i uchylającym decyzję nr 661/2010/UE (Dz. Urz. UE L 348 z 20.12.2013, str. l, ze zm.). W związku z powyższym, </w:t>
      </w:r>
      <w:r w:rsidRPr="00B456BC">
        <w:rPr>
          <w:rFonts w:asciiTheme="minorHAnsi" w:hAnsiTheme="minorHAnsi" w:cstheme="minorHAnsi"/>
          <w:color w:val="000000"/>
          <w:lang w:eastAsia="pl-PL"/>
        </w:rPr>
        <w:t xml:space="preserve">zgodnie z art. 71 ust. 2 pkt 2 </w:t>
      </w:r>
      <w:proofErr w:type="spellStart"/>
      <w:r w:rsidRPr="00B456BC">
        <w:rPr>
          <w:rFonts w:asciiTheme="minorHAnsi" w:hAnsiTheme="minorHAnsi" w:cstheme="minorHAnsi"/>
          <w:color w:val="000000"/>
          <w:lang w:eastAsia="pl-PL"/>
        </w:rPr>
        <w:t>u.o.o.ś</w:t>
      </w:r>
      <w:proofErr w:type="spellEnd"/>
      <w:r w:rsidRPr="00B456BC">
        <w:rPr>
          <w:rFonts w:asciiTheme="minorHAnsi" w:hAnsiTheme="minorHAnsi" w:cstheme="minorHAnsi"/>
          <w:color w:val="000000"/>
          <w:lang w:eastAsia="pl-PL"/>
        </w:rPr>
        <w:t>., przedsięwzięcie to wymaga uzyskania decyzji o środowiskowych uwarunkowaniach.</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color w:val="000000"/>
          <w:lang w:eastAsia="pl-PL"/>
        </w:rPr>
        <w:t xml:space="preserve">Zgodnie z art. 75 ust. 1 pkt 1 lit. t </w:t>
      </w:r>
      <w:proofErr w:type="spellStart"/>
      <w:r w:rsidRPr="00B456BC">
        <w:rPr>
          <w:rFonts w:asciiTheme="minorHAnsi" w:hAnsiTheme="minorHAnsi" w:cstheme="minorHAnsi"/>
          <w:color w:val="000000"/>
          <w:lang w:eastAsia="pl-PL"/>
        </w:rPr>
        <w:t>u.o.o.ś</w:t>
      </w:r>
      <w:proofErr w:type="spellEnd"/>
      <w:r w:rsidRPr="00B456BC">
        <w:rPr>
          <w:rFonts w:asciiTheme="minorHAnsi" w:hAnsiTheme="minorHAnsi" w:cstheme="minorHAnsi"/>
          <w:color w:val="000000"/>
          <w:lang w:eastAsia="pl-PL"/>
        </w:rPr>
        <w:t xml:space="preserve">. organem właściwym do wydania decyzji o środowiskowych uwarunkowaniach dla tego typu przedsięwzięć jest regionalny dyrektor ochrony środowiska. </w:t>
      </w:r>
      <w:bookmarkStart w:id="5" w:name="_Hlk206582366"/>
      <w:r w:rsidRPr="00B456BC">
        <w:rPr>
          <w:rFonts w:asciiTheme="minorHAnsi" w:hAnsiTheme="minorHAnsi" w:cstheme="minorHAnsi"/>
        </w:rPr>
        <w:t xml:space="preserve">Właściwość miejscowa RDOŚ w Katowicach wynika z art. 123 ust. 1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w myśl którego </w:t>
      </w:r>
      <w:r w:rsidRPr="00B456BC">
        <w:rPr>
          <w:rFonts w:asciiTheme="minorHAnsi" w:hAnsiTheme="minorHAnsi" w:cstheme="minorHAnsi"/>
        </w:rPr>
        <w:lastRenderedPageBreak/>
        <w:t xml:space="preserve">regionalny dyrektor ochrony środowiska jest organem administracji rządowej niezespolonej do realizacji zadań, o których mowa w art. 131 ust. 1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na obszarze województwa. Natomiast obszarem działalności </w:t>
      </w:r>
      <w:r w:rsidRPr="00B456BC">
        <w:rPr>
          <w:rFonts w:asciiTheme="minorHAnsi" w:hAnsiTheme="minorHAnsi" w:cstheme="minorHAnsi"/>
          <w:color w:val="000000"/>
          <w:lang w:eastAsia="pl-PL"/>
        </w:rPr>
        <w:t>RDOŚ w Katowicach jest obszar województwa śląskiego</w:t>
      </w:r>
      <w:r w:rsidRPr="00B456BC">
        <w:rPr>
          <w:rFonts w:asciiTheme="minorHAnsi" w:hAnsiTheme="minorHAnsi" w:cstheme="minorHAnsi"/>
        </w:rPr>
        <w:t xml:space="preserve">, będący miejscem realizacji całości omawianego </w:t>
      </w:r>
      <w:r w:rsidRPr="00B456BC">
        <w:rPr>
          <w:rFonts w:asciiTheme="minorHAnsi" w:hAnsiTheme="minorHAnsi" w:cstheme="minorHAnsi"/>
          <w:color w:val="000000"/>
          <w:lang w:eastAsia="pl-PL"/>
        </w:rPr>
        <w:t xml:space="preserve">przedsięwzięcia. </w:t>
      </w:r>
      <w:bookmarkEnd w:id="5"/>
      <w:r w:rsidRPr="00B456BC">
        <w:rPr>
          <w:rFonts w:asciiTheme="minorHAnsi" w:hAnsiTheme="minorHAnsi" w:cstheme="minorHAnsi"/>
        </w:rPr>
        <w:t xml:space="preserve">Na podstawie art. 127 § 2 k.p.a., w związku z art. 127 ust. 3 </w:t>
      </w:r>
      <w:proofErr w:type="spellStart"/>
      <w:r w:rsidRPr="00B456BC">
        <w:rPr>
          <w:rFonts w:asciiTheme="minorHAnsi" w:hAnsiTheme="minorHAnsi" w:cstheme="minorHAnsi"/>
        </w:rPr>
        <w:t>u.o.o.ś</w:t>
      </w:r>
      <w:proofErr w:type="spellEnd"/>
      <w:r w:rsidRPr="00B456BC">
        <w:rPr>
          <w:rFonts w:asciiTheme="minorHAnsi" w:hAnsiTheme="minorHAnsi" w:cstheme="minorHAnsi"/>
        </w:rPr>
        <w:t>., GDOŚ jest organem właściwym do rozpatrzenia odwołań wniesionych od decyzji RDOŚ w Katowicach z 30 czerwca 2023 r.</w:t>
      </w:r>
    </w:p>
    <w:p w:rsidR="0004440C" w:rsidRPr="00B456BC" w:rsidRDefault="0004440C" w:rsidP="00432C5A">
      <w:pPr>
        <w:spacing w:after="0" w:line="240" w:lineRule="auto"/>
        <w:rPr>
          <w:rFonts w:asciiTheme="minorHAnsi" w:hAnsiTheme="minorHAnsi" w:cstheme="minorHAnsi"/>
        </w:rPr>
      </w:pPr>
      <w:r w:rsidRPr="00B456BC">
        <w:rPr>
          <w:rStyle w:val="Uwydatnienie"/>
          <w:rFonts w:asciiTheme="minorHAnsi" w:hAnsiTheme="minorHAnsi" w:cstheme="minorHAnsi"/>
          <w:color w:val="auto"/>
          <w:sz w:val="22"/>
          <w:szCs w:val="22"/>
        </w:rPr>
        <w:t xml:space="preserve">Po przeprowadzeniu weryfikacji przedłożonej dokumentacji, w tym kip wraz z jej uzupełnieniami, organ drugiej instancji uznał, że wymaga ona uzupełnienia, przede wszystkim w zakresie emisji hałasu na etapie eksploatacji  linii kolejowej oraz rozwiązań minimalizujących ponadnormatywne oddziaływania akustyczne na najbliższe tereny chronione akustycznie. GDOŚ pismami z: 23 lipca 2024 r., znak: DOOŚ-WDŚIII.420.1.2023.DL.4., 27 stycznia 2025, znak: DOOŚ-WDŚIII.420.1.2023.DL/AKu.12, oraz 27 maja 2025 r., znak: DOOŚ-WDŚIII.420.1.2023.DL/AKu.21, wezwał wnioskodawcę do uzupełnienia przedłożonego materiału dowodowego i złożenia wyjaśnień. Dokumentacja została uzupełniona przez wnioskodawcę pismami z: 30 września 2024 r., znak: IRRK4/6/1.2233.64.2024.IRE-03169-I.4, 3 października 2024 r., znak: IRRK4/6/1.2233.64.2024.IRE-03169-I.5, 15 października 2024 r., znak: IRRK4/6/1.2233.64.2024.IRE-03169-I.6, 22 kwietnia 2025 r., znak: IRRK4/6/1.2233.64.2024.IRE-03169-I.9, oraz 30 czerwca 2025 r., znak: IRRK4/6/1.2233.64.2024.IRE-03169-I.12. Materiał dowodowy został uzupełniony w stopniu wystarczającym, aby pozwolić wydać rozstrzygnięcie o charakterze </w:t>
      </w:r>
      <w:proofErr w:type="spellStart"/>
      <w:r w:rsidRPr="00B456BC">
        <w:rPr>
          <w:rStyle w:val="Uwydatnienie"/>
          <w:rFonts w:asciiTheme="minorHAnsi" w:hAnsiTheme="minorHAnsi" w:cstheme="minorHAnsi"/>
          <w:color w:val="auto"/>
          <w:sz w:val="22"/>
          <w:szCs w:val="22"/>
        </w:rPr>
        <w:t>reformatoryjnym</w:t>
      </w:r>
      <w:proofErr w:type="spellEnd"/>
      <w:r w:rsidRPr="00B456BC">
        <w:rPr>
          <w:rStyle w:val="Uwydatnienie"/>
          <w:rFonts w:asciiTheme="minorHAnsi" w:hAnsiTheme="minorHAnsi" w:cstheme="minorHAnsi"/>
          <w:color w:val="auto"/>
          <w:sz w:val="22"/>
          <w:szCs w:val="22"/>
        </w:rPr>
        <w:t xml:space="preserve">. </w:t>
      </w:r>
    </w:p>
    <w:p w:rsidR="0004440C" w:rsidRPr="00B456BC" w:rsidRDefault="0004440C" w:rsidP="00432C5A">
      <w:pPr>
        <w:spacing w:after="0" w:line="240" w:lineRule="auto"/>
        <w:rPr>
          <w:rFonts w:asciiTheme="minorHAnsi" w:hAnsiTheme="minorHAnsi" w:cstheme="minorHAnsi"/>
          <w:lang w:eastAsia="pl-PL"/>
        </w:rPr>
      </w:pPr>
      <w:r w:rsidRPr="00B456BC">
        <w:rPr>
          <w:rFonts w:asciiTheme="minorHAnsi" w:hAnsiTheme="minorHAnsi" w:cstheme="minorHAnsi"/>
        </w:rPr>
        <w:t xml:space="preserve">Przed wydaniem niniejszej decyzji organ drugiej instancji, zawiadomieniem z 9 lipca 2025 r., znak: DOOŚ-WDŚIII.420.1.2023.DL/AKu.28, poinformował strony postępowania, na podstawie art. 10 § 1 k.p.a., o możliwości zapoznania się z aktami sprawy oraz wypowiedzenia się co do zebranych dowodów i materiałów oraz zgłoszonych żądań. </w:t>
      </w:r>
      <w:r w:rsidRPr="00B456BC">
        <w:rPr>
          <w:rFonts w:asciiTheme="minorHAnsi" w:hAnsiTheme="minorHAnsi" w:cstheme="minorHAnsi"/>
          <w:lang w:eastAsia="pl-PL"/>
        </w:rPr>
        <w:t>Żadna ze stron nie skorzystała z tego uprawnienia i nie złożyła dodatkowych uwag i wniosków.</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Zgodnie z art. 138 § 1 pkt 2 </w:t>
      </w:r>
      <w:r w:rsidRPr="00B456BC">
        <w:rPr>
          <w:rFonts w:asciiTheme="minorHAnsi" w:hAnsiTheme="minorHAnsi" w:cstheme="minorHAnsi"/>
          <w:i/>
          <w:iCs/>
        </w:rPr>
        <w:t>ab initio</w:t>
      </w:r>
      <w:r w:rsidRPr="00B456BC">
        <w:rPr>
          <w:rFonts w:asciiTheme="minorHAnsi" w:hAnsiTheme="minorHAnsi" w:cstheme="minorHAnsi"/>
        </w:rPr>
        <w:t xml:space="preserve"> k.p.a. organ odwoławczy może uchylić zaskarżoną decyzję w całości albo w części i w tym zakresie orzec co do istoty sprawy. Będzie to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punktów: II.3., II.4., II.5., II.7., II.8., II.12., II.13.4) lit. b, III.3., III.4. i III.5. z sentencji zakwestionowanej decyzji oraz punktu II. załącznika do decyzji „Charakterystyka planowanego przedsięwzięcia”. Zgodnie z kolei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 W dalszej części niniejszej decyzji organ odwoławczy uzasadnił powyższe modyfikacje zapisów decyzji RDOŚ w Katowicach oraz szczegółowo rozpatrzył i ustosunkował się do zarzutów wskazanych w </w:t>
      </w:r>
      <w:proofErr w:type="spellStart"/>
      <w:r w:rsidRPr="00B456BC">
        <w:rPr>
          <w:rFonts w:asciiTheme="minorHAnsi" w:hAnsiTheme="minorHAnsi" w:cstheme="minorHAnsi"/>
        </w:rPr>
        <w:t>odwołaniach</w:t>
      </w:r>
      <w:proofErr w:type="spellEnd"/>
      <w:r w:rsidRPr="00B456BC">
        <w:rPr>
          <w:rFonts w:asciiTheme="minorHAnsi" w:hAnsiTheme="minorHAnsi" w:cstheme="minorHAnsi"/>
        </w:rPr>
        <w:t>.</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Punktem 1 sentencji niniejszej decyzji GDOŚ zreformował pkt II.3. sentencji skarżonej decyzji w celu zwiększenia ochrony cennych walorów przyrodniczych analizowanego obszaru, w szczególności z uwagi na częściowe położenie terenu planowanej inwestycji w granicach Parku Krajobrazowego Cysterskie Kompozycje Krajobrazowe Rud Wielkich oraz w jego otulinie. Oprócz ograniczeń dotyczących lokalizacji zaplecza budowy organ odwoławczy rozszerzył zakres tych ograniczeń również na bazy materiałowo-sprzętowe.</w:t>
      </w:r>
    </w:p>
    <w:p w:rsidR="0004440C" w:rsidRPr="00B456BC" w:rsidRDefault="0004440C" w:rsidP="00432C5A">
      <w:pPr>
        <w:spacing w:after="0" w:line="240" w:lineRule="auto"/>
        <w:rPr>
          <w:rFonts w:asciiTheme="minorHAnsi" w:hAnsiTheme="minorHAnsi" w:cstheme="minorHAnsi"/>
        </w:rPr>
      </w:pPr>
      <w:bookmarkStart w:id="6" w:name="_Hlk207554784"/>
      <w:r w:rsidRPr="00B456BC">
        <w:rPr>
          <w:rFonts w:asciiTheme="minorHAnsi" w:hAnsiTheme="minorHAnsi" w:cstheme="minorHAnsi"/>
        </w:rPr>
        <w:t xml:space="preserve">W punkcie 2 sentencji niniejszej decyzji organ drugiej instancji zmodyfikował pkt II.4 sentencji decyzji RDOŚ w Katowicach ze względu na uzupełnienie przez wnioskodawcę w piśmie z </w:t>
      </w:r>
      <w:r w:rsidRPr="00B456BC">
        <w:rPr>
          <w:rStyle w:val="Uwydatnienie"/>
          <w:rFonts w:asciiTheme="minorHAnsi" w:hAnsiTheme="minorHAnsi" w:cstheme="minorHAnsi"/>
          <w:color w:val="auto"/>
          <w:sz w:val="22"/>
          <w:szCs w:val="22"/>
        </w:rPr>
        <w:t xml:space="preserve">30 września 2024 r. </w:t>
      </w:r>
      <w:r w:rsidRPr="00B456BC">
        <w:rPr>
          <w:rFonts w:asciiTheme="minorHAnsi" w:hAnsiTheme="minorHAnsi" w:cstheme="minorHAnsi"/>
        </w:rPr>
        <w:t xml:space="preserve">informacji o drzewie stanowiącym pomnik przyrody, znajdującym się na działce nr 247/14 w Suszcu. </w:t>
      </w:r>
      <w:r w:rsidRPr="00B456BC">
        <w:rPr>
          <w:rFonts w:asciiTheme="minorHAnsi" w:hAnsiTheme="minorHAnsi" w:cstheme="minorHAnsi"/>
        </w:rPr>
        <w:lastRenderedPageBreak/>
        <w:t>Organ drugiej instancji zdecydował o konieczności oznakowania także tego drzewa taśmą ostrzegawczą w celu wyeliminowania ryzyka przypadkowego jego uszkodzenia w trakcie realizacji inwestycji.</w:t>
      </w:r>
    </w:p>
    <w:bookmarkEnd w:id="6"/>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Poprzez modyfikację treści punktu II.5. sentencji decyzji z 30 czerwca 2023 r. (punkt 3 sentencji niniejszej decyzji) organ odwoławczy wskazał środki i działania mające na celu zapewnienie skuteczniejszej ochrony drzew i krzewów znajdujących się w obrębie prowadzonych prac, które mogą być narażone na uszkodzenia. GDOŚ doprecyzował m.in. zasady postępowania z gałęziami drzew, wskazując na konieczność zabezpieczenia koron w miejscach szczególnie narażonych (np. poprzez podwiązywanie gałęzi) oraz określił zasady postępowania z systemem korzeniowym drzew, które mają zapobiec przesuszeniu bryły korzeniowej.</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celu zwiększenia ochrony ptaków i ich potencjalnych siedlisk lęgowych, GDOŚ zmodyfikował pkt II.7. sentencji zaskarżonej decyzji (punkt 4 sentencji niniejszej decyzji), wskazując na możliwość prowadzenia wycinki drzew i krzewów oraz usuwania roślinności szuwarowej wyłącznie poza okresem lęgowym ptaków. Zasadność wprowadzonego ograniczenia wynika ze stosunkowo niewielkiej  sumarycznej powierzchni </w:t>
      </w:r>
      <w:proofErr w:type="spellStart"/>
      <w:r w:rsidRPr="00B456BC">
        <w:rPr>
          <w:rFonts w:asciiTheme="minorHAnsi" w:hAnsiTheme="minorHAnsi" w:cstheme="minorHAnsi"/>
        </w:rPr>
        <w:t>zadrzewień</w:t>
      </w:r>
      <w:proofErr w:type="spellEnd"/>
      <w:r w:rsidRPr="00B456BC">
        <w:rPr>
          <w:rFonts w:asciiTheme="minorHAnsi" w:hAnsiTheme="minorHAnsi" w:cstheme="minorHAnsi"/>
        </w:rPr>
        <w:t xml:space="preserve"> przeznaczonych do wycinki (ok. 5,3 ha) oraz wysokiego zagęszczenia ptaków lęgowych na tym obszarze, potwierdzonego w wynikach inwentaryzacji przyrodniczej przedstawionej przez wnioskodawcę.</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punkcie 5 sentencji niniejszej decyzji GDOŚ doprecyzował zapis punktu II.8. sentencji decyzji RDOŚ w Katowicach przez dodanie obowiązku przeprowadzenia kontroli obiektów inżynieryjnych przeznaczonych do rozbiórki lub remontu także przez specjalistę ornitologa. Konieczność taka wynika z możliwości wykorzystywania przez ptaki, jako miejsc lęgowych, różnych obiektów inżynieryjnych. W warunku tym nałożono również obowiązek skontrolowania przez entomologa starych, dziuplastych drzew, o pierśnicy powyżej 50 cm, bowiem drzewa takie stanowią potencjalne siedliska owadów </w:t>
      </w:r>
      <w:proofErr w:type="spellStart"/>
      <w:r w:rsidRPr="00B456BC">
        <w:rPr>
          <w:rFonts w:asciiTheme="minorHAnsi" w:hAnsiTheme="minorHAnsi" w:cstheme="minorHAnsi"/>
        </w:rPr>
        <w:t>saproksylicznych</w:t>
      </w:r>
      <w:proofErr w:type="spellEnd"/>
      <w:r w:rsidRPr="00B456BC">
        <w:rPr>
          <w:rFonts w:asciiTheme="minorHAnsi" w:hAnsiTheme="minorHAnsi" w:cstheme="minorHAnsi"/>
        </w:rPr>
        <w:t>.</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Punkt II.12 sentencji decyzji z 30 czerwca 2023 r. został zmodyfikowany w punkcie 6 sentencji niniejszej decyzji poprzez wskazanie rozwiązań mających na celu zminimalizowanie skutków zanieczyszczenia środowiska światłem na etapie eksploatacji przedsięwzięcia.</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Konieczność reformacji punktu II.13.4) lit. b sentencji decyzji z 30 czerwca 2023 r. (punkt 7 sentencji niniejszej decyzji) wynika z dokonanej na etapie postępowania odwoławczego modyfikacji punktu II.7. sentencji decyzji RDOŚ w Katowicach, w którym określono dopuszczalne terminy prowadzenia prac związanych z wycinką drzew i krzewów oraz usuwaniem roślinności szuwarowej. Zgodnie z tym warunkiem wskazane prace należy realizować poza okresem lęgowym ptaków, dlatego nie ma potrzeby, aby ornitolog kontrolował obecność zajętych gniazd ptaków na drzewach i krzewach przeznaczonych do wycinki. Zreformowana treść warunku w pkt II.13.4) lit. b uwzględnia natomiast konieczność prowadzenia nadzoru przyrodniczego przez specjalistę ornitologa w trakcie prac na obiektach inżynieryjnych, ponieważ prace te mogą się odbywać także w okresie lęgowym ptaków.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W punkcie 8 sentencji niniejszej decyzji GDOŚ zmodyfikował treść punktu III.3. sentencji  decyzji RDOŚ w Katowicach, ze względu na dostosowanie oznakowania przeźroczystych powierzchni wiat do możliwie najlepszych rozwiązań zapobiegającym kolizjom ptaków z transparentnymi przeszkodami. Z tego względu GDOŚ uznał za konieczne usunięcie z treści tego punktu zapisu dotyczącego zastosowania czarnych kropek na przeźroczystych powierzchniach wiat.</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Treść punktu III.4. sentencji decyzji RDOŚ w Katowicach (punkt 9 sentencji niniejszej decyzji) została zreformowana w związku z odpowiedzią inwestora z </w:t>
      </w:r>
      <w:r w:rsidRPr="00B456BC">
        <w:rPr>
          <w:rStyle w:val="Uwydatnienie"/>
          <w:rFonts w:asciiTheme="minorHAnsi" w:hAnsiTheme="minorHAnsi" w:cstheme="minorHAnsi"/>
          <w:color w:val="auto"/>
          <w:sz w:val="22"/>
          <w:szCs w:val="22"/>
        </w:rPr>
        <w:t>30 września 2024 r.</w:t>
      </w:r>
      <w:r w:rsidRPr="00B456BC">
        <w:rPr>
          <w:rFonts w:asciiTheme="minorHAnsi" w:hAnsiTheme="minorHAnsi" w:cstheme="minorHAnsi"/>
        </w:rPr>
        <w:t>, w której przedstawiono projektowane parametry obiektu mostowego znajdującego się w km 12+900 linii kolejowej, na odcinku przebiegającym przez strefę potencjalnej migracji płazów. Przebudowa mostu na etapie realizacji przedsięwzięcia i związane z nią prace ziemne będą ingerowały w strefę dostępną dla zwierząt. Dla zapewnienia możliwie najlepszych warunków dla migracji zwierząt, dzięki informacji o planowanym zwiększeniu światła obiektu, organ odwoławczy wprowadził konieczność dostosowania obiektu do funkcji przejścia dolnego dla małych zwierząt zespolonego z ciekiem oraz określił jego parametry.</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punkcie 10 sentencji niniejszej decyzji GDOŚ zmodyfikował tabele 4 i 5 znajdujące się w punkcie III.5. sentencji zaskarżonej decyzji. Reformacja tego warunku spowodowana jest aktualizacją </w:t>
      </w:r>
      <w:r w:rsidRPr="00B456BC">
        <w:rPr>
          <w:rFonts w:asciiTheme="minorHAnsi" w:hAnsiTheme="minorHAnsi" w:cstheme="minorHAnsi"/>
        </w:rPr>
        <w:lastRenderedPageBreak/>
        <w:t xml:space="preserve">zaplanowanych do realizacji ekranów akustycznych i absorberów </w:t>
      </w:r>
      <w:proofErr w:type="spellStart"/>
      <w:r w:rsidRPr="00B456BC">
        <w:rPr>
          <w:rFonts w:asciiTheme="minorHAnsi" w:hAnsiTheme="minorHAnsi" w:cstheme="minorHAnsi"/>
        </w:rPr>
        <w:t>przyszynowych</w:t>
      </w:r>
      <w:proofErr w:type="spellEnd"/>
      <w:r w:rsidRPr="00B456BC">
        <w:rPr>
          <w:rFonts w:asciiTheme="minorHAnsi" w:hAnsiTheme="minorHAnsi" w:cstheme="minorHAnsi"/>
        </w:rPr>
        <w:t xml:space="preserve">/płyt przejazdowych, podaną przez wnioskodawcę w piśmie z 30 czerwca 2025 r.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W punkcie 11 sentencji niniejszej decyzji organ odwoławczy zmodyfikował załącznik</w:t>
      </w:r>
      <w:r w:rsidRPr="00B456BC">
        <w:rPr>
          <w:rStyle w:val="FontStyle32"/>
          <w:rFonts w:asciiTheme="minorHAnsi" w:hAnsiTheme="minorHAnsi" w:cstheme="minorHAnsi"/>
        </w:rPr>
        <w:t xml:space="preserve"> do decyzji RDOŚ w Katowicach „Charakterystyka planowanego przedsięwzięcia” w zakresie punktu II „Branża torowa”, z uwagi na </w:t>
      </w:r>
      <w:r w:rsidRPr="00B456BC">
        <w:rPr>
          <w:rFonts w:asciiTheme="minorHAnsi" w:hAnsiTheme="minorHAnsi" w:cstheme="minorHAnsi"/>
        </w:rPr>
        <w:t>informację podaną przez wnioskodawcę w uzupełnieniu dokumentacji z 30 września 2024 r. Jak wskazano ww. uzupełnieniu, w związku z aktualnym stanem rozpoznania projektu i warunków technicznych, zmianie uległa prognozowana prędkość maksymalna dla pociągów pasażerskich z 120 km/h na 160 km/h.</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W pozostałym zakresie organ drugiej  instancji utrzymał decyzję RDOŚ w Katowicach w mocy.</w:t>
      </w:r>
    </w:p>
    <w:p w:rsidR="0004440C" w:rsidRPr="00B456BC" w:rsidRDefault="0004440C" w:rsidP="00432C5A">
      <w:pPr>
        <w:spacing w:after="0" w:line="240" w:lineRule="auto"/>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Odnosząc się do uwag i wniosków podniesionych w </w:t>
      </w:r>
      <w:proofErr w:type="spellStart"/>
      <w:r w:rsidRPr="00B456BC">
        <w:rPr>
          <w:rFonts w:asciiTheme="minorHAnsi" w:hAnsiTheme="minorHAnsi" w:cstheme="minorHAnsi"/>
        </w:rPr>
        <w:t>odwołaniach</w:t>
      </w:r>
      <w:proofErr w:type="spellEnd"/>
      <w:r w:rsidRPr="00B456BC">
        <w:rPr>
          <w:rFonts w:asciiTheme="minorHAnsi" w:hAnsiTheme="minorHAnsi" w:cstheme="minorHAnsi"/>
        </w:rPr>
        <w:t>, GDOŚ wyjaśnia, co następuje.</w:t>
      </w:r>
    </w:p>
    <w:p w:rsidR="0004440C" w:rsidRPr="00B456BC" w:rsidRDefault="0004440C" w:rsidP="00432C5A">
      <w:pPr>
        <w:pStyle w:val="Akapitzlist"/>
        <w:numPr>
          <w:ilvl w:val="0"/>
          <w:numId w:val="38"/>
        </w:numPr>
        <w:spacing w:after="0" w:line="240" w:lineRule="auto"/>
        <w:ind w:left="357" w:hanging="357"/>
        <w:rPr>
          <w:rFonts w:asciiTheme="minorHAnsi" w:hAnsiTheme="minorHAnsi" w:cstheme="minorHAnsi"/>
        </w:rPr>
      </w:pPr>
    </w:p>
    <w:p w:rsidR="0004440C" w:rsidRPr="00B456BC" w:rsidRDefault="0004440C" w:rsidP="00432C5A">
      <w:pPr>
        <w:autoSpaceDE w:val="0"/>
        <w:adjustRightInd w:val="0"/>
        <w:spacing w:after="0" w:line="240" w:lineRule="auto"/>
        <w:rPr>
          <w:rFonts w:asciiTheme="minorHAnsi" w:hAnsiTheme="minorHAnsi" w:cstheme="minorHAnsi"/>
        </w:rPr>
      </w:pPr>
      <w:bookmarkStart w:id="7" w:name="_Hlk206590645"/>
      <w:r w:rsidRPr="00B456BC">
        <w:rPr>
          <w:rFonts w:asciiTheme="minorHAnsi" w:hAnsiTheme="minorHAnsi" w:cstheme="minorHAnsi"/>
        </w:rPr>
        <w:t xml:space="preserve">W odpowiedzi na zarzut dotyczący braku zapewnienia w decyzji z 30 czerwca 2023 r. ochrony cennych wartości przyrodniczych, zasobów naturalnych i zabytków oraz braku ograniczenia uciążliwości dla terenów sąsiednich ze względu na nieokreślenie w jej sentencji istotnych warunków korzystania ze środowiska w fazie eksploatacji lub użytkowania przedsięwzięcia, należy w pierwszej kolejności zwrócić uwagę, że warunki wskazane w punkcie III sentencji decyzji RDOŚ w Katowicach są rozwiązaniami minimalizującymi wpływ przedsięwzięcia na środowisko na etapie jego eksploatacji. GDOŚ wyjaśnia, że pomimo iż organ pierwszej instancji w punkcie II sentencji decyzji z 30 czerwca 2023 r. nie uwzględnił sformułowań dotyczących fazy eksploatacji lub użytkowania przedsięwzięcia, nie oznacza, że kwestia ta została pominięta, bowiem znalazła odzwierciedlenie w punkcie III sentencji ww. decyzji. Warunki nałożone w punkcie III sentencji decyzji RDOŚ w Katowicach, konieczne do uwzględnienia w dokumentacji wymaganej do wydania decyzji, o której mowa w art. 72 ust. 1 </w:t>
      </w:r>
      <w:proofErr w:type="spellStart"/>
      <w:r w:rsidRPr="00B456BC">
        <w:rPr>
          <w:rFonts w:asciiTheme="minorHAnsi" w:hAnsiTheme="minorHAnsi" w:cstheme="minorHAnsi"/>
        </w:rPr>
        <w:t>u.o.o.ś</w:t>
      </w:r>
      <w:proofErr w:type="spellEnd"/>
      <w:r w:rsidRPr="00B456BC">
        <w:rPr>
          <w:rFonts w:asciiTheme="minorHAnsi" w:hAnsiTheme="minorHAnsi" w:cstheme="minorHAnsi"/>
        </w:rPr>
        <w:t>., będą zabezpieczać środowisko, w tym także człowieka przed negatywnymi skutkami eksploatacji inwestycji. Organ pierwszej instancji w punkcie II sentencji decyzji z 30 czerwca 2023 r. wskazał zatem warunki korzystania ze środowiska w fazie realizacji przedsięwzięcia, natomiast w punkcie III sentencji decyzji wskazał wymagania dot. ochrony środowiska konieczne do uwzględnienia m.in. w projekcie budowlanym. Pominięcie w części nazwy punktu II sentencji decyzji RDOŚ w Katowicach sformułowań dot. „etapu eksploatacji lub użytkowania przedsięwzięcia” stanowi uchybienie, jednakże nie ma wpływu na wynik sprawy.</w:t>
      </w:r>
    </w:p>
    <w:p w:rsidR="0004440C" w:rsidRPr="00B456BC" w:rsidRDefault="0004440C" w:rsidP="00432C5A">
      <w:pPr>
        <w:autoSpaceDE w:val="0"/>
        <w:adjustRightInd w:val="0"/>
        <w:spacing w:after="0" w:line="240" w:lineRule="auto"/>
        <w:rPr>
          <w:rFonts w:asciiTheme="minorHAnsi" w:hAnsiTheme="minorHAnsi" w:cstheme="minorHAnsi"/>
        </w:rPr>
      </w:pPr>
      <w:r w:rsidRPr="00B456BC">
        <w:rPr>
          <w:rFonts w:asciiTheme="minorHAnsi" w:hAnsiTheme="minorHAnsi" w:cstheme="minorHAnsi"/>
        </w:rPr>
        <w:t>W kwestii niezapewnienia w decyzji organu pierwszej instancji ochrony cennych wartości przyrodniczych, GDOŚ informuje, że w trakcie postępowania odwoławczego przeanalizował oddziaływanie planowanej inwestycji na wszystkie elementy środowiska przyrodniczego. Na podstawie analizy zebranej w sprawie dokumentacji organ odwoławczy stwierdza, że RDOŚ w Katowicach prawidłowo ustalił zasięg i skalę negatywnego oddziaływania omawianego przedsięwzięcia na środowisko przyrodnicze, a także właściwie zidentyfikował elementy środowiska, które mogą być narażone na negatywny wpływ przedsięwzięcia na etapie budowy i jego funkcjonowania, takie jak występujące w rejonie inwestycji obszary cenne przyrodniczo, cieki wodne, zadrzewienia, chronione siedliska przyrodnicze oraz chronione gatunki roślin i zwierząt. W celu ograniczenia oddziaływania modernizowanej linii kolejowej na ww. elementy oraz mając na uwadze konieczność ochrony terenów wyróżniających się pod względem wartości przyrodniczej, organ pierwszej instancji określił warunki korzystania ze środowiska w fazie realizacji przedsięwzięcia.</w:t>
      </w:r>
    </w:p>
    <w:bookmarkEnd w:id="7"/>
    <w:p w:rsidR="0004440C" w:rsidRPr="00B456BC" w:rsidRDefault="0004440C" w:rsidP="00432C5A">
      <w:pPr>
        <w:autoSpaceDE w:val="0"/>
        <w:adjustRightInd w:val="0"/>
        <w:spacing w:after="0" w:line="240" w:lineRule="auto"/>
        <w:rPr>
          <w:rFonts w:asciiTheme="minorHAnsi" w:hAnsiTheme="minorHAnsi" w:cstheme="minorHAnsi"/>
        </w:rPr>
      </w:pPr>
      <w:r w:rsidRPr="00B456BC">
        <w:rPr>
          <w:rFonts w:asciiTheme="minorHAnsi" w:hAnsiTheme="minorHAnsi" w:cstheme="minorHAnsi"/>
        </w:rPr>
        <w:t xml:space="preserve">W decyzji z 30 czerwca 2023 r. RDOŚ w Katowicach zobowiązał wnioskodawcę między innymi do lokalizowania  zaplecza budowy poza terenami cennymi przyrodniczo, w tym w bezpiecznej odległości od obszarów podmokłych i cieków – miejsc szczególnie istotnych dla rozrodu płazów (pkt II.3.). Istotny z punktu widzenia ochrony fauny i flory podczas realizacji inwestycji jest również warunek określony w punkcie II.13. sentencji decyzji RDOŚ, w którym nałożono obowiązek prowadzenia prac związanych z realizacją przedsięwzięcia pod nadzorem przyrodniczym. W warunku tym zwarto wymogi dotyczące kwalifikacji osób wchodzących w skład nadzoru przyrodniczego. Sprecyzowano także zakres działań realizowanych przez szerokie grono specjalistów z dziedzin takich jak: botanika, dendrologia, entomologia, herpetologia, teriologia (w tym </w:t>
      </w:r>
      <w:proofErr w:type="spellStart"/>
      <w:r w:rsidRPr="00B456BC">
        <w:rPr>
          <w:rFonts w:asciiTheme="minorHAnsi" w:hAnsiTheme="minorHAnsi" w:cstheme="minorHAnsi"/>
        </w:rPr>
        <w:t>chiropterologia</w:t>
      </w:r>
      <w:proofErr w:type="spellEnd"/>
      <w:r w:rsidRPr="00B456BC">
        <w:rPr>
          <w:rFonts w:asciiTheme="minorHAnsi" w:hAnsiTheme="minorHAnsi" w:cstheme="minorHAnsi"/>
        </w:rPr>
        <w:t xml:space="preserve">) oraz ornitologia. Nadzór przyrodniczy zagwarantuje odpowiedni poziom ochrony zieleni nieprzeznaczonej </w:t>
      </w:r>
      <w:r w:rsidRPr="00B456BC">
        <w:rPr>
          <w:rFonts w:asciiTheme="minorHAnsi" w:hAnsiTheme="minorHAnsi" w:cstheme="minorHAnsi"/>
        </w:rPr>
        <w:lastRenderedPageBreak/>
        <w:t xml:space="preserve">do usunięcia, jak również właściwą jakość kontroli </w:t>
      </w:r>
      <w:proofErr w:type="spellStart"/>
      <w:r w:rsidRPr="00B456BC">
        <w:rPr>
          <w:rFonts w:asciiTheme="minorHAnsi" w:hAnsiTheme="minorHAnsi" w:cstheme="minorHAnsi"/>
        </w:rPr>
        <w:t>zadrzewień</w:t>
      </w:r>
      <w:proofErr w:type="spellEnd"/>
      <w:r w:rsidRPr="00B456BC">
        <w:rPr>
          <w:rFonts w:asciiTheme="minorHAnsi" w:hAnsiTheme="minorHAnsi" w:cstheme="minorHAnsi"/>
        </w:rPr>
        <w:t xml:space="preserve"> planowanych do wycinki oraz obiektów inżynieryjnych przewidzianych do modernizacji lub rozbiórki – pod kątem ich ewentualnego wykorzystania jako miejsc schronienia dla nietoperzy (zarówno w okresie letnim, jak i zimowym) lub lęgowisk ptaków z gatunków synantropijnych. Realizacja omawianego warunku zapewni ponadto  ochronę cennych siedlisk przyrodniczych oraz siedlisk gatunków roślin i zwierząt, położonych poza miejscem realizacji prac przed przypadkowym zniszczeniem. W trakcie budowy nadzór będzie podejmował również dodatkowe czynności, które będą konieczne z uwagi na niespodziewane, niemożliwe do przewidzenia na obecnym etapie sytuacje, takie jak konieczność przeniesienia zwierząt, które przedostały się na teren budowy, czy wprowadzenie dodatkowych zabezpieczeń w miejscach spontanicznego pojawiania się zwierząt w wyniku zmian środowiskowych zachodzących w trakcie prac budowlanych. W częściowo zmodyfikowanym na etapie postępowania odwoławczego punkcie II.5. i punkcie II.8. decyzji RDOŚ (kolejno punkt 3 i 5 niniejszej decyzji), wskazano rozwiązania mające na celu zabezpieczenie drzew znajdujących się w strefie oddziaływania inwestycji, w tym drzew o wysokiej funkcji ekologicznej – tzw. drzew biocenotycznych, posiadających naturalne dziuple i </w:t>
      </w:r>
      <w:proofErr w:type="spellStart"/>
      <w:r w:rsidRPr="00B456BC">
        <w:rPr>
          <w:rFonts w:asciiTheme="minorHAnsi" w:hAnsiTheme="minorHAnsi" w:cstheme="minorHAnsi"/>
        </w:rPr>
        <w:t>próchnowiska</w:t>
      </w:r>
      <w:proofErr w:type="spellEnd"/>
      <w:r w:rsidRPr="00B456BC">
        <w:rPr>
          <w:rFonts w:asciiTheme="minorHAnsi" w:hAnsiTheme="minorHAnsi" w:cstheme="minorHAnsi"/>
        </w:rPr>
        <w:t>, które mogą pełnić funkcję schronień i/lub miejsc lęgowych dla różnych grup zwierząt. W wyniku postępowania odwoławczego warunek w pkt II.5. został częściowo zreformowany (punkt 3 niniejszej decyzji), w celu objęcia dodatkową ochroną także grup krzewów znajdujących się w zasięgu oddziaływania inwestycji. Ponadto w punkcie II.4. decyzji RDOŚ, również częściowo zmodyfikowanym przez GDOŚ (punkt 2 niniejszej decyzji), w celu zwiększenia poziomu ochrony – w tym ochrony drzew uznanych za pomniki przyrody – wskazano na konieczność oznaczenia tych drzew taśmą ostrzegawczą na czas realizacji inwestycji.</w:t>
      </w:r>
    </w:p>
    <w:p w:rsidR="0004440C" w:rsidRPr="00B456BC" w:rsidRDefault="0004440C" w:rsidP="00432C5A">
      <w:pPr>
        <w:autoSpaceDE w:val="0"/>
        <w:adjustRightInd w:val="0"/>
        <w:spacing w:after="0" w:line="240" w:lineRule="auto"/>
        <w:rPr>
          <w:rFonts w:asciiTheme="minorHAnsi" w:hAnsiTheme="minorHAnsi" w:cstheme="minorHAnsi"/>
        </w:rPr>
      </w:pPr>
      <w:r w:rsidRPr="00B456BC">
        <w:rPr>
          <w:rFonts w:asciiTheme="minorHAnsi" w:hAnsiTheme="minorHAnsi" w:cstheme="minorHAnsi"/>
        </w:rPr>
        <w:t xml:space="preserve">Odpowiedni poziom ochrony fauny zagwarantowano poprzez warunek w punkcie II.9. kwestionowanej decyzji, w którym określono zasady zapobiegania przypadkowemu uwięzieniu i w konsekwencji śmierci zwierząt w trakcie realizacji przedsięwzięcia. Szczególny nacisk położono na odpowiednie zabezpieczenie placu budowy, tak aby uniemożliwić spontaniczne przedostanie się małych zwierząt do wykopów i innych miejsc prowadzonych robót ziemnych. Zgodnie z warunkiem określonym w punkcie II.9. specjalista herpetolog zobowiązany jest do regularnego kontrolowania potencjalnych miejsc bytowania płazów, w tym monitoringu wykopów i innych potencjalnych pułapek powstających w sąsiedztwie planowanych prac. W ramach działań ochronnych, nadzór herpetologiczny będzie odpowiedzialny za montaż płotków herpetologicznych oraz bezpieczne przenoszenie płazów do odpowiednich zbiorników wodnych w przypadku stwierdzenia ich obecności na terenie inwestycji. Warunek ten precyzuje również terminy oraz częstotliwość kontroli terenu budowy przez nadzór przyrodniczy. Z kolei punkty II.10. i II.11. decyzji RDOŚ dotyczą ochrony ichtiofauny. Określają zasady prowadzenia prac budowlanych ingerujących w koryta cieków, a w przypadku stwierdzenia występowania piskorza </w:t>
      </w:r>
      <w:proofErr w:type="spellStart"/>
      <w:r w:rsidRPr="00B456BC">
        <w:rPr>
          <w:rFonts w:asciiTheme="minorHAnsi" w:hAnsiTheme="minorHAnsi" w:cstheme="minorHAnsi"/>
          <w:i/>
          <w:u w:val="single"/>
        </w:rPr>
        <w:t>Misgurnus</w:t>
      </w:r>
      <w:proofErr w:type="spellEnd"/>
      <w:r w:rsidRPr="00B456BC">
        <w:rPr>
          <w:rFonts w:asciiTheme="minorHAnsi" w:hAnsiTheme="minorHAnsi" w:cstheme="minorHAnsi"/>
          <w:i/>
          <w:u w:val="single"/>
        </w:rPr>
        <w:t xml:space="preserve"> </w:t>
      </w:r>
      <w:proofErr w:type="spellStart"/>
      <w:r w:rsidRPr="00B456BC">
        <w:rPr>
          <w:rFonts w:asciiTheme="minorHAnsi" w:hAnsiTheme="minorHAnsi" w:cstheme="minorHAnsi"/>
          <w:i/>
          <w:u w:val="single"/>
        </w:rPr>
        <w:t>fossilis</w:t>
      </w:r>
      <w:proofErr w:type="spellEnd"/>
      <w:r w:rsidRPr="00B456BC">
        <w:rPr>
          <w:rFonts w:asciiTheme="minorHAnsi" w:hAnsiTheme="minorHAnsi" w:cstheme="minorHAnsi"/>
        </w:rPr>
        <w:t xml:space="preserve"> i węgorza </w:t>
      </w:r>
      <w:r w:rsidRPr="00B456BC">
        <w:rPr>
          <w:rFonts w:asciiTheme="minorHAnsi" w:hAnsiTheme="minorHAnsi" w:cstheme="minorHAnsi"/>
          <w:i/>
        </w:rPr>
        <w:t xml:space="preserve">Anguilla </w:t>
      </w:r>
      <w:proofErr w:type="spellStart"/>
      <w:r w:rsidRPr="00B456BC">
        <w:rPr>
          <w:rFonts w:asciiTheme="minorHAnsi" w:hAnsiTheme="minorHAnsi" w:cstheme="minorHAnsi"/>
          <w:i/>
        </w:rPr>
        <w:t>anguilla</w:t>
      </w:r>
      <w:proofErr w:type="spellEnd"/>
      <w:r w:rsidRPr="00B456BC">
        <w:rPr>
          <w:rFonts w:asciiTheme="minorHAnsi" w:hAnsiTheme="minorHAnsi" w:cstheme="minorHAnsi"/>
        </w:rPr>
        <w:t xml:space="preserve"> – nakazują wstrzymanie prac do czasu zakończenia tarła i inkubacji ikry tych gatunków.</w:t>
      </w:r>
    </w:p>
    <w:p w:rsidR="0004440C" w:rsidRPr="00B456BC" w:rsidRDefault="0004440C" w:rsidP="00432C5A">
      <w:pPr>
        <w:autoSpaceDE w:val="0"/>
        <w:adjustRightInd w:val="0"/>
        <w:spacing w:after="0" w:line="240" w:lineRule="auto"/>
        <w:rPr>
          <w:rFonts w:asciiTheme="minorHAnsi" w:hAnsiTheme="minorHAnsi" w:cstheme="minorHAnsi"/>
        </w:rPr>
      </w:pPr>
      <w:r w:rsidRPr="00B456BC">
        <w:rPr>
          <w:rFonts w:asciiTheme="minorHAnsi" w:hAnsiTheme="minorHAnsi" w:cstheme="minorHAnsi"/>
        </w:rPr>
        <w:t xml:space="preserve">W celu ograniczenia negatywnego oddziaływania inwestycji na awifaunę, w punkcie III.3. decyzji RDOŚ nałożono obowiązek zastosowania odpowiednich zabezpieczeń chroniących ptaki przed kolizjami z przeszklonymi wiatami przystankowymi. Warunek ten został dodatkowo zmodyfikowany w trakcie postępowania odwoławczego (punkt 8 niniejszej decyzji), uwzględniając konieczność zastosowania pionowych pasów na przezroczystych powierzchniach, co ma na celu zwiększenie ich widoczności i skuteczności ochrony ptaków przed zderzeniami. W punkcie II.7. decyzji RDOŚ wskazano również termin prowadzenia wycinki poza okresem lęgowym ptaków, tj. w terminie od 16 października do końca lutego, co ma na celu uniknięcie płoszenia ptaków w tym newralgicznym okresie oraz zminimalizowanie ryzyka straty lęgów w okresie rozrodu awifauny. Dodatkowo podczas postępowania odwoławczego dokonano modyfikacji punktu II.8 decyzji RDOŚ (punkt 5 niniejszej decyzji), dotyczącego kontroli obiektów inżynieryjnych oraz drzew biocenotycznych wykorzystywanych jako miejsca lęgowe i schronienia. Obiekty inżynieryjne mogą być również wykorzystywane przez ptaki, dlatego w ramach tej zmiany GDOŚ rozszerzył zakres nadzoru przyrodniczego, włączając do zespołu specjalistę ornitologa. </w:t>
      </w:r>
    </w:p>
    <w:p w:rsidR="0004440C" w:rsidRPr="00B456BC" w:rsidRDefault="0004440C" w:rsidP="00432C5A">
      <w:pPr>
        <w:autoSpaceDE w:val="0"/>
        <w:adjustRightInd w:val="0"/>
        <w:spacing w:after="0" w:line="240" w:lineRule="auto"/>
        <w:rPr>
          <w:rFonts w:asciiTheme="minorHAnsi" w:hAnsiTheme="minorHAnsi" w:cstheme="minorHAnsi"/>
        </w:rPr>
      </w:pPr>
      <w:r w:rsidRPr="00B456BC">
        <w:rPr>
          <w:rFonts w:asciiTheme="minorHAnsi" w:hAnsiTheme="minorHAnsi" w:cstheme="minorHAnsi"/>
        </w:rPr>
        <w:t xml:space="preserve">W sentencji decyzji RDOŚ w Katowicach, w punkcie III.4., wskazano również na konieczność zaprojektowania rozwiązań zapewniających swobodną migrację fauny (płazów i małych ssaków), </w:t>
      </w:r>
      <w:r w:rsidRPr="00B456BC">
        <w:rPr>
          <w:rFonts w:asciiTheme="minorHAnsi" w:hAnsiTheme="minorHAnsi" w:cstheme="minorHAnsi"/>
        </w:rPr>
        <w:lastRenderedPageBreak/>
        <w:t>które skutecznie zminimalizują efekt bariery. Zobowiązano wnioskodawcę do przystosowania licznych obiektów do pełnienia przez nie funkcji przejść dla małych zwierząt, co dodatkowo będzie skutkowało zmniejszeniem śmiertelności wśród migrującej fauny. Treść tego punktu (III.4.) została częściowo zreformowana w trakcie postępowania odwoławczego przez dodanie jednego obiektu mostowego i dostosowanie jego parametrów do przejścia zintegrowanego z ciekiem (punkt 9 niniejszej decyzji). Dodatkowo w celu wyeliminowania ryzyka powstawania pułapek dla zwierząt, w punkcie III.2. decyzji RDOŚ przewidziano działania minimalizujące polegające na zabezpieczeniu studni, niecek wpadowych oraz innych podobnych obiektów, a także wprowadzono obowiązek zastosowania konstrukcji umożliwiających zwierzętom samodzielne wydostanie się na zewnątrz (tzw. konstrukcji ucieczkowych). Ponadto wśród zaplanowanych działań minimalizujących w punkcie III.1. decyzji RDOŚ wskazano na konieczność odpowiedniego zabezpieczenia wzmocnień dna i brzegów cieków, szczególnie w rejonie przepustów oraz obiektów pełniących funkcje ekologiczne. Ma to na celu ograniczenie negatywnego wpływu inwestycji na środowisko wodne oraz na organizmy związane z siedliskami wodno-błotnymi.</w:t>
      </w:r>
    </w:p>
    <w:p w:rsidR="0004440C" w:rsidRPr="00B456BC" w:rsidRDefault="0004440C" w:rsidP="00432C5A">
      <w:pPr>
        <w:autoSpaceDE w:val="0"/>
        <w:adjustRightInd w:val="0"/>
        <w:spacing w:after="0" w:line="240" w:lineRule="auto"/>
        <w:rPr>
          <w:rFonts w:asciiTheme="minorHAnsi" w:hAnsiTheme="minorHAnsi" w:cstheme="minorHAnsi"/>
        </w:rPr>
      </w:pPr>
      <w:r w:rsidRPr="00B456BC">
        <w:rPr>
          <w:rFonts w:asciiTheme="minorHAnsi" w:hAnsiTheme="minorHAnsi" w:cstheme="minorHAnsi"/>
        </w:rPr>
        <w:t xml:space="preserve">Ponadto RDOŚ w Katowicach nałożył warunek dotyczący zaprojektowania ekranów akustycznych i tłumików </w:t>
      </w:r>
      <w:proofErr w:type="spellStart"/>
      <w:r w:rsidRPr="00B456BC">
        <w:rPr>
          <w:rFonts w:asciiTheme="minorHAnsi" w:hAnsiTheme="minorHAnsi" w:cstheme="minorHAnsi"/>
        </w:rPr>
        <w:t>przyszynowych</w:t>
      </w:r>
      <w:proofErr w:type="spellEnd"/>
      <w:r w:rsidRPr="00B456BC">
        <w:rPr>
          <w:rFonts w:asciiTheme="minorHAnsi" w:hAnsiTheme="minorHAnsi" w:cstheme="minorHAnsi"/>
        </w:rPr>
        <w:t xml:space="preserve"> (III.5.), które mają zredukować hałas powstały w wyniku eksploatacji inwestycji oraz ograniczyć uciążliwości na terenach chronionych akustycznie w sąsiedztwie linii kolejowej. Warunek ten został zmodyfikowany w punkcie 10 niniejszej decyzji, z uwagi na aktualizację zaplanowanych do realizacji ekranów akustycznych i absorberów </w:t>
      </w:r>
      <w:proofErr w:type="spellStart"/>
      <w:r w:rsidRPr="00B456BC">
        <w:rPr>
          <w:rFonts w:asciiTheme="minorHAnsi" w:hAnsiTheme="minorHAnsi" w:cstheme="minorHAnsi"/>
        </w:rPr>
        <w:t>przyszynowych</w:t>
      </w:r>
      <w:proofErr w:type="spellEnd"/>
      <w:r w:rsidRPr="00B456BC">
        <w:rPr>
          <w:rFonts w:asciiTheme="minorHAnsi" w:hAnsiTheme="minorHAnsi" w:cstheme="minorHAnsi"/>
        </w:rPr>
        <w:t>/płyt przejazdowych, podaną przez wnioskodawcę w piśmie z  30 czerwca 2025 r.</w:t>
      </w:r>
    </w:p>
    <w:p w:rsidR="0004440C" w:rsidRPr="00B456BC" w:rsidRDefault="0004440C" w:rsidP="00432C5A">
      <w:pPr>
        <w:autoSpaceDE w:val="0"/>
        <w:adjustRightInd w:val="0"/>
        <w:spacing w:after="0" w:line="240" w:lineRule="auto"/>
        <w:rPr>
          <w:rFonts w:asciiTheme="minorHAnsi" w:hAnsiTheme="minorHAnsi" w:cstheme="minorHAnsi"/>
        </w:rPr>
      </w:pPr>
      <w:r w:rsidRPr="00B456BC">
        <w:rPr>
          <w:rFonts w:asciiTheme="minorHAnsi" w:hAnsiTheme="minorHAnsi" w:cstheme="minorHAnsi"/>
        </w:rPr>
        <w:t>Inwestycja zlokalizowana jest poza obszarami o krajobrazie mającym znaczenie historyczne, kulturowe lub archeologiczne, brak jest również stanowisk archeologicznych będących w kolizji z analizowaną linią kolejową.</w:t>
      </w:r>
    </w:p>
    <w:p w:rsidR="0004440C" w:rsidRPr="00B456BC" w:rsidRDefault="0004440C" w:rsidP="00432C5A">
      <w:pPr>
        <w:pStyle w:val="Akapitzlist"/>
        <w:numPr>
          <w:ilvl w:val="0"/>
          <w:numId w:val="38"/>
        </w:numPr>
        <w:spacing w:after="0" w:line="240" w:lineRule="auto"/>
        <w:ind w:left="357" w:hanging="357"/>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Odpowiadając na zarzut przytoczony w tym punkcie należy wyjaśnić, że analiza dokumentacji sprawy na etapie postępowania odwoławczego, w tym kip oraz jej uzupełnień, wykazała, że obrazuje ona w sposób pełny i wiarygodny stan faktyczny sprawy, nie wskazując jednocześnie przesłanek, o których mowa w art. 63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które uzasadniałyby konieczność przeprowadzenia oceny oddziaływania na środowisko względem planowanego przedsięwzięcia.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nawiązaniu do rodzaju i skali planowanego przedsięwzięcia, teren przewidziany pod jego realizację obejmuje w przeważającej mierze obszary już użytkowane i zagospodarowane w wyniku działalności człowieka. Prace budowlane planowane w ramach przedsięwzięcia będą prowadzone w całości w istniejącym śladzie linii kolejowej, co znacząco ograniczy ingerencję w środowisko przyrodnicze i pozwoli na zachowanie jego istniejących elementów w niezmienionym stanie. Realizacja inwestycji nie spowoduje wprowadzenia nowych elementów liniowych.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kwestii powiązań z innymi przedsięwzięciami, w szczególności kumulowania się oddziaływań rozpatrywanej inwestycji z przedsięwzięciami realizowanymi i zrealizowanymi, dla których została wydana decyzja o środowiskowych uwarunkowaniach, zgodnie z informacjami przedstawionymi w kip, na etapie realizacji inwestycji odziaływania skumulowane, takie jak emisja hałasu i zanieczyszczeń do powietrza, wynikać będą głównie z pracy środków transportu, maszyn budowlanych i ciężkiego sprzętu. Oddziaływania te będą się przemieszczać wraz z frontem robót, co powoduje, że ich charakter będzie okresowy – uciążliwości ustaną wraz z zakończeniem prac budowalnych. Ponadto dobra organizacja pracy znacznie ograniczy kumulację negatywnych oddziaływań.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Skumulowane oddziaływanie na etapie eksploatacji przedsięwzięcia dotyczyć będzie głównie emisji hałasu, co zostało uwzględnione w przedłożonej przez wnioskodawcę analizie akustycznej – w celu oceny skumulowanego oddziaływania hałasu wnioskodawca uwzględnił w modelu akustycznym źródła hałasu pochodzące z linii kolejowej nr 139, drogi krajowej nr 1, drogi krajowej nr 81 oraz drogi wojewódzkiej nr 935.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Odnosząc się do kwestii różnorodności biologicznej, wykorzystywania zasobów naturalnych, w tym gleby, wody i powierzchni ziemi, GDOŚ w pierwszej kolejności wyjaśnia, że zarówno wnioskodawca, jak i RDOŚ w Katowicach szczególną uwagę poświęcili zapewnieniu drożności szlaków migracyjnych lokalnej fauny, a wyniki tych analiz organ pierwszej instancji uwzględnił w sentencji decyzji z 30 </w:t>
      </w:r>
      <w:r w:rsidRPr="00B456BC">
        <w:rPr>
          <w:rFonts w:asciiTheme="minorHAnsi" w:hAnsiTheme="minorHAnsi" w:cstheme="minorHAnsi"/>
        </w:rPr>
        <w:lastRenderedPageBreak/>
        <w:t xml:space="preserve">czerwca 2023 r., formułując obwiązki zastosowania rozwiązań minimalizujących potencjalne oddziaływania. Na odcinkach przebiegających przez korytarze ekologiczne, takie jak doliny cieków wodnych (przykładem może być ciek Stara </w:t>
      </w:r>
      <w:proofErr w:type="spellStart"/>
      <w:r w:rsidRPr="00B456BC">
        <w:rPr>
          <w:rFonts w:asciiTheme="minorHAnsi" w:hAnsiTheme="minorHAnsi" w:cstheme="minorHAnsi"/>
        </w:rPr>
        <w:t>Dokawa</w:t>
      </w:r>
      <w:proofErr w:type="spellEnd"/>
      <w:r w:rsidRPr="00B456BC">
        <w:rPr>
          <w:rFonts w:asciiTheme="minorHAnsi" w:hAnsiTheme="minorHAnsi" w:cstheme="minorHAnsi"/>
        </w:rPr>
        <w:t>), RDOŚ w Katowicach zobowiązał wnioskodawcę do dostosowania przepustu, tak aby pełnił funkcję przejścia dla małych zwierząt. Przebudowa istniejącej infrastruktury kolejowej, w tym obiektów mostowych, obejmie budowę nowych obiektów w miejscach obecnie istniejących. Zachowany zostanie swobodny przepływ wód oraz drożność lokalnych tras migracyjnych zwierząt związanych z ciekami wodnymi. Warunki dotyczące prowadzenia prac na ciekach wodnych, w tym wytyczne dotyczące m.in. umacniania skarp i brzegów cieków oraz dostosowania przepustów do funkcji przejść dla zwierząt, zostały określone w punktach II.10., II.11. i III.4. sentencji zaskarżonej decyzji, a następnie częściowo doprecyzowane przez GDOŚ na etapie postępowania odwoławczego, co znalazło odzwierciedlenie w punkcie 9 sentencji niniejszego rozstrzygnięcia.</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W aneksie nr 2 do kip przedstawiono szczegółową metodykę oraz harmonogram przeprowadzenia inwentaryzacji przyrodniczej, odnoszące się do poszczególnych grup organizmów. Przeprowadzona inwentaryzacja umożliwiła zebranie pełnych i wiarygodnych danych na temat środowiska przyrodniczego na terenie planowanego przedsięwzięcia oraz w jego bezpośrednim sąsiedztwie. W dokumentacji sprawy, w tym na załącznikach mapowych oraz w wykazach tabelarycznych, przedstawiono wyniki inwentaryzacji przyrodniczej, obejmujące m.in. identyfikację chronionych siedlisk przyrodniczych, gatunków roślin, grzybów i zwierząt, a także przebieg korytarzy migracyjnych.</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Z informacji zawartych w kip wynika, że planowana inwestycja nie koliduje i nie wpływa negatywnie na cenne siedliska przyrodnicze, ani na stanowiska chronionych gatunków roślin. Miejsca ich występowania nie będą podlegać niszczeniu. W trakcie analizy oddziaływania na faunę GDOŚ wziął pod uwagę, że przeprowadzone na potrzeby realizacji inwestycji badania inwentaryzacyjne wykazały, że w zasięgu jej oddziaływania występują liczne grupy zwierząt charakteryzujące się zróżnicowaną ekologią. Sprzyja temu liniowy charakter inwestycji, umożliwiający powstawanie stref otwartych oraz </w:t>
      </w:r>
      <w:proofErr w:type="spellStart"/>
      <w:r w:rsidRPr="00B456BC">
        <w:rPr>
          <w:rFonts w:asciiTheme="minorHAnsi" w:hAnsiTheme="minorHAnsi" w:cstheme="minorHAnsi"/>
        </w:rPr>
        <w:t>ekotonowych</w:t>
      </w:r>
      <w:proofErr w:type="spellEnd"/>
      <w:r w:rsidRPr="00B456BC">
        <w:rPr>
          <w:rFonts w:asciiTheme="minorHAnsi" w:hAnsiTheme="minorHAnsi" w:cstheme="minorHAnsi"/>
        </w:rPr>
        <w:t>. Zlokalizowane w granicach i sąsiedztwie inwestycji siedliska przyrodnicze, takie jak tereny otwarte, lasy, zadrzewienia czy zbiorniki wodne, stanowią m.in. stanowiska lęgowe ptaków, owadów i płazów, miejsca spontanicznego bytowania gatunków ssaków, a także obszary żerowiskowe, szczególnie istotne dla nietoperzy i ptaków drapieżnych. Analiza zgromadzonego w sprawie materiału dowodowego wykazała, że realizacja inwestycji nie doprowadzi do zmniejszenia przydatności wspomnianych siedlisk ani nie ograniczy ich wykorzystania przez zinwentaryzowane gatunki zwierząt. Ponieważ inwestycja będzie realizowana w istniejącym śladzie infrastruktury kolejowej, nie spowoduje istotnych zmian w sposobie użytkowania terenu, który obecnie podlega czynnej antropopresji. Natomiast w oparciu o wyniki badań fauny, dla zapewnienia możliwie skutecznej ochrony tym gatunkom, które mogą być narażone na oddziaływanie przedmiotowego przedsięwzięcia, w sentencji zaskarżonej decyzji zobowiązano wnioskodawcę do zastosowania szeregu rozwiązań minimalizujących ten wpływ. Rozwiązania takie sformułowano m.in. w następujących punktach decyzji RDOŚ w Katowicach:</w:t>
      </w:r>
    </w:p>
    <w:p w:rsidR="0004440C" w:rsidRPr="00B456BC" w:rsidRDefault="0004440C" w:rsidP="00432C5A">
      <w:pPr>
        <w:pStyle w:val="Akapitzlist"/>
        <w:numPr>
          <w:ilvl w:val="0"/>
          <w:numId w:val="37"/>
        </w:numPr>
        <w:spacing w:after="0" w:line="240" w:lineRule="auto"/>
        <w:ind w:left="1068"/>
        <w:rPr>
          <w:rFonts w:asciiTheme="minorHAnsi" w:hAnsiTheme="minorHAnsi" w:cstheme="minorHAnsi"/>
        </w:rPr>
      </w:pPr>
      <w:r w:rsidRPr="00B456BC">
        <w:rPr>
          <w:rFonts w:asciiTheme="minorHAnsi" w:hAnsiTheme="minorHAnsi" w:cstheme="minorHAnsi"/>
        </w:rPr>
        <w:t>II.3. (zmodyfikowanym w punkcie 1 sentencji niniejszej decyzji) dotyczącym m.in. ochrony cieków wodnych wraz z ich obudową biologiczną, zbiorników wodnych, terenów podmokłych, a także stanowisk rozrodu płazów oraz siedlisk chronionych gatunków zwierząt, poprzez zakaz lokalizowania w ich pobliżu elementów infrastruktury budowlanej (np. zapleczy budowy, baz materiałowo-sprzętowych);</w:t>
      </w:r>
    </w:p>
    <w:p w:rsidR="0004440C" w:rsidRPr="00B456BC" w:rsidRDefault="0004440C" w:rsidP="00432C5A">
      <w:pPr>
        <w:pStyle w:val="Akapitzlist"/>
        <w:numPr>
          <w:ilvl w:val="0"/>
          <w:numId w:val="37"/>
        </w:numPr>
        <w:spacing w:after="0" w:line="240" w:lineRule="auto"/>
        <w:ind w:left="1068"/>
        <w:rPr>
          <w:rFonts w:asciiTheme="minorHAnsi" w:hAnsiTheme="minorHAnsi" w:cstheme="minorHAnsi"/>
        </w:rPr>
      </w:pPr>
      <w:r w:rsidRPr="00B456BC">
        <w:rPr>
          <w:rFonts w:asciiTheme="minorHAnsi" w:hAnsiTheme="minorHAnsi" w:cstheme="minorHAnsi"/>
        </w:rPr>
        <w:t>II.9., II.10. oraz II.13. (częściowo zmodyfikowanym w punkcie 7 sentencji niniejszej decyzji) – określających postępowanie w przypadku przedostania się zwierząt na teren budowy i zobowiązujących inwestora do zamontowania tymczasowego wygrodzenia, a także wskazujących na konieczność prowadzenia poszczególnych prac związanych z realizacją przedsięwzięcia pod nadzorem przyrodniczym;</w:t>
      </w:r>
    </w:p>
    <w:p w:rsidR="0004440C" w:rsidRPr="00B456BC" w:rsidRDefault="0004440C" w:rsidP="00432C5A">
      <w:pPr>
        <w:pStyle w:val="Akapitzlist"/>
        <w:numPr>
          <w:ilvl w:val="0"/>
          <w:numId w:val="37"/>
        </w:numPr>
        <w:spacing w:after="0" w:line="240" w:lineRule="auto"/>
        <w:ind w:left="1068"/>
        <w:rPr>
          <w:rFonts w:asciiTheme="minorHAnsi" w:hAnsiTheme="minorHAnsi" w:cstheme="minorHAnsi"/>
        </w:rPr>
      </w:pPr>
      <w:r w:rsidRPr="00B456BC">
        <w:rPr>
          <w:rFonts w:asciiTheme="minorHAnsi" w:hAnsiTheme="minorHAnsi" w:cstheme="minorHAnsi"/>
        </w:rPr>
        <w:t>III.1. – odnoszącym się do projektowych rozwiązań technicznych stosowanych podczas prac prowadzonych w obrębie koryt cieków.</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Analiza lokalizacji, zakresu oraz skali planowanego przedsięwzięcia pozwala wykluczyć możliwość oddziaływania prowadzonych prac budowlanych na cele środowiskowe wyznaczone dla jednolitych </w:t>
      </w:r>
      <w:r w:rsidRPr="00B456BC">
        <w:rPr>
          <w:rFonts w:asciiTheme="minorHAnsi" w:hAnsiTheme="minorHAnsi" w:cstheme="minorHAnsi"/>
        </w:rPr>
        <w:lastRenderedPageBreak/>
        <w:t>części wód powierzchniowych (JCWP) bezpośrednio związanych z obszarem realizacji inwestycji. Potencjalne oddziaływania będą miały charakter lokalny i krótkotrwały, a zakres ingerencji będzie ograniczony do przebudowy istniejących przepustów i obiektów mostowych oraz prac porządkowych w ich bezpośrednim otoczeniu. Wśród koniecznych do zastosowania działań minimalizujących znalazły się także obowiązki wynikające z punktu II.2. decyzji organu pierwszej instancji, dotyczące lokalizacji zaplecza budowy oraz zasad przechowywania, usuwania i neutralizacji substancji i materiałów niebezpiecznych w sposób uniemożliwiający ich przedostanie się do środowiska wodnego. Na podstawie analiz przedstawionych przez wnioskodawcę, opartych na wynikach badań wód opadowych i roztopowych pochodzących z terenów kolejowych można wykluczyć negatywne oddziaływanie przedsięwzięcia na cieki wodne na etapie jego eksploatacji. Planowana inwestycja nie spowoduje zagrożenia dla osiągnięcia celów środowiskowych określonych w Planie Gospodarowania Wodami na obszarze dorzecza Wisły, w tym dla JCWP przecinanych przez trasę linii kolejowej.</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Analizując wpływ inwestycji na tereny leśne i zadrzewienia, GDOŚ uwzględnił zakres wycinki przedstawionej w dokumentacji. Zaplanowana w fazie realizacji inwestycji wycinka drzew i krzewów będzie ograniczona do niezbędnych miejsc, zgodnie z przepisami rozporządzenia Ministra Infrastruktury z 7 sierpnia 2008 r. w sprawie wymagań w zakresie odległości i warunków dopuszczających usytuowanie drzew i krzewów, elementów ochrony akustycznej i wykonywania robót ziemnych w sąsiedztwie linii kolejowej, a także sposobu urządzania i utrzymywania zasłon odśnieżnych oraz pasów przeciwpożarowych (Dz. U. z 2020 r. poz. 1247, ze zm.), dalej </w:t>
      </w:r>
      <w:proofErr w:type="spellStart"/>
      <w:r w:rsidRPr="00B456BC">
        <w:rPr>
          <w:rFonts w:asciiTheme="minorHAnsi" w:hAnsiTheme="minorHAnsi" w:cstheme="minorHAnsi"/>
        </w:rPr>
        <w:t>r.u.l.k</w:t>
      </w:r>
      <w:proofErr w:type="spellEnd"/>
      <w:r w:rsidRPr="00B456BC">
        <w:rPr>
          <w:rFonts w:asciiTheme="minorHAnsi" w:hAnsiTheme="minorHAnsi" w:cstheme="minorHAnsi"/>
        </w:rPr>
        <w:t xml:space="preserve">. W sąsiedztwie planowanej inwestycji zidentyfikowano cenne zadrzewienia, m.in. te wchodzące w skład Alei Dębowej przy ulicy Myśliwskiej i Łowieckiej w Pszczynie. Drzewa tworzące tę aleję zostaną specjalnie oznaczone i zabezpieczone, zgodnie z warunkiem określonym w pkt II.4. sentencji decyzji RDOŚ w Katowicach, który został doprecyzowany na etapie postępowania odwoławczego (punkt 2 sentencji niniejszej decyzji). Dodatkowo drzewa znajdujące się w obrębie inwestycji, nieprzeznaczone do wycinki, również będą musiały być zabezpieczone przed uszkodzeniami mechanicznymi lub chemicznymi w sposób określony w punkcie II.5. sentencji zaskarżonej decyzji, zmodyfikowanym w punkcie 3 sentencji niniejszej decyzji. Wycinka drzew będzie przeprowadzona jedynie w przypadkach, gdy usytuowanie drzew będzie niezgodne z wymaganiami </w:t>
      </w:r>
      <w:proofErr w:type="spellStart"/>
      <w:r w:rsidRPr="00B456BC">
        <w:rPr>
          <w:rFonts w:asciiTheme="minorHAnsi" w:hAnsiTheme="minorHAnsi" w:cstheme="minorHAnsi"/>
        </w:rPr>
        <w:t>r.u.l.k</w:t>
      </w:r>
      <w:proofErr w:type="spellEnd"/>
      <w:r w:rsidRPr="00B456BC">
        <w:rPr>
          <w:rFonts w:asciiTheme="minorHAnsi" w:hAnsiTheme="minorHAnsi" w:cstheme="minorHAnsi"/>
        </w:rPr>
        <w:t xml:space="preserve">. W ramach ochrony walorów przyrodniczych w sąsiedztwie linii kolejowej oraz ochrony występującej tam fauny, podejmowane będą dodatkowe działania minimalizujące wpływ wycinki drzew i krzewów.  Wycinka ta oraz usuwanie roślinności szuwarowej będzie prowadzone wyłącznie poza sezonem lęgowym ptaków, tj. od października do lutego, zgodnie z warunkiem określonym w punkcie II.7. sentencji decyzji RDOŚ w Katowicach, częściowo zmodyfikowanym w toku postępowania odwoławczego (punkt 4 sentencji niniejszej decyzji). W przypadku rozbiórki lub modernizacji obiektów inżynieryjnych, działania te będą realizowane pod nadzorem ornitologa i </w:t>
      </w:r>
      <w:proofErr w:type="spellStart"/>
      <w:r w:rsidRPr="00B456BC">
        <w:rPr>
          <w:rFonts w:asciiTheme="minorHAnsi" w:hAnsiTheme="minorHAnsi" w:cstheme="minorHAnsi"/>
        </w:rPr>
        <w:t>chiropterologa</w:t>
      </w:r>
      <w:proofErr w:type="spellEnd"/>
      <w:r w:rsidRPr="00B456BC">
        <w:rPr>
          <w:rFonts w:asciiTheme="minorHAnsi" w:hAnsiTheme="minorHAnsi" w:cstheme="minorHAnsi"/>
        </w:rPr>
        <w:t xml:space="preserve"> (pkt II.13. sentencji zaskarżonej decyzji). Wycinka starych drzew dziuplastych będzie poprzedzona kontrolą entomologa i </w:t>
      </w:r>
      <w:proofErr w:type="spellStart"/>
      <w:r w:rsidRPr="00B456BC">
        <w:rPr>
          <w:rFonts w:asciiTheme="minorHAnsi" w:hAnsiTheme="minorHAnsi" w:cstheme="minorHAnsi"/>
        </w:rPr>
        <w:t>chiropterologa</w:t>
      </w:r>
      <w:proofErr w:type="spellEnd"/>
      <w:r w:rsidRPr="00B456BC">
        <w:rPr>
          <w:rFonts w:asciiTheme="minorHAnsi" w:hAnsiTheme="minorHAnsi" w:cstheme="minorHAnsi"/>
        </w:rPr>
        <w:t xml:space="preserve"> (pkt II.8. sentencji decyzji z 30 czerwca 2023 r.). Działania te zminimalizują wpływ wycinki oraz prac rozbiórkowych na ptaki, nietoperze i bezkręgowce związane z martwym drewnem. Ponadto ewentualne wiaty przystankowe i ekrany akustyczne z przezroczystych materiałów zostaną zabezpieczone w sposób minimalizujący ryzyko kolizji ptaków (pkt III.3. sentencji zaskarżonej decyzji, zmodyfikowany w punkcie 8 sentencji niniejszej decyzji).</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kwestii emisji związanych z realizacją planowanego przedsięwzięcia, jak wskazano w kip, na tym etapie wystąpi emisja hałasu oraz gazów i pyłów do powietrza związana głównie z prowadzeniem prac budowlanych, ruchem pojazdów oraz pracą maszyn i sprzętu budowlanego. Powyższe uciążliwości ustąpią po zakończeniu prac budowlanych, nie powodując trwałych zmian w środowisku.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Natomiast odnosząc się do emisji powstających podczas eksploatacji inwestycji, zgodnie z informacjami podanymi w dokumentacji, jej funkcjonowanie związane będzie z emisją hałasu. W celu ochrony przed hałasem terenów chronionych akustycznie w sąsiedztwie LK 148, emitowanym w związku z eksploatacją inwestycji, RDOŚ w Katowicach nałożył na wnioskodawcę obowiązek zaprojektowania ekranów akustycznych (pkt III.5. sentencji zaskarżonej decyzji zmodyfikowany punktem 10 sentencji niniejszej decyzji). Po przeanalizowaniu przedstawionych w przedłożonej dokumentacji wyników obliczeń propagacji hałasu oraz map propagacji hałasu stwierdzono, że </w:t>
      </w:r>
      <w:r w:rsidRPr="00B456BC">
        <w:rPr>
          <w:rFonts w:asciiTheme="minorHAnsi" w:hAnsiTheme="minorHAnsi" w:cstheme="minorHAnsi"/>
        </w:rPr>
        <w:lastRenderedPageBreak/>
        <w:t xml:space="preserve">planowana inwestycja nie powinna spowodować przekroczenia poziomów hałasu wyznaczonych na mocy rozporządzenia Ministra Środowiska z dnia 14 czerwca 2007 r. w sprawie dopuszczalnych poziomów hałasu w środowisku (Dz. U. z 2014 r. poz. 112), dalej </w:t>
      </w:r>
      <w:proofErr w:type="spellStart"/>
      <w:r w:rsidRPr="00B456BC">
        <w:rPr>
          <w:rFonts w:asciiTheme="minorHAnsi" w:hAnsiTheme="minorHAnsi" w:cstheme="minorHAnsi"/>
        </w:rPr>
        <w:t>r.d.p.h.ś</w:t>
      </w:r>
      <w:proofErr w:type="spellEnd"/>
      <w:r w:rsidRPr="00B456BC">
        <w:rPr>
          <w:rFonts w:asciiTheme="minorHAnsi" w:hAnsiTheme="minorHAnsi" w:cstheme="minorHAnsi"/>
        </w:rPr>
        <w:t>.</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Rozpatrywany odcinek LK 148 jest zelektryfikowany, w związku z czym nie stanowi źródła emisji zanieczyszczeń do powietrza. Okazjonalnie emisja zanieczyszczeń atmosferycznych może występować w sytuacjach, w których wykorzystywane będą pojazdy napędzane olejem napędowym, takie jak pociągi utrzymaniowe i naprawcze. Będzie to związane z niewielkimi emisjami typowych zanieczyszczeń komunikacyjnych powstających w wyniku spalania paliw: dwutlenku azotu, tlenku węgla, dwutlenku siarki, pyłu zawieszonego PM10 i PM2,5 oraz węglowodorów alifatycznych i aromatycznych, w tym benzenu. Należy jednak podkreślić, że będą to sytuacje sporadyczne i niemające wpływu na jakość powietrza w rejonie lokalizacji przedsięwzięcia, zatem emisja zanieczyszczeń wprowadzonych do powietrza w związku z funkcjonowaniem inwestycji nie powinna spowodować przekroczenia dopuszczalnych wartości określonych w rozporządzeniu Ministra Środowiska z dnia 26 stycznia 2010 r. w sprawie wartości odniesienia dla niektórych substancji w powietrzu (Dz. U. z 2010 r. Nr 16, poz. 87) oraz rozporządzeniu Ministra Środowiska z dnia 24 sierpnia 2012 r. w sprawie poziomów niektórych substancji w powietrzu (Dz. U. z 2021 r. poz. 845).</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kip wskazano, że poważne awarie mogą wystąpić wzdłuż analizowanego odcinka linii, na placu i zapleczu budowy oraz drogach i obiektach w otoczeniu terenu kolejowego. Do zanieczyszczenia środowiska może dojść w wyniku niekontrolowanego zrzutu substancji niebezpiecznej do środowiska w następstwie katastrofy kolejowej, wycieków lub rozsypywania transportowanych substancji niebezpiecznych na całej trasie, będących konsekwencją usterek technicznych i eksploatacyjnych, w tym nieszczelności np. zaworów, opakowań itp. lub wycieków paliwa lub innych płynów eksploatacyjnych z pojazdów trakcyjnych, pojazdów samochodowych oraz maszyn budowlanych. Działania ratownicze w przypadku ewentualnych poważnych awarii będą polegały na neutralizacji i usunięciu źródła zagrożenia oraz zminimalizowanie strat spowodowanych awarią i ukierunkowane będą na ograniczenie skali i stopnia zagrożenia. Usunięcie skutków awarii ukierunkowane będzie na przywrócenie stanu środowiska do stanu sprzed awarii i polegać będzie na zneutralizowaniu substancji niebezpiecznej, zebraniu i oczyszczeniu warstwy zanieczyszczonego gruntu lub warstwy zanieczyszczonych wód oraz rekultywacji terenu.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Realizacja i funkcjonowanie planowanej inwestycji wiązać się będzie także z powstawaniem odpadów, w tym niebezpiecznych. Wytworzone odpady będą magazynowane w sposób selektywny, w wyznaczonych miejscach, z zastosowaniem odpowiednych kontenerów i pojemników, a następnie przekazywane uprawnionym podmiotom do odzysku lub unieszkodliwienia. Ponadto w celu ochrony środowiska wodno-gruntowego RDOŚ w Katowicach nałożył w punkcie II.2. sentencji decyzji z 30 czerwca 2023 r. warunek nakazujący magazynowanie odpadów niebezpiecznych na szczelnym lub izolowanym (np. matą gumową) podłożu, w szczelnych, zamykanych i opisanych pojemnikach, odpornych na działanie magazynowanych w nich substancji oraz w miejscu zabezpieczonym przed działaniem czynników atmosferycznych i ingerencją osób nieupoważnionych.</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Biorąc pod uwagę usytuowanie przedsięwzięcia uwzględniające obszary wymienione w art. 63 ust. 1 pkt 2 </w:t>
      </w:r>
      <w:proofErr w:type="spellStart"/>
      <w:r w:rsidRPr="00B456BC">
        <w:rPr>
          <w:rFonts w:asciiTheme="minorHAnsi" w:hAnsiTheme="minorHAnsi" w:cstheme="minorHAnsi"/>
        </w:rPr>
        <w:t>u.o.o.ś</w:t>
      </w:r>
      <w:proofErr w:type="spellEnd"/>
      <w:r w:rsidRPr="00B456BC">
        <w:rPr>
          <w:rFonts w:asciiTheme="minorHAnsi" w:hAnsiTheme="minorHAnsi" w:cstheme="minorHAnsi"/>
        </w:rPr>
        <w:t>., GDOŚ informuje, że przedsięwzięcie zlokalizowane jest poza obszarami:</w:t>
      </w:r>
    </w:p>
    <w:p w:rsidR="0004440C" w:rsidRPr="00B456BC" w:rsidRDefault="0004440C" w:rsidP="00432C5A">
      <w:pPr>
        <w:pStyle w:val="Akapitzlist"/>
        <w:numPr>
          <w:ilvl w:val="0"/>
          <w:numId w:val="40"/>
        </w:numPr>
        <w:spacing w:after="0" w:line="240" w:lineRule="auto"/>
        <w:rPr>
          <w:rFonts w:asciiTheme="minorHAnsi" w:hAnsiTheme="minorHAnsi" w:cstheme="minorHAnsi"/>
        </w:rPr>
      </w:pPr>
      <w:r w:rsidRPr="00B456BC">
        <w:rPr>
          <w:rFonts w:asciiTheme="minorHAnsi" w:hAnsiTheme="minorHAnsi" w:cstheme="minorHAnsi"/>
        </w:rPr>
        <w:t>wodno-błotnymi, innymi obszarami o płytkim zaleganiu wód podziemnych, w tym siedliskami łęgowymi oraz ujściami rzek;</w:t>
      </w:r>
    </w:p>
    <w:p w:rsidR="0004440C" w:rsidRPr="00B456BC" w:rsidRDefault="0004440C" w:rsidP="00432C5A">
      <w:pPr>
        <w:pStyle w:val="Akapitzlist"/>
        <w:numPr>
          <w:ilvl w:val="0"/>
          <w:numId w:val="40"/>
        </w:numPr>
        <w:spacing w:after="0" w:line="240" w:lineRule="auto"/>
        <w:rPr>
          <w:rFonts w:asciiTheme="minorHAnsi" w:hAnsiTheme="minorHAnsi" w:cstheme="minorHAnsi"/>
        </w:rPr>
      </w:pPr>
      <w:r w:rsidRPr="00B456BC">
        <w:rPr>
          <w:rFonts w:asciiTheme="minorHAnsi" w:hAnsiTheme="minorHAnsi" w:cstheme="minorHAnsi"/>
        </w:rPr>
        <w:t>wybrzeży i środowiskami morskimi;</w:t>
      </w:r>
    </w:p>
    <w:p w:rsidR="0004440C" w:rsidRPr="00B456BC" w:rsidRDefault="0004440C" w:rsidP="00432C5A">
      <w:pPr>
        <w:pStyle w:val="Akapitzlist"/>
        <w:numPr>
          <w:ilvl w:val="0"/>
          <w:numId w:val="40"/>
        </w:numPr>
        <w:spacing w:after="0" w:line="240" w:lineRule="auto"/>
        <w:rPr>
          <w:rFonts w:asciiTheme="minorHAnsi" w:hAnsiTheme="minorHAnsi" w:cstheme="minorHAnsi"/>
        </w:rPr>
      </w:pPr>
      <w:r w:rsidRPr="00B456BC">
        <w:rPr>
          <w:rFonts w:asciiTheme="minorHAnsi" w:hAnsiTheme="minorHAnsi" w:cstheme="minorHAnsi"/>
        </w:rPr>
        <w:t>górskimi;</w:t>
      </w:r>
    </w:p>
    <w:p w:rsidR="0004440C" w:rsidRPr="00B456BC" w:rsidRDefault="0004440C" w:rsidP="00432C5A">
      <w:pPr>
        <w:pStyle w:val="Akapitzlist"/>
        <w:numPr>
          <w:ilvl w:val="0"/>
          <w:numId w:val="40"/>
        </w:numPr>
        <w:spacing w:after="0" w:line="240" w:lineRule="auto"/>
        <w:rPr>
          <w:rFonts w:asciiTheme="minorHAnsi" w:hAnsiTheme="minorHAnsi" w:cstheme="minorHAnsi"/>
        </w:rPr>
      </w:pPr>
      <w:r w:rsidRPr="00B456BC">
        <w:rPr>
          <w:rFonts w:asciiTheme="minorHAnsi" w:hAnsiTheme="minorHAnsi" w:cstheme="minorHAnsi"/>
        </w:rPr>
        <w:t>wymagającymi specjalnej ochrony ze względu na występowanie gatunków roślin, grzybów i zwierząt lub ich siedlisk lub siedlisk przyrodniczych objętych ochroną, w tym obszarami Natura 2000, oraz pozostałymi formami ochrony przyrody – najbliższy obszar Natura 2000, tj. ostoja „Dolina Górnej Wisły”, zlokalizowany jest w odległości ok. 5,4 km na południe od granic przedsięwzięcia;</w:t>
      </w:r>
    </w:p>
    <w:p w:rsidR="0004440C" w:rsidRPr="00B456BC" w:rsidRDefault="0004440C" w:rsidP="00432C5A">
      <w:pPr>
        <w:pStyle w:val="Akapitzlist"/>
        <w:numPr>
          <w:ilvl w:val="0"/>
          <w:numId w:val="40"/>
        </w:numPr>
        <w:spacing w:after="0" w:line="240" w:lineRule="auto"/>
        <w:rPr>
          <w:rFonts w:asciiTheme="minorHAnsi" w:hAnsiTheme="minorHAnsi" w:cstheme="minorHAnsi"/>
        </w:rPr>
      </w:pPr>
      <w:r w:rsidRPr="00B456BC">
        <w:rPr>
          <w:rFonts w:asciiTheme="minorHAnsi" w:hAnsiTheme="minorHAnsi" w:cstheme="minorHAnsi"/>
        </w:rPr>
        <w:t>o krajobrazie mającym znaczenie historyczne, kulturowe lub archeologiczne,</w:t>
      </w:r>
    </w:p>
    <w:p w:rsidR="0004440C" w:rsidRPr="00B456BC" w:rsidRDefault="0004440C" w:rsidP="00432C5A">
      <w:pPr>
        <w:pStyle w:val="Akapitzlist"/>
        <w:numPr>
          <w:ilvl w:val="0"/>
          <w:numId w:val="40"/>
        </w:numPr>
        <w:spacing w:after="0" w:line="240" w:lineRule="auto"/>
        <w:rPr>
          <w:rFonts w:asciiTheme="minorHAnsi" w:hAnsiTheme="minorHAnsi" w:cstheme="minorHAnsi"/>
        </w:rPr>
      </w:pPr>
      <w:r w:rsidRPr="00B456BC">
        <w:rPr>
          <w:rFonts w:asciiTheme="minorHAnsi" w:hAnsiTheme="minorHAnsi" w:cstheme="minorHAnsi"/>
        </w:rPr>
        <w:t>przylegającymi do jezior;</w:t>
      </w:r>
    </w:p>
    <w:p w:rsidR="0004440C" w:rsidRPr="00B456BC" w:rsidRDefault="0004440C" w:rsidP="00432C5A">
      <w:pPr>
        <w:pStyle w:val="Akapitzlist"/>
        <w:numPr>
          <w:ilvl w:val="0"/>
          <w:numId w:val="40"/>
        </w:numPr>
        <w:spacing w:after="0" w:line="240" w:lineRule="auto"/>
        <w:rPr>
          <w:rFonts w:asciiTheme="minorHAnsi" w:hAnsiTheme="minorHAnsi" w:cstheme="minorHAnsi"/>
        </w:rPr>
      </w:pPr>
      <w:r w:rsidRPr="00B456BC">
        <w:rPr>
          <w:rFonts w:asciiTheme="minorHAnsi" w:hAnsiTheme="minorHAnsi" w:cstheme="minorHAnsi"/>
        </w:rPr>
        <w:lastRenderedPageBreak/>
        <w:t>ochrony uzdrowiskowej.</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W rejonie Branica-Czarków LK 148 przecina kompleks leśny Lasów Pszczyńskich. Dodatkowo w rejonie inwestycji znajdują się liczne zbiorniki wodne, a największe z nich to jezioro Śmieszek (ok. 60 m od osi torowiska, km 20,400) oraz zbiornik wodny bez nazwy (ok. 80 m od osi torowiska, km 7,074).</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Część modernizowanej LK 148 znajduje się w obszarze, gdzie standardy jakości środowiska (pyłu zawieszonego PM2,5) zostały przekroczone, jednakże przebudowa linii kolejowej zelektryfikowanej nie będzie miała negatywnego wpływu na jakość powietrza atmosferycznego w rejonie eksploatacji inwestycji.</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Dokumentacja oraz decyzja RDOŚ w Katowicach zawierają również analizę kryteriów wymienionych w 63 ust. 1 pkt 3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jednakże, jak słusznie zauważyły strony w </w:t>
      </w:r>
      <w:proofErr w:type="spellStart"/>
      <w:r w:rsidRPr="00B456BC">
        <w:rPr>
          <w:rFonts w:asciiTheme="minorHAnsi" w:hAnsiTheme="minorHAnsi" w:cstheme="minorHAnsi"/>
        </w:rPr>
        <w:t>odwołaniach</w:t>
      </w:r>
      <w:proofErr w:type="spellEnd"/>
      <w:r w:rsidRPr="00B456BC">
        <w:rPr>
          <w:rFonts w:asciiTheme="minorHAnsi" w:hAnsiTheme="minorHAnsi" w:cstheme="minorHAnsi"/>
        </w:rPr>
        <w:t xml:space="preserve">, w kip brakuje odniesienia się do kryterium podanego w art. 63 ust. 1 pkt 3 lit. a </w:t>
      </w:r>
      <w:proofErr w:type="spellStart"/>
      <w:r w:rsidRPr="00B456BC">
        <w:rPr>
          <w:rFonts w:asciiTheme="minorHAnsi" w:hAnsiTheme="minorHAnsi" w:cstheme="minorHAnsi"/>
        </w:rPr>
        <w:t>u.o.o.ś</w:t>
      </w:r>
      <w:proofErr w:type="spellEnd"/>
      <w:r w:rsidRPr="00B456BC">
        <w:rPr>
          <w:rFonts w:asciiTheme="minorHAnsi" w:hAnsiTheme="minorHAnsi" w:cstheme="minorHAnsi"/>
        </w:rPr>
        <w:t>., czyli informacji dotyczących rodzaju, cech i skali możliwego oddziaływania wynikającego z zasięgu oddziaływania – obszaru geograficznego i liczby ludności, na którą przedsięwzięcie może oddziaływać. RDOŚ w Katowicach również nie odniósł się do ww. kryterium w decyzji, jednakże, biorąc pod uwagę rodzaj i charakter inwestycji oraz fakt, że jest to inwestycja istniejąca, a prowadzone postępowanie dotyczy tylko jej przebudowy, GDOŚ stwierdza, iż ww. uchybienie nie stanowi podstawy do uchylenia decyzji w całości.</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Organ drugiej instancji, po wnikliwej analizie dokumentacji sprawy, nie zgadza się z zarzutem, że informacje przedstawione w kip są niewystarczające do rezygnacji z oceny oddziaływania na środowisko. Zdaniem GDOŚ przedłożona kip wraz z jej uzupełnieniami w pełni pozwalają na analizę oddziaływań planowanego przedsięwzięcia we wszystkich aspektach środowiskowych. Podkreślenia wymaga fakt, iż sprawa dotyczy istniejącej linii kolejowej, a w ramach zamierzenia planuje się jedynie jej przebudowę, w celu osiągnięcie parametrów projektowych. Realizacja zamierzenia poprawi również bezpieczeństwo, komfort podróżowania oraz skrócenie czasu przejazdu na rozpatrywanym odcinku.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Obowiązek przeprowadzenia oceny oddziaływania na środowisko organ właściwy do wydania decyzji o środowiskowych uwarunkowaniach stwierdza uwzględniając kryteria wymienione w art. 63 ust. 1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Z treści decyzji RDOŚ w Katowicach z 30 czerwca 2023 r. wynika, że organ pierwszej instancji przy wydawaniu stanowiska uwzględnił ww. kryteria. GDOŚ również przeanalizował dokumentację i stwierdza, iż materiał dowodowy w sprawie jest wystarczający do odstąpienia od obowiązku przeprowadzenia oceny oddziaływania przedsięwzięcia na środowisko. Ponadto zgodnie z art. 64 ust. 1 pkt 2 i pkt 4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organ pierwszej instancji zwrócił się o opinie co do potrzeby przeprowadzenia oceny oddziaływania na środowisko do Państwowego Powiatowego Inspektora Sanitarnego w Tychach oraz Dyrektora Regionalnego Zarządu Gospodarki Wodnej Państwowego Gospodarstwa Wodnego Wody Polskie. Oba organy opiniujące, po uwzględnieniu wszystkich uwarunkowań zawartych w art. 63 ust. 1 </w:t>
      </w:r>
      <w:proofErr w:type="spellStart"/>
      <w:r w:rsidRPr="00B456BC">
        <w:rPr>
          <w:rFonts w:asciiTheme="minorHAnsi" w:hAnsiTheme="minorHAnsi" w:cstheme="minorHAnsi"/>
        </w:rPr>
        <w:t>u.o.o.ś</w:t>
      </w:r>
      <w:proofErr w:type="spellEnd"/>
      <w:r w:rsidRPr="00B456BC">
        <w:rPr>
          <w:rFonts w:asciiTheme="minorHAnsi" w:hAnsiTheme="minorHAnsi" w:cstheme="minorHAnsi"/>
        </w:rPr>
        <w:t>., wydały opinię o braku konieczności przeprowadzenia oceny oddziaływania na środowisko, argumentując to m.in. charakterem i skalą przedsięwzięcia oraz zastosowaniem przez wnioskodawcę rozwiązań technologicznych minimalizujących wpływ inwestycji na środowisko.</w:t>
      </w:r>
    </w:p>
    <w:p w:rsidR="0004440C" w:rsidRPr="00B456BC" w:rsidRDefault="0004440C" w:rsidP="00432C5A">
      <w:pPr>
        <w:pStyle w:val="Akapitzlist"/>
        <w:numPr>
          <w:ilvl w:val="0"/>
          <w:numId w:val="38"/>
        </w:numPr>
        <w:spacing w:after="0" w:line="240" w:lineRule="auto"/>
        <w:ind w:left="357" w:hanging="357"/>
        <w:rPr>
          <w:rFonts w:asciiTheme="minorHAnsi" w:hAnsiTheme="minorHAnsi" w:cstheme="minorHAnsi"/>
        </w:rPr>
      </w:pPr>
    </w:p>
    <w:p w:rsidR="0004440C" w:rsidRPr="00B456BC" w:rsidRDefault="0004440C" w:rsidP="00432C5A">
      <w:pPr>
        <w:spacing w:after="0" w:line="240" w:lineRule="auto"/>
        <w:rPr>
          <w:rStyle w:val="Uwydatnienie"/>
          <w:rFonts w:asciiTheme="minorHAnsi" w:hAnsiTheme="minorHAnsi" w:cstheme="minorHAnsi"/>
          <w:color w:val="auto"/>
          <w:sz w:val="22"/>
          <w:szCs w:val="22"/>
        </w:rPr>
      </w:pPr>
      <w:r w:rsidRPr="00B456BC">
        <w:rPr>
          <w:rFonts w:asciiTheme="minorHAnsi" w:hAnsiTheme="minorHAnsi" w:cstheme="minorHAnsi"/>
        </w:rPr>
        <w:t xml:space="preserve">W odpowiedzi na zarzut stron, że zgromadzony materiał dowodowy jest niepełny, zawiera nieprawdziwe informacje oraz niedokładne wyjaśnienie stanu faktycznego i prawnego sprawy, a w postępowaniu naruszono obowiązujące przepisy prawa, GDOŚ informuje, że szczegółowo i wnikliwe przeanalizował całą dokumentację sprawy, w tym kip i jej uzupełnienia i stwierdził, że materiał dowodowy jest kompletny, rzetelny i spójny z rzeczywistym stanem faktycznym. Zarówno organ pierwszej, jak i drugiej instancji prowadził postępowanie zgodnie z zasadami k.p.a. (z art. 7, 8 i 10 k.p.a.). W toku postępowania </w:t>
      </w:r>
      <w:proofErr w:type="spellStart"/>
      <w:r w:rsidRPr="00B456BC">
        <w:rPr>
          <w:rFonts w:asciiTheme="minorHAnsi" w:hAnsiTheme="minorHAnsi" w:cstheme="minorHAnsi"/>
        </w:rPr>
        <w:t>pierwszoinstancyjnego</w:t>
      </w:r>
      <w:proofErr w:type="spellEnd"/>
      <w:r w:rsidRPr="00B456BC">
        <w:rPr>
          <w:rFonts w:asciiTheme="minorHAnsi" w:hAnsiTheme="minorHAnsi" w:cstheme="minorHAnsi"/>
        </w:rPr>
        <w:t xml:space="preserve"> RDOŚ w Katowicach trzykrotnie wzywał wnioskodawcę do uzupełnienia dokumentacji i dopiero w oparciu o zgromadzony materiał dowodowy wydał decyzję z 30 czerwca 2023 r.  Na etapie postępowania </w:t>
      </w:r>
      <w:proofErr w:type="spellStart"/>
      <w:r w:rsidRPr="00B456BC">
        <w:rPr>
          <w:rFonts w:asciiTheme="minorHAnsi" w:hAnsiTheme="minorHAnsi" w:cstheme="minorHAnsi"/>
        </w:rPr>
        <w:t>drugoinstancyjnego</w:t>
      </w:r>
      <w:proofErr w:type="spellEnd"/>
      <w:r w:rsidRPr="00B456BC">
        <w:rPr>
          <w:rFonts w:asciiTheme="minorHAnsi" w:hAnsiTheme="minorHAnsi" w:cstheme="minorHAnsi"/>
        </w:rPr>
        <w:t xml:space="preserve"> GDOŚ ponownie przeanalizował cały materiał dowodowy i uznał, że konieczne jest wyjaśnienie zagadnień dotyczących m.in. </w:t>
      </w:r>
      <w:r w:rsidRPr="00B456BC">
        <w:rPr>
          <w:rStyle w:val="Uwydatnienie"/>
          <w:rFonts w:asciiTheme="minorHAnsi" w:hAnsiTheme="minorHAnsi" w:cstheme="minorHAnsi"/>
          <w:color w:val="auto"/>
          <w:sz w:val="22"/>
          <w:szCs w:val="22"/>
        </w:rPr>
        <w:t xml:space="preserve">zakresu inwestycji, emisji hałasu i drgań związanych z funkcjonowaniem </w:t>
      </w:r>
      <w:r w:rsidRPr="00B456BC">
        <w:rPr>
          <w:rStyle w:val="Uwydatnienie"/>
          <w:rFonts w:asciiTheme="minorHAnsi" w:hAnsiTheme="minorHAnsi" w:cstheme="minorHAnsi"/>
          <w:color w:val="auto"/>
          <w:sz w:val="22"/>
          <w:szCs w:val="22"/>
        </w:rPr>
        <w:lastRenderedPageBreak/>
        <w:t>planowanej LK 148 oraz kwestii związanych z ochroną przyrody. W rezultacie pismami z</w:t>
      </w:r>
      <w:r w:rsidRPr="00B456BC">
        <w:rPr>
          <w:rFonts w:asciiTheme="minorHAnsi" w:hAnsiTheme="minorHAnsi" w:cstheme="minorHAnsi"/>
        </w:rPr>
        <w:t xml:space="preserve"> </w:t>
      </w:r>
      <w:r w:rsidRPr="00B456BC">
        <w:rPr>
          <w:rStyle w:val="Uwydatnienie"/>
          <w:rFonts w:asciiTheme="minorHAnsi" w:hAnsiTheme="minorHAnsi" w:cstheme="minorHAnsi"/>
          <w:color w:val="auto"/>
          <w:sz w:val="22"/>
          <w:szCs w:val="22"/>
        </w:rPr>
        <w:t>23 lipca 2024 r., 27 stycznia 2025 r. i 27 maja 2025 r. wezwał wnioskodawcę do przedłożenia wyjaśnień w tym zakresie. Organ drugiej instancji szczegółowo przeanalizował odpowiedzi złożone przez wnioskodawcę i uznał, że w sposób wyczerpujący odnoszą się do poruszanych w wezwaniach kwestii, jak również, wraz z resztą dokumentacji, stanowią kompletny materiał dowodowy, pozwalający na analizę sprawy w każdym aspekcie. Brak jest zatem podstaw do uznania zarzutu strony o niepełności zgromadzonego w sprawie materiału dowodowego.</w:t>
      </w:r>
    </w:p>
    <w:p w:rsidR="0004440C" w:rsidRPr="00B456BC" w:rsidRDefault="0004440C" w:rsidP="00432C5A">
      <w:pPr>
        <w:spacing w:after="0" w:line="240" w:lineRule="auto"/>
        <w:rPr>
          <w:rStyle w:val="Uwydatnienie"/>
          <w:rFonts w:asciiTheme="minorHAnsi" w:hAnsiTheme="minorHAnsi" w:cstheme="minorHAnsi"/>
          <w:color w:val="auto"/>
          <w:sz w:val="22"/>
          <w:szCs w:val="22"/>
        </w:rPr>
      </w:pPr>
      <w:r w:rsidRPr="00B456BC">
        <w:rPr>
          <w:rStyle w:val="Uwydatnienie"/>
          <w:rFonts w:asciiTheme="minorHAnsi" w:hAnsiTheme="minorHAnsi" w:cstheme="minorHAnsi"/>
          <w:color w:val="auto"/>
          <w:sz w:val="22"/>
          <w:szCs w:val="22"/>
        </w:rPr>
        <w:t>Ponadto przed wydaniem niniejszej decyzji GDOŚ, zgodnie z dyspozycją art. 10 k.p.a., zawiadomieniem z 9 lipca 2025 r. poinformował strony postępowania o możliwości zapoznania się z aktami sprawy oraz wypowiedzenia się co do zebranych dowodów i materiałów, jednakże żadna ze stron nie wykazała zainteresowania sprawą, nie zapoznała się z dokumentacją oraz nie złożyła żadnych uwag lub wniosków.</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GDOŚ nie zgadza się z zarzutem stron o nierzetelności czy nieprawdziwości informacji zawartych w dokumentacji – zdaniem organu odwoławczego brak jest konkretnych podstaw do takiego twierdzenia. Strony w zarzucie nie podają również konkretnych argumentów, które wyjaśniałyby, na czym polega niepełność materiału dowodowego lub jakie informacje zawarte w dokumentacji są nieprawdziwe, dlatego GDOŚ nie ma możliwości precyzyjnie odpowiedzieć na ten zarzut.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odniesieniu do naruszenia obowiązujących przepisów prawa przez RDOŚ w Katowicach w prowadzonym postępowaniu, GDOŚ informuje, że wnikliwie przeanalizował dokumentację oraz przeprowadzone przez RDOŚ w Katowicach postępowanie pod kątem przepisów wskazanych w k.p.a. oraz </w:t>
      </w:r>
      <w:proofErr w:type="spellStart"/>
      <w:r w:rsidRPr="00B456BC">
        <w:rPr>
          <w:rFonts w:asciiTheme="minorHAnsi" w:hAnsiTheme="minorHAnsi" w:cstheme="minorHAnsi"/>
        </w:rPr>
        <w:t>u.o.o.ś</w:t>
      </w:r>
      <w:proofErr w:type="spellEnd"/>
      <w:r w:rsidRPr="00B456BC">
        <w:rPr>
          <w:rFonts w:asciiTheme="minorHAnsi" w:hAnsiTheme="minorHAnsi" w:cstheme="minorHAnsi"/>
        </w:rPr>
        <w:t>. i nie stwierdził uchybień, które mogłyby być podstawą do uchylenia decyzji z 30 czerwca 2023 r. GDOŚ uznał zatem, że RDOŚ w Katowicach przeprowadził postępowanie zgodnie z obowiązującymi przepisami prawnymi.</w:t>
      </w:r>
    </w:p>
    <w:p w:rsidR="0004440C" w:rsidRPr="00B456BC" w:rsidRDefault="0004440C" w:rsidP="00432C5A">
      <w:pPr>
        <w:pStyle w:val="Akapitzlist"/>
        <w:numPr>
          <w:ilvl w:val="0"/>
          <w:numId w:val="38"/>
        </w:numPr>
        <w:spacing w:after="0" w:line="240" w:lineRule="auto"/>
        <w:ind w:left="357" w:hanging="357"/>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nawiązaniu do zarzutu nieprzeanalizowania przez RDOŚ w Katowicach wszystkich możliwych oddziaływań przedmiotowej inwestycji na środowisko, GDOŚ wskazuje, iż zgodnie z informacjami podanymi w kip, skumulowane oddziaływanie dotyczyć będzie głównie emisji hałasu. W przedłożonej analizie akustycznej uwzględniono źródła hałasu, które mogą powodować kumulowanie się tejże emisji, tj. ruch pociągów na linii kolejowej nr 139 oraz ruch pojazdów lekkich i ciężkich na drogach krajowych nr 1 i 81 oraz na drodze wojewódzkiej nr 935, co zostało opisane na stronach 100-102 kip. Jak podano w kip, do określenia emisji od dróg przeprowadzono analizę ruchową z podziałem zakresu inwestycji na poszczególne odcinki. Dla analizy hałasu drogowego wyznaczono odpowiednie parametry ruchowe średniego godzinowego natężenia ruchu z podziałem na porę dzienną i nocną oraz podziałem na klasę lekką oraz klasę ciężką. Do kategorii pojazdów lekkich zaliczono samochody osobowe i dostawcze, natomiast do kategorii pojazdów ciężkich zaliczono samochody ciężarowe, samochody ciężarowe z przyczepą, autobusy i motocykle. Parametry ruchowe, które zostały podane w tabeli 31, umieszczonej na stronie 102 kip, stanowiły podstawę do obliczeń emisji hałasu skumulowanego. Wnioskodawca zatem przedstawił wpływ przedsięwzięć znajdujących się w obszarze przedmiotowej inwestycji, których oddziaływania mogą prowadzić do skumulowanej emisji, a RDOŚ w Katowicach przeanalizował przedłożoną przez wnioskodawcę analizę akustyczną w tym zakresie i nie znalazł żadnych nieprawidłowości. Na etapie postępowania odwoławczego GDOŚ ponownie przenalizował zagadnienie oddziaływania skumulowanego dotyczące planowanego przedsięwzięcia i nie stwierdził uchybień w tym zakresie. W związku z powyższym zarzut podniesiony w tym zakresie należy uznać za bezzasadny. </w:t>
      </w:r>
    </w:p>
    <w:p w:rsidR="0004440C" w:rsidRPr="00B456BC" w:rsidRDefault="0004440C" w:rsidP="00432C5A">
      <w:pPr>
        <w:pStyle w:val="Akapitzlist"/>
        <w:numPr>
          <w:ilvl w:val="0"/>
          <w:numId w:val="38"/>
        </w:numPr>
        <w:spacing w:after="0" w:line="240" w:lineRule="auto"/>
        <w:ind w:left="357" w:hanging="357"/>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Odnosząc się do zarzutu dotyczącego braku w dokumentacji sprawy oceny wpływu drgań i hałasu na środowisko, GDOŚ wskazuje, że na stronie 87 kip podano, iż w celu oceny emisji drgań powodowanych przez przejazdy pociągów na linii kolejowej objętej planowaną inwestycją przeanalizowano wyniki uzyskane w ramach odrębnego sprawozdania z badania oceny wpływu drgań przekazywanych przez podłoże na budynki oraz w celu ustalenia wielkości wpływów dynamicznych na ludzi przebywających w budynkach zgodnie z normami: PN-85/B-02170 Ocena szkodliwości drgań przekazywanych przez podłoże na budynki i PN-88/B-02171 Ocena wpływu drgań na ludzi w </w:t>
      </w:r>
      <w:r w:rsidRPr="00B456BC">
        <w:rPr>
          <w:rFonts w:asciiTheme="minorHAnsi" w:hAnsiTheme="minorHAnsi" w:cstheme="minorHAnsi"/>
        </w:rPr>
        <w:lastRenderedPageBreak/>
        <w:t>budynkach, wykonanymi przez Instytut Mechaniki Budowli – Laboratorium Badania Odkształceń i Drgań Budowli Politechniki Krakowskiej. W ramach ww. sprawozdania analizowano wpływ drgań wywołanych przez inną linię kolejową – zmodernizowaną linię kolejową nr 1, dalej LK 1, na odcinku Skierniewice-Łódź o natężeniu ruchu około 200 przejazdów na dobę na budynek jednorodzinny położony w odległości około 32 m od linii kolejowej. Biorąc pod uwagę parametry LK 1, stwierdzono, że dane te będą reprezentatywne do oceny emisji drgań dla planowanej LK 148.</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W ramach oceny dla LK 1 każdorazowo mierzono drgania w trzech kierunkach: dwóch poziomych wzajemnie względem siebie prostopadłych x i y, oraz pionowym z. Kierunki x i y były zgodne z osiami rzutu poziomego budynku, przy czym kierunek x był zgodny z kierunkiem propagacji drgań, tj. był prostopadły do osi linii kolejowej. Kierunek y był równoległy do osi linii kolejowej. Za pomocą akcelerometrów zarejestrowano 27 przebiegów czasowych drgań wywołanych przejazdami poszczególnych przejazdów pociągów. Przebiegi te były następnie poddawane analizom w celu oceny wpływu drgań na budynki oraz na ludzi przebywających w budynkach, zgodnie z polskimi normami PN-85/B-02170 oraz PN-88/B-02171. Na podstawie przedstawionych w sprawozdaniu przebiegów czasowych przyśpieszenia drgań z czujników w płaszczyźnie poziomej, usytuowanej na fundamencie budynku w poziomie terenu zgodnie z normą PN-85/B-02170 oraz oceny wpływu drgań na konstrukcję budynku za pomocą skali SWD, stwierdzono, że drgania analizowanego budynku są nieodczuwalne dla jego konstrukcji i nie będą powodować przyśpieszonego zużycia jego konstrukcji. W przypadku analizy i oceny wpływu drgań na ludzi na podstawie wyników pomiarów pionowych i poziomych drgań stropów zgodnie z normą PN-88/B-02171 również stwierdzono brak przekroczeń progu odczuwalności drgań przez ludzi.</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W związku z powyższym wnioskodawca przyjął, że skoro na LK 148 będą poruszać się składy o podobnej prędkości oraz strukturze rodzajowej pociągów pasażerskich i towarowych jak na LK 1, drgania powodowane przez przejazdy taboru kolejowego nie będą miały wpływu na konstrukcje sąsiadujących z liniami kolejowymi budynków oraz nie przekroczą progu odczuwalności drgań na ludzi przebywających w budynkach.</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Ponadto wnioskodawca wskazał, że w ramach modernizacji LK 148 zmniejszenie wpływu drgań zostanie zapewnione poprzez zastosowanie nowych szyn nieposiadających uszkodzeń (np. </w:t>
      </w:r>
      <w:proofErr w:type="spellStart"/>
      <w:r w:rsidRPr="00B456BC">
        <w:rPr>
          <w:rFonts w:asciiTheme="minorHAnsi" w:hAnsiTheme="minorHAnsi" w:cstheme="minorHAnsi"/>
        </w:rPr>
        <w:t>wybuksowań</w:t>
      </w:r>
      <w:proofErr w:type="spellEnd"/>
      <w:r w:rsidRPr="00B456BC">
        <w:rPr>
          <w:rFonts w:asciiTheme="minorHAnsi" w:hAnsiTheme="minorHAnsi" w:cstheme="minorHAnsi"/>
        </w:rPr>
        <w:t>, złuszczeń, zużycia falistego, zagnieceń, pęknięć itp.), utwardzenie podbudowy toru oraz zastosowanie mocowania sprężystego szyn.</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Obliczenia propagacji hałasu przenikającego do środowiska wykonano przy zastosowaniu programu </w:t>
      </w:r>
      <w:proofErr w:type="spellStart"/>
      <w:r w:rsidRPr="00B456BC">
        <w:rPr>
          <w:rFonts w:asciiTheme="minorHAnsi" w:hAnsiTheme="minorHAnsi" w:cstheme="minorHAnsi"/>
        </w:rPr>
        <w:t>SoundPLAN</w:t>
      </w:r>
      <w:proofErr w:type="spellEnd"/>
      <w:r w:rsidRPr="00B456BC">
        <w:rPr>
          <w:rFonts w:asciiTheme="minorHAnsi" w:hAnsiTheme="minorHAnsi" w:cstheme="minorHAnsi"/>
        </w:rPr>
        <w:t xml:space="preserve"> 8.2. Użyty model emisji oparty jest na metodyce opisanej w normie PN–ISO 9613-2:2002 Akustyka – Tłumienie dźwięku podczas propagacji w przestrzeni otwartej – Ogólna metoda obliczania.</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Do oceny oddziaływania akustycznego planowanej LK 148 wykorzystano holenderską metodykę RMR’2002, która do czasu wdrożenia przez dany kraj członkowski własnej metodyki, jest zalecana do stosowania przez dyrektywę 2002/49/WE Parlamentu Europejskiego i Rady z dnia 25 czerwca 2002 r. jako oficjalna metoda do wyznaczania hałasu generowanego przez pojazdy szynowe. Obliczenia akustyczne dla stanu projektowanego wykonano w siatce obliczeniowej o rozmiarze 10 m na wysokości 4 m nad poziomem terenu oraz w punktach kontrolnych zlokalizowanych przy najbliższej zabudowie mieszkaniowej. Ocena poziomu hałasu przeprowadzona została dla hałasu kolejowego dla fazy eksploatacji inwestycji z uwzględnieniem pory dziennej i nocnej. W obliczeniach uwzględniono obiekty ekranujące: istniejące obiekty na terenie inwestycji oraz zabudowę mieszkaniową oraz inną niż mieszkaniową w otoczeniu inwestycji. Do analizy przyjęto natężeniu ruchu na LK 148 podane w tabeli 17 (strona 67 kip). Wykonana symulacja pozwoliła uzyskać prognozowane poziomy hałasu na elewacjach budynków chronionych akustycznie zlokalizowanych w pierwszej linii zabudowy. Przeprowadzono także obliczenia hałasu w siatce punktów, których wyniki przedstawiono w formie izolinii dopuszczalnych poziomów hałasu.</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Podczas analizy przedłożonej przez wnioskodawcę dokumentacji GDOŚ stwierdził, iż informacje zawarte w kip oraz jej uzupełnieniach, w tym ww. ocena emisji drgań oraz analiza akustyczna, wymagają doprecyzowania, dlatego wezwał wnioskodawcę pismem z 23 lipca 2024 r., znak: DOOŚ-WDŚIII.420.1.2023.DL.4, do złożenia dodatkowych wyjaśnień. W ww. wezwaniu GDOŚ zwrócił się o </w:t>
      </w:r>
      <w:r w:rsidRPr="00B456BC">
        <w:rPr>
          <w:rFonts w:asciiTheme="minorHAnsi" w:hAnsiTheme="minorHAnsi" w:cstheme="minorHAnsi"/>
        </w:rPr>
        <w:lastRenderedPageBreak/>
        <w:t>wyjaśnienie, czy w związku z planowanym wykorzystywaniem na etapie realizacji przedmiotowego przedsięwzięcia urządzeń i maszyn budowlanych wymienionych na stronie 64 kip (tj. m.in.: walca wibracyjnego, spycharki, ręcznych kruszarek do betonu i młotów, maszyn do zagęszczenia), prognozuje się przekroczenie dopuszczalnych poziomów hałasu i w konsekwencji przewiduje się stosowanie tymczasowych środków minimalizujących ponadnormatywne oddziaływanie wraz z przesuwaniem się frontu robót. Ponadto GDOŚ wezwał również do wyjaśnień w zakresie emisji drgań, tj. do uzasadnienia przyjęcia odległości wynoszącej 15 m od osi toru jako zasięgu strefy wpływu drgań na budynki oraz ludzi w nich przebywających oraz wyjaśnienia, dlaczego w Aneksie nr 2 do kip odstąpiono od pierwotnego planu osadzania pali metodą wiertniczą w przypadku bliskiego sąsiedztwa zabudowy mieszkaniowej. Zgodnie z odpowiedzią wnioskodawcy, na etapie budowy przestrzegane będzie planowanie prac budowlanych i montażowych, tak aby na terenach zabudowy mieszkaniowej ich uciążliwość występowała przez jak najkrótszy okres poprzez wykorzystanie maszyn budowalnych w dobrym stanie technicznym oraz lokalizowanie baz materiałowych, zapleczy budowy, parkingów sprzętu i maszyn z dala od terenów chronionych akustycznie, dzięki czemu nie prognozuje się przekroczeń dopuszczalnych poziomów hałasu i w konsekwencji nie przewiduje się stosowania tymczasowych środków minimalizujących. W odniesieniu do emisji drgań wnioskodawca odpowiedział, że odległość 15 m, którą wskazano jako zasięg strefy wpływu drgań na budynki oraz ludzi w nich przebywających na etapie realizacji przedsięwzięcia była omyłką pisarską. Prawidłowa odległość, zgodnie z normą PN-B-02170:2016-12 dotyczącą oceny szkodliwości drgań przekazywanych przez podłoże na budynki, wynosi 20 m i jest to odległość, w której można pominąć wpływ drgań przekazywanych przez podłoże na budynek, jeśli amplituda przyspieszeń ruchu poziomego podłoża w miejscu posadowienia budynku nie przekracza 0,05 m/s</w:t>
      </w:r>
      <w:r w:rsidRPr="00B456BC">
        <w:rPr>
          <w:rFonts w:asciiTheme="minorHAnsi" w:hAnsiTheme="minorHAnsi" w:cstheme="minorHAnsi"/>
          <w:vertAlign w:val="superscript"/>
        </w:rPr>
        <w:t>2</w:t>
      </w:r>
      <w:r w:rsidRPr="00B456BC">
        <w:rPr>
          <w:rFonts w:asciiTheme="minorHAnsi" w:hAnsiTheme="minorHAnsi" w:cstheme="minorHAnsi"/>
        </w:rPr>
        <w:t xml:space="preserve">. Wnioskodawca wskazał też, iż wykonane badania geologiczno-inżynierskie wskazują, że na całym odcinku objętym projektem istnieją budynki znajdujące się w odległości do 20 m od toru, co zgodnie z zasadą ostrożności wobec normy PN-B-02170:2016-12 uzasadnia potrzebę osadzania fundamentów palowych metodą wiertniczą. Zagadnienie to dotyczy 15 słupów (w 6 lokalizacjach). Wnioskodawca wskazał również, że przyjęto technologię osadzania fundamentów palowych poprzez wbijanie w grunt,  jako metodę najszybszą do wykonania, natomiast zastosowanie metody wiertniczej będzie stosowane po wykonaniu badań geologicznych, na podstawie których zostanie określona technika osadzania fundamentów palowych do posadowienia konstrukcji wsporczych sieci trakcyjnej. GDOŚ uznał przedłożone przez wnioskodawcę wyjaśnienia za wystarczające. Natomiast w odniesieniu do wpływu drgań i hałasu na środowisko podczas użytkowania linii kolejowej, GDOŚ wezwał wnioskodawcę również w ww. piśmie z 23 lipca 2024 r. do złożenia dodatkowych wyjaśnień, w tym m.in. do przedłożenia sprawozdań wykonanych przez Instytut Mechaniki Budowli – Laboratorium Badania Odkształceń i Drgań Budowli Politechniki Krakowskiej, jako analogiczne w kontekście oceny wpływu drgań planowanej inwestycji na etapie eksploatacji na budynki oraz ludzi w nich przebywających, uzasadnienia przyjętych założeń dotyczących średniej liczby pociągów oraz średniej liczby wagonów/członów oraz doprecyzowania zakładanej prędkości poruszania się pociągów towarowych. Ponadto pismami: z 27 stycznia 2025 r. oraz z 27 maja 2025 r., GDOŚ ponownie wezwał inwestora do złożenia wyjaśnień w zakresie emisji hałasu, m.in. do wytłumaczenia zasadności posadowienia ekranów akustycznych w sposób zaproponowany w przedłożonej dokumentacji. W odpowiedzi na powyższe wnioskodawca przedłożył dodatkowe wyjaśnienia oraz wskazał działania podjęte w celu wyeliminowania przekroczeń dopuszczalnego poziomu hałasu na granicy nieruchomości chronionych akustycznie, takie jak np. wydłużenie zaprojektowanych ekranów akustycznych i absorberów </w:t>
      </w:r>
      <w:proofErr w:type="spellStart"/>
      <w:r w:rsidRPr="00B456BC">
        <w:rPr>
          <w:rFonts w:asciiTheme="minorHAnsi" w:hAnsiTheme="minorHAnsi" w:cstheme="minorHAnsi"/>
        </w:rPr>
        <w:t>przyszynowych</w:t>
      </w:r>
      <w:proofErr w:type="spellEnd"/>
      <w:r w:rsidRPr="00B456BC">
        <w:rPr>
          <w:rFonts w:asciiTheme="minorHAnsi" w:hAnsiTheme="minorHAnsi" w:cstheme="minorHAnsi"/>
        </w:rPr>
        <w:t xml:space="preserve"> oraz dodanie nowych ekranów akustycznych, co znalazło odzwierciedlenie w punkcie 10 sentencji niniejszej decyzji.</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Po przeanalizowaniu kip wraz z jej uzupełnieniami (w tym sprawozdań wykonanych przez Instytut Mechaniki Budowli) organ odwoławczy stwierdził, że analiza dotycząca drgań i emisji hałasu od planowanej inwestycji jest wystarczająca i pozwala na rzetelną ocenę wpływu ww. emisji na środowisko w otoczeniu przedmiotowego przedsięwzięcia. W konsekwencji zarzuty podniesione w tym zakresie nie zasługują na uwzględnienie.</w:t>
      </w:r>
    </w:p>
    <w:p w:rsidR="0004440C" w:rsidRPr="00B456BC" w:rsidRDefault="0004440C" w:rsidP="00432C5A">
      <w:pPr>
        <w:pStyle w:val="Akapitzlist"/>
        <w:numPr>
          <w:ilvl w:val="0"/>
          <w:numId w:val="38"/>
        </w:numPr>
        <w:spacing w:after="0" w:line="240" w:lineRule="auto"/>
        <w:ind w:left="357" w:hanging="357"/>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lastRenderedPageBreak/>
        <w:t>W nawiązaniu do zarzutu przywołanego w punkcie 6, GDOŚ częściowo podzielił zarzut stron dotyczący nierzetelnie opracowanych map propagacji hałasu, dlatego pismami z 27 stycznia 2025 r. oraz z 27 maja 2025 r. wezwał wnioskodawcę do złożenia dodatkowych wyjaśnień, dotyczących m.in. dotrzymania dopuszczalnych poziomów hałasu na całych terenach nieruchomości, na których znajduje się zabudowa podlegająca ochronie akustycznej. W odpowiedzi na ww. wezwania wnioskodawca przedłożył nową analizę akustyczną wraz z nowymi mapami propagacji hałasu, zawierającymi zmiany w ilości i rozmieszczeniu zabezpieczeń przeciwhałasowych (ekrany, absorbery), zaktualizowane izolinie dopuszczalnych poziomów hałasu oraz aktualizację klasyfikacji terenów chronionych akustycznie. Po zapoznaniu się z nowym materiałem dowodowym GDOŚ uznał, że zaktualizowane mapy przygotowane zostały w sposób prawidłowy, rzetelny i wiarygodny.</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Odwołujący zarzucają, że w procedowanym planie zagospodarowania Gminy Suszec dla sołectwa Rudziczka tereny działek nr 2012/131, 850/131, 935/130, 937/119, 939/119, 941/118 i 943/118 w obrębie Rudziczka z terenów rolnych mają zostać zmienione na tereny zabudowy mieszkaniowej jednorodzinnej, a mapy propagacji hałasu opracowane przez wnioskodawcę tego nie uwzględniają. Ponadto mapy nie uwzględniają również wszystkich budynków mieszkalnych, które istnieją w terenie i znajdują się w zasięgu oddziaływania planowanej inwestycji – np. budynek mieszkalny zlokalizowany na działce nr 1633/120 w obrębie Rudziczka przedstawiony został jako „pozostała zabudowa”.</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odpowiedzi na opisany powyżej zarzut, po analizie dokumentacji przedłożonej przez wnioskodawcę przy piśmie z </w:t>
      </w:r>
      <w:r w:rsidRPr="00B456BC">
        <w:rPr>
          <w:rStyle w:val="Uwydatnienie"/>
          <w:rFonts w:asciiTheme="minorHAnsi" w:hAnsiTheme="minorHAnsi" w:cstheme="minorHAnsi"/>
          <w:color w:val="auto"/>
          <w:sz w:val="22"/>
          <w:szCs w:val="22"/>
        </w:rPr>
        <w:t>30 czerwca 2025 r.</w:t>
      </w:r>
      <w:r w:rsidRPr="00B456BC">
        <w:rPr>
          <w:rFonts w:asciiTheme="minorHAnsi" w:hAnsiTheme="minorHAnsi" w:cstheme="minorHAnsi"/>
        </w:rPr>
        <w:t>, GDOŚ stwierdza, że:</w:t>
      </w:r>
    </w:p>
    <w:p w:rsidR="0004440C" w:rsidRPr="00B456BC" w:rsidRDefault="0004440C" w:rsidP="00432C5A">
      <w:pPr>
        <w:pStyle w:val="Akapitzlist"/>
        <w:numPr>
          <w:ilvl w:val="0"/>
          <w:numId w:val="41"/>
        </w:numPr>
        <w:spacing w:after="0" w:line="240" w:lineRule="auto"/>
        <w:rPr>
          <w:rFonts w:asciiTheme="minorHAnsi" w:hAnsiTheme="minorHAnsi" w:cstheme="minorHAnsi"/>
        </w:rPr>
      </w:pPr>
      <w:r w:rsidRPr="00B456BC">
        <w:rPr>
          <w:rFonts w:asciiTheme="minorHAnsi" w:hAnsiTheme="minorHAnsi" w:cstheme="minorHAnsi"/>
        </w:rPr>
        <w:t>budynki zlokalizowane na działkach nr 2012/131, 850/131 i 935/130 zostały na mapie propagacji hałasu oznaczone jako zabudowa chroniona akustycznie, ponadto tereny ww. działek zostały oznaczone jako tereny zabudowy mieszkaniowej jednorodzinnej. Wnioskodawca wprowadził dodatkowe zabezpieczenie terenu działek nr 2012/131, 850/131 i 935/130  poprzez dodanie ekranu akustycznego (E20), w związku z czym przekroczenie dopuszczalnego poziomu hałasu, zarówno w porze dnia i nocy, na ich terenie nie wystąpi. Parametry i lokalizacje ekranów akustycznych koniecznych do wykonania zostały wskazane w punkcie 10 sentencji niniejszej decyzji (parametry ekranu E20 zostały określone w wierszu 22 tabeli 4);</w:t>
      </w:r>
    </w:p>
    <w:p w:rsidR="0004440C" w:rsidRPr="00B456BC" w:rsidRDefault="0004440C" w:rsidP="00432C5A">
      <w:pPr>
        <w:pStyle w:val="Akapitzlist"/>
        <w:numPr>
          <w:ilvl w:val="0"/>
          <w:numId w:val="41"/>
        </w:numPr>
        <w:spacing w:after="0" w:line="240" w:lineRule="auto"/>
        <w:rPr>
          <w:rFonts w:asciiTheme="minorHAnsi" w:hAnsiTheme="minorHAnsi" w:cstheme="minorHAnsi"/>
        </w:rPr>
      </w:pPr>
      <w:r w:rsidRPr="00B456BC">
        <w:rPr>
          <w:rFonts w:asciiTheme="minorHAnsi" w:hAnsiTheme="minorHAnsi" w:cstheme="minorHAnsi"/>
        </w:rPr>
        <w:t xml:space="preserve">działki nr 937/119, 939/119, 941/118 i 943/118, zgodnie z mapą przedłożoną przez wnioskodawcę, jak również na mapie w serwisie www.geoportal.gov.pl, są terenami niezabudowanymi, wykorzystywanymi rolniczo. Zgodnie z art. 113 ust. 2 pkt 1 ustawy z dnia 27 kwietnia 2001 r. Prawo ochrony środowiska (t. j. Dz. U. z 2024 r. poz. 54 z </w:t>
      </w:r>
      <w:proofErr w:type="spellStart"/>
      <w:r w:rsidRPr="00B456BC">
        <w:rPr>
          <w:rFonts w:asciiTheme="minorHAnsi" w:hAnsiTheme="minorHAnsi" w:cstheme="minorHAnsi"/>
        </w:rPr>
        <w:t>późn</w:t>
      </w:r>
      <w:proofErr w:type="spellEnd"/>
      <w:r w:rsidRPr="00B456BC">
        <w:rPr>
          <w:rFonts w:asciiTheme="minorHAnsi" w:hAnsiTheme="minorHAnsi" w:cstheme="minorHAnsi"/>
        </w:rPr>
        <w:t xml:space="preserve">. zm.) dopuszczalne poziomy hałasu, ustalone w </w:t>
      </w:r>
      <w:proofErr w:type="spellStart"/>
      <w:r w:rsidRPr="00B456BC">
        <w:rPr>
          <w:rFonts w:asciiTheme="minorHAnsi" w:hAnsiTheme="minorHAnsi" w:cstheme="minorHAnsi"/>
        </w:rPr>
        <w:t>r.d.p.h.ś</w:t>
      </w:r>
      <w:proofErr w:type="spellEnd"/>
      <w:r w:rsidRPr="00B456BC">
        <w:rPr>
          <w:rFonts w:asciiTheme="minorHAnsi" w:hAnsiTheme="minorHAnsi" w:cstheme="minorHAnsi"/>
        </w:rPr>
        <w:t>., dotyczą terenów faktycznie zagospodarowanych. Wnioskodawca zatem nie miał obowiązku obliczania prognozowanego poziomu hałasu na ww. terenach.</w:t>
      </w:r>
    </w:p>
    <w:p w:rsidR="0004440C" w:rsidRPr="00B456BC" w:rsidRDefault="0004440C" w:rsidP="00432C5A">
      <w:pPr>
        <w:pStyle w:val="Akapitzlist"/>
        <w:spacing w:after="0" w:line="240" w:lineRule="auto"/>
        <w:ind w:left="0"/>
        <w:rPr>
          <w:rFonts w:asciiTheme="minorHAnsi" w:hAnsiTheme="minorHAnsi" w:cstheme="minorHAnsi"/>
        </w:rPr>
      </w:pPr>
      <w:r w:rsidRPr="00B456BC">
        <w:rPr>
          <w:rFonts w:asciiTheme="minorHAnsi" w:hAnsiTheme="minorHAnsi" w:cstheme="minorHAnsi"/>
        </w:rPr>
        <w:t xml:space="preserve">W odniesieniu do kwestii niezgodnego z </w:t>
      </w:r>
      <w:proofErr w:type="spellStart"/>
      <w:r w:rsidRPr="00B456BC">
        <w:rPr>
          <w:rFonts w:asciiTheme="minorHAnsi" w:hAnsiTheme="minorHAnsi" w:cstheme="minorHAnsi"/>
        </w:rPr>
        <w:t>mpzp</w:t>
      </w:r>
      <w:proofErr w:type="spellEnd"/>
      <w:r w:rsidRPr="00B456BC">
        <w:rPr>
          <w:rFonts w:asciiTheme="minorHAnsi" w:hAnsiTheme="minorHAnsi" w:cstheme="minorHAnsi"/>
        </w:rPr>
        <w:t xml:space="preserve"> oznaczenia na mapie działki nr 55/7 w obrębie Rudziczka, (zamiast przeznaczenia pod zabudowę usługową lub usługowo-mieszkaniową teren oznaczono jak rekreacyjno-wypoczynkowy) należy zwrócić uwagę, że ww. działka jest niezagospodarowana, a w związku z tym, jak wyjaśniono wcześniej, podmiot planujący realizację inwestycji nie jest zobowiązany do zabezpieczenia jej terenu przed emisją hałasu. Na marginesie warto jeszcze zwrócić uwagę na fakt, iż zgodnie z </w:t>
      </w:r>
      <w:proofErr w:type="spellStart"/>
      <w:r w:rsidRPr="00B456BC">
        <w:rPr>
          <w:rFonts w:asciiTheme="minorHAnsi" w:hAnsiTheme="minorHAnsi" w:cstheme="minorHAnsi"/>
        </w:rPr>
        <w:t>r.d.p.h.ś</w:t>
      </w:r>
      <w:proofErr w:type="spellEnd"/>
      <w:r w:rsidRPr="00B456BC">
        <w:rPr>
          <w:rFonts w:asciiTheme="minorHAnsi" w:hAnsiTheme="minorHAnsi" w:cstheme="minorHAnsi"/>
        </w:rPr>
        <w:t xml:space="preserve">. dla terenów rekreacyjno-wypoczynkowych oraz mieszkaniowo-usługowych obowiązują takie same dopuszczalne poziomy hałasu, tj. dla linii kolejowej jest to wartość 65 </w:t>
      </w:r>
      <w:proofErr w:type="spellStart"/>
      <w:r w:rsidRPr="00B456BC">
        <w:rPr>
          <w:rFonts w:asciiTheme="minorHAnsi" w:hAnsiTheme="minorHAnsi" w:cstheme="minorHAnsi"/>
        </w:rPr>
        <w:t>dB</w:t>
      </w:r>
      <w:proofErr w:type="spellEnd"/>
      <w:r w:rsidRPr="00B456BC">
        <w:rPr>
          <w:rFonts w:asciiTheme="minorHAnsi" w:hAnsiTheme="minorHAnsi" w:cstheme="minorHAnsi"/>
        </w:rPr>
        <w:t xml:space="preserve"> w porze dziennej i 56 </w:t>
      </w:r>
      <w:proofErr w:type="spellStart"/>
      <w:r w:rsidRPr="00B456BC">
        <w:rPr>
          <w:rFonts w:asciiTheme="minorHAnsi" w:hAnsiTheme="minorHAnsi" w:cstheme="minorHAnsi"/>
        </w:rPr>
        <w:t>dB</w:t>
      </w:r>
      <w:proofErr w:type="spellEnd"/>
      <w:r w:rsidRPr="00B456BC">
        <w:rPr>
          <w:rFonts w:asciiTheme="minorHAnsi" w:hAnsiTheme="minorHAnsi" w:cstheme="minorHAnsi"/>
        </w:rPr>
        <w:t xml:space="preserve"> w porze nocnej, z zastrzeżeniem, że w przypadku niewykorzystywania terenów rekreacyjno-wypoczynkowych zgodnie z ich funkcją w porze nocy nie obowiązuje na nich dopuszczalny poziom hałasu w porze nocy.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Odnosząc się natomiast do kwestii nieuwzględnienia w analizie akustycznej np. budynku mieszkalnego na działce nr 1633/120 w obrębie Rudziczka i oznaczenia go na mapie jako „pozostała zabudowa” GDOŚ zwraca uwagę, że pomimo niewłaściwego zakwalifikowania budynku na mapie teren działki został zaznaczony jako teren zabudowy mieszkaniowej jednorodzinnej, zatem oznaczenie ww. budynku jako „pozostała zabudowa”, zdaniem organu drugiej  instancji, można uznać za omyłkę, która nie wpływa na prawidłowość przeprowadzonej analizy akustycznej.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Biorąc pod uwagę powyższe informacje, zarzut opisany w puncie 6 GDOŚ uznał za bezzasadny.</w:t>
      </w:r>
    </w:p>
    <w:p w:rsidR="0004440C" w:rsidRPr="00B456BC" w:rsidRDefault="0004440C" w:rsidP="00432C5A">
      <w:pPr>
        <w:pStyle w:val="Akapitzlist"/>
        <w:numPr>
          <w:ilvl w:val="0"/>
          <w:numId w:val="38"/>
        </w:numPr>
        <w:spacing w:after="0" w:line="240" w:lineRule="auto"/>
        <w:ind w:left="357" w:hanging="357"/>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lastRenderedPageBreak/>
        <w:t xml:space="preserve">W kwestii nieprawidłowości wyznaczonych na mapach propagacji hałasu izolinii poziomu hałasu GDOŚ również podzielił ten zarzut, dlatego pismem z 27 stycznia 2025 r. oraz pismem z 27 maja 2025 r. wezwał wnioskodawcę do złożenia dodatkowych wyjaśnień w tym zakresie. Podmiot planujący podjęcie realizacji przedsięwzięcia w pismach z </w:t>
      </w:r>
      <w:r w:rsidRPr="00B456BC">
        <w:rPr>
          <w:rStyle w:val="Uwydatnienie"/>
          <w:rFonts w:asciiTheme="minorHAnsi" w:hAnsiTheme="minorHAnsi" w:cstheme="minorHAnsi"/>
          <w:color w:val="auto"/>
          <w:sz w:val="22"/>
          <w:szCs w:val="22"/>
        </w:rPr>
        <w:t>22 kwietnia 2025 r. oraz 30 czerwca 2025 r.</w:t>
      </w:r>
      <w:r w:rsidRPr="00B456BC">
        <w:rPr>
          <w:rFonts w:asciiTheme="minorHAnsi" w:hAnsiTheme="minorHAnsi" w:cstheme="minorHAnsi"/>
        </w:rPr>
        <w:t xml:space="preserve"> przedłożył zaktualizowane mapy propagacji hałasu z poprawionymi izoliniami poziomu hałasu. Po zapoznaniu się z przedłożoną dokumentacją, GDOŚ stwierdził, że izolinie poziomu hałasu na zaktualizowanych mapach zostały naniesione w sposób właściwy i zgodny ze stanem faktycznym, zatem omawiany zarzut pozostaje bezzasadny.</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Organ odwoławczy nie zgadza się ze stwierdzeniem, że odcinek linii kolejowej pomiędzy boczną ul. Szkolnej w Rudziczce (km 17,114), a ul. Targową w Żorach-Kleszczowie (km 18,600) nie posiada punktów analizy akustycznej, ponieważ na tym odcinku zostały wyznaczone punkty obliczeniowe na elewacjach budynków mieszkalnych. </w:t>
      </w:r>
    </w:p>
    <w:p w:rsidR="0004440C" w:rsidRPr="00B456BC" w:rsidRDefault="0004440C" w:rsidP="00432C5A">
      <w:pPr>
        <w:pStyle w:val="Akapitzlist"/>
        <w:numPr>
          <w:ilvl w:val="0"/>
          <w:numId w:val="38"/>
        </w:numPr>
        <w:spacing w:after="0" w:line="240" w:lineRule="auto"/>
        <w:ind w:left="357" w:hanging="357"/>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Odnosząc się do stwierdzenia strony, że zasięg emitowanego hałasu i drgań przez obecny ruch pociągów na LK 148 przekracza wyznaczoną strefę oddziaływania 100 m od granic terenu inwestycji, GDOŚ informuje, że na mapie przedłożonej przez wnioskodawcę (zatytułowanej „Mapa z zaznaczonym terenem, na którym będzie realizowane przedsięwzięcie oraz przewidywanym obszarem, na który przedsięwzięcie będzie oddziaływać”) zaznaczony został zarówno przewidywany teren, na którym będzie realizowane przedsięwzięcie, jak również obszar znajdujący się w odległości 100 m od granic terenu, na którym będzie realizowane przedsięwzięcie. Zgodnie z art. 74 ust. 1 pkt 3a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na mapie należało zaznaczyć  przewidywany teren, na którym będzie realizowane przedsięwzięcie wraz z zaznaczonym przewidywanym obszarem, o którym mowa w ust. 3a zdanie drugie oraz wyznaczoną odległością, o której mowa w ust. 3a pkt 1 </w:t>
      </w:r>
      <w:proofErr w:type="spellStart"/>
      <w:r w:rsidRPr="00B456BC">
        <w:rPr>
          <w:rFonts w:asciiTheme="minorHAnsi" w:hAnsiTheme="minorHAnsi" w:cstheme="minorHAnsi"/>
        </w:rPr>
        <w:t>u.o.o.ś</w:t>
      </w:r>
      <w:proofErr w:type="spellEnd"/>
      <w:r w:rsidRPr="00B456BC">
        <w:rPr>
          <w:rFonts w:asciiTheme="minorHAnsi" w:hAnsiTheme="minorHAnsi" w:cstheme="minorHAnsi"/>
        </w:rPr>
        <w:t>., czyli:</w:t>
      </w:r>
    </w:p>
    <w:p w:rsidR="0004440C" w:rsidRPr="00B456BC" w:rsidRDefault="0004440C" w:rsidP="00432C5A">
      <w:pPr>
        <w:pStyle w:val="Akapitzlist"/>
        <w:numPr>
          <w:ilvl w:val="0"/>
          <w:numId w:val="42"/>
        </w:numPr>
        <w:spacing w:after="0" w:line="240" w:lineRule="auto"/>
        <w:rPr>
          <w:rFonts w:asciiTheme="minorHAnsi" w:hAnsiTheme="minorHAnsi" w:cstheme="minorHAnsi"/>
        </w:rPr>
      </w:pPr>
      <w:r w:rsidRPr="00B456BC">
        <w:rPr>
          <w:rFonts w:asciiTheme="minorHAnsi" w:hAnsiTheme="minorHAnsi" w:cstheme="minorHAnsi"/>
        </w:rPr>
        <w:t>przewidywany teren, na którym będzie realizowane przedsięwzięcie, oraz obszar znajdujący się w odległości 100 m od granic tego terenu;</w:t>
      </w:r>
    </w:p>
    <w:p w:rsidR="0004440C" w:rsidRPr="00B456BC" w:rsidRDefault="0004440C" w:rsidP="00432C5A">
      <w:pPr>
        <w:pStyle w:val="Akapitzlist"/>
        <w:numPr>
          <w:ilvl w:val="0"/>
          <w:numId w:val="42"/>
        </w:numPr>
        <w:spacing w:after="0" w:line="240" w:lineRule="auto"/>
        <w:rPr>
          <w:rFonts w:asciiTheme="minorHAnsi" w:hAnsiTheme="minorHAnsi" w:cstheme="minorHAnsi"/>
        </w:rPr>
      </w:pPr>
      <w:r w:rsidRPr="00B456BC">
        <w:rPr>
          <w:rFonts w:asciiTheme="minorHAnsi" w:hAnsiTheme="minorHAnsi" w:cstheme="minorHAnsi"/>
        </w:rPr>
        <w:t>działki, na których w wyniku realizacji, eksploatacji lub użytkowania przedsięwzięcia zostałyby przekroczone standardy jakości środowiska, lub</w:t>
      </w:r>
    </w:p>
    <w:p w:rsidR="0004440C" w:rsidRPr="00B456BC" w:rsidRDefault="0004440C" w:rsidP="00432C5A">
      <w:pPr>
        <w:pStyle w:val="Akapitzlist"/>
        <w:numPr>
          <w:ilvl w:val="0"/>
          <w:numId w:val="42"/>
        </w:numPr>
        <w:spacing w:after="0" w:line="240" w:lineRule="auto"/>
        <w:rPr>
          <w:rFonts w:asciiTheme="minorHAnsi" w:hAnsiTheme="minorHAnsi" w:cstheme="minorHAnsi"/>
        </w:rPr>
      </w:pPr>
      <w:r w:rsidRPr="00B456BC">
        <w:rPr>
          <w:rFonts w:asciiTheme="minorHAnsi" w:hAnsiTheme="minorHAnsi" w:cstheme="minorHAnsi"/>
        </w:rPr>
        <w:t>działki znajdujące się w zasięgu znaczącego oddziaływania przedsięwzięcia, które może wprowadzić ograniczenia w zagospodarowaniu nieruchomości, zgodnie z jej aktualnym przeznaczeniem.</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Z uwagi na fakt, że na ww. mapie wnioskodawca zaznaczył wyłącznie dwa obszary (tj. realizacji inwestycji oraz obszar znajdujący się w odległości 100 m od granic terenu, na którym będzie realizowana inwestycja), należało uznać, że pozostałe dwa punkty, wskazane w art. 74 ust. 3a pkt 2-3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zawierają się w obszarze 100 m od granic terenu przedsięwzięcia. Tym samym zarzut podniesiony w tym zakresie GDOŚ uznał za bezzasadny.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Biorąc pod uwagę powyższe wyjaśnienia należy uznać, że krąg stron postępowania w analizowanej sprawie został wyznaczony prawidłowo, tj. zgodnie z dyspozycja art. 74 ust. 3a </w:t>
      </w:r>
      <w:proofErr w:type="spellStart"/>
      <w:r w:rsidRPr="00B456BC">
        <w:rPr>
          <w:rFonts w:asciiTheme="minorHAnsi" w:hAnsiTheme="minorHAnsi" w:cstheme="minorHAnsi"/>
        </w:rPr>
        <w:t>u.o.o.ś</w:t>
      </w:r>
      <w:proofErr w:type="spellEnd"/>
      <w:r w:rsidRPr="00B456BC">
        <w:rPr>
          <w:rFonts w:asciiTheme="minorHAnsi" w:hAnsiTheme="minorHAnsi" w:cstheme="minorHAnsi"/>
        </w:rPr>
        <w:t>., dlatego zarzut dotyczący nieprawidłowo ustalonego kręgu stron postępowania również nie zasługuje na uwzględnienie.</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Ad. 9</w:t>
      </w:r>
      <w:r w:rsidRPr="00B456BC">
        <w:rPr>
          <w:rFonts w:asciiTheme="minorHAnsi" w:hAnsiTheme="minorHAnsi" w:cstheme="minorHAnsi"/>
        </w:rPr>
        <w:tab/>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Nawiązując do zarzutu braku w aktach sprawy wiarygodnych dowodów potwierdzających prognozowane natężenie ruchu na LK 148 po realizacji inwestycji, organ odwoławczy informuje, że nie ma podstaw do stwierdzenia, iż podane w dokumentacji prognozowane natężenie ruchu pociągów jest niewiarygodne. GDOŚ zwraca uwagę, że strony w </w:t>
      </w:r>
      <w:proofErr w:type="spellStart"/>
      <w:r w:rsidRPr="00B456BC">
        <w:rPr>
          <w:rFonts w:asciiTheme="minorHAnsi" w:hAnsiTheme="minorHAnsi" w:cstheme="minorHAnsi"/>
        </w:rPr>
        <w:t>odwołaniach</w:t>
      </w:r>
      <w:proofErr w:type="spellEnd"/>
      <w:r w:rsidRPr="00B456BC">
        <w:rPr>
          <w:rFonts w:asciiTheme="minorHAnsi" w:hAnsiTheme="minorHAnsi" w:cstheme="minorHAnsi"/>
        </w:rPr>
        <w:t xml:space="preserve"> próbują podważyć analizy przedstawione w kip, w tym przyjęte do modelowania prognozy natężenia ruchu pociągów czy analizę akustyczną opracowaną przez wnioskodawcę, jednakże same nie przedłożyły żadnych konkretnych ekspertyz, które potwierdziłyby zasadność stawianych zarzutów. Organ odwoławczy wyjaśnia, że, zgodnie z art. 9 i art. 10 § 1 k.p.a. strony postępowania posiadają określone prawa, takie jak m.in. prawo do udziału w postępowaniu oraz składania uwag i wniosków. Jednocześnie strony mają także obowiązki proceduralne, w szczególności dbania o swój interes procesowy, terminowego odpowiadania na wezwania organu, uzupełniania braków formalnych pism oraz aktywnego udziału w postępowaniu. Stanowisko takie jest zgodne z wyrokiem Naczelnego Sądu Administracyjnego, dalej </w:t>
      </w:r>
      <w:r w:rsidRPr="00B456BC">
        <w:rPr>
          <w:rFonts w:asciiTheme="minorHAnsi" w:hAnsiTheme="minorHAnsi" w:cstheme="minorHAnsi"/>
        </w:rPr>
        <w:lastRenderedPageBreak/>
        <w:t xml:space="preserve">NSA, z 29 września 2017 r., sygn. akt: I OSK 2518/16, w którym wskazano, że: „Zasady ogólne, określone w k.p.a., mają wprawdzie chronić prawa strony w postępowaniu administracyjnym, lecz nie zwalniają strony z dbałości o własne interesy i nie nakładają na organ obowiązku instruowania strony o wyborze sposobu postępowania, czy też udzielania porad prawnych w każdym, możliwym aspekcie”. W związku z powyższym strony powinny świadomie i aktywnie uczestniczyć w postępowaniu, aby skutecznie korzystać z przysługujących im praw oraz wypełniać związane z tym obowiązki. Skoro strony nie przedłożyły żadnych dokumentów, np. analiz akustycznych lub </w:t>
      </w:r>
      <w:proofErr w:type="spellStart"/>
      <w:r w:rsidRPr="00B456BC">
        <w:rPr>
          <w:rFonts w:asciiTheme="minorHAnsi" w:hAnsiTheme="minorHAnsi" w:cstheme="minorHAnsi"/>
        </w:rPr>
        <w:t>kontrekspertyz</w:t>
      </w:r>
      <w:proofErr w:type="spellEnd"/>
      <w:r w:rsidRPr="00B456BC">
        <w:rPr>
          <w:rFonts w:asciiTheme="minorHAnsi" w:hAnsiTheme="minorHAnsi" w:cstheme="minorHAnsi"/>
        </w:rPr>
        <w:t>, które podważyłyby prawidłowość dokumentacji złożonej przez wnioskodawcę, to należy uznać, że nie dopełniły ciążącego na nich obowiązku aktywnego udziału w postępowaniu i współdziałania w wyjaśnieniu stanu faktycznego, wynikającego z przepisów k.p.a.</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Odnosząc się do zarzutu nieprawidłowego twierdzenia w kip, że „poprawa jakości torów kolejowych znacznie zmniejszy liczbę pociągów towarowych, co będzie miało pozytywny wpływ na klimat akustyczny”, GDOŚ wyjaśnia, że nie znalazł takiego stwierdzenia w dokumentacji sprawy. W aneksie nr 2 do kip znajduje się co prawda stwierdzenie, że: „Z danych ruchowych uzyskanych od Inwestora, tj. PKP PLK S.A. wynika, że w stanie istniejącym (rok 2021) na rozpatrywanym odcinku LK148 kursuje dziennie 9-10 pociągów pasażerskich oraz 10-13 pociągów towarowych. Z prognozy ruchu natomiast wynika, że po realizacji inwestycji będą to odpowiednio 24 pociągi pasażerskie i 6 pociągów towarowych. Na podstawie tych danych, w kontekście poprawy jakości torów kolejowych oraz mając na uwadze znaczne zmniejszenie liczby pociągów towarowych, które pozostają dominującym źródłem hałasu kolejowego stwierdza się, że realizacja inwestycji będzie miała pozytywny wpływ na klimat akustyczny”, przedstawione informacje należy jednak interpretować, że w związku z modernizacją LK 148 ruch pociągów towarowych zostanie zmniejszony, a aspekt ten w zestawieniu z poprawą jakości torów, będzie miał pozytywny wpływ na klimat akustyczny w otoczeniu projektowanej inwestycji.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Biorąc pod uwagę powyższe, zarzuty podniesione w punkcie 9 nie zasługują na uwzględnienie. </w:t>
      </w:r>
    </w:p>
    <w:p w:rsidR="0004440C" w:rsidRPr="00B456BC" w:rsidRDefault="0004440C" w:rsidP="00432C5A">
      <w:pPr>
        <w:spacing w:after="0" w:line="240" w:lineRule="auto"/>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p>
    <w:p w:rsidR="0004440C" w:rsidRPr="00B456BC" w:rsidRDefault="0004440C" w:rsidP="00432C5A">
      <w:pPr>
        <w:pStyle w:val="Akapitzlist"/>
        <w:numPr>
          <w:ilvl w:val="0"/>
          <w:numId w:val="28"/>
        </w:numPr>
        <w:spacing w:after="0" w:line="240" w:lineRule="auto"/>
        <w:ind w:left="284" w:hanging="284"/>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color w:val="000000"/>
          <w:lang w:eastAsia="pl-PL"/>
        </w:rPr>
      </w:pPr>
      <w:r w:rsidRPr="00B456BC">
        <w:rPr>
          <w:rFonts w:asciiTheme="minorHAnsi" w:hAnsiTheme="minorHAnsi" w:cstheme="minorHAnsi"/>
        </w:rPr>
        <w:t xml:space="preserve">W odpowiedzi na zarzut przytoczony w punkcie 10 (dot. nieokreślenia przez organ pierwszej instancji wymogu zaprojektowania ekranów akustycznych i/lub tłumików </w:t>
      </w:r>
      <w:proofErr w:type="spellStart"/>
      <w:r w:rsidRPr="00B456BC">
        <w:rPr>
          <w:rFonts w:asciiTheme="minorHAnsi" w:hAnsiTheme="minorHAnsi" w:cstheme="minorHAnsi"/>
        </w:rPr>
        <w:t>przyszynowych</w:t>
      </w:r>
      <w:proofErr w:type="spellEnd"/>
      <w:r w:rsidRPr="00B456BC">
        <w:rPr>
          <w:rFonts w:asciiTheme="minorHAnsi" w:hAnsiTheme="minorHAnsi" w:cstheme="minorHAnsi"/>
        </w:rPr>
        <w:t xml:space="preserve"> w związku z równoległym do tego odcinka przebiegiem torów LK 878 Suszec Rudziczka KWK „Krupiński” i możliwym występowaniem oddziaływań skumulowanych na ww. odcinku), GDOŚ wskazuje, że wezwał wnioskodawcę (pismo z 23 lipca 2024 r., znak: DOOŚ-WDŚIII.420.1.2023.DL.4) do </w:t>
      </w:r>
      <w:r w:rsidRPr="00B456BC">
        <w:rPr>
          <w:rFonts w:asciiTheme="minorHAnsi" w:hAnsiTheme="minorHAnsi" w:cstheme="minorHAnsi"/>
          <w:color w:val="000000"/>
          <w:lang w:eastAsia="pl-PL"/>
        </w:rPr>
        <w:t xml:space="preserve">wyjaśnienia, czy przewiduje się przywrócenie ruchu pociągów na LK 878, a w przypadku planów użytkowania LK 878, do uwzględnienia ruchu pociągów na tej linii w analizie akustycznej w zakresie oddziaływań skumulowanych z przebudowywaną LK 148. Zgodnie z odpowiedzią wnioskodawcy, LK 878 jest linią nieczynną w bardzo złym stanie technicznym, po której od wielu lat nie jest prowadzony ruch kolejowy. LK 878 od km 0,000 do km 0,033 pozostaje w zarządzaniu wnioskodawcy, natomiast dalej tor kolejowy jako LK26 prowadzący do nieczynnej KWK Krupiński jest własnością Spółki Restrukturyzacji Kopalń. W związku z tym pozostawienie czynnego posterunku odgałęźnego Suszec Rudziczka ma umożliwić ewentualnie w przyszłości innemu, zewnętrznemu podmiotowi włączenie się do ruchu kolejowego po LK 148 bez ingerencji w jej infrastrukturę kolejową. Inwestor nie posiada jednak informacji, czy LK 878 będzie w przyszłości wykorzystywana przez potencjalnych użytkowników, natomiast sam nie planuje wykonania jej modernizacji. W związku z tym poza zakresem sprawy jest wykonanie analizy akustycznej dla tej linii – jeżeli inny inwestor będzie planował roboty budowlane na LK 878, to jego obowiązkiem będzie uzyskanie decyzji o środowiskowych uwarunkowaniach dla tego zamierzenia, a co się z tym wiąże, również wykonanie analizy akustycznej skumulowanej emisji hałasu dla LK 878 i LK 148. </w:t>
      </w:r>
    </w:p>
    <w:p w:rsidR="0004440C" w:rsidRPr="00B456BC" w:rsidRDefault="0004440C" w:rsidP="00432C5A">
      <w:pPr>
        <w:spacing w:after="0" w:line="240" w:lineRule="auto"/>
        <w:rPr>
          <w:rFonts w:asciiTheme="minorHAnsi" w:hAnsiTheme="minorHAnsi" w:cstheme="minorHAnsi"/>
          <w:color w:val="000000"/>
          <w:lang w:eastAsia="pl-PL"/>
        </w:rPr>
      </w:pPr>
      <w:r w:rsidRPr="00B456BC">
        <w:rPr>
          <w:rFonts w:asciiTheme="minorHAnsi" w:hAnsiTheme="minorHAnsi" w:cstheme="minorHAnsi"/>
          <w:color w:val="000000"/>
          <w:lang w:eastAsia="pl-PL"/>
        </w:rPr>
        <w:t>W świetle przedstawionych wyjaśnień zarzut podniesiony w punkcie 10 należy uznać za bezzasadny.</w:t>
      </w:r>
    </w:p>
    <w:p w:rsidR="0004440C" w:rsidRPr="00B456BC" w:rsidRDefault="0004440C" w:rsidP="00432C5A">
      <w:pPr>
        <w:pStyle w:val="Akapitzlist"/>
        <w:numPr>
          <w:ilvl w:val="0"/>
          <w:numId w:val="28"/>
        </w:numPr>
        <w:spacing w:after="0" w:line="240" w:lineRule="auto"/>
        <w:ind w:left="357" w:hanging="357"/>
        <w:rPr>
          <w:rFonts w:asciiTheme="minorHAnsi" w:hAnsiTheme="minorHAnsi" w:cstheme="minorHAnsi"/>
        </w:rPr>
      </w:pPr>
      <w:r w:rsidRPr="00B456BC">
        <w:rPr>
          <w:rFonts w:asciiTheme="minorHAnsi" w:hAnsiTheme="minorHAnsi" w:cstheme="minorHAnsi"/>
        </w:rPr>
        <w:t>i 12</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Strony podnoszą, iż decyzja RDOŚ w Katowicach nie zawiera elementu składowego decyzji administracyjnej, o którym mowa w art. 107 § 1 pkt 3 k.p.a., tj. oznaczenie strony lub stron. Zgodnie z </w:t>
      </w:r>
      <w:r w:rsidRPr="00B456BC">
        <w:rPr>
          <w:rFonts w:asciiTheme="minorHAnsi" w:hAnsiTheme="minorHAnsi" w:cstheme="minorHAnsi"/>
        </w:rPr>
        <w:lastRenderedPageBreak/>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natomiast zgodnie z art. 74 ust. 3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„jeżeli liczba stron postępowania w sprawie wydania decyzji o środowiskowych uwarunkowaniach lub innego postępowania dotyczącego tej decyzji przekracza 10, do zawiadomienia stron innych niż podmiot planujący podjęcie realizacji przedsięwzięcia stosuje się przepisy art. 49 k.p.a., z tym że zawiadomienie to następuje w formie publicznego obwieszczenia w siedzibie organu właściwego w sprawie oraz przez udostępnienie pisma w Biuletynie Informacji Publicznej na stronie podmiotowej tego organu.”. W przedmiotowej sprawie liczba stron przekracza 10, zatem strony o czynnościach organu pierwszej instancji były informowane za pomocą publicznego obwieszczenia. Zgodnie z orzecznictwem </w:t>
      </w:r>
      <w:proofErr w:type="spellStart"/>
      <w:r w:rsidRPr="00B456BC">
        <w:rPr>
          <w:rFonts w:asciiTheme="minorHAnsi" w:hAnsiTheme="minorHAnsi" w:cstheme="minorHAnsi"/>
        </w:rPr>
        <w:t>sądowoadministracyjnym</w:t>
      </w:r>
      <w:proofErr w:type="spellEnd"/>
      <w:r w:rsidRPr="00B456BC">
        <w:rPr>
          <w:rFonts w:asciiTheme="minorHAnsi" w:hAnsiTheme="minorHAnsi" w:cstheme="minorHAnsi"/>
        </w:rPr>
        <w:t xml:space="preserve"> „w sytuacji, gdy prawodawca zwolnił organy administracji od obowiązku doręczania orzeczenia (...) nieracjonalne byłoby uznanie, iż równocześnie konieczne jest ustalenie precyzyjnego kręgu stron postępowania” (wyrok Wojewódzkiego Sądu Administracyjnego (WSA) w Warszawie z 26 kwietnia 2007 r., sygn. akt: IV SA/</w:t>
      </w:r>
      <w:proofErr w:type="spellStart"/>
      <w:r w:rsidRPr="00B456BC">
        <w:rPr>
          <w:rFonts w:asciiTheme="minorHAnsi" w:hAnsiTheme="minorHAnsi" w:cstheme="minorHAnsi"/>
        </w:rPr>
        <w:t>Wa</w:t>
      </w:r>
      <w:proofErr w:type="spellEnd"/>
      <w:r w:rsidRPr="00B456BC">
        <w:rPr>
          <w:rFonts w:asciiTheme="minorHAnsi" w:hAnsiTheme="minorHAnsi" w:cstheme="minorHAnsi"/>
        </w:rPr>
        <w:t xml:space="preserve"> 2319/06), a nawet „imienne ustalanie i wymienianie wszystkich stron postępowania byłoby zabiegiem zbędnym i niecelowym” (wyrok WSA w Poznaniu z 23 listopada 2011 r., sygn. akt: IV SA/Po 764/11, oraz wyrok WSA w Poznaniu z dnia 19 czerwca 2019 r., sygn. akt: IV SA/Po 302/19). W świetle powyższych wyjaśnień GDOŚ uznał zarzut podniesiony w tym zakresie za bezzasadny i nie mający wpływu na prawidłowość zakwestionowanej decyzji.</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Zarzucając uchybienia w uzasadnieniu faktycznym i prawnym decyzji RDOŚ w Katowicach, strony nie wskazały na czym polegały błędy organu pierwszej instancji, nie wskazały również konkretnych dowodów i przepisów prawa, które zostały naruszone. W toku prowadzonego postępowania odwoławczego organ drugiej instancji podjął się, w ramach dodatkowego postępowania wyjaśniającego, zgodnie z art. 136 k.p.a., wyjaśnienia okoliczności determinujących rozstrzygnięcie. W oparciu o tak uzupełniony materiał dowodowy możliwe było jednoznaczne określenie stanu faktycznego i prawnego, uprawniające organ drugiej instancji do rozstrzygnięcia sprawy co do meritum.</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sprawie właściwie, adekwatnie do uwarunkowań środowiskowych wskazanych w art. 63 ust. 1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stwierdzono brak potrzeby przeprowadzenia oceny oddziaływania na środowisko dla przedsięwzięcia. W ocenie GDOŚ, biorąc pod uwagę lokalizację i skalę inwestycji, jak też zastosowane rozwiązania mające zminimalizować ewentualne wystąpienie negatywnego oddziaływania, brak jest podstaw do uchylenie zakwestionowanej decyzji i przekazania sprawy do ponownego rozpatrzenia. Zarzut dotyczący nieprawidłowości uzasadnienia zakwestionowanej decyzji nie zasługuje na uwzględnienie. </w:t>
      </w:r>
    </w:p>
    <w:p w:rsidR="0004440C" w:rsidRPr="00B456BC" w:rsidRDefault="0004440C" w:rsidP="00432C5A">
      <w:pPr>
        <w:pStyle w:val="Akapitzlist"/>
        <w:numPr>
          <w:ilvl w:val="0"/>
          <w:numId w:val="44"/>
        </w:numPr>
        <w:spacing w:after="0" w:line="240" w:lineRule="auto"/>
        <w:ind w:left="357" w:hanging="357"/>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lang w:eastAsia="pl-PL"/>
        </w:rPr>
        <w:t xml:space="preserve">W odpowiedzi na zarzut dotyczący </w:t>
      </w:r>
      <w:r w:rsidRPr="00B456BC">
        <w:rPr>
          <w:rFonts w:asciiTheme="minorHAnsi" w:hAnsiTheme="minorHAnsi" w:cstheme="minorHAnsi"/>
        </w:rPr>
        <w:t xml:space="preserve">nieprawdziwych informacji zawartych w kip oraz powielonych w decyzji RDOŚ w Katowicach w zakresie określenia kilometrażu inwestycji, w którym LK 148 koliduje z obszarem Parku Krajobrazowego „Cysterskie Kompozycje Rud Wielkich” oraz jego otuliną, GDOŚ wyjaśnia, że </w:t>
      </w:r>
      <w:r w:rsidRPr="00B456BC">
        <w:rPr>
          <w:rFonts w:asciiTheme="minorHAnsi" w:hAnsiTheme="minorHAnsi" w:cstheme="minorHAnsi"/>
          <w:lang w:eastAsia="pl-PL"/>
        </w:rPr>
        <w:t>był on przedmiotem analizy na etapie postępowania odwoławczego, co skutkowało wezwaniem wnioskodawcy do wyjaśnień w tym zakresie (pismo GDOŚ z 23 lipca 2023 r., znak: DOOŚ-WDŚIII.420.1.2023.DL.4).</w:t>
      </w:r>
      <w:r w:rsidRPr="00B456BC">
        <w:rPr>
          <w:rFonts w:asciiTheme="minorHAnsi" w:hAnsiTheme="minorHAnsi" w:cstheme="minorHAnsi"/>
        </w:rPr>
        <w:t xml:space="preserve"> </w:t>
      </w:r>
      <w:r w:rsidRPr="00B456BC">
        <w:rPr>
          <w:rFonts w:asciiTheme="minorHAnsi" w:hAnsiTheme="minorHAnsi" w:cstheme="minorHAnsi"/>
          <w:lang w:eastAsia="pl-PL"/>
        </w:rPr>
        <w:t xml:space="preserve">W toku postępowania </w:t>
      </w:r>
      <w:proofErr w:type="spellStart"/>
      <w:r w:rsidRPr="00B456BC">
        <w:rPr>
          <w:rFonts w:asciiTheme="minorHAnsi" w:hAnsiTheme="minorHAnsi" w:cstheme="minorHAnsi"/>
          <w:lang w:eastAsia="pl-PL"/>
        </w:rPr>
        <w:t>drugoinstancyjnego</w:t>
      </w:r>
      <w:proofErr w:type="spellEnd"/>
      <w:r w:rsidRPr="00B456BC">
        <w:rPr>
          <w:rFonts w:asciiTheme="minorHAnsi" w:hAnsiTheme="minorHAnsi" w:cstheme="minorHAnsi"/>
          <w:lang w:eastAsia="pl-PL"/>
        </w:rPr>
        <w:t xml:space="preserve"> GDOŚ ustalił, że dokumentacja przedłożona przez wnioskodawcę w odpowiedzi na ww. wezwanie — stanowiąca aktualizację map zamieszczonych na rysunku nr 13 (kip, wersja 1) oraz rysunku nr 11 (kip, wersja 4), tj. „</w:t>
      </w:r>
      <w:r w:rsidRPr="00B456BC">
        <w:rPr>
          <w:rFonts w:asciiTheme="minorHAnsi" w:hAnsiTheme="minorHAnsi" w:cstheme="minorHAnsi"/>
          <w:i/>
          <w:lang w:eastAsia="pl-PL"/>
        </w:rPr>
        <w:t>lokalizacja inwestycji na tle obszarów i obiektów chronionych oraz na tle krajowej sieci korytarzy ekologicznych – mapa poglądowa</w:t>
      </w:r>
      <w:r w:rsidRPr="00B456BC">
        <w:rPr>
          <w:rFonts w:asciiTheme="minorHAnsi" w:hAnsiTheme="minorHAnsi" w:cstheme="minorHAnsi"/>
          <w:lang w:eastAsia="pl-PL"/>
        </w:rPr>
        <w:t xml:space="preserve">” pozostaje niezgodna z ustaleniami własnymi GDOŚ. Zgodnie z mapą dołączoną do pisma Oddziału Biura Zespołu Parków Krajobrazowych Województwa Śląskiego w Rudach z 9 października 2024 r., znak: OKiDK-R.406.2.2024.MN, przebieg linii kolejowej koliduje z południowo-wschodnim obszarem otuliny parku w innym kilometrażu niż podany przez wnioskodawcę w dokumentacji złożonej w odpowiedzi na wezwanie GDOŚ. Stanowisko to potwierdza opis granic parku i jego otuliny zawarty w rozporządzeniu Nr 181/93 Wojewody Katowickiego z 23 listopada </w:t>
      </w:r>
      <w:r w:rsidRPr="00B456BC">
        <w:rPr>
          <w:rFonts w:asciiTheme="minorHAnsi" w:hAnsiTheme="minorHAnsi" w:cstheme="minorHAnsi"/>
          <w:lang w:eastAsia="pl-PL"/>
        </w:rPr>
        <w:lastRenderedPageBreak/>
        <w:t xml:space="preserve">1993 r. w sprawie utworzenia Parku Krajobrazowego Cysterskie Kompozycje Krajobrazowe Rud Wielkich (Dz. Urz. Woj. Katowickiego Nr 15 poz. 130), dalej </w:t>
      </w:r>
      <w:proofErr w:type="spellStart"/>
      <w:r w:rsidRPr="00B456BC">
        <w:rPr>
          <w:rFonts w:asciiTheme="minorHAnsi" w:hAnsiTheme="minorHAnsi" w:cstheme="minorHAnsi"/>
          <w:lang w:eastAsia="pl-PL"/>
        </w:rPr>
        <w:t>r.u.p.k</w:t>
      </w:r>
      <w:proofErr w:type="spellEnd"/>
      <w:r w:rsidRPr="00B456BC">
        <w:rPr>
          <w:rFonts w:asciiTheme="minorHAnsi" w:hAnsiTheme="minorHAnsi" w:cstheme="minorHAnsi"/>
          <w:lang w:eastAsia="pl-PL"/>
        </w:rPr>
        <w:t>. Zgodnie z art. 17 ust. 2 pkt 4 ustawy z 16 kwietnia 2004 r. o ochronie przyrody (Dz. U. z 2024 r. poz. 1478, ze zm.),</w:t>
      </w:r>
      <w:r w:rsidRPr="00B456BC">
        <w:rPr>
          <w:rFonts w:asciiTheme="minorHAnsi" w:hAnsiTheme="minorHAnsi" w:cstheme="minorHAnsi"/>
        </w:rPr>
        <w:t xml:space="preserve"> zakazy ustanowione w parku krajobrazowym nie dotyczą </w:t>
      </w:r>
      <w:r w:rsidRPr="00B456BC">
        <w:rPr>
          <w:rFonts w:asciiTheme="minorHAnsi" w:hAnsiTheme="minorHAnsi" w:cstheme="minorHAnsi"/>
          <w:lang w:eastAsia="pl-PL"/>
        </w:rPr>
        <w:t xml:space="preserve"> realizacji inwestycji celu publicznego w rozumieniu art. 2 pkt 5 ustawy z dnia 27 marca 2003 r. o planowaniu i zagospodarowaniu przestrzennym (Dz. U. z 2024 r. poz. 1130, ze zm.). Taką inwestycją jest planowane przedsięwzięcie. Dodatkowo należy wskazać, że warunki korzystania ze środowiska na etapie realizacji przedsięwzięcia, określone w decyzji RDOŚ w Katowicach, uwzględniają konieczność ochrony cennych wartości przyrodniczych i stanowią wystarczające działania minimalizujące potencjalne oddziaływanie inwestycji na tę formę ochrony przyrody. Świadczy o tym między innymi warunek wskazany w punkcie II.5. sentencji decyzji RDOŚ, który został częściowo zreformowany na etapie postępowania odwoławczego (punkt 3 sentencji niniejszej decyzji). Wśród warunków określających zasady korzystania ze środowiska na etapie realizacji przedsięwzięcia, znajdują się wymogi dotyczące lokalizacji zaplecza budowy (punkt II.3. sentencji zaskarżonej decyzji, zreformowany w punkcie 1 sentencji niniejszej decyzji). Wskazano, iż zaplecze to powinno być w pierwszej kolejności usytuowane na terenach kolejowych lub innych obszarach przekształconych antropogenicznie. Jednocześnie wykluczono możliwość jego lokalizacji na terenach zadrzewionych i podmokłych, czyli również tych, na których występują pozostałości naturalnych lasów łęgowych i grądowych chronionych na obszarze Parku Krajobrazowego Cysterskie Kompozycje Krajobrazowe Rud Wielkich oraz tych, na których występują siedliska podmokłe stanowiące miejsca lęgowe ptaków, stanowiska rozrodcze płazów oraz siedliska roślinności wodno-błotnej. Mając na uwadze powyższe ustalenia, GDOŚ uznał, że zarzut podniesiony w tym punkcie nie ma wpływu na wynik sprawy.</w:t>
      </w:r>
    </w:p>
    <w:p w:rsidR="0004440C" w:rsidRPr="00B456BC" w:rsidRDefault="0004440C" w:rsidP="00432C5A">
      <w:pPr>
        <w:pStyle w:val="Akapitzlist"/>
        <w:numPr>
          <w:ilvl w:val="0"/>
          <w:numId w:val="44"/>
        </w:numPr>
        <w:spacing w:after="0" w:line="240" w:lineRule="auto"/>
        <w:ind w:left="272" w:hanging="272"/>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nawiązaniu do zarzutu braku uwzględnienia w kip informacji o pomniku przyrody, tj. drzewie rosnącym na działce nr </w:t>
      </w:r>
      <w:proofErr w:type="spellStart"/>
      <w:r w:rsidRPr="00B456BC">
        <w:rPr>
          <w:rFonts w:asciiTheme="minorHAnsi" w:hAnsiTheme="minorHAnsi" w:cstheme="minorHAnsi"/>
        </w:rPr>
        <w:t>ewid</w:t>
      </w:r>
      <w:proofErr w:type="spellEnd"/>
      <w:r w:rsidRPr="00B456BC">
        <w:rPr>
          <w:rFonts w:asciiTheme="minorHAnsi" w:hAnsiTheme="minorHAnsi" w:cstheme="minorHAnsi"/>
        </w:rPr>
        <w:t xml:space="preserve">. 247/14 w Suszcu, w bliskiej odległości od przebudowywanej linii kolejowej, GDOŚ wyjaśnia, że kwestia ta była przedmiotem analiz na etapie postępowania odwoławczego. W celu wyjaśnienia tych nieścisłości organ drugiej instancji pismem z 23 lipca 2023 r. zwrócił się do wnioskodawcy o przedstawienie stanowiska w tym zakresie. W odpowiedzi wnioskodawca wyjaśnił, że wspomniane drzewo to wiąz szypułkowy </w:t>
      </w:r>
      <w:proofErr w:type="spellStart"/>
      <w:r w:rsidRPr="00B456BC">
        <w:rPr>
          <w:rFonts w:asciiTheme="minorHAnsi" w:hAnsiTheme="minorHAnsi" w:cstheme="minorHAnsi"/>
          <w:i/>
        </w:rPr>
        <w:t>Ulmus</w:t>
      </w:r>
      <w:proofErr w:type="spellEnd"/>
      <w:r w:rsidRPr="00B456BC">
        <w:rPr>
          <w:rFonts w:asciiTheme="minorHAnsi" w:hAnsiTheme="minorHAnsi" w:cstheme="minorHAnsi"/>
          <w:i/>
        </w:rPr>
        <w:t xml:space="preserve"> </w:t>
      </w:r>
      <w:proofErr w:type="spellStart"/>
      <w:r w:rsidRPr="00B456BC">
        <w:rPr>
          <w:rFonts w:asciiTheme="minorHAnsi" w:hAnsiTheme="minorHAnsi" w:cstheme="minorHAnsi"/>
          <w:i/>
        </w:rPr>
        <w:t>leavie</w:t>
      </w:r>
      <w:proofErr w:type="spellEnd"/>
      <w:r w:rsidRPr="00B456BC">
        <w:rPr>
          <w:rFonts w:asciiTheme="minorHAnsi" w:hAnsiTheme="minorHAnsi" w:cstheme="minorHAnsi"/>
        </w:rPr>
        <w:t xml:space="preserve">, znajdujący się przy skrzyżowaniu ul. Świętego Jana oraz ul. Ogrodowej w miejscowości Suszec. Fakt ten potwierdzają informacje z map topograficznych dostępnych na stronie https://geoserwis.gdos.gov.pl/, uzyskane dla działki nr 247/14 w Suszcu. Organ odwoławczy, na podstawie analizy fotografii nr 2 pn.: „Pomnik przyrody, znajdujący się na działce o nr </w:t>
      </w:r>
      <w:proofErr w:type="spellStart"/>
      <w:r w:rsidRPr="00B456BC">
        <w:rPr>
          <w:rFonts w:asciiTheme="minorHAnsi" w:hAnsiTheme="minorHAnsi" w:cstheme="minorHAnsi"/>
        </w:rPr>
        <w:t>ewid</w:t>
      </w:r>
      <w:proofErr w:type="spellEnd"/>
      <w:r w:rsidRPr="00B456BC">
        <w:rPr>
          <w:rFonts w:asciiTheme="minorHAnsi" w:hAnsiTheme="minorHAnsi" w:cstheme="minorHAnsi"/>
        </w:rPr>
        <w:t xml:space="preserve">. 247/14 w gminie Suszec – widok w kierunku północnym” (str. 8 wyjaśnienia do wezwania DOOŚ-WDŚIII.420.1.2023.DL.4 (załącznik nr 1 do pisma z 30 września 2024 r., znak: IRRK4/6/1.2233.64.2024.IRE-03169-I.4)) stwierdza brak przesłanek wskazujących na możliwość negatywnego oddziaływania planowanej inwestycji na tę formę ochrony przyrody. Wynika to z usytuowania pnia drzewa oraz jego korony w bezpiecznej odległości od krawędzi jezdni. Uszkodzenie gałęzi drzewa jest niemożliwe ze względu na ich uformowanie wymuszone przebiegającą nad drogą gminną napowietrzną linią energetyczną. Jak wynika z dokumentacji sprawy, charakter prac planowanych w sąsiedztwie wskazanego pomnika przyrody ogranicza się wyłącznie do wykorzystania sąsiadującej drogi jako dojazdu do terenu inwestycji. Należy podkreślić, że prace bezpośrednio związane z realizacją inwestycji będą prowadzone w odległości około 200 m od omawianego pomnika przyrody. Na uwagę zasługuje fakt, że droga ta charakteryzuje się wysokim natężeniem ruchu, ponieważ stanowi jeden z głównych łączników komunikacyjnych terenów północnej i południowej części gminy Suszec. Z wymienionych względów nie przewiduje się, aby planowane działania stwarzały dodatkowe zagrożenie dla analizowanego pomnika przyrody. Niemniej jednak, na etapie postępowania odwoławczego, GDOŚ zdecydował o modyfikacji warunku zawartego w punkcie II.4. sentencji decyzji RDOŚ w Katowicach (pkt 2 sentencji niniejszej decyzji) w celu podniesienia poziomu ochrony pomnika przyrody poprzez wprowadzenie obowiązku oznaczenia chronionego drzewa taśmą ostrzegawczą na czas realizacji inwestycji. W związku z powyższym zarzut podniesiony w tym punkcie należy uznać za bezzasadny. </w:t>
      </w:r>
    </w:p>
    <w:p w:rsidR="0004440C" w:rsidRPr="00B456BC" w:rsidRDefault="0004440C" w:rsidP="00432C5A">
      <w:pPr>
        <w:pStyle w:val="Akapitzlist"/>
        <w:numPr>
          <w:ilvl w:val="0"/>
          <w:numId w:val="44"/>
        </w:numPr>
        <w:spacing w:after="0" w:line="240" w:lineRule="auto"/>
        <w:ind w:left="334" w:hanging="357"/>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lastRenderedPageBreak/>
        <w:t>Odnosząc się do zarzutu, że w postępowaniu w sprawie wydania decyzji z 30 czerwca 2023 r. RDOŚ w Katowicach naruszył przepisy art. 6, 7, 7b, 8 oraz 9 k.p.a., GDOŚ przedstawia następujące wyjaśnienia.</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Przepis art. 6 k.p.a. określa zasadę praworządności (tj. zgodności z normami prawa obowiązującego) stosowania prawa przez organy administracji publicznej. Zgodnie z art. 107 § 1 k.p.a. decyzja administracyjna wydana przez organ administracji publicznej powinna mieć podstawę prawną (podstawa normatywna i podstawa proceduralna). Organ stosujący prawo musi zatem ustalić obowiązywanie przepisów, na które się powołuje, uzasadniając swą decyzję (A. Wróbel [w:] M. Jaśkowska, M. </w:t>
      </w:r>
      <w:proofErr w:type="spellStart"/>
      <w:r w:rsidRPr="00B456BC">
        <w:rPr>
          <w:rFonts w:asciiTheme="minorHAnsi" w:hAnsiTheme="minorHAnsi" w:cstheme="minorHAnsi"/>
        </w:rPr>
        <w:t>Wilbrandt-Gotowicz</w:t>
      </w:r>
      <w:proofErr w:type="spellEnd"/>
      <w:r w:rsidRPr="00B456BC">
        <w:rPr>
          <w:rFonts w:asciiTheme="minorHAnsi" w:hAnsiTheme="minorHAnsi" w:cstheme="minorHAnsi"/>
        </w:rPr>
        <w:t>, A. Wróbel, Komentarz aktualizowany do Kodeksu postępowania administracyjnego, LEX/el. 2025, art. 6). Postępowanie prowadzone przez RDOŚ w Katowicach nie naruszało w żaden sposób przepisów prawa, a wszystkie czynności wykonywane przez organ pierwszej instancji, takie jak m.in. zawiadomienie stron o wszczęciu postępowania lub o zebraniu materiału dowodowego, były przeprowadzone zgodne z obowiązującymi normami prawnymi. Postępowanie było prowadzone przez RDOŚ w Katowicach w należytej kolejności i zgodnie z przewidzianymi w k.p.a. terminami. Decyzja z 30 czerwca 2023 r. zawiera prawidłową podstawę prawną, a wszystkie wskazane w jej treści przepisy prawne zostały przywołane i zastosowane w sposób właściwy.</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Stosownie do treści art. 7 k.p.a. organy administracji publicznej w toku postępowania podejmują wszelkie czynności niezbędne do dokładnego wyjaśnienia stanu faktycznego oraz do załatwienia sprawy. Oznacza to, że trafność rozstrzygnięcia w każdej indywidualnej sprawie wymaga szczegółowego zbadania i rozważenia argumentów, które stanowiłyby podstawę do podjęcia konkretnego rozstrzygnięcia. Wydając decyzję organy są zobowiązane do przestrzegania przepisów procedury administracyjnej, w tym do dokładnego wyjaśnienia stanu faktycznego sprawy, tj. wyczerpującego zebrania i rozpatrzenia całego materiału dowodowego zgodnie z przepisem art. 77 § 1 k.p.a. oraz do uzasadnienia decyzji z zastosowaniem wymogów określonych w przepisie art. 107 § 3 k.p.a. Zgodnie z orzecznictwem sądowo-administracyjnym naruszenie art. 7 i 77 § 1 k.p.a. następuje wówczas, gdy organ nie podejmie działań w celu wyczerpującego zebrania materiału dowodowego, istotnego dla wyjaśnienia okoliczności faktycznych sprawy i wyda rozstrzygniecie pomimo niekompletnego materiału dowodowego. W analizowanej sprawie, zarówno organ pierwszej, jak i drugiej instancji, przeprowadził dodatkowe postępowania wyjaśniające. W toku postępowania </w:t>
      </w:r>
      <w:proofErr w:type="spellStart"/>
      <w:r w:rsidRPr="00B456BC">
        <w:rPr>
          <w:rFonts w:asciiTheme="minorHAnsi" w:hAnsiTheme="minorHAnsi" w:cstheme="minorHAnsi"/>
        </w:rPr>
        <w:t>pierwszoinstancyjnego</w:t>
      </w:r>
      <w:proofErr w:type="spellEnd"/>
      <w:r w:rsidRPr="00B456BC">
        <w:rPr>
          <w:rFonts w:asciiTheme="minorHAnsi" w:hAnsiTheme="minorHAnsi" w:cstheme="minorHAnsi"/>
        </w:rPr>
        <w:t xml:space="preserve"> RDOŚ w Katowicach trzykrotnie wzywał wnioskodawcę do złożenia wyjaśnień oraz uzupełnienia kip. Jak już wcześniej wskazano, w toku niniejszego postępowania organ drugiej instancji również trzykrotnie wzywał wnioskodawcę do uzupełnienia dokumentacji. Tym samym nie sposób zgodzić się z zarzutem naruszenia art. 7 k.p.a.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W ocenie GDOŚ w postępowaniu </w:t>
      </w:r>
      <w:proofErr w:type="spellStart"/>
      <w:r w:rsidRPr="00B456BC">
        <w:rPr>
          <w:rFonts w:asciiTheme="minorHAnsi" w:hAnsiTheme="minorHAnsi" w:cstheme="minorHAnsi"/>
        </w:rPr>
        <w:t>pierwszoinstancyjnym</w:t>
      </w:r>
      <w:proofErr w:type="spellEnd"/>
      <w:r w:rsidRPr="00B456BC">
        <w:rPr>
          <w:rFonts w:asciiTheme="minorHAnsi" w:hAnsiTheme="minorHAnsi" w:cstheme="minorHAnsi"/>
        </w:rPr>
        <w:t xml:space="preserve"> nie doszło także do naruszenia art. 7b k.p.a., w myśl którego w toku postępowania organy administracji publicznej współdziałają ze sobą w zakresie niezbędnym do dokładnego wyjaśnienia stanu faktycznego i prawnego sprawy, mając na względzie interes społeczny i słuszny interes obywateli oraz sprawność postępowania, przy pomocy środków adekwatnych do charakteru, okoliczności i stopnia złożoności sprawy. Omawiana zasada ogólna znajduje zastosowanie w sytuacjach, gdy w celu wyjaśnienia stanu faktycznego i prawnego sprawy organ powinien podjąć współpracę z innymi organami administracji publicznej, co do których istnieje przypuszczenie, że dysponują danymi lub informacjami, które mogą przyczynić się do wyjaśnienia stanu faktycznego lub prawnego sprawy. W przedmiotowej sprawie taka sytuacja nie zaistniała, dlatego też nie można uznać, iż RDOŚ w Katowicach naruszył art. 7b k.p.a.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Ponadto organ pierwszej instancji, zgodnie z art. 64 ust. 1 pkt 2 i pkt 4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zwrócił się o opinie co do potrzeby przeprowadzenia oceny oddziaływania na środowisko do właściwego organu, o którym mowa w art. 78 </w:t>
      </w:r>
      <w:proofErr w:type="spellStart"/>
      <w:r w:rsidRPr="00B456BC">
        <w:rPr>
          <w:rFonts w:asciiTheme="minorHAnsi" w:hAnsiTheme="minorHAnsi" w:cstheme="minorHAnsi"/>
        </w:rPr>
        <w:t>u.o.o.ś</w:t>
      </w:r>
      <w:proofErr w:type="spellEnd"/>
      <w:r w:rsidRPr="00B456BC">
        <w:rPr>
          <w:rFonts w:asciiTheme="minorHAnsi" w:hAnsiTheme="minorHAnsi" w:cstheme="minorHAnsi"/>
        </w:rPr>
        <w:t>., tj. Państwowego Powiatowego Inspektora Sanitarnego w Tychach oraz organu właściwego do wydania oceny wodnoprawnej, tj. Dyrektora Regionalnego Zarządu Gospodarki Wodnej Państwowego Gospodarstwa Wodnego Wody Polskie.</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Odnosząc się do kwestii naruszenia art. 8 k.p.a., należy stwierdzić, że kwestia ta również nie zasługuje na uwzględnienie. NSA w wyroku z 7 grudnia 1984 r,. sygn.. akt: III SA 729/84, podkreśla, że w celu realizacji tej zasady konieczne jest „przede wszystkim ścisłe przestrzeganie prawa, zwłaszcza w zakresie dokładnego wyjaśnienia okoliczności sprawy, konkretnego ustosunkowania się do żądań i </w:t>
      </w:r>
      <w:r w:rsidRPr="00B456BC">
        <w:rPr>
          <w:rFonts w:asciiTheme="minorHAnsi" w:hAnsiTheme="minorHAnsi" w:cstheme="minorHAnsi"/>
        </w:rPr>
        <w:lastRenderedPageBreak/>
        <w:t xml:space="preserve">twierdzeń stron oraz uwzględniania w decyzji zarówno interesu społecznego, jak i słusznego interesu obywateli, przy założeniu, że wszyscy obywatele są równi wobec prawa”. Zasadom tym nie odpowiada takie prowadzenie postępowania administracyjnego, w którym występują sprzeczne interesy stron, gdy organy prowadzące postępowanie, bez wszechstronnego wyjaśnienia okoliczności sprawy, uwzględniają tylko jeden z wchodzących w grę interesów, nie ustosunkowując się do zgłaszanych w toku postępowania twierdzeń i wniosków stron reprezentujących inne interesy (A. Wróbel [w:] M. Jaśkowska, M. </w:t>
      </w:r>
      <w:proofErr w:type="spellStart"/>
      <w:r w:rsidRPr="00B456BC">
        <w:rPr>
          <w:rFonts w:asciiTheme="minorHAnsi" w:hAnsiTheme="minorHAnsi" w:cstheme="minorHAnsi"/>
        </w:rPr>
        <w:t>Wilbrandt-Gotowicz</w:t>
      </w:r>
      <w:proofErr w:type="spellEnd"/>
      <w:r w:rsidRPr="00B456BC">
        <w:rPr>
          <w:rFonts w:asciiTheme="minorHAnsi" w:hAnsiTheme="minorHAnsi" w:cstheme="minorHAnsi"/>
        </w:rPr>
        <w:t xml:space="preserve">, A. Wróbel, Komentarz aktualizowany do Kodeksu postępowania administracyjnego, LEX/el. 2025, art. 8). RDOŚ w Katowicach przeanalizował cały zgromadzony w sprawie materiał dowodowy, jednakże na etapie postępowania </w:t>
      </w:r>
      <w:proofErr w:type="spellStart"/>
      <w:r w:rsidRPr="00B456BC">
        <w:rPr>
          <w:rFonts w:asciiTheme="minorHAnsi" w:hAnsiTheme="minorHAnsi" w:cstheme="minorHAnsi"/>
        </w:rPr>
        <w:t>pierwszoinstancyjnego</w:t>
      </w:r>
      <w:proofErr w:type="spellEnd"/>
      <w:r w:rsidRPr="00B456BC">
        <w:rPr>
          <w:rFonts w:asciiTheme="minorHAnsi" w:hAnsiTheme="minorHAnsi" w:cstheme="minorHAnsi"/>
        </w:rPr>
        <w:t xml:space="preserve"> nie zostały złożone żadne uwagi ani wnioski, zatem nie miał możliwości ustosunkowania się do żądań i twierdzeń stron. Nie można zatem w opisanej sytuacji mówić o naruszeniu art. 8 k.p.a., skoro na tamtym etapie prowadzonego postępowania strony nie zgłaszały uwag, które wskazywałyby na występowanie sprzecznych interesów.</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Ustosunkowując się do zarzutu naruszenia przez RDOŚ w Katowicach art. 9 k.p.a., GDOŚ zwraca uwagę, że organ pierwszej instancji prowadził postępowanie w sposób przejrzysty, z należytą starannością oraz w poszanowaniu praw i interesów stron postępowania, zapewniając im możliwość czynnego udziału w sprawie, o czym poinformował w obwieszczeniu z 6 września 2021 r., znak: WOOŚ.420.23.2021.AS3.1, wskazując, iż: „Strony mają prawo do czynnego udziału w każdym stadium postępowania administracyjnego, w tym prawo do przeglądania akt sprawy, sporządzania z nich notatek i odpisów oraz zgłaszania ewentualnych uwag i wniosków.”. Tym samym RDOŚ w Katowicach prawidłowo wypełnił dyspozycje art. 9 k.p.a.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Biorąc powyższe pod uwagę, zarzut dotyczący naruszenia przez RDOŚ w Katowicach art. 6, 7, 7b, 8 oraz 9 k.p.a. należy uznać za bezpodstawny.</w:t>
      </w:r>
    </w:p>
    <w:p w:rsidR="0004440C" w:rsidRPr="00B456BC" w:rsidRDefault="0004440C" w:rsidP="00432C5A">
      <w:pPr>
        <w:pStyle w:val="Akapitzlist"/>
        <w:numPr>
          <w:ilvl w:val="0"/>
          <w:numId w:val="44"/>
        </w:numPr>
        <w:spacing w:after="0" w:line="240" w:lineRule="auto"/>
        <w:ind w:left="334" w:hanging="357"/>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Po weryfikacji dokumentacji GDOŚ zgadza się z zarzutem strony, iż obwieszczenie RDOŚ w Katowicach z 3 lipca 2023 r. o wydaniu decyzji o środowiskowych uwarunkowaniach oraz załącznik do decyzji zawierają błędny numer decyzji, ponieważ w ww. pismach podany został znak sprawy „WOOŚ.420.23.2021.AS3.14”, a decyzji został nadany znak „WOOŚ.420.23.2023.AS3.14”. Organ drugiego instancji zwraca jednak uwagę, iż prawidłowy znak prowadzonego postępowania, nadany wraz z pierwszym pismem, to „WOOŚ.420.23.2021.AS3”, zatem decyzja powinna zostać wydana pod znakiem „WOOŚ.420.23.2021.AS3.14” zamiast pod znakiem „WOOŚ.420.23.2023.AS3.14”. Z uwagi na fakt, iż pozostałe informacje dotyczące decyzji podane w obwieszczeniu o wydaniu decyzji o środowiskowych uwarunkowaniach oraz w załączniku do decyzji, takie jak data jej wydania oraz nazwa czy zakres przedsięwzięcia, są zgodne z wydaną decyzją, błędne wpisanie znaku sprawy GDOŚ uznaje za omyłkę pisarską nie mającą wpływu na prawidłowość wydanego w sprawie orzeczenia.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Odnosząc się do kwestii braku w aktach sprawy obwieszczenia z 20 lutego 2023 r., znak: WOOŚ.420.7.2023.AS3.2, na które RDOŚ w Katowicach powołał się w uzasadnieniu zakwestionowanej decyzji, GDOŚ przyznaje rację skarżącym, że takiego dokumentu nie ma w aktach sprawy. Jak wynika z analizy dokumentacji zawiadomienie, którym organ pierwszej instancji poinformował strony postępowania m.in. o wszczęciu postępowania, jest datowane na 6 września 2021 r. i nosi znak: WOOŚ.420.23.2021.AS3.1. W świetle zaistniałej sytuacji należy zatem uznać, że RDOŚ w Katowicach popełnił w tym zakresie omyłkę pisarską, jednak jej wystąpienie nie miało wpływu na wynik sprawy.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W ocenie GDOŚ błędy pisarskie, jakie znalazły się w uzasadnieniu decyzji z 30 czerwca 2023 r., nie skutkowały ograniczeniem praw skarżących, czego dowodem są prawidłowo wniesione odwołania od ww. rozstrzygnięcia.</w:t>
      </w:r>
    </w:p>
    <w:p w:rsidR="0004440C" w:rsidRPr="00B456BC" w:rsidRDefault="0004440C" w:rsidP="00432C5A">
      <w:pPr>
        <w:spacing w:after="0" w:line="240" w:lineRule="auto"/>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p>
    <w:p w:rsidR="0004440C" w:rsidRPr="00B456BC" w:rsidRDefault="0004440C" w:rsidP="00432C5A">
      <w:pPr>
        <w:pStyle w:val="Akapitzlist"/>
        <w:numPr>
          <w:ilvl w:val="0"/>
          <w:numId w:val="44"/>
        </w:numPr>
        <w:spacing w:after="0" w:line="240" w:lineRule="auto"/>
        <w:ind w:left="334" w:hanging="334"/>
        <w:rPr>
          <w:rFonts w:asciiTheme="minorHAnsi" w:hAnsiTheme="minorHAnsi" w:cstheme="minorHAnsi"/>
        </w:rPr>
      </w:pP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Jak wskazano w odpowiedzi na zarzuty nr 3 i 15, GDOŚ nie stwierdził uchybień w aspekcie zastosowania przestrzegania przez RDOŚ w Katowicach przepisów obowiązującego prawa w toku postępowania w sprawie wydania decyzji o środowiskowych uwarunkowaniach dla przedmiotowej </w:t>
      </w:r>
      <w:r w:rsidRPr="00B456BC">
        <w:rPr>
          <w:rFonts w:asciiTheme="minorHAnsi" w:hAnsiTheme="minorHAnsi" w:cstheme="minorHAnsi"/>
        </w:rPr>
        <w:lastRenderedPageBreak/>
        <w:t xml:space="preserve">inwestycji. Po analizie przebiegu postępowania zakończonego wydaniem przez RDOŚ w Katowicach decyzji z 30 czerwca 2023 r., GDOŚ stwierdza, że oddziaływania inwestycji na środowisko zostało ocenione zgodnie z przepisami </w:t>
      </w:r>
      <w:proofErr w:type="spellStart"/>
      <w:r w:rsidRPr="00B456BC">
        <w:rPr>
          <w:rFonts w:asciiTheme="minorHAnsi" w:hAnsiTheme="minorHAnsi" w:cstheme="minorHAnsi"/>
        </w:rPr>
        <w:t>u.o.o.ś</w:t>
      </w:r>
      <w:proofErr w:type="spellEnd"/>
      <w:r w:rsidRPr="00B456BC">
        <w:rPr>
          <w:rFonts w:asciiTheme="minorHAnsi" w:hAnsiTheme="minorHAnsi" w:cstheme="minorHAnsi"/>
        </w:rPr>
        <w:t xml:space="preserve">., co zostało szczegółowo opisane w odpowiedzi na zarzut nr 2 i 11. W zakresie ochrony terenów, które mogą podlegać negatywnym oddziaływaniom w związku z realizacją lub eksploatacją inwestycji RDOŚ w Katowicach nałożył na wnioskodawcę istotne warunki korzystania ze środowiska, jak np. konieczność zamontowania ekranów akustycznych. Aspekt w zakresie oddziaływania akustycznego został wnikliwie przeanalizowany również przez GDOŚ na etapie postępowania </w:t>
      </w:r>
      <w:proofErr w:type="spellStart"/>
      <w:r w:rsidRPr="00B456BC">
        <w:rPr>
          <w:rFonts w:asciiTheme="minorHAnsi" w:hAnsiTheme="minorHAnsi" w:cstheme="minorHAnsi"/>
        </w:rPr>
        <w:t>drugoinstancyjnego</w:t>
      </w:r>
      <w:proofErr w:type="spellEnd"/>
      <w:r w:rsidRPr="00B456BC">
        <w:rPr>
          <w:rFonts w:asciiTheme="minorHAnsi" w:hAnsiTheme="minorHAnsi" w:cstheme="minorHAnsi"/>
        </w:rPr>
        <w:t xml:space="preserve"> – GDOŚ trzykrotnie wzywał wnioskodawcę do uzupełnienia dokumentacji w tym zakresie. Wyniki ustaleń pozyskanych od wnioskodawcy w odpowiedzi na wezwania znalazły odzwierciedlenie w punkcie 10 sentencji niniejszej decyzji, gdzie został na wnioskodawcę nałożony obowiązek montażu ekranów akustycznych oraz </w:t>
      </w:r>
      <w:r w:rsidRPr="00B456BC">
        <w:rPr>
          <w:rFonts w:asciiTheme="minorHAnsi" w:hAnsiTheme="minorHAnsi" w:cstheme="minorHAnsi"/>
          <w:bCs/>
          <w:color w:val="000000"/>
          <w:lang w:eastAsia="pl-PL"/>
        </w:rPr>
        <w:t xml:space="preserve">absorberów </w:t>
      </w:r>
      <w:proofErr w:type="spellStart"/>
      <w:r w:rsidRPr="00B456BC">
        <w:rPr>
          <w:rFonts w:asciiTheme="minorHAnsi" w:hAnsiTheme="minorHAnsi" w:cstheme="minorHAnsi"/>
          <w:bCs/>
          <w:color w:val="000000"/>
          <w:lang w:eastAsia="pl-PL"/>
        </w:rPr>
        <w:t>przyszynowych</w:t>
      </w:r>
      <w:proofErr w:type="spellEnd"/>
      <w:r w:rsidRPr="00B456BC">
        <w:rPr>
          <w:rFonts w:asciiTheme="minorHAnsi" w:hAnsiTheme="minorHAnsi" w:cstheme="minorHAnsi"/>
          <w:bCs/>
          <w:color w:val="000000"/>
          <w:lang w:eastAsia="pl-PL"/>
        </w:rPr>
        <w:t>/płyt przejazdowych, zgodnie z tabelą 4 i 5.</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 xml:space="preserve">Odnosząc się do oczekiwań stron w zakresie budowy ekranów akustycznych i/lub tłumików </w:t>
      </w:r>
      <w:proofErr w:type="spellStart"/>
      <w:r w:rsidRPr="00B456BC">
        <w:rPr>
          <w:rFonts w:asciiTheme="minorHAnsi" w:hAnsiTheme="minorHAnsi" w:cstheme="minorHAnsi"/>
        </w:rPr>
        <w:t>przyszynowych</w:t>
      </w:r>
      <w:proofErr w:type="spellEnd"/>
      <w:r w:rsidRPr="00B456BC">
        <w:rPr>
          <w:rFonts w:asciiTheme="minorHAnsi" w:hAnsiTheme="minorHAnsi" w:cstheme="minorHAnsi"/>
        </w:rPr>
        <w:t xml:space="preserve"> oraz zastosowanie innych rozwiązań, które zabezpieczą ich nieruchomości od drgań i hałasu, GDOŚ informuje, że zgodnie z punktem 10 niniejszej decyzji, reformującym punkt III.5. sentencji decyzji RDOŚ w Katowicach, wnioskodawca zamontuje ekrany akustyczne (zgodnie z tabelą 4) oraz absorbery </w:t>
      </w:r>
      <w:proofErr w:type="spellStart"/>
      <w:r w:rsidRPr="00B456BC">
        <w:rPr>
          <w:rFonts w:asciiTheme="minorHAnsi" w:hAnsiTheme="minorHAnsi" w:cstheme="minorHAnsi"/>
        </w:rPr>
        <w:t>przyszynowe</w:t>
      </w:r>
      <w:proofErr w:type="spellEnd"/>
      <w:r w:rsidRPr="00B456BC">
        <w:rPr>
          <w:rFonts w:asciiTheme="minorHAnsi" w:hAnsiTheme="minorHAnsi" w:cstheme="minorHAnsi"/>
        </w:rPr>
        <w:t xml:space="preserve">/płyty przejazdowe (zgodnie z tabelą 5). Ww. rozwiązania minimalizujące zabezpieczą nieruchomości skarżących oraz pozostałe tereny chronione akustycznie przed ponadnormatywną emisją hałasu, co wynika z analizy akustycznej dołączonej do pisma z </w:t>
      </w:r>
      <w:r w:rsidRPr="00B456BC">
        <w:rPr>
          <w:rStyle w:val="Uwydatnienie"/>
          <w:rFonts w:asciiTheme="minorHAnsi" w:hAnsiTheme="minorHAnsi" w:cstheme="minorHAnsi"/>
          <w:color w:val="auto"/>
          <w:sz w:val="22"/>
          <w:szCs w:val="22"/>
        </w:rPr>
        <w:t>30 czerwca 2025 r.</w:t>
      </w:r>
      <w:r w:rsidRPr="00B456BC">
        <w:rPr>
          <w:rFonts w:asciiTheme="minorHAnsi" w:hAnsiTheme="minorHAnsi" w:cstheme="minorHAnsi"/>
        </w:rPr>
        <w:t xml:space="preserve">  </w:t>
      </w:r>
    </w:p>
    <w:p w:rsidR="0004440C" w:rsidRPr="00B456BC" w:rsidRDefault="0004440C" w:rsidP="00432C5A">
      <w:pPr>
        <w:spacing w:after="0" w:line="240" w:lineRule="auto"/>
        <w:rPr>
          <w:rFonts w:asciiTheme="minorHAnsi" w:hAnsiTheme="minorHAnsi" w:cstheme="minorHAnsi"/>
        </w:rPr>
      </w:pPr>
      <w:r w:rsidRPr="00B456BC">
        <w:rPr>
          <w:rFonts w:asciiTheme="minorHAnsi" w:hAnsiTheme="minorHAnsi" w:cstheme="minorHAnsi"/>
        </w:rPr>
        <w:t>Wobec powyżs</w:t>
      </w:r>
      <w:r w:rsidR="00432C5A">
        <w:rPr>
          <w:rFonts w:asciiTheme="minorHAnsi" w:hAnsiTheme="minorHAnsi" w:cstheme="minorHAnsi"/>
        </w:rPr>
        <w:t>zego orzeczono jak w sentencji.</w:t>
      </w:r>
    </w:p>
    <w:p w:rsidR="0004440C" w:rsidRPr="00B456BC" w:rsidRDefault="0004440C" w:rsidP="00432C5A">
      <w:pPr>
        <w:spacing w:after="0" w:line="240" w:lineRule="auto"/>
        <w:rPr>
          <w:rFonts w:asciiTheme="minorHAnsi" w:hAnsiTheme="minorHAnsi" w:cstheme="minorHAnsi"/>
          <w:bCs/>
        </w:rPr>
      </w:pPr>
      <w:r w:rsidRPr="00B456BC">
        <w:rPr>
          <w:rFonts w:asciiTheme="minorHAnsi" w:hAnsiTheme="minorHAnsi" w:cstheme="minorHAnsi"/>
          <w:bCs/>
        </w:rPr>
        <w:t>POUCZENIE</w:t>
      </w:r>
    </w:p>
    <w:p w:rsidR="0004440C" w:rsidRPr="00B456BC" w:rsidRDefault="0004440C" w:rsidP="00432C5A">
      <w:pPr>
        <w:numPr>
          <w:ilvl w:val="0"/>
          <w:numId w:val="26"/>
        </w:numPr>
        <w:suppressAutoHyphens/>
        <w:spacing w:after="0" w:line="240" w:lineRule="auto"/>
        <w:rPr>
          <w:rFonts w:asciiTheme="minorHAnsi" w:eastAsia="Times New Roman" w:hAnsiTheme="minorHAnsi" w:cstheme="minorHAnsi"/>
          <w:lang w:val="x-none" w:eastAsia="x-none"/>
        </w:rPr>
      </w:pPr>
      <w:r w:rsidRPr="00B456BC">
        <w:rPr>
          <w:rFonts w:asciiTheme="minorHAnsi" w:eastAsia="Times New Roman" w:hAnsiTheme="minorHAnsi" w:cstheme="minorHAnsi"/>
          <w:lang w:val="x-none" w:eastAsia="x-none"/>
        </w:rPr>
        <w:t xml:space="preserve">niniejsza decyzja jest ostateczna w administracyjnym toku instancji. Na decyzję, zgodnie z art. 50 oraz art. 52 § 1 i 2 w związku z art. 3 § 2 pkt 1 ustawy z dnia 30 sierpnia 2002 r. – Prawo o postępowaniu przed sądami administracyjnymi (Dz. U. z 2024 r. poz. 935, ze zm.), dalej </w:t>
      </w:r>
      <w:proofErr w:type="spellStart"/>
      <w:r w:rsidRPr="00B456BC">
        <w:rPr>
          <w:rFonts w:asciiTheme="minorHAnsi" w:eastAsia="Times New Roman" w:hAnsiTheme="minorHAnsi" w:cstheme="minorHAnsi"/>
          <w:lang w:val="x-none" w:eastAsia="x-none"/>
        </w:rPr>
        <w:t>p.p.s.a</w:t>
      </w:r>
      <w:proofErr w:type="spellEnd"/>
      <w:r w:rsidRPr="00B456BC">
        <w:rPr>
          <w:rFonts w:asciiTheme="minorHAnsi" w:eastAsia="Times New Roman" w:hAnsiTheme="minorHAnsi" w:cstheme="minorHAnsi"/>
          <w:lang w:val="x-none" w:eastAsia="x-none"/>
        </w:rPr>
        <w:t>., służy skarga do Wojewódzkiego Sądu Administracyjnego w Warszawie;</w:t>
      </w:r>
    </w:p>
    <w:p w:rsidR="0004440C" w:rsidRPr="00B456BC" w:rsidRDefault="0004440C" w:rsidP="00432C5A">
      <w:pPr>
        <w:numPr>
          <w:ilvl w:val="0"/>
          <w:numId w:val="26"/>
        </w:numPr>
        <w:suppressAutoHyphens/>
        <w:spacing w:after="0" w:line="240" w:lineRule="auto"/>
        <w:rPr>
          <w:rFonts w:asciiTheme="minorHAnsi" w:eastAsia="Times New Roman" w:hAnsiTheme="minorHAnsi" w:cstheme="minorHAnsi"/>
          <w:lang w:val="x-none" w:eastAsia="x-none"/>
        </w:rPr>
      </w:pPr>
      <w:r w:rsidRPr="00B456BC">
        <w:rPr>
          <w:rFonts w:asciiTheme="minorHAnsi" w:eastAsia="Times New Roman" w:hAnsiTheme="minorHAnsi" w:cstheme="minorHAnsi"/>
          <w:lang w:val="x-none" w:eastAsia="x-none"/>
        </w:rPr>
        <w:t xml:space="preserve">zgodnie z art. 53 § 1 oraz art. 54 § 1 </w:t>
      </w:r>
      <w:proofErr w:type="spellStart"/>
      <w:r w:rsidRPr="00B456BC">
        <w:rPr>
          <w:rFonts w:asciiTheme="minorHAnsi" w:eastAsia="Times New Roman" w:hAnsiTheme="minorHAnsi" w:cstheme="minorHAnsi"/>
          <w:lang w:val="x-none" w:eastAsia="x-none"/>
        </w:rPr>
        <w:t>p.p.s.a</w:t>
      </w:r>
      <w:proofErr w:type="spellEnd"/>
      <w:r w:rsidRPr="00B456BC">
        <w:rPr>
          <w:rFonts w:asciiTheme="minorHAnsi" w:eastAsia="Times New Roman" w:hAnsiTheme="minorHAnsi" w:cstheme="minorHAnsi"/>
          <w:lang w:val="x-none" w:eastAsia="x-none"/>
        </w:rPr>
        <w:t>. skargę należy wnieść, za pośrednictwem GDOŚ, w terminie trzydziestu dni od dnia otrzymania decyzji;</w:t>
      </w:r>
    </w:p>
    <w:p w:rsidR="0004440C" w:rsidRPr="00B456BC" w:rsidRDefault="0004440C" w:rsidP="00432C5A">
      <w:pPr>
        <w:numPr>
          <w:ilvl w:val="0"/>
          <w:numId w:val="26"/>
        </w:numPr>
        <w:suppressAutoHyphens/>
        <w:spacing w:after="0" w:line="240" w:lineRule="auto"/>
        <w:rPr>
          <w:rFonts w:asciiTheme="minorHAnsi" w:eastAsia="Times New Roman" w:hAnsiTheme="minorHAnsi" w:cstheme="minorHAnsi"/>
          <w:lang w:val="x-none" w:eastAsia="x-none"/>
        </w:rPr>
      </w:pPr>
      <w:r w:rsidRPr="00B456BC">
        <w:rPr>
          <w:rFonts w:asciiTheme="minorHAnsi" w:eastAsia="Times New Roman" w:hAnsiTheme="minorHAnsi" w:cstheme="minorHAnsi"/>
          <w:lang w:val="x-none" w:eastAsia="x-none"/>
        </w:rPr>
        <w:t xml:space="preserve">skarżący, zgodnie z art. 230 </w:t>
      </w:r>
      <w:proofErr w:type="spellStart"/>
      <w:r w:rsidRPr="00B456BC">
        <w:rPr>
          <w:rFonts w:asciiTheme="minorHAnsi" w:eastAsia="Times New Roman" w:hAnsiTheme="minorHAnsi" w:cstheme="minorHAnsi"/>
          <w:lang w:val="x-none" w:eastAsia="x-none"/>
        </w:rPr>
        <w:t>p.p.s.a</w:t>
      </w:r>
      <w:proofErr w:type="spellEnd"/>
      <w:r w:rsidRPr="00B456BC">
        <w:rPr>
          <w:rFonts w:asciiTheme="minorHAnsi" w:eastAsia="Times New Roman" w:hAnsiTheme="minorHAnsi" w:cstheme="minorHAnsi"/>
          <w:lang w:val="x-none" w:eastAsia="x-none"/>
        </w:rPr>
        <w:t xml:space="preserve">. 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Skarżący, co wynika z art. 239 </w:t>
      </w:r>
      <w:proofErr w:type="spellStart"/>
      <w:r w:rsidRPr="00B456BC">
        <w:rPr>
          <w:rFonts w:asciiTheme="minorHAnsi" w:eastAsia="Times New Roman" w:hAnsiTheme="minorHAnsi" w:cstheme="minorHAnsi"/>
          <w:lang w:val="x-none" w:eastAsia="x-none"/>
        </w:rPr>
        <w:t>p.p.s.a</w:t>
      </w:r>
      <w:proofErr w:type="spellEnd"/>
      <w:r w:rsidRPr="00B456BC">
        <w:rPr>
          <w:rFonts w:asciiTheme="minorHAnsi" w:eastAsia="Times New Roman" w:hAnsiTheme="minorHAnsi" w:cstheme="minorHAnsi"/>
          <w:lang w:val="x-none" w:eastAsia="x-none"/>
        </w:rPr>
        <w:t>., może być zwolniony z obowiązku uiszczenia kosztów sądowych;</w:t>
      </w:r>
    </w:p>
    <w:p w:rsidR="0004440C" w:rsidRPr="00B456BC" w:rsidRDefault="0004440C" w:rsidP="00432C5A">
      <w:pPr>
        <w:numPr>
          <w:ilvl w:val="0"/>
          <w:numId w:val="26"/>
        </w:numPr>
        <w:suppressAutoHyphens/>
        <w:spacing w:after="0" w:line="240" w:lineRule="auto"/>
        <w:rPr>
          <w:rFonts w:asciiTheme="minorHAnsi" w:eastAsia="Times New Roman" w:hAnsiTheme="minorHAnsi" w:cstheme="minorHAnsi"/>
          <w:lang w:val="x-none" w:eastAsia="x-none"/>
        </w:rPr>
      </w:pPr>
      <w:r w:rsidRPr="00B456BC">
        <w:rPr>
          <w:rFonts w:asciiTheme="minorHAnsi" w:eastAsia="Times New Roman" w:hAnsiTheme="minorHAnsi" w:cstheme="minorHAnsi"/>
          <w:lang w:val="x-none" w:eastAsia="x-none"/>
        </w:rPr>
        <w:t xml:space="preserve">skarżącemu, zgodnie z art. 243 </w:t>
      </w:r>
      <w:proofErr w:type="spellStart"/>
      <w:r w:rsidRPr="00B456BC">
        <w:rPr>
          <w:rFonts w:asciiTheme="minorHAnsi" w:eastAsia="Times New Roman" w:hAnsiTheme="minorHAnsi" w:cstheme="minorHAnsi"/>
          <w:lang w:val="x-none" w:eastAsia="x-none"/>
        </w:rPr>
        <w:t>p.p.s.a</w:t>
      </w:r>
      <w:proofErr w:type="spellEnd"/>
      <w:r w:rsidRPr="00B456BC">
        <w:rPr>
          <w:rFonts w:asciiTheme="minorHAnsi" w:eastAsia="Times New Roman" w:hAnsiTheme="minorHAnsi" w:cstheme="minorHAnsi"/>
          <w:lang w:val="x-none" w:eastAsia="x-none"/>
        </w:rPr>
        <w:t xml:space="preserve">., może być przyznane, na jego wniosek, prawo pomocy. Wniosek ten wolny jest od opłat sądowych; </w:t>
      </w:r>
    </w:p>
    <w:p w:rsidR="0004440C" w:rsidRPr="00B456BC" w:rsidRDefault="0004440C" w:rsidP="00432C5A">
      <w:pPr>
        <w:numPr>
          <w:ilvl w:val="0"/>
          <w:numId w:val="26"/>
        </w:numPr>
        <w:suppressAutoHyphens/>
        <w:spacing w:after="0" w:line="240" w:lineRule="auto"/>
        <w:rPr>
          <w:rFonts w:asciiTheme="minorHAnsi" w:eastAsia="Times New Roman" w:hAnsiTheme="minorHAnsi" w:cstheme="minorHAnsi"/>
          <w:lang w:val="x-none" w:eastAsia="x-none"/>
        </w:rPr>
      </w:pPr>
      <w:r w:rsidRPr="00B456BC">
        <w:rPr>
          <w:rFonts w:asciiTheme="minorHAnsi" w:eastAsia="Times New Roman" w:hAnsiTheme="minorHAnsi" w:cstheme="minorHAnsi"/>
          <w:lang w:val="x-none" w:eastAsia="x-none"/>
        </w:rPr>
        <w:t xml:space="preserve">skargę w formie elektronicznej należy wnieść na adres do e-Doręczeń: AE:PL-14966-78422-TRCJH-21 lub adres </w:t>
      </w:r>
      <w:proofErr w:type="spellStart"/>
      <w:r w:rsidRPr="00B456BC">
        <w:rPr>
          <w:rFonts w:asciiTheme="minorHAnsi" w:eastAsia="Times New Roman" w:hAnsiTheme="minorHAnsi" w:cstheme="minorHAnsi"/>
          <w:lang w:val="x-none" w:eastAsia="x-none"/>
        </w:rPr>
        <w:t>ePUAP</w:t>
      </w:r>
      <w:proofErr w:type="spellEnd"/>
      <w:r w:rsidRPr="00B456BC">
        <w:rPr>
          <w:rFonts w:asciiTheme="minorHAnsi" w:eastAsia="Times New Roman" w:hAnsiTheme="minorHAnsi" w:cstheme="minorHAnsi"/>
          <w:lang w:val="x-none" w:eastAsia="x-none"/>
        </w:rPr>
        <w:t>: /</w:t>
      </w:r>
      <w:proofErr w:type="spellStart"/>
      <w:r w:rsidRPr="00B456BC">
        <w:rPr>
          <w:rFonts w:asciiTheme="minorHAnsi" w:eastAsia="Times New Roman" w:hAnsiTheme="minorHAnsi" w:cstheme="minorHAnsi"/>
          <w:lang w:val="x-none" w:eastAsia="x-none"/>
        </w:rPr>
        <w:t>gdosgovpl</w:t>
      </w:r>
      <w:proofErr w:type="spellEnd"/>
      <w:r w:rsidRPr="00B456BC">
        <w:rPr>
          <w:rFonts w:asciiTheme="minorHAnsi" w:eastAsia="Times New Roman" w:hAnsiTheme="minorHAnsi" w:cstheme="minorHAnsi"/>
          <w:lang w:val="x-none" w:eastAsia="x-none"/>
        </w:rPr>
        <w:t>/</w:t>
      </w:r>
      <w:proofErr w:type="spellStart"/>
      <w:r w:rsidRPr="00B456BC">
        <w:rPr>
          <w:rFonts w:asciiTheme="minorHAnsi" w:eastAsia="Times New Roman" w:hAnsiTheme="minorHAnsi" w:cstheme="minorHAnsi"/>
          <w:lang w:val="x-none" w:eastAsia="x-none"/>
        </w:rPr>
        <w:t>SkrytkaESP</w:t>
      </w:r>
      <w:proofErr w:type="spellEnd"/>
      <w:r w:rsidRPr="00B456BC">
        <w:rPr>
          <w:rFonts w:asciiTheme="minorHAnsi" w:eastAsia="Times New Roman" w:hAnsiTheme="minorHAnsi" w:cstheme="minorHAnsi"/>
          <w:lang w:val="x-none" w:eastAsia="x-none"/>
        </w:rPr>
        <w:t>, natomiast w formie papierowej – na adres siedziby Generalnej Dyrekcji Ochrony Środowiska: Al. Jerozolimskie 136, 02-305 Warszawa.</w:t>
      </w:r>
    </w:p>
    <w:p w:rsidR="00432C5A" w:rsidRPr="00432C5A" w:rsidRDefault="00432C5A" w:rsidP="00432C5A">
      <w:pPr>
        <w:spacing w:after="0" w:line="240" w:lineRule="auto"/>
        <w:rPr>
          <w:rFonts w:asciiTheme="minorHAnsi" w:hAnsiTheme="minorHAnsi" w:cstheme="minorHAnsi"/>
        </w:rPr>
      </w:pPr>
      <w:r w:rsidRPr="00432C5A">
        <w:rPr>
          <w:rFonts w:asciiTheme="minorHAnsi" w:hAnsiTheme="minorHAnsi" w:cstheme="minorHAnsi"/>
        </w:rPr>
        <w:t>PIOTR OTAWSKI</w:t>
      </w:r>
    </w:p>
    <w:p w:rsidR="00432C5A" w:rsidRPr="00432C5A" w:rsidRDefault="00432C5A" w:rsidP="00432C5A">
      <w:pPr>
        <w:spacing w:after="0" w:line="240" w:lineRule="auto"/>
        <w:rPr>
          <w:rFonts w:asciiTheme="minorHAnsi" w:hAnsiTheme="minorHAnsi" w:cstheme="minorHAnsi"/>
        </w:rPr>
      </w:pPr>
      <w:r w:rsidRPr="00432C5A">
        <w:rPr>
          <w:rFonts w:asciiTheme="minorHAnsi" w:hAnsiTheme="minorHAnsi" w:cstheme="minorHAnsi"/>
        </w:rPr>
        <w:t>Generalny Dyrektor Ochrony Środowiska</w:t>
      </w:r>
    </w:p>
    <w:p w:rsidR="0004440C" w:rsidRPr="00432C5A" w:rsidRDefault="00432C5A" w:rsidP="00432C5A">
      <w:pPr>
        <w:spacing w:after="0" w:line="240" w:lineRule="auto"/>
        <w:rPr>
          <w:rFonts w:asciiTheme="minorHAnsi" w:hAnsiTheme="minorHAnsi" w:cstheme="minorHAnsi"/>
        </w:rPr>
      </w:pPr>
      <w:r w:rsidRPr="00432C5A">
        <w:rPr>
          <w:rFonts w:asciiTheme="minorHAnsi" w:hAnsiTheme="minorHAnsi" w:cstheme="minorHAnsi"/>
        </w:rPr>
        <w:t>/podpis elektroniczny/</w:t>
      </w:r>
    </w:p>
    <w:p w:rsidR="0004440C" w:rsidRPr="00B456BC" w:rsidRDefault="0004440C" w:rsidP="00432C5A">
      <w:pPr>
        <w:spacing w:after="0" w:line="240" w:lineRule="auto"/>
        <w:contextualSpacing/>
        <w:rPr>
          <w:rFonts w:asciiTheme="minorHAnsi" w:hAnsiTheme="minorHAnsi" w:cstheme="minorHAnsi"/>
          <w:bCs/>
          <w:sz w:val="20"/>
          <w:szCs w:val="20"/>
        </w:rPr>
      </w:pPr>
      <w:r w:rsidRPr="00B456BC">
        <w:rPr>
          <w:rFonts w:asciiTheme="minorHAnsi" w:hAnsiTheme="minorHAnsi" w:cstheme="minorHAnsi"/>
          <w:bCs/>
          <w:sz w:val="20"/>
          <w:szCs w:val="20"/>
        </w:rPr>
        <w:t>Otrzymują:</w:t>
      </w:r>
    </w:p>
    <w:p w:rsidR="0004440C" w:rsidRPr="00B456BC" w:rsidRDefault="002B01B9" w:rsidP="00432C5A">
      <w:pPr>
        <w:numPr>
          <w:ilvl w:val="0"/>
          <w:numId w:val="22"/>
        </w:numPr>
        <w:suppressAutoHyphens/>
        <w:spacing w:after="0" w:line="240" w:lineRule="auto"/>
        <w:contextualSpacing/>
        <w:rPr>
          <w:rFonts w:asciiTheme="minorHAnsi" w:hAnsiTheme="minorHAnsi" w:cstheme="minorHAnsi"/>
          <w:sz w:val="20"/>
          <w:szCs w:val="20"/>
        </w:rPr>
      </w:pPr>
      <w:r>
        <w:rPr>
          <w:rStyle w:val="Uwydatnienie"/>
          <w:rFonts w:asciiTheme="minorHAnsi" w:hAnsiTheme="minorHAnsi" w:cstheme="minorHAnsi"/>
          <w:b/>
          <w:color w:val="auto"/>
          <w:sz w:val="22"/>
          <w:szCs w:val="22"/>
        </w:rPr>
        <w:t>(…)</w:t>
      </w:r>
      <w:r w:rsidR="0004440C" w:rsidRPr="00B456BC">
        <w:rPr>
          <w:rFonts w:asciiTheme="minorHAnsi" w:hAnsiTheme="minorHAnsi" w:cstheme="minorHAnsi"/>
          <w:sz w:val="20"/>
          <w:szCs w:val="20"/>
        </w:rPr>
        <w:t>;</w:t>
      </w:r>
    </w:p>
    <w:p w:rsidR="002B01B9" w:rsidRPr="002B01B9" w:rsidRDefault="002B01B9" w:rsidP="00432C5A">
      <w:pPr>
        <w:numPr>
          <w:ilvl w:val="0"/>
          <w:numId w:val="22"/>
        </w:numPr>
        <w:suppressAutoHyphens/>
        <w:spacing w:after="0" w:line="240" w:lineRule="auto"/>
        <w:contextualSpacing/>
        <w:rPr>
          <w:rStyle w:val="Uwydatnienie"/>
          <w:rFonts w:asciiTheme="minorHAnsi" w:hAnsiTheme="minorHAnsi" w:cstheme="minorHAnsi"/>
          <w:color w:val="auto"/>
          <w:sz w:val="20"/>
          <w:szCs w:val="20"/>
        </w:rPr>
      </w:pPr>
      <w:r>
        <w:rPr>
          <w:rStyle w:val="Uwydatnienie"/>
          <w:rFonts w:asciiTheme="minorHAnsi" w:hAnsiTheme="minorHAnsi" w:cstheme="minorHAnsi"/>
          <w:b/>
          <w:color w:val="auto"/>
          <w:sz w:val="22"/>
          <w:szCs w:val="22"/>
        </w:rPr>
        <w:t>(…)</w:t>
      </w:r>
    </w:p>
    <w:p w:rsidR="0004440C" w:rsidRPr="00B456BC" w:rsidRDefault="002B01B9" w:rsidP="00432C5A">
      <w:pPr>
        <w:numPr>
          <w:ilvl w:val="0"/>
          <w:numId w:val="22"/>
        </w:numPr>
        <w:suppressAutoHyphens/>
        <w:spacing w:after="0" w:line="240" w:lineRule="auto"/>
        <w:contextualSpacing/>
        <w:rPr>
          <w:rFonts w:asciiTheme="minorHAnsi" w:hAnsiTheme="minorHAnsi" w:cstheme="minorHAnsi"/>
          <w:sz w:val="20"/>
          <w:szCs w:val="20"/>
        </w:rPr>
      </w:pPr>
      <w:r>
        <w:rPr>
          <w:rStyle w:val="Uwydatnienie"/>
          <w:rFonts w:asciiTheme="minorHAnsi" w:hAnsiTheme="minorHAnsi" w:cstheme="minorHAnsi"/>
          <w:b/>
          <w:color w:val="auto"/>
          <w:sz w:val="22"/>
          <w:szCs w:val="22"/>
        </w:rPr>
        <w:t>(…)</w:t>
      </w:r>
      <w:r w:rsidR="0004440C" w:rsidRPr="00B456BC">
        <w:rPr>
          <w:rFonts w:asciiTheme="minorHAnsi" w:hAnsiTheme="minorHAnsi" w:cstheme="minorHAnsi"/>
          <w:sz w:val="20"/>
          <w:szCs w:val="20"/>
        </w:rPr>
        <w:t>;</w:t>
      </w:r>
    </w:p>
    <w:p w:rsidR="0004440C" w:rsidRPr="00B456BC" w:rsidRDefault="002B01B9" w:rsidP="00432C5A">
      <w:pPr>
        <w:numPr>
          <w:ilvl w:val="0"/>
          <w:numId w:val="22"/>
        </w:numPr>
        <w:suppressAutoHyphens/>
        <w:spacing w:after="0" w:line="240" w:lineRule="auto"/>
        <w:contextualSpacing/>
        <w:rPr>
          <w:rFonts w:asciiTheme="minorHAnsi" w:hAnsiTheme="minorHAnsi" w:cstheme="minorHAnsi"/>
          <w:sz w:val="20"/>
          <w:szCs w:val="20"/>
        </w:rPr>
      </w:pPr>
      <w:r>
        <w:rPr>
          <w:rStyle w:val="Uwydatnienie"/>
          <w:rFonts w:asciiTheme="minorHAnsi" w:hAnsiTheme="minorHAnsi" w:cstheme="minorHAnsi"/>
          <w:b/>
          <w:color w:val="auto"/>
          <w:sz w:val="22"/>
          <w:szCs w:val="22"/>
        </w:rPr>
        <w:t>(…)</w:t>
      </w:r>
      <w:r w:rsidR="0004440C" w:rsidRPr="00B456BC">
        <w:rPr>
          <w:rFonts w:asciiTheme="minorHAnsi" w:hAnsiTheme="minorHAnsi" w:cstheme="minorHAnsi"/>
          <w:sz w:val="20"/>
          <w:szCs w:val="20"/>
        </w:rPr>
        <w:t>;</w:t>
      </w:r>
    </w:p>
    <w:p w:rsidR="0004440C" w:rsidRPr="00B456BC" w:rsidRDefault="002B01B9" w:rsidP="00432C5A">
      <w:pPr>
        <w:numPr>
          <w:ilvl w:val="0"/>
          <w:numId w:val="22"/>
        </w:numPr>
        <w:suppressAutoHyphens/>
        <w:spacing w:after="0" w:line="240" w:lineRule="auto"/>
        <w:contextualSpacing/>
        <w:rPr>
          <w:rFonts w:asciiTheme="minorHAnsi" w:hAnsiTheme="minorHAnsi" w:cstheme="minorHAnsi"/>
          <w:sz w:val="20"/>
          <w:szCs w:val="20"/>
        </w:rPr>
      </w:pPr>
      <w:r>
        <w:rPr>
          <w:rStyle w:val="Uwydatnienie"/>
          <w:rFonts w:asciiTheme="minorHAnsi" w:hAnsiTheme="minorHAnsi" w:cstheme="minorHAnsi"/>
          <w:b/>
          <w:color w:val="auto"/>
          <w:sz w:val="22"/>
          <w:szCs w:val="22"/>
        </w:rPr>
        <w:t>(…)</w:t>
      </w:r>
      <w:r w:rsidR="0004440C" w:rsidRPr="00B456BC">
        <w:rPr>
          <w:rFonts w:asciiTheme="minorHAnsi" w:hAnsiTheme="minorHAnsi" w:cstheme="minorHAnsi"/>
          <w:sz w:val="20"/>
          <w:szCs w:val="20"/>
        </w:rPr>
        <w:t>;</w:t>
      </w:r>
    </w:p>
    <w:p w:rsidR="0004440C" w:rsidRPr="00B456BC" w:rsidRDefault="00A731CA" w:rsidP="00432C5A">
      <w:pPr>
        <w:pStyle w:val="Akapitzlist"/>
        <w:numPr>
          <w:ilvl w:val="0"/>
          <w:numId w:val="22"/>
        </w:numPr>
        <w:spacing w:after="0" w:line="240" w:lineRule="auto"/>
        <w:rPr>
          <w:rFonts w:asciiTheme="minorHAnsi" w:hAnsiTheme="minorHAnsi" w:cstheme="minorHAnsi"/>
          <w:sz w:val="20"/>
          <w:szCs w:val="20"/>
        </w:rPr>
      </w:pPr>
      <w:r>
        <w:rPr>
          <w:rFonts w:asciiTheme="minorHAnsi" w:hAnsiTheme="minorHAnsi" w:cstheme="minorHAnsi"/>
          <w:sz w:val="20"/>
          <w:szCs w:val="20"/>
        </w:rPr>
        <w:t>(..)</w:t>
      </w:r>
      <w:bookmarkStart w:id="8" w:name="_GoBack"/>
      <w:bookmarkEnd w:id="8"/>
      <w:r w:rsidR="0004440C" w:rsidRPr="00B456BC">
        <w:rPr>
          <w:rFonts w:asciiTheme="minorHAnsi" w:hAnsiTheme="minorHAnsi" w:cstheme="minorHAnsi"/>
          <w:sz w:val="20"/>
          <w:szCs w:val="20"/>
        </w:rPr>
        <w:t>, pełnomocnik PKP Polskie Linie Kolejowe S.A., Centrum Realizacji Inwestycji Region Śląski, ul. Joannitów 13, 50-525 Wrocław;</w:t>
      </w:r>
    </w:p>
    <w:p w:rsidR="0004440C" w:rsidRPr="00B456BC" w:rsidRDefault="0004440C" w:rsidP="00432C5A">
      <w:pPr>
        <w:numPr>
          <w:ilvl w:val="0"/>
          <w:numId w:val="22"/>
        </w:numPr>
        <w:suppressAutoHyphens/>
        <w:spacing w:after="0" w:line="240" w:lineRule="auto"/>
        <w:contextualSpacing/>
        <w:rPr>
          <w:rFonts w:asciiTheme="minorHAnsi" w:hAnsiTheme="minorHAnsi" w:cstheme="minorHAnsi"/>
          <w:sz w:val="20"/>
          <w:szCs w:val="20"/>
        </w:rPr>
      </w:pPr>
      <w:r w:rsidRPr="00B456BC">
        <w:rPr>
          <w:rFonts w:asciiTheme="minorHAnsi" w:hAnsiTheme="minorHAnsi" w:cstheme="minorHAnsi"/>
          <w:sz w:val="20"/>
          <w:szCs w:val="20"/>
        </w:rPr>
        <w:t xml:space="preserve">Pozostałe strony postępowania zgodnie z art. 49 § 1 k.p.a. w związku z art. 74 ust. 3 </w:t>
      </w:r>
      <w:proofErr w:type="spellStart"/>
      <w:r w:rsidRPr="00B456BC">
        <w:rPr>
          <w:rFonts w:asciiTheme="minorHAnsi" w:hAnsiTheme="minorHAnsi" w:cstheme="minorHAnsi"/>
          <w:sz w:val="20"/>
          <w:szCs w:val="20"/>
        </w:rPr>
        <w:t>u.o.o.ś</w:t>
      </w:r>
      <w:proofErr w:type="spellEnd"/>
      <w:r w:rsidRPr="00B456BC">
        <w:rPr>
          <w:rFonts w:asciiTheme="minorHAnsi" w:hAnsiTheme="minorHAnsi" w:cstheme="minorHAnsi"/>
          <w:sz w:val="20"/>
          <w:szCs w:val="20"/>
        </w:rPr>
        <w:t>, poprzez obwieszczenie lub w inny zwyczajowo przyjęty sposób publicznego ogłaszania.</w:t>
      </w:r>
    </w:p>
    <w:p w:rsidR="0004440C" w:rsidRPr="00B456BC" w:rsidRDefault="0004440C" w:rsidP="00432C5A">
      <w:pPr>
        <w:spacing w:after="0" w:line="240" w:lineRule="auto"/>
        <w:contextualSpacing/>
        <w:rPr>
          <w:rFonts w:asciiTheme="minorHAnsi" w:hAnsiTheme="minorHAnsi" w:cstheme="minorHAnsi"/>
          <w:bCs/>
          <w:sz w:val="20"/>
          <w:szCs w:val="20"/>
        </w:rPr>
      </w:pPr>
      <w:r w:rsidRPr="00B456BC">
        <w:rPr>
          <w:rFonts w:asciiTheme="minorHAnsi" w:hAnsiTheme="minorHAnsi" w:cstheme="minorHAnsi"/>
          <w:bCs/>
          <w:sz w:val="20"/>
          <w:szCs w:val="20"/>
        </w:rPr>
        <w:t>Do wiadomości:</w:t>
      </w:r>
    </w:p>
    <w:p w:rsidR="0004440C" w:rsidRPr="00B456BC" w:rsidRDefault="0004440C" w:rsidP="00432C5A">
      <w:pPr>
        <w:pStyle w:val="Akapitzlist"/>
        <w:numPr>
          <w:ilvl w:val="0"/>
          <w:numId w:val="23"/>
        </w:numPr>
        <w:suppressAutoHyphens w:val="0"/>
        <w:autoSpaceDN/>
        <w:spacing w:after="0" w:line="240" w:lineRule="auto"/>
        <w:ind w:left="714" w:hanging="357"/>
        <w:contextualSpacing/>
        <w:textAlignment w:val="auto"/>
        <w:rPr>
          <w:rFonts w:asciiTheme="minorHAnsi" w:hAnsiTheme="minorHAnsi" w:cstheme="minorHAnsi"/>
          <w:sz w:val="20"/>
          <w:szCs w:val="20"/>
        </w:rPr>
      </w:pPr>
      <w:r w:rsidRPr="00B456BC">
        <w:rPr>
          <w:rFonts w:asciiTheme="minorHAnsi" w:hAnsiTheme="minorHAnsi" w:cstheme="minorHAnsi"/>
          <w:sz w:val="20"/>
          <w:szCs w:val="20"/>
        </w:rPr>
        <w:lastRenderedPageBreak/>
        <w:t xml:space="preserve">Regionalny Dyrektor Ochrony Środowiska w Katowicach – doręczenie przez </w:t>
      </w:r>
      <w:proofErr w:type="spellStart"/>
      <w:r w:rsidRPr="00B456BC">
        <w:rPr>
          <w:rFonts w:asciiTheme="minorHAnsi" w:hAnsiTheme="minorHAnsi" w:cstheme="minorHAnsi"/>
          <w:sz w:val="20"/>
          <w:szCs w:val="20"/>
        </w:rPr>
        <w:t>ePUAP</w:t>
      </w:r>
      <w:proofErr w:type="spellEnd"/>
    </w:p>
    <w:p w:rsidR="0004440C" w:rsidRPr="00B456BC" w:rsidRDefault="0004440C" w:rsidP="00432C5A">
      <w:pPr>
        <w:spacing w:after="0" w:line="240" w:lineRule="auto"/>
        <w:rPr>
          <w:rFonts w:asciiTheme="minorHAnsi" w:hAnsiTheme="minorHAnsi" w:cstheme="minorHAnsi"/>
        </w:rPr>
      </w:pPr>
    </w:p>
    <w:sectPr w:rsidR="0004440C" w:rsidRPr="00B456BC" w:rsidSect="00B456BC">
      <w:headerReference w:type="default" r:id="rId12"/>
      <w:footerReference w:type="default" r:id="rId13"/>
      <w:headerReference w:type="first" r:id="rId14"/>
      <w:pgSz w:w="11906" w:h="16838"/>
      <w:pgMar w:top="1417" w:right="1417" w:bottom="1417" w:left="1417" w:header="68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E7D" w:rsidRDefault="00427E7D">
      <w:pPr>
        <w:spacing w:after="0" w:line="240" w:lineRule="auto"/>
      </w:pPr>
      <w:r>
        <w:separator/>
      </w:r>
    </w:p>
  </w:endnote>
  <w:endnote w:type="continuationSeparator" w:id="0">
    <w:p w:rsidR="00427E7D" w:rsidRDefault="00427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80713"/>
      <w:docPartObj>
        <w:docPartGallery w:val="Page Numbers (Bottom of Page)"/>
        <w:docPartUnique/>
      </w:docPartObj>
    </w:sdtPr>
    <w:sdtEndPr/>
    <w:sdtContent>
      <w:p w:rsidR="00B456BC" w:rsidRDefault="00B456BC">
        <w:pPr>
          <w:pStyle w:val="Stopka"/>
          <w:jc w:val="right"/>
        </w:pPr>
        <w:r>
          <w:fldChar w:fldCharType="begin"/>
        </w:r>
        <w:r>
          <w:instrText>PAGE   \* MERGEFORMAT</w:instrText>
        </w:r>
        <w:r>
          <w:fldChar w:fldCharType="separate"/>
        </w:r>
        <w:r w:rsidR="00A731CA">
          <w:rPr>
            <w:noProof/>
          </w:rPr>
          <w:t>10</w:t>
        </w:r>
        <w:r>
          <w:fldChar w:fldCharType="end"/>
        </w:r>
      </w:p>
    </w:sdtContent>
  </w:sdt>
  <w:p w:rsidR="00B456BC" w:rsidRDefault="00B456BC">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534499"/>
      <w:docPartObj>
        <w:docPartGallery w:val="Page Numbers (Bottom of Page)"/>
        <w:docPartUnique/>
      </w:docPartObj>
    </w:sdtPr>
    <w:sdtEndPr/>
    <w:sdtContent>
      <w:p w:rsidR="00B456BC" w:rsidRDefault="00B456BC">
        <w:pPr>
          <w:pStyle w:val="Stopka"/>
          <w:jc w:val="right"/>
        </w:pPr>
        <w:r>
          <w:fldChar w:fldCharType="begin"/>
        </w:r>
        <w:r>
          <w:instrText>PAGE   \* MERGEFORMAT</w:instrText>
        </w:r>
        <w:r>
          <w:fldChar w:fldCharType="separate"/>
        </w:r>
        <w:r w:rsidR="00A731CA">
          <w:rPr>
            <w:noProof/>
          </w:rPr>
          <w:t>1</w:t>
        </w:r>
        <w:r>
          <w:fldChar w:fldCharType="end"/>
        </w:r>
      </w:p>
    </w:sdtContent>
  </w:sdt>
  <w:p w:rsidR="00B456BC" w:rsidRDefault="00B456B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2226402"/>
      <w:docPartObj>
        <w:docPartGallery w:val="Page Numbers (Bottom of Page)"/>
        <w:docPartUnique/>
      </w:docPartObj>
    </w:sdtPr>
    <w:sdtEndPr/>
    <w:sdtContent>
      <w:p w:rsidR="00B456BC" w:rsidRDefault="00B456BC">
        <w:pPr>
          <w:pStyle w:val="Stopka"/>
          <w:jc w:val="right"/>
        </w:pPr>
        <w:r>
          <w:fldChar w:fldCharType="begin"/>
        </w:r>
        <w:r>
          <w:instrText>PAGE   \* MERGEFORMAT</w:instrText>
        </w:r>
        <w:r>
          <w:fldChar w:fldCharType="separate"/>
        </w:r>
        <w:r w:rsidR="00A731CA">
          <w:rPr>
            <w:noProof/>
          </w:rPr>
          <w:t>36</w:t>
        </w:r>
        <w:r>
          <w:fldChar w:fldCharType="end"/>
        </w:r>
      </w:p>
    </w:sdtContent>
  </w:sdt>
  <w:p w:rsidR="00B456BC" w:rsidRDefault="00B456BC" w:rsidP="00B456B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E7D" w:rsidRDefault="00427E7D">
      <w:pPr>
        <w:spacing w:after="0" w:line="240" w:lineRule="auto"/>
      </w:pPr>
      <w:r>
        <w:separator/>
      </w:r>
    </w:p>
  </w:footnote>
  <w:footnote w:type="continuationSeparator" w:id="0">
    <w:p w:rsidR="00427E7D" w:rsidRDefault="00427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6BC" w:rsidRDefault="00B456BC">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641" w:type="dxa"/>
      <w:tblCellMar>
        <w:left w:w="10" w:type="dxa"/>
        <w:right w:w="10" w:type="dxa"/>
      </w:tblCellMar>
      <w:tblLook w:val="0000" w:firstRow="0" w:lastRow="0" w:firstColumn="0" w:lastColumn="0" w:noHBand="0" w:noVBand="0"/>
    </w:tblPr>
    <w:tblGrid>
      <w:gridCol w:w="4641"/>
    </w:tblGrid>
    <w:tr w:rsidR="00B456BC">
      <w:trPr>
        <w:trHeight w:val="470"/>
      </w:trPr>
      <w:tc>
        <w:tcPr>
          <w:tcW w:w="4641" w:type="dxa"/>
          <w:tcMar>
            <w:top w:w="0" w:type="dxa"/>
            <w:left w:w="108" w:type="dxa"/>
            <w:bottom w:w="0" w:type="dxa"/>
            <w:right w:w="108" w:type="dxa"/>
          </w:tcMar>
          <w:vAlign w:val="center"/>
        </w:tcPr>
        <w:p w:rsidR="00B456BC" w:rsidRDefault="00B456BC" w:rsidP="00B456BC">
          <w:pPr>
            <w:pStyle w:val="Nagwek"/>
            <w:tabs>
              <w:tab w:val="clear" w:pos="4536"/>
              <w:tab w:val="clear" w:pos="9072"/>
              <w:tab w:val="left" w:pos="1698"/>
              <w:tab w:val="left" w:pos="2719"/>
            </w:tabs>
            <w:rPr>
              <w:rFonts w:ascii="Garamond" w:hAnsi="Garamond"/>
              <w:b/>
              <w:smallCaps/>
              <w:sz w:val="40"/>
              <w:szCs w:val="40"/>
            </w:rPr>
          </w:pPr>
        </w:p>
      </w:tc>
    </w:tr>
  </w:tbl>
  <w:p w:rsidR="00B456BC" w:rsidRDefault="00B456B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6BC" w:rsidRDefault="00B456BC" w:rsidP="00B456BC">
    <w:pPr>
      <w:pStyle w:val="Nagwek"/>
      <w:ind w:hanging="113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6BC" w:rsidRPr="00BC4EC0" w:rsidRDefault="00B456BC" w:rsidP="00BC4EC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4564"/>
    <w:multiLevelType w:val="multilevel"/>
    <w:tmpl w:val="A9EA03FE"/>
    <w:styleLink w:val="WWOutlineListStyle13"/>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6E7789C"/>
    <w:multiLevelType w:val="multilevel"/>
    <w:tmpl w:val="72244F08"/>
    <w:styleLink w:val="WWOutlineListStyle3"/>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A424A0C"/>
    <w:multiLevelType w:val="hybridMultilevel"/>
    <w:tmpl w:val="02A49A5A"/>
    <w:lvl w:ilvl="0" w:tplc="A0AEA08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8766BC"/>
    <w:multiLevelType w:val="multilevel"/>
    <w:tmpl w:val="EBAA7DA2"/>
    <w:styleLink w:val="WWOutlineListStyle4"/>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BD903F6"/>
    <w:multiLevelType w:val="multilevel"/>
    <w:tmpl w:val="4A10C476"/>
    <w:styleLink w:val="WWOutlineListStyle11"/>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DEA52FC"/>
    <w:multiLevelType w:val="multilevel"/>
    <w:tmpl w:val="0F962C80"/>
    <w:lvl w:ilvl="0">
      <w:start w:val="5"/>
      <w:numFmt w:val="decimal"/>
      <w:lvlText w:val="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C0512D"/>
    <w:multiLevelType w:val="hybridMultilevel"/>
    <w:tmpl w:val="02A49A5A"/>
    <w:lvl w:ilvl="0" w:tplc="A0AEA08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7F14C6"/>
    <w:multiLevelType w:val="hybridMultilevel"/>
    <w:tmpl w:val="E34A0DF2"/>
    <w:lvl w:ilvl="0" w:tplc="3DE27668">
      <w:start w:val="2"/>
      <w:numFmt w:val="lowerLetter"/>
      <w:lvlText w:val="%1)"/>
      <w:lvlJc w:val="left"/>
      <w:pPr>
        <w:ind w:left="1068" w:hanging="360"/>
      </w:pPr>
      <w:rPr>
        <w:rFonts w:ascii="Arial" w:hAnsi="Arial" w:cs="Aria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2A275CF2"/>
    <w:multiLevelType w:val="multilevel"/>
    <w:tmpl w:val="D494C464"/>
    <w:styleLink w:val="WWOutlineListStyle14"/>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2F86765B"/>
    <w:multiLevelType w:val="hybridMultilevel"/>
    <w:tmpl w:val="AE020BFC"/>
    <w:lvl w:ilvl="0" w:tplc="B3B4A938">
      <w:start w:val="13"/>
      <w:numFmt w:val="decimal"/>
      <w:lvlText w:val="Ad. %1"/>
      <w:lvlJc w:val="left"/>
      <w:pPr>
        <w:ind w:left="36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6B13C9"/>
    <w:multiLevelType w:val="multilevel"/>
    <w:tmpl w:val="6BDAE9D2"/>
    <w:styleLink w:val="WWOutlineListStyle7"/>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33077C9"/>
    <w:multiLevelType w:val="multilevel"/>
    <w:tmpl w:val="4CD635DC"/>
    <w:styleLink w:val="WWOutlineListStyle12"/>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8570E9F"/>
    <w:multiLevelType w:val="multilevel"/>
    <w:tmpl w:val="47DC4E34"/>
    <w:styleLink w:val="WWOutlineListStyle5"/>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DC32A6B"/>
    <w:multiLevelType w:val="hybridMultilevel"/>
    <w:tmpl w:val="E61AF9D6"/>
    <w:lvl w:ilvl="0" w:tplc="A6AA614E">
      <w:start w:val="2"/>
      <w:numFmt w:val="lowerLetter"/>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735457"/>
    <w:multiLevelType w:val="multilevel"/>
    <w:tmpl w:val="767E343E"/>
    <w:styleLink w:val="WWOutlineListStyle15"/>
    <w:lvl w:ilvl="0">
      <w:start w:val="1"/>
      <w:numFmt w:val="decimal"/>
      <w:pStyle w:val="Tytu"/>
      <w:lvlText w:val="%1."/>
      <w:lvlJc w:val="left"/>
      <w:pPr>
        <w:ind w:left="360" w:hanging="360"/>
      </w:pPr>
      <w:rPr>
        <w:rFonts w:ascii="Garamond" w:hAnsi="Garamond"/>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40F07010"/>
    <w:multiLevelType w:val="hybridMultilevel"/>
    <w:tmpl w:val="527E1C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EA3AF8"/>
    <w:multiLevelType w:val="hybridMultilevel"/>
    <w:tmpl w:val="039CD8E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4244CBE"/>
    <w:multiLevelType w:val="multilevel"/>
    <w:tmpl w:val="BA9205C2"/>
    <w:styleLink w:val="WWOutlineListStyle19"/>
    <w:lvl w:ilvl="0">
      <w:start w:val="1"/>
      <w:numFmt w:val="decimal"/>
      <w:pStyle w:val="Nagwek1"/>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480C4B26"/>
    <w:multiLevelType w:val="multilevel"/>
    <w:tmpl w:val="6CF6A982"/>
    <w:styleLink w:val="WWOutlineListStyle16"/>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8BE6EB6"/>
    <w:multiLevelType w:val="hybridMultilevel"/>
    <w:tmpl w:val="0E8C6370"/>
    <w:lvl w:ilvl="0" w:tplc="3420F746">
      <w:start w:val="1"/>
      <w:numFmt w:val="bullet"/>
      <w:lvlText w:val=""/>
      <w:lvlJc w:val="left"/>
      <w:pPr>
        <w:ind w:left="360" w:hanging="360"/>
      </w:pPr>
      <w:rPr>
        <w:rFonts w:ascii="Symbol" w:hAnsi="Symbol" w:hint="default"/>
        <w:color w:val="auto"/>
        <w:sz w:val="16"/>
        <w:szCs w:val="16"/>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A457102"/>
    <w:multiLevelType w:val="hybridMultilevel"/>
    <w:tmpl w:val="3042BAE0"/>
    <w:lvl w:ilvl="0" w:tplc="F6B2C4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FB2552"/>
    <w:multiLevelType w:val="multilevel"/>
    <w:tmpl w:val="FA448986"/>
    <w:styleLink w:val="WWOutlineListStyle17"/>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53F528CE"/>
    <w:multiLevelType w:val="multilevel"/>
    <w:tmpl w:val="2DCEC25C"/>
    <w:styleLink w:val="WWOutlineListStyle1"/>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557B1D63"/>
    <w:multiLevelType w:val="hybridMultilevel"/>
    <w:tmpl w:val="66EAAE78"/>
    <w:lvl w:ilvl="0" w:tplc="F3746EAA">
      <w:start w:val="10"/>
      <w:numFmt w:val="decimal"/>
      <w:lvlText w:val="Ad. %1"/>
      <w:lvlJc w:val="left"/>
      <w:pPr>
        <w:ind w:left="360" w:hanging="360"/>
      </w:pPr>
      <w:rPr>
        <w:rFonts w:ascii="Arial" w:hAnsi="Arial" w:cs="Arial" w:hint="default"/>
      </w:rPr>
    </w:lvl>
    <w:lvl w:ilvl="1" w:tplc="04150019" w:tentative="1">
      <w:start w:val="1"/>
      <w:numFmt w:val="lowerLetter"/>
      <w:lvlText w:val="%2."/>
      <w:lvlJc w:val="left"/>
      <w:pPr>
        <w:ind w:left="-545" w:hanging="360"/>
      </w:pPr>
    </w:lvl>
    <w:lvl w:ilvl="2" w:tplc="0415001B" w:tentative="1">
      <w:start w:val="1"/>
      <w:numFmt w:val="lowerRoman"/>
      <w:lvlText w:val="%3."/>
      <w:lvlJc w:val="right"/>
      <w:pPr>
        <w:ind w:left="175" w:hanging="180"/>
      </w:pPr>
    </w:lvl>
    <w:lvl w:ilvl="3" w:tplc="0415000F" w:tentative="1">
      <w:start w:val="1"/>
      <w:numFmt w:val="decimal"/>
      <w:lvlText w:val="%4."/>
      <w:lvlJc w:val="left"/>
      <w:pPr>
        <w:ind w:left="895" w:hanging="360"/>
      </w:pPr>
    </w:lvl>
    <w:lvl w:ilvl="4" w:tplc="04150019" w:tentative="1">
      <w:start w:val="1"/>
      <w:numFmt w:val="lowerLetter"/>
      <w:lvlText w:val="%5."/>
      <w:lvlJc w:val="left"/>
      <w:pPr>
        <w:ind w:left="1615" w:hanging="360"/>
      </w:pPr>
    </w:lvl>
    <w:lvl w:ilvl="5" w:tplc="0415001B" w:tentative="1">
      <w:start w:val="1"/>
      <w:numFmt w:val="lowerRoman"/>
      <w:lvlText w:val="%6."/>
      <w:lvlJc w:val="right"/>
      <w:pPr>
        <w:ind w:left="2335" w:hanging="180"/>
      </w:pPr>
    </w:lvl>
    <w:lvl w:ilvl="6" w:tplc="0415000F" w:tentative="1">
      <w:start w:val="1"/>
      <w:numFmt w:val="decimal"/>
      <w:lvlText w:val="%7."/>
      <w:lvlJc w:val="left"/>
      <w:pPr>
        <w:ind w:left="3055" w:hanging="360"/>
      </w:pPr>
    </w:lvl>
    <w:lvl w:ilvl="7" w:tplc="04150019" w:tentative="1">
      <w:start w:val="1"/>
      <w:numFmt w:val="lowerLetter"/>
      <w:lvlText w:val="%8."/>
      <w:lvlJc w:val="left"/>
      <w:pPr>
        <w:ind w:left="3775" w:hanging="360"/>
      </w:pPr>
    </w:lvl>
    <w:lvl w:ilvl="8" w:tplc="0415001B" w:tentative="1">
      <w:start w:val="1"/>
      <w:numFmt w:val="lowerRoman"/>
      <w:lvlText w:val="%9."/>
      <w:lvlJc w:val="right"/>
      <w:pPr>
        <w:ind w:left="4495" w:hanging="180"/>
      </w:pPr>
    </w:lvl>
  </w:abstractNum>
  <w:abstractNum w:abstractNumId="24" w15:restartNumberingAfterBreak="0">
    <w:nsid w:val="59847296"/>
    <w:multiLevelType w:val="multilevel"/>
    <w:tmpl w:val="609EF6AA"/>
    <w:styleLink w:val="WWOutlineListStyle10"/>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5A3C6E6F"/>
    <w:multiLevelType w:val="hybridMultilevel"/>
    <w:tmpl w:val="268068EA"/>
    <w:lvl w:ilvl="0" w:tplc="E57A1DA4">
      <w:start w:val="1"/>
      <w:numFmt w:val="decimal"/>
      <w:lvlText w:val="Ad. %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CE756B6"/>
    <w:multiLevelType w:val="hybridMultilevel"/>
    <w:tmpl w:val="7E8894B0"/>
    <w:lvl w:ilvl="0" w:tplc="DDA6CA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71978D0"/>
    <w:multiLevelType w:val="multilevel"/>
    <w:tmpl w:val="22E899FE"/>
    <w:styleLink w:val="WWOutlineListStyle1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7E45FF2"/>
    <w:multiLevelType w:val="multilevel"/>
    <w:tmpl w:val="3642CD0C"/>
    <w:styleLink w:val="WWOutlineListStyle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8CA4EF1"/>
    <w:multiLevelType w:val="multilevel"/>
    <w:tmpl w:val="95C092EE"/>
    <w:styleLink w:val="WWOutlineListStyle6"/>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C5B2B62"/>
    <w:multiLevelType w:val="hybridMultilevel"/>
    <w:tmpl w:val="7D545B94"/>
    <w:lvl w:ilvl="0" w:tplc="11740F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0A76D4"/>
    <w:multiLevelType w:val="multilevel"/>
    <w:tmpl w:val="03D07ED2"/>
    <w:lvl w:ilvl="0">
      <w:start w:val="5"/>
      <w:numFmt w:val="decimal"/>
      <w:lvlText w:val="13.%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6705AB"/>
    <w:multiLevelType w:val="multilevel"/>
    <w:tmpl w:val="5946337E"/>
    <w:styleLink w:val="WWOutlineListStyle"/>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71F87D2A"/>
    <w:multiLevelType w:val="multilevel"/>
    <w:tmpl w:val="1F44FCDC"/>
    <w:styleLink w:val="WWOutlineListStyle2"/>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73AE2BDD"/>
    <w:multiLevelType w:val="hybridMultilevel"/>
    <w:tmpl w:val="123E40C2"/>
    <w:lvl w:ilvl="0" w:tplc="DDA6CABE">
      <w:start w:val="1"/>
      <w:numFmt w:val="bullet"/>
      <w:lvlText w:val=""/>
      <w:lvlJc w:val="left"/>
      <w:pPr>
        <w:ind w:left="426" w:hanging="360"/>
      </w:pPr>
      <w:rPr>
        <w:rFonts w:ascii="Symbol" w:hAnsi="Symbol" w:hint="default"/>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35" w15:restartNumberingAfterBreak="0">
    <w:nsid w:val="765B514D"/>
    <w:multiLevelType w:val="hybridMultilevel"/>
    <w:tmpl w:val="63E60910"/>
    <w:lvl w:ilvl="0" w:tplc="27100D5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5E0A30"/>
    <w:multiLevelType w:val="hybridMultilevel"/>
    <w:tmpl w:val="E4482F8C"/>
    <w:lvl w:ilvl="0" w:tplc="DDA6CABE">
      <w:start w:val="1"/>
      <w:numFmt w:val="bullet"/>
      <w:lvlText w:val=""/>
      <w:lvlJc w:val="left"/>
      <w:pPr>
        <w:ind w:left="-9382" w:hanging="360"/>
      </w:pPr>
      <w:rPr>
        <w:rFonts w:ascii="Symbol" w:hAnsi="Symbol" w:hint="default"/>
      </w:rPr>
    </w:lvl>
    <w:lvl w:ilvl="1" w:tplc="04150003" w:tentative="1">
      <w:start w:val="1"/>
      <w:numFmt w:val="bullet"/>
      <w:lvlText w:val="o"/>
      <w:lvlJc w:val="left"/>
      <w:pPr>
        <w:ind w:left="-8662" w:hanging="360"/>
      </w:pPr>
      <w:rPr>
        <w:rFonts w:ascii="Courier New" w:hAnsi="Courier New" w:cs="Courier New" w:hint="default"/>
      </w:rPr>
    </w:lvl>
    <w:lvl w:ilvl="2" w:tplc="04150005" w:tentative="1">
      <w:start w:val="1"/>
      <w:numFmt w:val="bullet"/>
      <w:lvlText w:val=""/>
      <w:lvlJc w:val="left"/>
      <w:pPr>
        <w:ind w:left="-7942" w:hanging="360"/>
      </w:pPr>
      <w:rPr>
        <w:rFonts w:ascii="Wingdings" w:hAnsi="Wingdings" w:hint="default"/>
      </w:rPr>
    </w:lvl>
    <w:lvl w:ilvl="3" w:tplc="04150001" w:tentative="1">
      <w:start w:val="1"/>
      <w:numFmt w:val="bullet"/>
      <w:lvlText w:val=""/>
      <w:lvlJc w:val="left"/>
      <w:pPr>
        <w:ind w:left="-7222" w:hanging="360"/>
      </w:pPr>
      <w:rPr>
        <w:rFonts w:ascii="Symbol" w:hAnsi="Symbol" w:hint="default"/>
      </w:rPr>
    </w:lvl>
    <w:lvl w:ilvl="4" w:tplc="04150003" w:tentative="1">
      <w:start w:val="1"/>
      <w:numFmt w:val="bullet"/>
      <w:lvlText w:val="o"/>
      <w:lvlJc w:val="left"/>
      <w:pPr>
        <w:ind w:left="-6502" w:hanging="360"/>
      </w:pPr>
      <w:rPr>
        <w:rFonts w:ascii="Courier New" w:hAnsi="Courier New" w:cs="Courier New" w:hint="default"/>
      </w:rPr>
    </w:lvl>
    <w:lvl w:ilvl="5" w:tplc="04150005" w:tentative="1">
      <w:start w:val="1"/>
      <w:numFmt w:val="bullet"/>
      <w:lvlText w:val=""/>
      <w:lvlJc w:val="left"/>
      <w:pPr>
        <w:ind w:left="-5782" w:hanging="360"/>
      </w:pPr>
      <w:rPr>
        <w:rFonts w:ascii="Wingdings" w:hAnsi="Wingdings" w:hint="default"/>
      </w:rPr>
    </w:lvl>
    <w:lvl w:ilvl="6" w:tplc="04150001" w:tentative="1">
      <w:start w:val="1"/>
      <w:numFmt w:val="bullet"/>
      <w:lvlText w:val=""/>
      <w:lvlJc w:val="left"/>
      <w:pPr>
        <w:ind w:left="-5062" w:hanging="360"/>
      </w:pPr>
      <w:rPr>
        <w:rFonts w:ascii="Symbol" w:hAnsi="Symbol" w:hint="default"/>
      </w:rPr>
    </w:lvl>
    <w:lvl w:ilvl="7" w:tplc="04150003" w:tentative="1">
      <w:start w:val="1"/>
      <w:numFmt w:val="bullet"/>
      <w:lvlText w:val="o"/>
      <w:lvlJc w:val="left"/>
      <w:pPr>
        <w:ind w:left="-4342" w:hanging="360"/>
      </w:pPr>
      <w:rPr>
        <w:rFonts w:ascii="Courier New" w:hAnsi="Courier New" w:cs="Courier New" w:hint="default"/>
      </w:rPr>
    </w:lvl>
    <w:lvl w:ilvl="8" w:tplc="04150005" w:tentative="1">
      <w:start w:val="1"/>
      <w:numFmt w:val="bullet"/>
      <w:lvlText w:val=""/>
      <w:lvlJc w:val="left"/>
      <w:pPr>
        <w:ind w:left="-3622" w:hanging="360"/>
      </w:pPr>
      <w:rPr>
        <w:rFonts w:ascii="Wingdings" w:hAnsi="Wingdings" w:hint="default"/>
      </w:rPr>
    </w:lvl>
  </w:abstractNum>
  <w:abstractNum w:abstractNumId="37" w15:restartNumberingAfterBreak="0">
    <w:nsid w:val="7A87582A"/>
    <w:multiLevelType w:val="hybridMultilevel"/>
    <w:tmpl w:val="11CAC33C"/>
    <w:lvl w:ilvl="0" w:tplc="F80EDCD8">
      <w:start w:val="12"/>
      <w:numFmt w:val="decimal"/>
      <w:lvlText w:val="Ad. %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955109"/>
    <w:multiLevelType w:val="multilevel"/>
    <w:tmpl w:val="DB3AC6D6"/>
    <w:lvl w:ilvl="0">
      <w:start w:val="1"/>
      <w:numFmt w:val="decimal"/>
      <w:lvlText w:val="%1."/>
      <w:lvlJc w:val="left"/>
      <w:pPr>
        <w:ind w:left="786" w:hanging="360"/>
      </w:pPr>
      <w:rPr>
        <w:rFonts w:ascii="Arial" w:hAnsi="Arial" w:cs="Arial" w:hint="default"/>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D480887"/>
    <w:multiLevelType w:val="hybridMultilevel"/>
    <w:tmpl w:val="BA8297CC"/>
    <w:lvl w:ilvl="0" w:tplc="0368278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D532CE1"/>
    <w:multiLevelType w:val="hybridMultilevel"/>
    <w:tmpl w:val="9A1CB0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1C3ECF"/>
    <w:multiLevelType w:val="multilevel"/>
    <w:tmpl w:val="AB080148"/>
    <w:styleLink w:val="WWOutlineListStyle9"/>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7E9B4EE2"/>
    <w:multiLevelType w:val="multilevel"/>
    <w:tmpl w:val="0354F6E0"/>
    <w:lvl w:ilvl="0">
      <w:start w:val="1"/>
      <w:numFmt w:val="decimal"/>
      <w:lvlText w:val="%1."/>
      <w:lvlJc w:val="left"/>
      <w:pPr>
        <w:ind w:left="360" w:hanging="360"/>
      </w:pPr>
      <w:rPr>
        <w:rFonts w:ascii="Arial" w:hAnsi="Arial" w:cs="Arial" w:hint="default"/>
        <w:color w:val="000000"/>
        <w:sz w:val="24"/>
        <w:szCs w:val="24"/>
      </w:rPr>
    </w:lvl>
    <w:lvl w:ilvl="1">
      <w:start w:val="1"/>
      <w:numFmt w:val="lowerLetter"/>
      <w:lvlText w:val="%2."/>
      <w:lvlJc w:val="left"/>
      <w:pPr>
        <w:ind w:left="730" w:hanging="360"/>
      </w:pPr>
      <w:rPr>
        <w:rFonts w:ascii="Garamond" w:hAnsi="Garamond" w:hint="default"/>
        <w:sz w:val="24"/>
        <w:szCs w:val="24"/>
      </w:r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num w:numId="1">
    <w:abstractNumId w:val="17"/>
  </w:num>
  <w:num w:numId="2">
    <w:abstractNumId w:val="27"/>
  </w:num>
  <w:num w:numId="3">
    <w:abstractNumId w:val="21"/>
  </w:num>
  <w:num w:numId="4">
    <w:abstractNumId w:val="18"/>
  </w:num>
  <w:num w:numId="5">
    <w:abstractNumId w:val="8"/>
  </w:num>
  <w:num w:numId="6">
    <w:abstractNumId w:val="0"/>
  </w:num>
  <w:num w:numId="7">
    <w:abstractNumId w:val="11"/>
  </w:num>
  <w:num w:numId="8">
    <w:abstractNumId w:val="4"/>
  </w:num>
  <w:num w:numId="9">
    <w:abstractNumId w:val="24"/>
  </w:num>
  <w:num w:numId="10">
    <w:abstractNumId w:val="41"/>
  </w:num>
  <w:num w:numId="11">
    <w:abstractNumId w:val="28"/>
  </w:num>
  <w:num w:numId="12">
    <w:abstractNumId w:val="10"/>
  </w:num>
  <w:num w:numId="13">
    <w:abstractNumId w:val="29"/>
  </w:num>
  <w:num w:numId="14">
    <w:abstractNumId w:val="12"/>
  </w:num>
  <w:num w:numId="15">
    <w:abstractNumId w:val="3"/>
  </w:num>
  <w:num w:numId="16">
    <w:abstractNumId w:val="1"/>
  </w:num>
  <w:num w:numId="17">
    <w:abstractNumId w:val="33"/>
  </w:num>
  <w:num w:numId="18">
    <w:abstractNumId w:val="22"/>
  </w:num>
  <w:num w:numId="19">
    <w:abstractNumId w:val="32"/>
  </w:num>
  <w:num w:numId="20">
    <w:abstractNumId w:val="14"/>
    <w:lvlOverride w:ilvl="0">
      <w:lvl w:ilvl="0">
        <w:start w:val="1"/>
        <w:numFmt w:val="decimal"/>
        <w:pStyle w:val="Tytu"/>
        <w:lvlText w:val="%1."/>
        <w:lvlJc w:val="left"/>
        <w:pPr>
          <w:ind w:left="360" w:hanging="360"/>
        </w:pPr>
        <w:rPr>
          <w:rFonts w:ascii="Arial" w:hAnsi="Arial" w:cs="Arial" w:hint="default"/>
        </w:rPr>
      </w:lvl>
    </w:lvlOverride>
  </w:num>
  <w:num w:numId="21">
    <w:abstractNumId w:val="42"/>
  </w:num>
  <w:num w:numId="22">
    <w:abstractNumId w:val="38"/>
  </w:num>
  <w:num w:numId="23">
    <w:abstractNumId w:val="20"/>
  </w:num>
  <w:num w:numId="24">
    <w:abstractNumId w:val="39"/>
  </w:num>
  <w:num w:numId="25">
    <w:abstractNumId w:val="40"/>
  </w:num>
  <w:num w:numId="26">
    <w:abstractNumId w:val="19"/>
  </w:num>
  <w:num w:numId="27">
    <w:abstractNumId w:val="30"/>
  </w:num>
  <w:num w:numId="28">
    <w:abstractNumId w:val="23"/>
  </w:num>
  <w:num w:numId="29">
    <w:abstractNumId w:val="15"/>
  </w:num>
  <w:num w:numId="30">
    <w:abstractNumId w:val="35"/>
  </w:num>
  <w:num w:numId="31">
    <w:abstractNumId w:val="2"/>
  </w:num>
  <w:num w:numId="32">
    <w:abstractNumId w:val="7"/>
  </w:num>
  <w:num w:numId="33">
    <w:abstractNumId w:val="6"/>
  </w:num>
  <w:num w:numId="34">
    <w:abstractNumId w:val="13"/>
  </w:num>
  <w:num w:numId="35">
    <w:abstractNumId w:val="5"/>
  </w:num>
  <w:num w:numId="36">
    <w:abstractNumId w:val="31"/>
  </w:num>
  <w:num w:numId="37">
    <w:abstractNumId w:val="36"/>
  </w:num>
  <w:num w:numId="38">
    <w:abstractNumId w:val="25"/>
  </w:num>
  <w:num w:numId="39">
    <w:abstractNumId w:val="14"/>
  </w:num>
  <w:num w:numId="40">
    <w:abstractNumId w:val="26"/>
  </w:num>
  <w:num w:numId="41">
    <w:abstractNumId w:val="34"/>
  </w:num>
  <w:num w:numId="42">
    <w:abstractNumId w:val="16"/>
  </w:num>
  <w:num w:numId="43">
    <w:abstractNumId w:val="37"/>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1C7"/>
    <w:rsid w:val="0004440C"/>
    <w:rsid w:val="002B01B9"/>
    <w:rsid w:val="00427E7D"/>
    <w:rsid w:val="00432C5A"/>
    <w:rsid w:val="00492BED"/>
    <w:rsid w:val="00593A34"/>
    <w:rsid w:val="009051C7"/>
    <w:rsid w:val="00A731CA"/>
    <w:rsid w:val="00A85211"/>
    <w:rsid w:val="00B4419D"/>
    <w:rsid w:val="00B456BC"/>
    <w:rsid w:val="00BC4EC0"/>
    <w:rsid w:val="00CF7D59"/>
    <w:rsid w:val="00ED5B8C"/>
    <w:rsid w:val="00FA77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641BB6"/>
  <w15:docId w15:val="{48F970E9-9B89-42F9-A45B-8ECF2A58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Akapitzlist"/>
    <w:next w:val="Normalny"/>
    <w:link w:val="Nagwek1Znak"/>
    <w:uiPriority w:val="9"/>
    <w:qFormat/>
    <w:rsid w:val="0004440C"/>
    <w:pPr>
      <w:numPr>
        <w:numId w:val="1"/>
      </w:numPr>
      <w:spacing w:before="120" w:after="0" w:line="312" w:lineRule="auto"/>
      <w:jc w:val="both"/>
      <w:outlineLvl w:val="0"/>
    </w:pPr>
    <w:rPr>
      <w:rFonts w:ascii="Garamond" w:hAnsi="Garamond"/>
      <w:b/>
      <w:bCs/>
      <w:sz w:val="24"/>
      <w:szCs w:val="24"/>
    </w:rPr>
  </w:style>
  <w:style w:type="paragraph" w:styleId="Nagwek2">
    <w:name w:val="heading 2"/>
    <w:basedOn w:val="Normalny"/>
    <w:next w:val="Normalny"/>
    <w:link w:val="Nagwek2Znak"/>
    <w:uiPriority w:val="9"/>
    <w:semiHidden/>
    <w:unhideWhenUsed/>
    <w:qFormat/>
    <w:rsid w:val="0004440C"/>
    <w:pPr>
      <w:keepNext/>
      <w:keepLines/>
      <w:suppressAutoHyphens/>
      <w:autoSpaceDN w:val="0"/>
      <w:spacing w:before="40" w:after="0"/>
      <w:textAlignment w:val="baseline"/>
      <w:outlineLvl w:val="1"/>
    </w:pPr>
    <w:rPr>
      <w:rFonts w:ascii="Cambria" w:eastAsia="Times New Roman" w:hAnsi="Cambria"/>
      <w:color w:val="365F91"/>
      <w:sz w:val="26"/>
      <w:szCs w:val="26"/>
    </w:rPr>
  </w:style>
  <w:style w:type="paragraph" w:styleId="Nagwek3">
    <w:name w:val="heading 3"/>
    <w:basedOn w:val="Normalny"/>
    <w:next w:val="Normalny"/>
    <w:link w:val="Nagwek3Znak"/>
    <w:uiPriority w:val="9"/>
    <w:semiHidden/>
    <w:unhideWhenUsed/>
    <w:qFormat/>
    <w:rsid w:val="0004440C"/>
    <w:pPr>
      <w:keepNext/>
      <w:keepLines/>
      <w:suppressAutoHyphens/>
      <w:autoSpaceDN w:val="0"/>
      <w:spacing w:before="40" w:after="0"/>
      <w:textAlignment w:val="baseline"/>
      <w:outlineLvl w:val="2"/>
    </w:pPr>
    <w:rPr>
      <w:rFonts w:ascii="Cambria" w:eastAsia="Times New Roman" w:hAnsi="Cambria"/>
      <w:color w:val="243F6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nhideWhenUsed/>
    <w:rsid w:val="000F38F9"/>
    <w:pPr>
      <w:spacing w:after="0" w:line="240" w:lineRule="auto"/>
    </w:pPr>
    <w:rPr>
      <w:rFonts w:ascii="Tahoma" w:hAnsi="Tahoma" w:cs="Tahoma"/>
      <w:sz w:val="16"/>
      <w:szCs w:val="16"/>
    </w:rPr>
  </w:style>
  <w:style w:type="character" w:customStyle="1" w:styleId="TekstdymkaZnak">
    <w:name w:val="Tekst dymka Znak"/>
    <w:link w:val="Tekstdymka"/>
    <w:rsid w:val="000F38F9"/>
    <w:rPr>
      <w:rFonts w:ascii="Tahoma" w:hAnsi="Tahoma" w:cs="Tahoma"/>
      <w:sz w:val="16"/>
      <w:szCs w:val="16"/>
    </w:rPr>
  </w:style>
  <w:style w:type="character" w:styleId="Hipercze">
    <w:name w:val="Hyperlink"/>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uiPriority w:val="9"/>
    <w:rsid w:val="0004440C"/>
    <w:rPr>
      <w:rFonts w:ascii="Garamond" w:hAnsi="Garamond"/>
      <w:b/>
      <w:bCs/>
      <w:sz w:val="24"/>
      <w:szCs w:val="24"/>
      <w:lang w:eastAsia="en-US"/>
    </w:rPr>
  </w:style>
  <w:style w:type="character" w:customStyle="1" w:styleId="Nagwek2Znak">
    <w:name w:val="Nagłówek 2 Znak"/>
    <w:basedOn w:val="Domylnaczcionkaakapitu"/>
    <w:link w:val="Nagwek2"/>
    <w:uiPriority w:val="9"/>
    <w:semiHidden/>
    <w:rsid w:val="0004440C"/>
    <w:rPr>
      <w:rFonts w:ascii="Cambria" w:eastAsia="Times New Roman" w:hAnsi="Cambria"/>
      <w:color w:val="365F91"/>
      <w:sz w:val="26"/>
      <w:szCs w:val="26"/>
      <w:lang w:eastAsia="en-US"/>
    </w:rPr>
  </w:style>
  <w:style w:type="character" w:customStyle="1" w:styleId="Nagwek3Znak">
    <w:name w:val="Nagłówek 3 Znak"/>
    <w:basedOn w:val="Domylnaczcionkaakapitu"/>
    <w:link w:val="Nagwek3"/>
    <w:uiPriority w:val="9"/>
    <w:semiHidden/>
    <w:rsid w:val="0004440C"/>
    <w:rPr>
      <w:rFonts w:ascii="Cambria" w:eastAsia="Times New Roman" w:hAnsi="Cambria"/>
      <w:color w:val="243F60"/>
      <w:sz w:val="24"/>
      <w:szCs w:val="24"/>
      <w:lang w:eastAsia="en-US"/>
    </w:rPr>
  </w:style>
  <w:style w:type="numbering" w:customStyle="1" w:styleId="WWOutlineListStyle19">
    <w:name w:val="WW_OutlineListStyle_19"/>
    <w:basedOn w:val="Bezlisty"/>
    <w:rsid w:val="0004440C"/>
    <w:pPr>
      <w:numPr>
        <w:numId w:val="1"/>
      </w:numPr>
    </w:pPr>
  </w:style>
  <w:style w:type="paragraph" w:styleId="Podtytu">
    <w:name w:val="Subtitle"/>
    <w:basedOn w:val="Normalny"/>
    <w:next w:val="Normalny"/>
    <w:link w:val="PodtytuZnak"/>
    <w:uiPriority w:val="11"/>
    <w:qFormat/>
    <w:rsid w:val="0004440C"/>
    <w:pPr>
      <w:suppressAutoHyphens/>
      <w:autoSpaceDN w:val="0"/>
      <w:spacing w:after="120" w:line="312" w:lineRule="auto"/>
      <w:ind w:firstLine="357"/>
      <w:textAlignment w:val="baseline"/>
    </w:pPr>
    <w:rPr>
      <w:rFonts w:ascii="Garamond" w:hAnsi="Garamond" w:cs="Arial"/>
      <w:b/>
      <w:sz w:val="24"/>
      <w:szCs w:val="24"/>
    </w:rPr>
  </w:style>
  <w:style w:type="character" w:customStyle="1" w:styleId="PodtytuZnak">
    <w:name w:val="Podtytuł Znak"/>
    <w:basedOn w:val="Domylnaczcionkaakapitu"/>
    <w:link w:val="Podtytu"/>
    <w:uiPriority w:val="11"/>
    <w:rsid w:val="0004440C"/>
    <w:rPr>
      <w:rFonts w:ascii="Garamond" w:hAnsi="Garamond" w:cs="Arial"/>
      <w:b/>
      <w:sz w:val="24"/>
      <w:szCs w:val="24"/>
      <w:lang w:eastAsia="en-US"/>
    </w:rPr>
  </w:style>
  <w:style w:type="character" w:styleId="Uwydatnienie">
    <w:name w:val="Emphasis"/>
    <w:rsid w:val="0004440C"/>
    <w:rPr>
      <w:rFonts w:ascii="Garamond" w:hAnsi="Garamond"/>
      <w:color w:val="000000"/>
      <w:sz w:val="24"/>
      <w:szCs w:val="24"/>
    </w:rPr>
  </w:style>
  <w:style w:type="paragraph" w:styleId="Tekstprzypisudolnego">
    <w:name w:val="footnote text"/>
    <w:basedOn w:val="Normalny"/>
    <w:link w:val="TekstprzypisudolnegoZnak"/>
    <w:rsid w:val="0004440C"/>
    <w:pPr>
      <w:suppressAutoHyphens/>
      <w:autoSpaceDN w:val="0"/>
      <w:spacing w:after="0" w:line="240" w:lineRule="auto"/>
      <w:textAlignment w:val="baseline"/>
    </w:pPr>
    <w:rPr>
      <w:sz w:val="20"/>
      <w:szCs w:val="20"/>
    </w:rPr>
  </w:style>
  <w:style w:type="character" w:customStyle="1" w:styleId="TekstprzypisudolnegoZnak">
    <w:name w:val="Tekst przypisu dolnego Znak"/>
    <w:basedOn w:val="Domylnaczcionkaakapitu"/>
    <w:link w:val="Tekstprzypisudolnego"/>
    <w:rsid w:val="0004440C"/>
    <w:rPr>
      <w:lang w:eastAsia="en-US"/>
    </w:rPr>
  </w:style>
  <w:style w:type="character" w:styleId="Odwoanieprzypisudolnego">
    <w:name w:val="footnote reference"/>
    <w:basedOn w:val="Domylnaczcionkaakapitu"/>
    <w:rsid w:val="0004440C"/>
    <w:rPr>
      <w:position w:val="0"/>
      <w:vertAlign w:val="superscript"/>
    </w:rPr>
  </w:style>
  <w:style w:type="character" w:customStyle="1" w:styleId="alb">
    <w:name w:val="a_lb"/>
    <w:basedOn w:val="Domylnaczcionkaakapitu"/>
    <w:rsid w:val="0004440C"/>
  </w:style>
  <w:style w:type="paragraph" w:styleId="Akapitzlist">
    <w:name w:val="List Paragraph"/>
    <w:aliases w:val="Wyliczanie,List Paragraph,List Paragraph_0,Obiekt"/>
    <w:basedOn w:val="Normalny"/>
    <w:uiPriority w:val="34"/>
    <w:qFormat/>
    <w:rsid w:val="0004440C"/>
    <w:pPr>
      <w:suppressAutoHyphens/>
      <w:autoSpaceDN w:val="0"/>
      <w:ind w:left="720"/>
      <w:textAlignment w:val="baseline"/>
    </w:pPr>
  </w:style>
  <w:style w:type="paragraph" w:styleId="Tytu">
    <w:name w:val="Title"/>
    <w:basedOn w:val="Nagwek1"/>
    <w:next w:val="Normalny"/>
    <w:link w:val="TytuZnak"/>
    <w:uiPriority w:val="10"/>
    <w:qFormat/>
    <w:rsid w:val="0004440C"/>
    <w:pPr>
      <w:numPr>
        <w:numId w:val="20"/>
      </w:numPr>
    </w:pPr>
    <w:rPr>
      <w:color w:val="000000"/>
      <w:lang w:eastAsia="pl-PL"/>
    </w:rPr>
  </w:style>
  <w:style w:type="character" w:customStyle="1" w:styleId="TytuZnak">
    <w:name w:val="Tytuł Znak"/>
    <w:basedOn w:val="Domylnaczcionkaakapitu"/>
    <w:link w:val="Tytu"/>
    <w:uiPriority w:val="10"/>
    <w:rsid w:val="0004440C"/>
    <w:rPr>
      <w:rFonts w:ascii="Garamond" w:hAnsi="Garamond"/>
      <w:b/>
      <w:bCs/>
      <w:color w:val="000000"/>
      <w:sz w:val="24"/>
      <w:szCs w:val="24"/>
    </w:rPr>
  </w:style>
  <w:style w:type="paragraph" w:styleId="Cytat">
    <w:name w:val="Quote"/>
    <w:basedOn w:val="Normalny"/>
    <w:next w:val="Normalny"/>
    <w:link w:val="CytatZnak"/>
    <w:rsid w:val="0004440C"/>
    <w:pPr>
      <w:suppressAutoHyphens/>
      <w:autoSpaceDN w:val="0"/>
      <w:spacing w:after="120" w:line="312" w:lineRule="auto"/>
      <w:ind w:left="624"/>
      <w:jc w:val="both"/>
      <w:textAlignment w:val="baseline"/>
    </w:pPr>
    <w:rPr>
      <w:rFonts w:ascii="Garamond" w:hAnsi="Garamond"/>
      <w:b/>
      <w:bCs/>
      <w:sz w:val="24"/>
      <w:szCs w:val="24"/>
    </w:rPr>
  </w:style>
  <w:style w:type="character" w:customStyle="1" w:styleId="CytatZnak">
    <w:name w:val="Cytat Znak"/>
    <w:basedOn w:val="Domylnaczcionkaakapitu"/>
    <w:link w:val="Cytat"/>
    <w:rsid w:val="0004440C"/>
    <w:rPr>
      <w:rFonts w:ascii="Garamond" w:hAnsi="Garamond"/>
      <w:b/>
      <w:bCs/>
      <w:sz w:val="24"/>
      <w:szCs w:val="24"/>
      <w:lang w:eastAsia="en-US"/>
    </w:rPr>
  </w:style>
  <w:style w:type="character" w:styleId="Odwoaniedelikatne">
    <w:name w:val="Subtle Reference"/>
    <w:rsid w:val="0004440C"/>
    <w:rPr>
      <w:rFonts w:ascii="Garamond" w:hAnsi="Garamond"/>
      <w:color w:val="000000"/>
      <w:sz w:val="24"/>
      <w:szCs w:val="24"/>
    </w:rPr>
  </w:style>
  <w:style w:type="character" w:styleId="Wyrnienieintensywne">
    <w:name w:val="Intense Emphasis"/>
    <w:basedOn w:val="Odwoaniedelikatne"/>
    <w:rsid w:val="0004440C"/>
    <w:rPr>
      <w:rFonts w:ascii="Times New Roman" w:hAnsi="Times New Roman"/>
      <w:color w:val="000000"/>
      <w:sz w:val="24"/>
      <w:szCs w:val="24"/>
    </w:rPr>
  </w:style>
  <w:style w:type="character" w:customStyle="1" w:styleId="AkapitzlistZnak">
    <w:name w:val="Akapit z listą Znak"/>
    <w:aliases w:val="Wyliczanie Znak,List Paragraph Znak,List Paragraph_0 Znak,Obiekt Znak"/>
    <w:uiPriority w:val="34"/>
    <w:rsid w:val="0004440C"/>
    <w:rPr>
      <w:sz w:val="22"/>
      <w:szCs w:val="22"/>
      <w:lang w:eastAsia="en-US"/>
    </w:rPr>
  </w:style>
  <w:style w:type="character" w:styleId="Odwoaniedokomentarza">
    <w:name w:val="annotation reference"/>
    <w:basedOn w:val="Domylnaczcionkaakapitu"/>
    <w:uiPriority w:val="99"/>
    <w:rsid w:val="0004440C"/>
    <w:rPr>
      <w:sz w:val="16"/>
      <w:szCs w:val="16"/>
    </w:rPr>
  </w:style>
  <w:style w:type="paragraph" w:styleId="Tekstkomentarza">
    <w:name w:val="annotation text"/>
    <w:basedOn w:val="Normalny"/>
    <w:link w:val="TekstkomentarzaZnak"/>
    <w:uiPriority w:val="99"/>
    <w:rsid w:val="0004440C"/>
    <w:pPr>
      <w:suppressAutoHyphens/>
      <w:autoSpaceDN w:val="0"/>
      <w:spacing w:line="240" w:lineRule="auto"/>
      <w:textAlignment w:val="baseline"/>
    </w:pPr>
    <w:rPr>
      <w:sz w:val="20"/>
      <w:szCs w:val="20"/>
    </w:rPr>
  </w:style>
  <w:style w:type="character" w:customStyle="1" w:styleId="TekstkomentarzaZnak">
    <w:name w:val="Tekst komentarza Znak"/>
    <w:basedOn w:val="Domylnaczcionkaakapitu"/>
    <w:link w:val="Tekstkomentarza"/>
    <w:uiPriority w:val="99"/>
    <w:rsid w:val="0004440C"/>
    <w:rPr>
      <w:lang w:eastAsia="en-US"/>
    </w:rPr>
  </w:style>
  <w:style w:type="paragraph" w:styleId="Tematkomentarza">
    <w:name w:val="annotation subject"/>
    <w:basedOn w:val="Tekstkomentarza"/>
    <w:next w:val="Tekstkomentarza"/>
    <w:link w:val="TematkomentarzaZnak"/>
    <w:uiPriority w:val="99"/>
    <w:rsid w:val="0004440C"/>
    <w:rPr>
      <w:b/>
      <w:bCs/>
    </w:rPr>
  </w:style>
  <w:style w:type="character" w:customStyle="1" w:styleId="TematkomentarzaZnak">
    <w:name w:val="Temat komentarza Znak"/>
    <w:basedOn w:val="TekstkomentarzaZnak"/>
    <w:link w:val="Tematkomentarza"/>
    <w:uiPriority w:val="99"/>
    <w:rsid w:val="0004440C"/>
    <w:rPr>
      <w:b/>
      <w:bCs/>
      <w:lang w:eastAsia="en-US"/>
    </w:rPr>
  </w:style>
  <w:style w:type="paragraph" w:styleId="Bezodstpw">
    <w:name w:val="No Spacing"/>
    <w:uiPriority w:val="1"/>
    <w:qFormat/>
    <w:rsid w:val="0004440C"/>
    <w:pPr>
      <w:suppressAutoHyphens/>
      <w:autoSpaceDN w:val="0"/>
      <w:textAlignment w:val="baseline"/>
    </w:pPr>
    <w:rPr>
      <w:sz w:val="22"/>
      <w:szCs w:val="22"/>
      <w:lang w:eastAsia="en-US"/>
    </w:rPr>
  </w:style>
  <w:style w:type="character" w:styleId="Pogrubienie">
    <w:name w:val="Strong"/>
    <w:rsid w:val="0004440C"/>
    <w:rPr>
      <w:rFonts w:ascii="Times New Roman" w:hAnsi="Times New Roman"/>
      <w:sz w:val="23"/>
      <w:szCs w:val="23"/>
    </w:rPr>
  </w:style>
  <w:style w:type="paragraph" w:styleId="Poprawka">
    <w:name w:val="Revision"/>
    <w:rsid w:val="0004440C"/>
    <w:pPr>
      <w:suppressAutoHyphens/>
      <w:autoSpaceDN w:val="0"/>
      <w:textAlignment w:val="baseline"/>
    </w:pPr>
    <w:rPr>
      <w:sz w:val="22"/>
      <w:szCs w:val="22"/>
      <w:lang w:eastAsia="en-US"/>
    </w:rPr>
  </w:style>
  <w:style w:type="character" w:customStyle="1" w:styleId="FontStyle32">
    <w:name w:val="Font Style32"/>
    <w:basedOn w:val="Domylnaczcionkaakapitu"/>
    <w:rsid w:val="0004440C"/>
    <w:rPr>
      <w:rFonts w:ascii="Times New Roman" w:hAnsi="Times New Roman" w:cs="Times New Roman"/>
      <w:sz w:val="22"/>
      <w:szCs w:val="22"/>
    </w:rPr>
  </w:style>
  <w:style w:type="character" w:styleId="Wyrnieniedelikatne">
    <w:name w:val="Subtle Emphasis"/>
    <w:basedOn w:val="Uwydatnienie"/>
    <w:rsid w:val="0004440C"/>
    <w:rPr>
      <w:rFonts w:ascii="Garamond" w:hAnsi="Garamond"/>
      <w:color w:val="000000"/>
      <w:sz w:val="24"/>
      <w:szCs w:val="24"/>
    </w:rPr>
  </w:style>
  <w:style w:type="paragraph" w:styleId="Tekstprzypisukocowego">
    <w:name w:val="endnote text"/>
    <w:basedOn w:val="Normalny"/>
    <w:link w:val="TekstprzypisukocowegoZnak"/>
    <w:rsid w:val="0004440C"/>
    <w:pPr>
      <w:suppressAutoHyphens/>
      <w:autoSpaceDN w:val="0"/>
      <w:spacing w:after="0" w:line="240" w:lineRule="auto"/>
      <w:textAlignment w:val="baseline"/>
    </w:pPr>
    <w:rPr>
      <w:sz w:val="20"/>
      <w:szCs w:val="20"/>
    </w:rPr>
  </w:style>
  <w:style w:type="character" w:customStyle="1" w:styleId="TekstprzypisukocowegoZnak">
    <w:name w:val="Tekst przypisu końcowego Znak"/>
    <w:basedOn w:val="Domylnaczcionkaakapitu"/>
    <w:link w:val="Tekstprzypisukocowego"/>
    <w:rsid w:val="0004440C"/>
    <w:rPr>
      <w:lang w:eastAsia="en-US"/>
    </w:rPr>
  </w:style>
  <w:style w:type="character" w:styleId="Odwoanieprzypisukocowego">
    <w:name w:val="endnote reference"/>
    <w:basedOn w:val="Domylnaczcionkaakapitu"/>
    <w:rsid w:val="0004440C"/>
    <w:rPr>
      <w:position w:val="0"/>
      <w:vertAlign w:val="superscript"/>
    </w:rPr>
  </w:style>
  <w:style w:type="paragraph" w:styleId="Tekstpodstawowy">
    <w:name w:val="Body Text"/>
    <w:basedOn w:val="Normalny"/>
    <w:link w:val="TekstpodstawowyZnak"/>
    <w:rsid w:val="0004440C"/>
    <w:pPr>
      <w:suppressAutoHyphens/>
      <w:overflowPunct w:val="0"/>
      <w:autoSpaceDE w:val="0"/>
      <w:autoSpaceDN w:val="0"/>
      <w:spacing w:after="0" w:line="240" w:lineRule="auto"/>
      <w:jc w:val="center"/>
      <w:textAlignment w:val="baseline"/>
    </w:pPr>
    <w:rPr>
      <w:rFonts w:ascii="Times New Roman" w:eastAsia="Times New Roman" w:hAnsi="Times New Roman"/>
      <w:b/>
      <w:sz w:val="26"/>
      <w:szCs w:val="20"/>
      <w:lang w:eastAsia="pl-PL"/>
    </w:rPr>
  </w:style>
  <w:style w:type="character" w:customStyle="1" w:styleId="TekstpodstawowyZnak">
    <w:name w:val="Tekst podstawowy Znak"/>
    <w:basedOn w:val="Domylnaczcionkaakapitu"/>
    <w:link w:val="Tekstpodstawowy"/>
    <w:rsid w:val="0004440C"/>
    <w:rPr>
      <w:rFonts w:ascii="Times New Roman" w:eastAsia="Times New Roman" w:hAnsi="Times New Roman"/>
      <w:b/>
      <w:sz w:val="26"/>
    </w:rPr>
  </w:style>
  <w:style w:type="paragraph" w:customStyle="1" w:styleId="ng-binding">
    <w:name w:val="ng-binding"/>
    <w:basedOn w:val="Normalny"/>
    <w:rsid w:val="0004440C"/>
    <w:pPr>
      <w:suppressAutoHyphens/>
      <w:autoSpaceDN w:val="0"/>
      <w:spacing w:before="100" w:after="100" w:line="240" w:lineRule="auto"/>
      <w:textAlignment w:val="baseline"/>
    </w:pPr>
    <w:rPr>
      <w:rFonts w:ascii="Times New Roman" w:eastAsia="Times New Roman" w:hAnsi="Times New Roman"/>
      <w:sz w:val="24"/>
      <w:szCs w:val="24"/>
      <w:lang w:eastAsia="pl-PL"/>
    </w:rPr>
  </w:style>
  <w:style w:type="paragraph" w:customStyle="1" w:styleId="04Tabelapodzielna">
    <w:name w:val="04_Tabela_podzielna"/>
    <w:basedOn w:val="Normalny"/>
    <w:next w:val="Normalny"/>
    <w:autoRedefine/>
    <w:rsid w:val="0004440C"/>
    <w:pPr>
      <w:suppressAutoHyphens/>
      <w:autoSpaceDN w:val="0"/>
      <w:spacing w:before="120" w:after="120" w:line="240" w:lineRule="auto"/>
      <w:ind w:left="-114" w:right="-83"/>
      <w:jc w:val="center"/>
      <w:textAlignment w:val="baseline"/>
    </w:pPr>
    <w:rPr>
      <w:rFonts w:ascii="Cambria" w:eastAsia="Yu Mincho" w:hAnsi="Cambria" w:cs="Tahoma"/>
      <w:b/>
      <w:bCs/>
      <w:color w:val="000000"/>
      <w:sz w:val="16"/>
    </w:rPr>
  </w:style>
  <w:style w:type="paragraph" w:customStyle="1" w:styleId="05Tabelapodzielnaczarnaczcionka">
    <w:name w:val="05_Tabela_podzielna_czarna_czcionka"/>
    <w:basedOn w:val="04Tabelapodzielna"/>
    <w:rsid w:val="0004440C"/>
  </w:style>
  <w:style w:type="character" w:customStyle="1" w:styleId="04TabelapodzielnaZnak">
    <w:name w:val="04_Tabela_podzielna Znak"/>
    <w:rsid w:val="0004440C"/>
    <w:rPr>
      <w:rFonts w:ascii="Cambria" w:eastAsia="Yu Mincho" w:hAnsi="Cambria" w:cs="Tahoma"/>
      <w:b/>
      <w:bCs/>
      <w:color w:val="000000"/>
      <w:sz w:val="16"/>
      <w:szCs w:val="22"/>
      <w:lang w:eastAsia="en-US"/>
    </w:rPr>
  </w:style>
  <w:style w:type="character" w:customStyle="1" w:styleId="05TabelapodzielnaczarnaczcionkaZnak">
    <w:name w:val="05_Tabela_podzielna_czarna_czcionka Znak"/>
    <w:basedOn w:val="04TabelapodzielnaZnak"/>
    <w:rsid w:val="0004440C"/>
    <w:rPr>
      <w:rFonts w:ascii="Cambria" w:eastAsia="Yu Mincho" w:hAnsi="Cambria" w:cs="Tahoma"/>
      <w:b/>
      <w:bCs/>
      <w:color w:val="000000"/>
      <w:sz w:val="16"/>
      <w:szCs w:val="22"/>
      <w:lang w:eastAsia="en-US"/>
    </w:rPr>
  </w:style>
  <w:style w:type="paragraph" w:styleId="Legenda">
    <w:name w:val="caption"/>
    <w:basedOn w:val="Normalny"/>
    <w:next w:val="Normalny"/>
    <w:uiPriority w:val="35"/>
    <w:qFormat/>
    <w:rsid w:val="0004440C"/>
    <w:pPr>
      <w:suppressAutoHyphens/>
      <w:autoSpaceDN w:val="0"/>
      <w:spacing w:line="240" w:lineRule="auto"/>
      <w:textAlignment w:val="baseline"/>
    </w:pPr>
    <w:rPr>
      <w:i/>
      <w:iCs/>
      <w:color w:val="1F497D"/>
      <w:sz w:val="18"/>
      <w:szCs w:val="18"/>
    </w:rPr>
  </w:style>
  <w:style w:type="character" w:customStyle="1" w:styleId="Nierozpoznanawzmianka1">
    <w:name w:val="Nierozpoznana wzmianka1"/>
    <w:basedOn w:val="Domylnaczcionkaakapitu"/>
    <w:rsid w:val="0004440C"/>
    <w:rPr>
      <w:color w:val="605E5C"/>
      <w:shd w:val="clear" w:color="auto" w:fill="E1DFDD"/>
    </w:rPr>
  </w:style>
  <w:style w:type="character" w:styleId="Tekstzastpczy">
    <w:name w:val="Placeholder Text"/>
    <w:basedOn w:val="Domylnaczcionkaakapitu"/>
    <w:rsid w:val="0004440C"/>
    <w:rPr>
      <w:color w:val="808080"/>
    </w:rPr>
  </w:style>
  <w:style w:type="character" w:customStyle="1" w:styleId="st">
    <w:name w:val="st"/>
    <w:basedOn w:val="Domylnaczcionkaakapitu"/>
    <w:rsid w:val="0004440C"/>
  </w:style>
  <w:style w:type="paragraph" w:customStyle="1" w:styleId="Default">
    <w:name w:val="Default"/>
    <w:rsid w:val="0004440C"/>
    <w:pPr>
      <w:suppressAutoHyphens/>
      <w:autoSpaceDE w:val="0"/>
      <w:autoSpaceDN w:val="0"/>
      <w:textAlignment w:val="baseline"/>
    </w:pPr>
    <w:rPr>
      <w:rFonts w:ascii="Times New Roman" w:hAnsi="Times New Roman"/>
      <w:color w:val="000000"/>
      <w:sz w:val="24"/>
      <w:szCs w:val="24"/>
      <w:lang w:val="en-US"/>
    </w:rPr>
  </w:style>
  <w:style w:type="paragraph" w:customStyle="1" w:styleId="moj">
    <w:name w:val="moj"/>
    <w:basedOn w:val="Normalny"/>
    <w:rsid w:val="0004440C"/>
    <w:pPr>
      <w:suppressAutoHyphens/>
      <w:autoSpaceDN w:val="0"/>
      <w:spacing w:before="120" w:after="320" w:line="360" w:lineRule="auto"/>
      <w:jc w:val="both"/>
      <w:textAlignment w:val="baseline"/>
    </w:pPr>
    <w:rPr>
      <w:rFonts w:ascii="Garamond" w:hAnsi="Garamond"/>
    </w:rPr>
  </w:style>
  <w:style w:type="character" w:customStyle="1" w:styleId="mojZnak">
    <w:name w:val="moj Znak"/>
    <w:rsid w:val="0004440C"/>
    <w:rPr>
      <w:rFonts w:ascii="Garamond" w:hAnsi="Garamond"/>
      <w:sz w:val="22"/>
      <w:szCs w:val="22"/>
      <w:lang w:eastAsia="en-US"/>
    </w:rPr>
  </w:style>
  <w:style w:type="character" w:customStyle="1" w:styleId="Teksttreci9">
    <w:name w:val="Tekst treści (9)_"/>
    <w:basedOn w:val="Domylnaczcionkaakapitu"/>
    <w:rsid w:val="0004440C"/>
    <w:rPr>
      <w:rFonts w:ascii="Times New Roman" w:eastAsia="Times New Roman" w:hAnsi="Times New Roman"/>
      <w:sz w:val="26"/>
      <w:szCs w:val="26"/>
      <w:shd w:val="clear" w:color="auto" w:fill="FFFFFF"/>
    </w:rPr>
  </w:style>
  <w:style w:type="paragraph" w:customStyle="1" w:styleId="Teksttreci90">
    <w:name w:val="Tekst treści (9)"/>
    <w:basedOn w:val="Normalny"/>
    <w:rsid w:val="0004440C"/>
    <w:pPr>
      <w:widowControl w:val="0"/>
      <w:shd w:val="clear" w:color="auto" w:fill="FFFFFF"/>
      <w:suppressAutoHyphens/>
      <w:autoSpaceDN w:val="0"/>
      <w:spacing w:after="320" w:line="240" w:lineRule="auto"/>
      <w:ind w:firstLine="620"/>
      <w:textAlignment w:val="baseline"/>
    </w:pPr>
    <w:rPr>
      <w:rFonts w:ascii="Times New Roman" w:eastAsia="Times New Roman" w:hAnsi="Times New Roman"/>
      <w:sz w:val="26"/>
      <w:szCs w:val="26"/>
      <w:lang w:eastAsia="pl-PL"/>
    </w:rPr>
  </w:style>
  <w:style w:type="character" w:styleId="UyteHipercze">
    <w:name w:val="FollowedHyperlink"/>
    <w:basedOn w:val="Domylnaczcionkaakapitu"/>
    <w:rsid w:val="0004440C"/>
    <w:rPr>
      <w:color w:val="800080"/>
      <w:u w:val="single"/>
    </w:rPr>
  </w:style>
  <w:style w:type="character" w:customStyle="1" w:styleId="Teksttreci">
    <w:name w:val="Tekst treści_"/>
    <w:basedOn w:val="Domylnaczcionkaakapitu"/>
    <w:rsid w:val="0004440C"/>
    <w:rPr>
      <w:rFonts w:ascii="Arial" w:eastAsia="Arial" w:hAnsi="Arial" w:cs="Arial"/>
      <w:shd w:val="clear" w:color="auto" w:fill="FFFFFF"/>
    </w:rPr>
  </w:style>
  <w:style w:type="paragraph" w:customStyle="1" w:styleId="Teksttreci0">
    <w:name w:val="Tekst treści"/>
    <w:basedOn w:val="Normalny"/>
    <w:rsid w:val="0004440C"/>
    <w:pPr>
      <w:widowControl w:val="0"/>
      <w:shd w:val="clear" w:color="auto" w:fill="FFFFFF"/>
      <w:suppressAutoHyphens/>
      <w:autoSpaceDN w:val="0"/>
      <w:spacing w:after="0" w:line="360" w:lineRule="auto"/>
      <w:textAlignment w:val="baseline"/>
    </w:pPr>
    <w:rPr>
      <w:rFonts w:ascii="Arial" w:eastAsia="Arial" w:hAnsi="Arial" w:cs="Arial"/>
      <w:sz w:val="20"/>
      <w:szCs w:val="20"/>
      <w:lang w:eastAsia="pl-PL"/>
    </w:rPr>
  </w:style>
  <w:style w:type="paragraph" w:customStyle="1" w:styleId="Bezodstpw1">
    <w:name w:val="Bez odstępów1"/>
    <w:rsid w:val="0004440C"/>
    <w:pPr>
      <w:suppressAutoHyphens/>
      <w:autoSpaceDN w:val="0"/>
      <w:textAlignment w:val="baseline"/>
    </w:pPr>
    <w:rPr>
      <w:rFonts w:ascii="Times New Roman" w:eastAsia="Times New Roman" w:hAnsi="Times New Roman"/>
      <w:sz w:val="24"/>
      <w:szCs w:val="24"/>
    </w:rPr>
  </w:style>
  <w:style w:type="character" w:customStyle="1" w:styleId="Nierozpoznanawzmianka2">
    <w:name w:val="Nierozpoznana wzmianka2"/>
    <w:basedOn w:val="Domylnaczcionkaakapitu"/>
    <w:rsid w:val="0004440C"/>
    <w:rPr>
      <w:color w:val="605E5C"/>
      <w:shd w:val="clear" w:color="auto" w:fill="E1DFDD"/>
    </w:rPr>
  </w:style>
  <w:style w:type="numbering" w:customStyle="1" w:styleId="WWOutlineListStyle18">
    <w:name w:val="WW_OutlineListStyle_18"/>
    <w:basedOn w:val="Bezlisty"/>
    <w:rsid w:val="0004440C"/>
    <w:pPr>
      <w:numPr>
        <w:numId w:val="2"/>
      </w:numPr>
    </w:pPr>
  </w:style>
  <w:style w:type="numbering" w:customStyle="1" w:styleId="WWOutlineListStyle17">
    <w:name w:val="WW_OutlineListStyle_17"/>
    <w:basedOn w:val="Bezlisty"/>
    <w:rsid w:val="0004440C"/>
    <w:pPr>
      <w:numPr>
        <w:numId w:val="3"/>
      </w:numPr>
    </w:pPr>
  </w:style>
  <w:style w:type="numbering" w:customStyle="1" w:styleId="WWOutlineListStyle16">
    <w:name w:val="WW_OutlineListStyle_16"/>
    <w:basedOn w:val="Bezlisty"/>
    <w:rsid w:val="0004440C"/>
    <w:pPr>
      <w:numPr>
        <w:numId w:val="4"/>
      </w:numPr>
    </w:pPr>
  </w:style>
  <w:style w:type="numbering" w:customStyle="1" w:styleId="WWOutlineListStyle14">
    <w:name w:val="WW_OutlineListStyle_14"/>
    <w:basedOn w:val="Bezlisty"/>
    <w:rsid w:val="0004440C"/>
    <w:pPr>
      <w:numPr>
        <w:numId w:val="5"/>
      </w:numPr>
    </w:pPr>
  </w:style>
  <w:style w:type="numbering" w:customStyle="1" w:styleId="WWOutlineListStyle13">
    <w:name w:val="WW_OutlineListStyle_13"/>
    <w:basedOn w:val="Bezlisty"/>
    <w:rsid w:val="0004440C"/>
    <w:pPr>
      <w:numPr>
        <w:numId w:val="6"/>
      </w:numPr>
    </w:pPr>
  </w:style>
  <w:style w:type="numbering" w:customStyle="1" w:styleId="WWOutlineListStyle12">
    <w:name w:val="WW_OutlineListStyle_12"/>
    <w:basedOn w:val="Bezlisty"/>
    <w:rsid w:val="0004440C"/>
    <w:pPr>
      <w:numPr>
        <w:numId w:val="7"/>
      </w:numPr>
    </w:pPr>
  </w:style>
  <w:style w:type="numbering" w:customStyle="1" w:styleId="WWOutlineListStyle11">
    <w:name w:val="WW_OutlineListStyle_11"/>
    <w:basedOn w:val="Bezlisty"/>
    <w:rsid w:val="0004440C"/>
    <w:pPr>
      <w:numPr>
        <w:numId w:val="8"/>
      </w:numPr>
    </w:pPr>
  </w:style>
  <w:style w:type="numbering" w:customStyle="1" w:styleId="WWOutlineListStyle10">
    <w:name w:val="WW_OutlineListStyle_10"/>
    <w:basedOn w:val="Bezlisty"/>
    <w:rsid w:val="0004440C"/>
    <w:pPr>
      <w:numPr>
        <w:numId w:val="9"/>
      </w:numPr>
    </w:pPr>
  </w:style>
  <w:style w:type="numbering" w:customStyle="1" w:styleId="WWOutlineListStyle9">
    <w:name w:val="WW_OutlineListStyle_9"/>
    <w:basedOn w:val="Bezlisty"/>
    <w:rsid w:val="0004440C"/>
    <w:pPr>
      <w:numPr>
        <w:numId w:val="10"/>
      </w:numPr>
    </w:pPr>
  </w:style>
  <w:style w:type="numbering" w:customStyle="1" w:styleId="WWOutlineListStyle8">
    <w:name w:val="WW_OutlineListStyle_8"/>
    <w:basedOn w:val="Bezlisty"/>
    <w:rsid w:val="0004440C"/>
    <w:pPr>
      <w:numPr>
        <w:numId w:val="11"/>
      </w:numPr>
    </w:pPr>
  </w:style>
  <w:style w:type="numbering" w:customStyle="1" w:styleId="WWOutlineListStyle7">
    <w:name w:val="WW_OutlineListStyle_7"/>
    <w:basedOn w:val="Bezlisty"/>
    <w:rsid w:val="0004440C"/>
    <w:pPr>
      <w:numPr>
        <w:numId w:val="12"/>
      </w:numPr>
    </w:pPr>
  </w:style>
  <w:style w:type="numbering" w:customStyle="1" w:styleId="WWOutlineListStyle6">
    <w:name w:val="WW_OutlineListStyle_6"/>
    <w:basedOn w:val="Bezlisty"/>
    <w:rsid w:val="0004440C"/>
    <w:pPr>
      <w:numPr>
        <w:numId w:val="13"/>
      </w:numPr>
    </w:pPr>
  </w:style>
  <w:style w:type="numbering" w:customStyle="1" w:styleId="WWOutlineListStyle5">
    <w:name w:val="WW_OutlineListStyle_5"/>
    <w:basedOn w:val="Bezlisty"/>
    <w:rsid w:val="0004440C"/>
    <w:pPr>
      <w:numPr>
        <w:numId w:val="14"/>
      </w:numPr>
    </w:pPr>
  </w:style>
  <w:style w:type="numbering" w:customStyle="1" w:styleId="WWOutlineListStyle4">
    <w:name w:val="WW_OutlineListStyle_4"/>
    <w:basedOn w:val="Bezlisty"/>
    <w:rsid w:val="0004440C"/>
    <w:pPr>
      <w:numPr>
        <w:numId w:val="15"/>
      </w:numPr>
    </w:pPr>
  </w:style>
  <w:style w:type="numbering" w:customStyle="1" w:styleId="WWOutlineListStyle3">
    <w:name w:val="WW_OutlineListStyle_3"/>
    <w:basedOn w:val="Bezlisty"/>
    <w:rsid w:val="0004440C"/>
    <w:pPr>
      <w:numPr>
        <w:numId w:val="16"/>
      </w:numPr>
    </w:pPr>
  </w:style>
  <w:style w:type="numbering" w:customStyle="1" w:styleId="WWOutlineListStyle2">
    <w:name w:val="WW_OutlineListStyle_2"/>
    <w:basedOn w:val="Bezlisty"/>
    <w:rsid w:val="0004440C"/>
    <w:pPr>
      <w:numPr>
        <w:numId w:val="17"/>
      </w:numPr>
    </w:pPr>
  </w:style>
  <w:style w:type="numbering" w:customStyle="1" w:styleId="WWOutlineListStyle1">
    <w:name w:val="WW_OutlineListStyle_1"/>
    <w:basedOn w:val="Bezlisty"/>
    <w:rsid w:val="0004440C"/>
    <w:pPr>
      <w:numPr>
        <w:numId w:val="18"/>
      </w:numPr>
    </w:pPr>
  </w:style>
  <w:style w:type="numbering" w:customStyle="1" w:styleId="WWOutlineListStyle">
    <w:name w:val="WW_OutlineListStyle"/>
    <w:basedOn w:val="Bezlisty"/>
    <w:rsid w:val="0004440C"/>
    <w:pPr>
      <w:numPr>
        <w:numId w:val="19"/>
      </w:numPr>
    </w:pPr>
  </w:style>
  <w:style w:type="numbering" w:customStyle="1" w:styleId="WWOutlineListStyle15">
    <w:name w:val="WW_OutlineListStyle_15"/>
    <w:basedOn w:val="Bezlisty"/>
    <w:rsid w:val="0004440C"/>
    <w:pPr>
      <w:numPr>
        <w:numId w:val="39"/>
      </w:numPr>
    </w:pPr>
  </w:style>
  <w:style w:type="table" w:customStyle="1" w:styleId="Tabela-Siatka1">
    <w:name w:val="Tabela - Siatka1"/>
    <w:basedOn w:val="Standardowy"/>
    <w:next w:val="Tabela-Siatka"/>
    <w:uiPriority w:val="59"/>
    <w:rsid w:val="00044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omylnaczcionkaakapitu"/>
    <w:link w:val="Other0"/>
    <w:rsid w:val="0004440C"/>
    <w:rPr>
      <w:rFonts w:ascii="Arial" w:eastAsia="Arial" w:hAnsi="Arial" w:cs="Arial"/>
      <w:sz w:val="22"/>
      <w:szCs w:val="22"/>
      <w:shd w:val="clear" w:color="auto" w:fill="FFFFFF"/>
    </w:rPr>
  </w:style>
  <w:style w:type="paragraph" w:customStyle="1" w:styleId="Other0">
    <w:name w:val="Other"/>
    <w:basedOn w:val="Normalny"/>
    <w:link w:val="Other"/>
    <w:rsid w:val="0004440C"/>
    <w:pPr>
      <w:widowControl w:val="0"/>
      <w:shd w:val="clear" w:color="auto" w:fill="FFFFFF"/>
      <w:spacing w:after="100"/>
    </w:pPr>
    <w:rPr>
      <w:rFonts w:ascii="Arial" w:eastAsia="Arial" w:hAnsi="Arial" w:cs="Arial"/>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12F9D-63ED-4DA2-B2DA-2AD65E3F9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39</Pages>
  <Words>19996</Words>
  <Characters>119982</Characters>
  <Application>Microsoft Office Word</Application>
  <DocSecurity>0</DocSecurity>
  <Lines>999</Lines>
  <Paragraphs>279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DOOŚ-WDŚIII.420.1.2023.DL/AKu.31</dc:title>
  <dc:creator>EZD</dc:creator>
  <cp:keywords>decyzja</cp:keywords>
  <cp:lastModifiedBy>Aleksandra Bączek</cp:lastModifiedBy>
  <cp:revision>3</cp:revision>
  <cp:lastPrinted>2010-12-24T09:23:00Z</cp:lastPrinted>
  <dcterms:created xsi:type="dcterms:W3CDTF">2025-09-18T11:20:00Z</dcterms:created>
  <dcterms:modified xsi:type="dcterms:W3CDTF">2025-10-02T13:34:00Z</dcterms:modified>
</cp:coreProperties>
</file>