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8A08EC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8A08EC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2128608454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8A08EC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6pt;width:154.5pt;height:54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" stroked="f">
                <v:textbox>
                  <w:txbxContent>
                    <w:p w:rsidR="00AB3BE4" w:rsidRDefault="008A08EC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212860845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RDefault="008A08EC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13 stycznia 2022 r.</w:t>
      </w:r>
      <w:bookmarkEnd w:id="0"/>
    </w:p>
    <w:p w:rsidR="004824F3" w:rsidRPr="00323698" w:rsidRDefault="008A08EC" w:rsidP="00691727">
      <w:pPr>
        <w:spacing w:before="840"/>
        <w:ind w:right="66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br/>
      </w:r>
      <w:bookmarkStart w:id="1" w:name="ezdSprawaZnak"/>
      <w:bookmarkStart w:id="2" w:name="_GoBack"/>
      <w:r w:rsidRPr="00323698">
        <w:rPr>
          <w:rFonts w:ascii="Calibri" w:hAnsi="Calibri" w:cs="Calibri"/>
          <w:bCs/>
        </w:rPr>
        <w:t>WNP-S.4131.11.2021</w:t>
      </w:r>
      <w:bookmarkEnd w:id="1"/>
      <w:bookmarkEnd w:id="2"/>
    </w:p>
    <w:p w:rsidR="00461CED" w:rsidRDefault="008A08EC" w:rsidP="00461CED">
      <w:pPr>
        <w:widowControl w:val="0"/>
        <w:suppressAutoHyphens/>
        <w:spacing w:line="276" w:lineRule="auto"/>
        <w:ind w:left="4332" w:firstLine="623"/>
        <w:jc w:val="both"/>
        <w:rPr>
          <w:rFonts w:ascii="Calibri" w:eastAsia="Lucida Sans Unicode" w:hAnsi="Calibri" w:cs="Calibri"/>
          <w:b/>
          <w:sz w:val="28"/>
          <w:szCs w:val="28"/>
          <w:lang w:eastAsia="ar-SA"/>
        </w:rPr>
      </w:pPr>
    </w:p>
    <w:p w:rsidR="00461CED" w:rsidRDefault="008A08EC" w:rsidP="00461CED">
      <w:pPr>
        <w:widowControl w:val="0"/>
        <w:suppressAutoHyphens/>
        <w:spacing w:line="276" w:lineRule="auto"/>
        <w:ind w:left="4332" w:firstLine="623"/>
        <w:jc w:val="both"/>
        <w:rPr>
          <w:rFonts w:ascii="Calibri" w:eastAsia="Lucida Sans Unicode" w:hAnsi="Calibri" w:cs="Calibri"/>
          <w:b/>
          <w:sz w:val="28"/>
          <w:szCs w:val="28"/>
          <w:lang w:eastAsia="ar-SA"/>
        </w:rPr>
      </w:pPr>
    </w:p>
    <w:p w:rsidR="00461CED" w:rsidRDefault="008A08EC" w:rsidP="00461CED">
      <w:pPr>
        <w:widowControl w:val="0"/>
        <w:suppressAutoHyphens/>
        <w:spacing w:line="276" w:lineRule="auto"/>
        <w:ind w:left="4332" w:firstLine="623"/>
        <w:jc w:val="both"/>
        <w:rPr>
          <w:rFonts w:ascii="Calibri" w:eastAsia="Lucida Sans Unicode" w:hAnsi="Calibri" w:cs="Calibri"/>
          <w:b/>
          <w:sz w:val="28"/>
          <w:szCs w:val="28"/>
          <w:lang w:eastAsia="ar-SA"/>
        </w:rPr>
      </w:pPr>
    </w:p>
    <w:p w:rsidR="00461CED" w:rsidRDefault="008A08EC" w:rsidP="00461CED">
      <w:pPr>
        <w:widowControl w:val="0"/>
        <w:suppressAutoHyphens/>
        <w:spacing w:line="276" w:lineRule="auto"/>
        <w:ind w:left="4332" w:firstLine="623"/>
        <w:jc w:val="both"/>
        <w:rPr>
          <w:rFonts w:ascii="Calibri" w:hAnsi="Calibri" w:cs="Calibri"/>
          <w:b/>
          <w:lang w:eastAsia="ar-SA"/>
        </w:rPr>
      </w:pPr>
      <w:r>
        <w:rPr>
          <w:rFonts w:ascii="Calibri" w:eastAsia="Lucida Sans Unicode" w:hAnsi="Calibri" w:cs="Calibri"/>
          <w:b/>
          <w:sz w:val="28"/>
          <w:szCs w:val="28"/>
          <w:lang w:eastAsia="ar-SA"/>
        </w:rPr>
        <w:t>Rada Miasta Siedlce</w:t>
      </w:r>
    </w:p>
    <w:p w:rsidR="00461CED" w:rsidRPr="00323698" w:rsidRDefault="008A08EC" w:rsidP="00461CED">
      <w:pPr>
        <w:suppressAutoHyphens/>
        <w:spacing w:line="276" w:lineRule="auto"/>
        <w:ind w:left="4247" w:firstLine="708"/>
        <w:jc w:val="both"/>
        <w:rPr>
          <w:rFonts w:ascii="Calibri" w:hAnsi="Calibri" w:cs="Calibri"/>
          <w:bCs/>
          <w:sz w:val="28"/>
          <w:szCs w:val="28"/>
          <w:lang w:eastAsia="ar-SA"/>
        </w:rPr>
      </w:pPr>
      <w:r w:rsidRPr="00323698">
        <w:rPr>
          <w:rFonts w:ascii="Calibri" w:hAnsi="Calibri" w:cs="Calibri"/>
          <w:bCs/>
          <w:sz w:val="28"/>
          <w:szCs w:val="28"/>
          <w:lang w:eastAsia="ar-SA"/>
        </w:rPr>
        <w:t>ul. Skwer Niepodległości 2</w:t>
      </w:r>
    </w:p>
    <w:p w:rsidR="00461CED" w:rsidRDefault="008A08EC" w:rsidP="00461CED">
      <w:pPr>
        <w:suppressAutoHyphens/>
        <w:spacing w:line="276" w:lineRule="auto"/>
        <w:ind w:left="4247" w:firstLine="708"/>
        <w:jc w:val="both"/>
        <w:rPr>
          <w:rFonts w:ascii="Calibri" w:hAnsi="Calibri" w:cs="Calibri"/>
          <w:b/>
          <w:sz w:val="28"/>
          <w:szCs w:val="28"/>
          <w:lang w:eastAsia="ar-SA"/>
        </w:rPr>
      </w:pPr>
      <w:r w:rsidRPr="00323698">
        <w:rPr>
          <w:rFonts w:ascii="Calibri" w:hAnsi="Calibri" w:cs="Calibri"/>
          <w:bCs/>
          <w:sz w:val="28"/>
          <w:szCs w:val="28"/>
          <w:lang w:eastAsia="ar-SA"/>
        </w:rPr>
        <w:t>08-110 Siedlce</w:t>
      </w:r>
    </w:p>
    <w:p w:rsidR="00461CED" w:rsidRDefault="008A08EC" w:rsidP="00461CED">
      <w:pPr>
        <w:suppressAutoHyphens/>
        <w:spacing w:line="276" w:lineRule="auto"/>
        <w:ind w:left="4247" w:firstLine="708"/>
        <w:jc w:val="both"/>
        <w:rPr>
          <w:rFonts w:ascii="Calibri" w:hAnsi="Calibri" w:cs="Calibri"/>
          <w:b/>
          <w:sz w:val="28"/>
          <w:szCs w:val="28"/>
          <w:lang w:eastAsia="ar-SA"/>
        </w:rPr>
      </w:pPr>
    </w:p>
    <w:p w:rsidR="00461CED" w:rsidRDefault="008A08EC" w:rsidP="00461CED">
      <w:pPr>
        <w:suppressAutoHyphens/>
        <w:jc w:val="both"/>
        <w:rPr>
          <w:rFonts w:ascii="Calibri" w:hAnsi="Calibri" w:cs="Calibri"/>
          <w:b/>
          <w:lang w:eastAsia="ar-SA"/>
        </w:rPr>
      </w:pPr>
    </w:p>
    <w:p w:rsidR="00461CED" w:rsidRDefault="008A08EC" w:rsidP="00461CED">
      <w:pPr>
        <w:suppressAutoHyphens/>
        <w:jc w:val="both"/>
        <w:rPr>
          <w:rFonts w:ascii="Calibri" w:hAnsi="Calibri" w:cs="Calibri"/>
          <w:b/>
          <w:lang w:eastAsia="ar-SA"/>
        </w:rPr>
      </w:pPr>
    </w:p>
    <w:p w:rsidR="00461CED" w:rsidRPr="00323698" w:rsidRDefault="008A08EC" w:rsidP="00461CED">
      <w:pPr>
        <w:suppressAutoHyphens/>
        <w:jc w:val="center"/>
        <w:rPr>
          <w:rFonts w:ascii="Calibri" w:hAnsi="Calibri" w:cs="Calibri"/>
          <w:caps/>
          <w:lang w:eastAsia="ar-SA"/>
        </w:rPr>
      </w:pPr>
      <w:r w:rsidRPr="00323698">
        <w:rPr>
          <w:rFonts w:ascii="Calibri" w:hAnsi="Calibri" w:cs="Calibri"/>
          <w:b/>
          <w:caps/>
          <w:lang w:eastAsia="ar-SA"/>
        </w:rPr>
        <w:t>Rozstrzygnięcie nadzorcze</w:t>
      </w:r>
    </w:p>
    <w:p w:rsidR="00461CED" w:rsidRDefault="008A08EC" w:rsidP="00461CED">
      <w:pPr>
        <w:suppressAutoHyphens/>
        <w:ind w:firstLine="709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Na podstawie art. 91 ust. 1 oraz art. 92 ustawy z dnia 8 marca 1990 r. </w:t>
      </w:r>
      <w:r>
        <w:rPr>
          <w:rFonts w:ascii="Calibri" w:hAnsi="Calibri" w:cs="Calibri"/>
          <w:i/>
          <w:lang w:eastAsia="ar-SA"/>
        </w:rPr>
        <w:t xml:space="preserve">o samorządzie </w:t>
      </w:r>
      <w:r>
        <w:rPr>
          <w:rFonts w:ascii="Calibri" w:hAnsi="Calibri" w:cs="Calibri"/>
          <w:i/>
          <w:lang w:eastAsia="ar-SA"/>
        </w:rPr>
        <w:t>gminnym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Theme="minorHAnsi" w:hAnsiTheme="minorHAnsi"/>
        </w:rPr>
        <w:t>(Dz. U. z 2021 r., poz. 1372 i 1834)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suppressAutoHyphens/>
        <w:spacing w:line="276" w:lineRule="auto"/>
        <w:jc w:val="center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>stwierdzam nieważność</w:t>
      </w:r>
    </w:p>
    <w:p w:rsidR="00461CED" w:rsidRDefault="008A08EC" w:rsidP="00461CED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uchwały nr XLV/454/2021 Rady Miasta Siedlce z dnia 20 grudnia 2021 r. </w:t>
      </w:r>
      <w:r>
        <w:rPr>
          <w:rFonts w:asciiTheme="minorHAnsi" w:hAnsiTheme="minorHAnsi"/>
          <w:i/>
        </w:rPr>
        <w:t xml:space="preserve">w sprawie ustalenia zasad przyznawania i wysokości diet dla radnych Rady Miasta Siedlce. </w:t>
      </w:r>
    </w:p>
    <w:p w:rsidR="00461CED" w:rsidRDefault="008A08EC" w:rsidP="00461CED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suppressAutoHyphens/>
        <w:spacing w:line="276" w:lineRule="auto"/>
        <w:jc w:val="center"/>
        <w:rPr>
          <w:rFonts w:ascii="Calibri" w:hAnsi="Calibri" w:cs="Calibri"/>
          <w:spacing w:val="-1"/>
          <w:lang w:eastAsia="ar-SA"/>
        </w:rPr>
      </w:pPr>
      <w:r>
        <w:rPr>
          <w:rFonts w:ascii="Calibri" w:hAnsi="Calibri" w:cs="Calibri"/>
          <w:b/>
          <w:lang w:eastAsia="ar-SA"/>
        </w:rPr>
        <w:t>Uzasadnienie</w:t>
      </w:r>
    </w:p>
    <w:p w:rsidR="00461CED" w:rsidRDefault="008A08EC" w:rsidP="00461CED">
      <w:pPr>
        <w:suppressAutoHyphens/>
        <w:spacing w:line="276" w:lineRule="auto"/>
        <w:jc w:val="both"/>
        <w:rPr>
          <w:rFonts w:ascii="Calibri" w:hAnsi="Calibri" w:cs="Calibri"/>
          <w:spacing w:val="-1"/>
          <w:lang w:eastAsia="ar-SA"/>
        </w:rPr>
      </w:pP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spacing w:val="-1"/>
          <w:lang w:eastAsia="ar-SA"/>
        </w:rPr>
      </w:pPr>
      <w:r>
        <w:rPr>
          <w:rFonts w:ascii="Calibri" w:hAnsi="Calibri" w:cs="Calibri"/>
          <w:spacing w:val="-1"/>
          <w:lang w:eastAsia="ar-SA"/>
        </w:rPr>
        <w:t xml:space="preserve"> Rada Miasta</w:t>
      </w:r>
      <w:r>
        <w:rPr>
          <w:rFonts w:ascii="Calibri" w:hAnsi="Calibri" w:cs="Calibri"/>
          <w:spacing w:val="-1"/>
          <w:lang w:eastAsia="ar-SA"/>
        </w:rPr>
        <w:t xml:space="preserve"> Siedlce w dniu 20 grudnia 2021 r. podjęła uchwałę nr XLV/454/2021 </w:t>
      </w:r>
      <w:r>
        <w:rPr>
          <w:rFonts w:ascii="Calibri" w:hAnsi="Calibri" w:cs="Calibri"/>
          <w:i/>
          <w:spacing w:val="-1"/>
          <w:lang w:eastAsia="ar-SA"/>
        </w:rPr>
        <w:t xml:space="preserve">w sprawie ustalenia zasad przyznawania i wysokości diet dla radnych Rady Miasta Siedlce. 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spacing w:val="-1"/>
          <w:lang w:eastAsia="ar-SA"/>
        </w:rPr>
      </w:pPr>
      <w:r>
        <w:rPr>
          <w:rFonts w:ascii="Calibri" w:hAnsi="Calibri" w:cs="Calibri"/>
          <w:spacing w:val="-1"/>
          <w:lang w:eastAsia="ar-SA"/>
        </w:rPr>
        <w:t xml:space="preserve">Uchwała została doręczona organowi nadzoru w dniu 27 grudnia 2021 r. 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spacing w:val="-1"/>
          <w:lang w:eastAsia="ar-SA"/>
        </w:rPr>
        <w:t>W dniu 31 grudnia 2021 r. org</w:t>
      </w:r>
      <w:r>
        <w:rPr>
          <w:rFonts w:ascii="Calibri" w:hAnsi="Calibri" w:cs="Calibri"/>
          <w:spacing w:val="-1"/>
          <w:lang w:eastAsia="ar-SA"/>
        </w:rPr>
        <w:t xml:space="preserve">an nadzoru wszczął postępowanie </w:t>
      </w:r>
      <w:r>
        <w:rPr>
          <w:rFonts w:ascii="Calibri" w:hAnsi="Calibri" w:cs="Calibri"/>
          <w:lang w:eastAsia="ar-SA"/>
        </w:rPr>
        <w:t>nadzorcze w stosunku do przedmiotowej uchwały. Po zawiadomieniu Rady Miasta o wszczęciu postępowania, do organu nadzoru nie wpłynęła uchwała zmieniająca ani uchylająca kwestionowaną uchwałę.</w:t>
      </w:r>
    </w:p>
    <w:p w:rsidR="00461CED" w:rsidRDefault="008A08EC" w:rsidP="00461CED">
      <w:pPr>
        <w:spacing w:line="276" w:lineRule="auto"/>
        <w:rPr>
          <w:rFonts w:ascii="Calibri" w:hAnsi="Calibri" w:cs="Calibri"/>
          <w:lang w:eastAsia="ar-SA"/>
        </w:rPr>
      </w:pPr>
    </w:p>
    <w:p w:rsidR="00461CED" w:rsidRDefault="008A08EC" w:rsidP="00461CE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§ 1 i w § 2  uchwały Rada Miasta Siedlce postanowiła: </w:t>
      </w:r>
    </w:p>
    <w:p w:rsidR="00461CED" w:rsidRDefault="008A08EC" w:rsidP="00323698">
      <w:pPr>
        <w:spacing w:line="276" w:lineRule="auto"/>
        <w:ind w:left="70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„§ 1. Za podstawę ustalenia diet przyjmuje się wysokość kwoty określonej w art. 25 ust.6 ustawy o samorządzie gminny, z uwzględnieniem rozporządzenia Rady Ministrów w sprawie maksymalnej wysokości di</w:t>
      </w:r>
      <w:r>
        <w:rPr>
          <w:rFonts w:asciiTheme="minorHAnsi" w:hAnsiTheme="minorHAnsi" w:cstheme="minorHAnsi"/>
          <w:i/>
        </w:rPr>
        <w:t>et przysługujących radnemu gminy.</w:t>
      </w:r>
    </w:p>
    <w:p w:rsidR="00461CED" w:rsidRDefault="008A08EC" w:rsidP="00323698">
      <w:pPr>
        <w:spacing w:line="276" w:lineRule="auto"/>
        <w:ind w:left="70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2. Radnym Miasta Siedlce przysługują diety w wysokości: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1) dla przewodniczącego rady - 100 %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2) dla wiceprzewodniczącego rady – 95 %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3) dla przewodniczącego komisji – 92 %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3) dla radnych niepełniących funkcji – 90 %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3. </w:t>
      </w:r>
      <w:r>
        <w:rPr>
          <w:rFonts w:asciiTheme="minorHAnsi" w:hAnsiTheme="minorHAnsi" w:cstheme="minorHAnsi"/>
          <w:i/>
        </w:rPr>
        <w:t>Pełna dieta przysługuje radnemu, który uczestniczył co najmniej w sesji i trzech komisjach.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4. W przypadku zbiegu uprawnień do dwóch lub więcej diet, o których mowa w ust.2 uprawniony otrzymuje jedną dietę o najwyższej wysokości.</w:t>
      </w:r>
    </w:p>
    <w:p w:rsidR="00461CED" w:rsidRDefault="008A08EC" w:rsidP="00323698">
      <w:pPr>
        <w:spacing w:line="276" w:lineRule="auto"/>
        <w:ind w:left="709"/>
        <w:rPr>
          <w:rFonts w:asciiTheme="minorHAnsi" w:hAnsiTheme="minorHAnsi" w:cstheme="minorHAnsi"/>
          <w:i/>
        </w:rPr>
      </w:pPr>
    </w:p>
    <w:p w:rsidR="00461CED" w:rsidRDefault="008A08EC" w:rsidP="00323698">
      <w:pPr>
        <w:suppressAutoHyphens/>
        <w:spacing w:line="276" w:lineRule="auto"/>
        <w:ind w:left="709"/>
        <w:jc w:val="both"/>
        <w:rPr>
          <w:rFonts w:asciiTheme="minorHAnsi" w:hAnsiTheme="minorHAnsi" w:cstheme="minorHAnsi"/>
          <w:i/>
          <w:iCs/>
          <w:lang w:eastAsia="ar-SA"/>
        </w:rPr>
      </w:pPr>
      <w:r>
        <w:rPr>
          <w:rFonts w:asciiTheme="minorHAnsi" w:hAnsiTheme="minorHAnsi" w:cstheme="minorHAnsi"/>
          <w:i/>
          <w:iCs/>
          <w:lang w:eastAsia="ar-SA"/>
        </w:rPr>
        <w:t xml:space="preserve"> § 2. 1. Wysokość diet, o</w:t>
      </w:r>
      <w:r>
        <w:rPr>
          <w:rFonts w:asciiTheme="minorHAnsi" w:hAnsiTheme="minorHAnsi" w:cstheme="minorHAnsi"/>
          <w:i/>
          <w:iCs/>
          <w:lang w:eastAsia="ar-SA"/>
        </w:rPr>
        <w:t xml:space="preserve"> których mowa w § 1 ust.2 ulega obniżeniu z tytułu każdej nieobecności radnego na:</w:t>
      </w:r>
    </w:p>
    <w:p w:rsidR="00461CED" w:rsidRDefault="008A08EC" w:rsidP="00323698">
      <w:pPr>
        <w:pStyle w:val="Akapitzlist"/>
        <w:numPr>
          <w:ilvl w:val="0"/>
          <w:numId w:val="1"/>
        </w:numPr>
        <w:suppressAutoHyphens/>
        <w:spacing w:line="276" w:lineRule="auto"/>
        <w:ind w:left="1429"/>
        <w:jc w:val="both"/>
        <w:rPr>
          <w:rFonts w:asciiTheme="minorHAnsi" w:hAnsiTheme="minorHAnsi" w:cstheme="minorHAnsi"/>
          <w:i/>
          <w:iCs/>
          <w:lang w:eastAsia="ar-SA"/>
        </w:rPr>
      </w:pPr>
      <w:r>
        <w:rPr>
          <w:rFonts w:asciiTheme="minorHAnsi" w:hAnsiTheme="minorHAnsi" w:cstheme="minorHAnsi"/>
          <w:i/>
          <w:iCs/>
          <w:lang w:eastAsia="ar-SA"/>
        </w:rPr>
        <w:t>Sesji Rady Miasta - o 40 %</w:t>
      </w:r>
    </w:p>
    <w:p w:rsidR="00461CED" w:rsidRDefault="008A08EC" w:rsidP="00323698">
      <w:pPr>
        <w:pStyle w:val="Akapitzlist"/>
        <w:numPr>
          <w:ilvl w:val="0"/>
          <w:numId w:val="1"/>
        </w:numPr>
        <w:suppressAutoHyphens/>
        <w:spacing w:line="276" w:lineRule="auto"/>
        <w:ind w:left="1429"/>
        <w:jc w:val="both"/>
        <w:rPr>
          <w:rFonts w:asciiTheme="minorHAnsi" w:hAnsiTheme="minorHAnsi" w:cstheme="minorHAnsi"/>
          <w:i/>
          <w:iCs/>
          <w:lang w:eastAsia="ar-SA"/>
        </w:rPr>
      </w:pPr>
      <w:r>
        <w:rPr>
          <w:rFonts w:asciiTheme="minorHAnsi" w:hAnsiTheme="minorHAnsi" w:cstheme="minorHAnsi"/>
          <w:i/>
          <w:iCs/>
          <w:lang w:eastAsia="ar-SA"/>
        </w:rPr>
        <w:t>posiedzeniu komisji, której radny jest członkiem – o 20 % ”.</w:t>
      </w:r>
    </w:p>
    <w:p w:rsidR="00461CED" w:rsidRDefault="008A08EC" w:rsidP="00323698">
      <w:pPr>
        <w:suppressAutoHyphens/>
        <w:spacing w:line="276" w:lineRule="auto"/>
        <w:ind w:left="709"/>
        <w:jc w:val="both"/>
        <w:rPr>
          <w:rFonts w:asciiTheme="minorHAnsi" w:hAnsiTheme="minorHAnsi" w:cstheme="minorHAnsi"/>
          <w:iCs/>
          <w:lang w:eastAsia="ar-SA"/>
        </w:rPr>
      </w:pPr>
      <w:r>
        <w:rPr>
          <w:rFonts w:asciiTheme="minorHAnsi" w:hAnsiTheme="minorHAnsi" w:cstheme="minorHAnsi"/>
          <w:i/>
          <w:iCs/>
          <w:lang w:eastAsia="ar-SA"/>
        </w:rPr>
        <w:t xml:space="preserve">  2. Dieta nie przysługuje, jeśli w danym miesiącu kalendarzowym radny nie brał udzia</w:t>
      </w:r>
      <w:r>
        <w:rPr>
          <w:rFonts w:asciiTheme="minorHAnsi" w:hAnsiTheme="minorHAnsi" w:cstheme="minorHAnsi"/>
          <w:i/>
          <w:iCs/>
          <w:lang w:eastAsia="ar-SA"/>
        </w:rPr>
        <w:t>łu w żadnym posiedzeniu sesji i komisji.</w:t>
      </w:r>
      <w:r>
        <w:rPr>
          <w:rFonts w:asciiTheme="minorHAnsi" w:hAnsiTheme="minorHAnsi" w:cstheme="minorHAnsi"/>
          <w:iCs/>
          <w:lang w:eastAsia="ar-SA"/>
        </w:rPr>
        <w:t>”</w:t>
      </w:r>
    </w:p>
    <w:p w:rsidR="00461CED" w:rsidRDefault="008A08EC" w:rsidP="00461CED">
      <w:pPr>
        <w:spacing w:line="276" w:lineRule="auto"/>
        <w:rPr>
          <w:rFonts w:asciiTheme="minorHAnsi" w:hAnsiTheme="minorHAnsi" w:cstheme="minorHAnsi"/>
        </w:rPr>
      </w:pP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 xml:space="preserve">W ocenie organu nadzoru regulacje zawarte w uchwale są sprzeczne z przepisami art. 25 ust.4 ustawy </w:t>
      </w:r>
      <w:r>
        <w:rPr>
          <w:rFonts w:ascii="Calibri" w:hAnsi="Calibri" w:cs="Calibri"/>
          <w:i/>
          <w:lang w:eastAsia="ar-SA"/>
        </w:rPr>
        <w:t>o samorządzie gminnym</w:t>
      </w:r>
      <w:r>
        <w:rPr>
          <w:rFonts w:ascii="Calibri" w:hAnsi="Calibri" w:cs="Calibri"/>
          <w:lang w:eastAsia="ar-SA"/>
        </w:rPr>
        <w:t xml:space="preserve"> w wyniku ustalenia diety radnych w formie miesięcznego ryczałtu, wskutek czego traci ona ch</w:t>
      </w:r>
      <w:r>
        <w:rPr>
          <w:rFonts w:ascii="Calibri" w:hAnsi="Calibri" w:cs="Calibri"/>
          <w:lang w:eastAsia="ar-SA"/>
        </w:rPr>
        <w:t>arakter rekompensacyjny, a przyjmuje charakter stałego, miesięcznego wynagrodzenia niezależnego od kosztów związanych z pełnieniem funkcji.</w:t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Zgodnie z brzmieniem  przepisu </w:t>
      </w:r>
      <w:r>
        <w:rPr>
          <w:rFonts w:ascii="Calibri" w:hAnsi="Calibri" w:cs="Calibri"/>
          <w:i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 art. 25 radnemu przysługują diety oraz zwrot kosztów podróży służbowych na zasadach</w:t>
      </w:r>
      <w:r>
        <w:rPr>
          <w:rFonts w:ascii="Calibri" w:hAnsi="Calibri" w:cs="Calibri"/>
          <w:lang w:eastAsia="ar-SA"/>
        </w:rPr>
        <w:t xml:space="preserve"> ustalonych przez radę gminy (ust. 4), a rada gminy przy ustalaniu wysokości diet radnych bierze pod uwagę funkcje pełnione przez radnego (ust. 8). </w:t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>Zarówno w doktrynie prawa, jak i orzecznictwie sądów administracyjnych przyjęto, że dieta radnego, o któr</w:t>
      </w:r>
      <w:r>
        <w:rPr>
          <w:rFonts w:ascii="Calibri" w:hAnsi="Calibri" w:cs="Calibri"/>
          <w:lang w:eastAsia="ar-SA"/>
        </w:rPr>
        <w:t>ej mowa w wyżej przytoczonych przepisach, stanowi jedynie rekompensatę utraconych przez radnego korzyści i nie posiada charakteru świadczenia pracowniczego. W wyroku Wojewódzkiego Sądu Administracyjnego w Opolu z dnia 7 listopada 2013 r. (sygn. akt II SA/O</w:t>
      </w:r>
      <w:r>
        <w:rPr>
          <w:rFonts w:ascii="Calibri" w:hAnsi="Calibri" w:cs="Calibri"/>
          <w:lang w:eastAsia="ar-SA"/>
        </w:rPr>
        <w:t xml:space="preserve">p 316/13,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 stwierdzono, że użyte przez ustawodawcę określenie „dieta” należy rozumieć jako zwrot kosztów związanych z pełnieniem funkcji radnego. Istota diety sprowadza się do wyrównania wydatków i strat spowodowanych pełnieni</w:t>
      </w:r>
      <w:r>
        <w:rPr>
          <w:rFonts w:ascii="Calibri" w:hAnsi="Calibri" w:cs="Calibri"/>
          <w:lang w:eastAsia="ar-SA"/>
        </w:rPr>
        <w:t>em wskazanej funkcji. Osoba pełniąca daną funkcję zachowuje prawo do zwrotu kosztów i wydatków (strat) poniesionych w związku ze sprawowaniem funkcji, a nie jedynie z powodu uzyskania danej funkcji. Dieta powinna być zatem ściśle powiązana z aktywnością ra</w:t>
      </w:r>
      <w:r>
        <w:rPr>
          <w:rFonts w:ascii="Calibri" w:hAnsi="Calibri" w:cs="Calibri"/>
          <w:lang w:eastAsia="ar-SA"/>
        </w:rPr>
        <w:t>dnych w pracach rady i zależna od rzeczywistego wykonywania obowiązków związanych z pełnioną funkcją (por. również wyroki Wojewódzkiego Sądu Administracyjnego w Opolu: z dnia 9 lipca 2015 r., sygn. II SA/Op 161/15, z dnia 21 lipca 2015 r., sygn. II SA/Op 1</w:t>
      </w:r>
      <w:r>
        <w:rPr>
          <w:rFonts w:ascii="Calibri" w:hAnsi="Calibri" w:cs="Calibri"/>
          <w:lang w:eastAsia="ar-SA"/>
        </w:rPr>
        <w:t xml:space="preserve">77/15, z dnia 4 sierpnia 2015 r., sygn. II SA/Op 252/15,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orzeczenia.nsa.gov.pl).</w:t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>Podkreśla się również, że dopuszczalność wprowadzenia diety o charakterze ryczałtowym nie może prowadzić do sytuacji powstania stałego miesięcznego wynagrodzenia ni</w:t>
      </w:r>
      <w:r>
        <w:rPr>
          <w:rFonts w:ascii="Calibri" w:hAnsi="Calibri" w:cs="Calibri"/>
          <w:lang w:eastAsia="ar-SA"/>
        </w:rPr>
        <w:t xml:space="preserve">ezależnego od udziału w pracach organów gminy (patrz: </w:t>
      </w:r>
      <w:r>
        <w:rPr>
          <w:rFonts w:ascii="Calibri" w:hAnsi="Calibri" w:cs="Calibri"/>
          <w:i/>
          <w:lang w:eastAsia="ar-SA"/>
        </w:rPr>
        <w:t>Ustawa o samorządzie gminnym. Komentarz,</w:t>
      </w:r>
      <w:r>
        <w:rPr>
          <w:rFonts w:ascii="Calibri" w:hAnsi="Calibri" w:cs="Calibri"/>
          <w:lang w:eastAsia="ar-SA"/>
        </w:rPr>
        <w:t xml:space="preserve"> pod red. B. Dolnickiego, WKP 2018). W wyroku z dnia 26 czerwca 2014 r. Naczelny Sąd Administracyjny orzekł co następuje: „w sytuacji, gdy ustalenie świadczenia n</w:t>
      </w:r>
      <w:r>
        <w:rPr>
          <w:rFonts w:ascii="Calibri" w:hAnsi="Calibri" w:cs="Calibri"/>
          <w:lang w:eastAsia="ar-SA"/>
        </w:rPr>
        <w:t xml:space="preserve">astępuje w formie ryczałtu, brak </w:t>
      </w:r>
      <w:r>
        <w:rPr>
          <w:rFonts w:ascii="Calibri" w:hAnsi="Calibri" w:cs="Calibri"/>
          <w:lang w:eastAsia="ar-SA"/>
        </w:rPr>
        <w:lastRenderedPageBreak/>
        <w:t>przewidzianych potrąceń diety za przypadki nieobecności przewodniczącego na posiedzeniach, czy innych obowiązkowych czynnościach, sprawia, że nie mamy już do czynienia ze świadczeniem wyrównawczym (kompensacyjnym)”</w:t>
      </w:r>
      <w:r>
        <w:rPr>
          <w:rFonts w:ascii="Calibri" w:hAnsi="Calibri" w:cs="Calibri"/>
          <w:i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(sygn. a</w:t>
      </w:r>
      <w:r>
        <w:rPr>
          <w:rFonts w:ascii="Calibri" w:hAnsi="Calibri" w:cs="Calibri"/>
          <w:lang w:eastAsia="ar-SA"/>
        </w:rPr>
        <w:t xml:space="preserve">kt II OSK 406/14, </w:t>
      </w:r>
      <w:r>
        <w:rPr>
          <w:rFonts w:ascii="Calibri" w:hAnsi="Calibri" w:cs="Calibri"/>
          <w:i/>
          <w:lang w:eastAsia="ar-SA"/>
        </w:rPr>
        <w:t>źródło:</w:t>
      </w:r>
      <w:r>
        <w:rPr>
          <w:rFonts w:ascii="Calibri" w:hAnsi="Calibri" w:cs="Calibri"/>
          <w:lang w:eastAsia="ar-SA"/>
        </w:rPr>
        <w:t xml:space="preserve"> orzeczenia.nsa.gov.pl)</w:t>
      </w:r>
      <w:r>
        <w:rPr>
          <w:rFonts w:ascii="Calibri" w:hAnsi="Calibri" w:cs="Calibri"/>
          <w:i/>
          <w:lang w:eastAsia="ar-SA"/>
        </w:rPr>
        <w:t>.</w:t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ab/>
        <w:t xml:space="preserve">Wprawdzie  w § 2 uchwały  nr </w:t>
      </w:r>
      <w:r>
        <w:rPr>
          <w:rFonts w:ascii="Calibri" w:hAnsi="Calibri" w:cs="Calibri"/>
          <w:spacing w:val="-1"/>
          <w:lang w:eastAsia="ar-SA"/>
        </w:rPr>
        <w:t xml:space="preserve">XLV/454/2021 </w:t>
      </w:r>
      <w:r>
        <w:rPr>
          <w:rFonts w:ascii="Calibri" w:hAnsi="Calibri" w:cs="Calibri"/>
          <w:lang w:eastAsia="ar-SA"/>
        </w:rPr>
        <w:t>Rada Miasta Siedlce wskazała przypadki potrąceń w stosunku do ustalonej w § 1 ust.2 miesięcznej wysokości diety, nie zmienia to jednak faktu, że wypłata nadal będzie miała formę ryczałtu miesięcznego, niezależnie od faktycznej obecności radnych na sesji bą</w:t>
      </w:r>
      <w:r>
        <w:rPr>
          <w:rFonts w:ascii="Calibri" w:hAnsi="Calibri" w:cs="Calibri"/>
          <w:lang w:eastAsia="ar-SA"/>
        </w:rPr>
        <w:t xml:space="preserve">dź na posiedzeniu komisji. Świadczy o tym obniżanie procentowo kwoty bazowej (wyjściowej) za każdą </w:t>
      </w:r>
      <w:r>
        <w:rPr>
          <w:rFonts w:ascii="Calibri" w:hAnsi="Calibri" w:cs="Calibri"/>
          <w:b/>
          <w:lang w:eastAsia="ar-SA"/>
        </w:rPr>
        <w:t xml:space="preserve">nieobecność </w:t>
      </w:r>
      <w:r>
        <w:rPr>
          <w:rFonts w:ascii="Calibri" w:hAnsi="Calibri" w:cs="Calibri"/>
          <w:lang w:eastAsia="ar-SA"/>
        </w:rPr>
        <w:t>na posiedzeniu rady lub komisji</w:t>
      </w:r>
      <w:r>
        <w:rPr>
          <w:rFonts w:ascii="Calibri" w:hAnsi="Calibri" w:cs="Calibri"/>
          <w:i/>
          <w:lang w:eastAsia="ar-SA"/>
        </w:rPr>
        <w:t>.</w:t>
      </w:r>
      <w:r>
        <w:t xml:space="preserve"> </w:t>
      </w:r>
      <w:r>
        <w:rPr>
          <w:rFonts w:ascii="Calibri" w:hAnsi="Calibri" w:cs="Calibri"/>
          <w:lang w:eastAsia="ar-SA"/>
        </w:rPr>
        <w:t>Oznacza to bowiem, że w przypadku, gdyby sesje i posiedzenia komisji się odbywały, to i tak jakaś część diety po</w:t>
      </w:r>
      <w:r>
        <w:rPr>
          <w:rFonts w:ascii="Calibri" w:hAnsi="Calibri" w:cs="Calibri"/>
          <w:lang w:eastAsia="ar-SA"/>
        </w:rPr>
        <w:t xml:space="preserve"> potrąceniach, mimo nie wykonywania czynności przez radnych, będzie wypłacana. Zapisy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te powodują, że dieta traci charakter rekompensaty, a zbliża się do formy wynagrodzenia za pracę</w:t>
      </w:r>
      <w:r>
        <w:rPr>
          <w:rFonts w:ascii="Calibri" w:hAnsi="Calibri" w:cs="Calibri"/>
          <w:lang w:eastAsia="ar-SA"/>
        </w:rPr>
        <w:t>,</w:t>
      </w:r>
      <w:r>
        <w:t xml:space="preserve"> </w:t>
      </w:r>
      <w:r>
        <w:rPr>
          <w:rFonts w:ascii="Calibri" w:hAnsi="Calibri" w:cs="Calibri"/>
          <w:lang w:eastAsia="ar-SA"/>
        </w:rPr>
        <w:t>co w świetle opisanej powyżej argumentacji prawnej stanowi istotne narus</w:t>
      </w:r>
      <w:r>
        <w:rPr>
          <w:rFonts w:ascii="Calibri" w:hAnsi="Calibri" w:cs="Calibri"/>
          <w:lang w:eastAsia="ar-SA"/>
        </w:rPr>
        <w:t>zenie art. 25 ust. 4 ustawy o samorządzie gminnym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461CED" w:rsidRDefault="008A08EC" w:rsidP="00323698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Dodać też należy, że sformułowania zawarte w § 2 ust. 1 uchwały, wprowadzające procentowe obniżenia kwoty bazowej z tytułu każdej </w:t>
      </w:r>
      <w:r>
        <w:rPr>
          <w:rFonts w:ascii="Calibri" w:hAnsi="Calibri" w:cs="Calibri"/>
          <w:b/>
          <w:lang w:eastAsia="ar-SA"/>
        </w:rPr>
        <w:t xml:space="preserve">nieobecności </w:t>
      </w:r>
      <w:r>
        <w:rPr>
          <w:rFonts w:ascii="Calibri" w:hAnsi="Calibri" w:cs="Calibri"/>
          <w:lang w:eastAsia="ar-SA"/>
        </w:rPr>
        <w:t>radnego na sesji i komisji spowodują,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że w przypadku braku w danym miesiącu posiedzenia komisji lub sesji rady, dieta będzie wypłacona w wysokości ustalonej przez radę w § 1 ust. 2 uchwały. Nie zmienia tej sytuacji zapis § 1 ust. 3 stanowiący, iż pełna dieta przysługuje radnemu, który </w:t>
      </w:r>
      <w:r>
        <w:rPr>
          <w:rFonts w:ascii="Calibri" w:hAnsi="Calibri" w:cs="Calibri"/>
          <w:b/>
          <w:lang w:eastAsia="ar-SA"/>
        </w:rPr>
        <w:t>uczestni</w:t>
      </w:r>
      <w:r>
        <w:rPr>
          <w:rFonts w:ascii="Calibri" w:hAnsi="Calibri" w:cs="Calibri"/>
          <w:b/>
          <w:lang w:eastAsia="ar-SA"/>
        </w:rPr>
        <w:t>czył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>w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>co najmniej</w:t>
      </w:r>
      <w:r>
        <w:rPr>
          <w:rFonts w:ascii="Calibri" w:hAnsi="Calibri" w:cs="Calibri"/>
          <w:lang w:eastAsia="ar-SA"/>
        </w:rPr>
        <w:t xml:space="preserve"> w sesji i trzech komisjach. Dotyczył on bowiem sytuacji, gdy w danym miesiącu odbyły się sesja i co najmniej trzy komisje, a nie sytuacji, gdy w danym miesiącu nie odbyły się ani sesja rady ani komisje. Uchwała nie rozstrzyga również, il</w:t>
      </w:r>
      <w:r>
        <w:rPr>
          <w:rFonts w:ascii="Calibri" w:hAnsi="Calibri" w:cs="Calibri"/>
          <w:lang w:eastAsia="ar-SA"/>
        </w:rPr>
        <w:t>e wynosi dieta radnych w miesiącu,  w którym: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- nie odbyła się żadna sesja, tylko same komisje, 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- odbyła się tylko sesja,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- odbyła się sesja i komisje w liczbie jedna lub dwie.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461CED" w:rsidRDefault="008A08EC" w:rsidP="00323698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Zapis § 2 ust 2 uchwały stanowiący, iż  dieta nie przysługuje, jeśli w danym </w:t>
      </w:r>
      <w:r>
        <w:rPr>
          <w:rFonts w:ascii="Calibri" w:hAnsi="Calibri" w:cs="Calibri"/>
          <w:lang w:eastAsia="ar-SA"/>
        </w:rPr>
        <w:t>miesiącu kalendarzowym radny nie brał udziału w żadnym posiedzeniu sesji i komisji nie rozwiązuje powyższego problemu, ponieważ będzie miał zastosowanie wyłącznie w miesiącu, w którym faktycznie odbywały się posiedzenia rady i komisji, niezależnie od ich i</w:t>
      </w:r>
      <w:r>
        <w:rPr>
          <w:rFonts w:ascii="Calibri" w:hAnsi="Calibri" w:cs="Calibri"/>
          <w:lang w:eastAsia="ar-SA"/>
        </w:rPr>
        <w:t>lości.</w:t>
      </w:r>
    </w:p>
    <w:p w:rsidR="00461CED" w:rsidRDefault="008A08EC" w:rsidP="00461CED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323698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W ocenie organu nadzoru w uchwale podjętej na podstawie delegacji zawartej w art. 25 ust.4 ustawy o samorządzie gminnym dieta winna zostać określona jako konkretna kwota za udział w każdym odbytym posiedzeniu rady czy też komisji, przy czym dieta n</w:t>
      </w:r>
      <w:r>
        <w:rPr>
          <w:rFonts w:ascii="Calibri" w:hAnsi="Calibri" w:cs="Calibri"/>
          <w:lang w:eastAsia="ar-SA"/>
        </w:rPr>
        <w:t>ie może przekroczyć limitu określonego w ustawie i rozporządzeniu, o którym mowa w art. 25 ust.6 ustawy o samorządzie gminnym, ewentualnie w ustalonej kwocie, która ulegałaby proporcjonalnemu obniżeniu z uwzględnieniem wszystkich dni w miesiącu kalendarzow</w:t>
      </w:r>
      <w:r>
        <w:rPr>
          <w:rFonts w:ascii="Calibri" w:hAnsi="Calibri" w:cs="Calibri"/>
          <w:lang w:eastAsia="ar-SA"/>
        </w:rPr>
        <w:t>ym za każdy dzień niewykonywania funkcji określonej w uchwale (tj. brak aktywności radnego czy też brak działania rady czy komisji jako takiej).</w:t>
      </w:r>
    </w:p>
    <w:p w:rsidR="00461CED" w:rsidRDefault="008A08EC" w:rsidP="00461CED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323698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lastRenderedPageBreak/>
        <w:t>Stanowisko organu nadzoru znajduje oparcie w wyrokach sądów administracyjnych zapadłych w następstwie rozpozna</w:t>
      </w:r>
      <w:r>
        <w:rPr>
          <w:rFonts w:ascii="Calibri" w:hAnsi="Calibri" w:cs="Calibri"/>
          <w:lang w:eastAsia="ar-SA"/>
        </w:rPr>
        <w:t>nia skarg Wojewody Mazowieckiego na uchwały w sprawie zasad ustalania diet dla radnych (zob. wyroki WSA w Warszawie z dnia 23 października 2019 r. sygn. akt II SA/Wa 978/19, z dnia 24 października 2019 r. sygn. akt II SA/Wa 921/19 i z dnia 29 listopada 201</w:t>
      </w:r>
      <w:r>
        <w:rPr>
          <w:rFonts w:ascii="Calibri" w:hAnsi="Calibri" w:cs="Calibri"/>
          <w:lang w:eastAsia="ar-SA"/>
        </w:rPr>
        <w:t xml:space="preserve">9 r. sygn. akt II SA/Wa 1259/19, z dnia 21 lipca 2020r, sygn. akt II SA/Wa 915/20, z dnia 25 września 2020 r. sygn. akt II SA/Wa 1396/20). </w:t>
      </w:r>
    </w:p>
    <w:p w:rsidR="00461CED" w:rsidRDefault="008A08EC" w:rsidP="00461CED">
      <w:pPr>
        <w:tabs>
          <w:tab w:val="left" w:pos="426"/>
          <w:tab w:val="left" w:pos="1276"/>
        </w:tabs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:rsidR="00461CED" w:rsidRDefault="008A08EC" w:rsidP="00323698">
      <w:pPr>
        <w:tabs>
          <w:tab w:val="left" w:pos="426"/>
          <w:tab w:val="left" w:pos="1276"/>
        </w:tabs>
        <w:suppressAutoHyphens/>
        <w:spacing w:line="276" w:lineRule="auto"/>
        <w:ind w:firstLine="426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    Biorąc pod uwagę opisane powyżej okoliczności faktyczne i prawne Wojewoda Mazowiecki stwierdza, że przedmiotowa</w:t>
      </w:r>
      <w:r>
        <w:rPr>
          <w:rFonts w:ascii="Calibri" w:hAnsi="Calibri" w:cs="Calibri"/>
          <w:lang w:eastAsia="ar-SA"/>
        </w:rPr>
        <w:t xml:space="preserve"> uchwała Rady Miasta Siedlce</w:t>
      </w:r>
      <w:r>
        <w:rPr>
          <w:rFonts w:ascii="Calibri" w:eastAsia="Lucida Sans Unicode" w:hAnsi="Calibri" w:cs="Calibri"/>
          <w:lang w:eastAsia="ar-SA"/>
        </w:rPr>
        <w:t xml:space="preserve"> istotnie narusza prawo i jako sprzeczna z prawem jest nieważna w całości. </w:t>
      </w: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</w:p>
    <w:p w:rsidR="00461CED" w:rsidRDefault="008A08EC" w:rsidP="00461CED">
      <w:pPr>
        <w:suppressAutoHyphens/>
        <w:spacing w:line="276" w:lineRule="auto"/>
        <w:ind w:firstLine="709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Na niniejsze rozstrzygnięcie nadzorcze Miasta  przysługuje skarga do Wojewódzkiego Sądu Administracyjnego w Warszawie</w:t>
      </w:r>
      <w:r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w terminie 30 dni od dnia doręcz</w:t>
      </w:r>
      <w:r>
        <w:rPr>
          <w:rFonts w:ascii="Calibri" w:hAnsi="Calibri" w:cs="Calibri"/>
          <w:lang w:eastAsia="ar-SA"/>
        </w:rPr>
        <w:t>enia, którą należy wnieść za pośrednictwem Wojewody Mazowieckiego.</w:t>
      </w:r>
    </w:p>
    <w:p w:rsidR="00461CED" w:rsidRDefault="008A08EC" w:rsidP="00461CED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461CED" w:rsidRDefault="008A08EC" w:rsidP="00461CED">
      <w:pPr>
        <w:spacing w:line="276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Informuję, że rozstrzygnięcie nadzorcze, z dniem jego doręczenia, wstrzymuje wykonanie uchwały w </w:t>
      </w:r>
      <w:r>
        <w:rPr>
          <w:rFonts w:ascii="Calibri" w:hAnsi="Calibri" w:cs="Calibri"/>
          <w:lang w:eastAsia="ar-SA"/>
        </w:rPr>
        <w:t>zakresie objętym stwierdzeniem nieważności</w:t>
      </w:r>
      <w:r>
        <w:rPr>
          <w:rFonts w:ascii="Calibri" w:hAnsi="Calibri" w:cs="Calibri"/>
        </w:rPr>
        <w:t>, z mocy prawa.</w:t>
      </w:r>
    </w:p>
    <w:p w:rsidR="00323698" w:rsidRDefault="008A08EC" w:rsidP="00461CED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323698" w:rsidRDefault="008A08EC" w:rsidP="00461CED">
      <w:pPr>
        <w:spacing w:line="276" w:lineRule="auto"/>
        <w:ind w:firstLine="709"/>
        <w:jc w:val="both"/>
        <w:rPr>
          <w:rFonts w:ascii="Calibri" w:hAnsi="Calibri" w:cs="Calibri"/>
        </w:rPr>
      </w:pPr>
    </w:p>
    <w:p w:rsidR="004824F3" w:rsidRDefault="008A08EC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3" w:name="ezdPracownikStanowisko"/>
      <w:r>
        <w:rPr>
          <w:rFonts w:ascii="Calibri" w:hAnsi="Calibri" w:cs="Calibri"/>
        </w:rPr>
        <w:t>Wojewoda Mazowiecki</w:t>
      </w:r>
      <w:bookmarkEnd w:id="3"/>
    </w:p>
    <w:p w:rsidR="004824F3" w:rsidRDefault="008A08EC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4" w:name="ezdPracownikNazwa"/>
      <w:r>
        <w:rPr>
          <w:rFonts w:ascii="Calibri" w:hAnsi="Calibri" w:cs="Calibri"/>
        </w:rPr>
        <w:t xml:space="preserve">Konstanty </w:t>
      </w:r>
      <w:r>
        <w:rPr>
          <w:rFonts w:ascii="Calibri" w:hAnsi="Calibri" w:cs="Calibri"/>
        </w:rPr>
        <w:t>Radziwiłł</w:t>
      </w:r>
      <w:bookmarkEnd w:id="4"/>
    </w:p>
    <w:p w:rsidR="00691727" w:rsidRDefault="008A08EC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8A08EC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7639FE">
      <w:footerReference w:type="default" r:id="rId9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EC" w:rsidRDefault="008A08EC">
      <w:r>
        <w:separator/>
      </w:r>
    </w:p>
  </w:endnote>
  <w:endnote w:type="continuationSeparator" w:id="0">
    <w:p w:rsidR="008A08EC" w:rsidRDefault="008A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0827545"/>
      <w:docPartObj>
        <w:docPartGallery w:val="Page Numbers (Bottom of Page)"/>
        <w:docPartUnique/>
      </w:docPartObj>
    </w:sdtPr>
    <w:sdtEndPr/>
    <w:sdtContent>
      <w:p w:rsidR="007639FE" w:rsidRDefault="008A08EC">
        <w:pPr>
          <w:pStyle w:val="Stopka"/>
          <w:jc w:val="center"/>
        </w:pPr>
        <w:r w:rsidRPr="00323698">
          <w:rPr>
            <w:rFonts w:asciiTheme="minorHAnsi" w:hAnsiTheme="minorHAnsi" w:cstheme="minorHAnsi"/>
          </w:rPr>
          <w:fldChar w:fldCharType="begin"/>
        </w:r>
        <w:r w:rsidRPr="00323698">
          <w:rPr>
            <w:rFonts w:asciiTheme="minorHAnsi" w:hAnsiTheme="minorHAnsi" w:cstheme="minorHAnsi"/>
          </w:rPr>
          <w:instrText>PAGE   \* MERGEFORMAT</w:instrText>
        </w:r>
        <w:r w:rsidRPr="00323698">
          <w:rPr>
            <w:rFonts w:asciiTheme="minorHAnsi" w:hAnsiTheme="minorHAnsi" w:cstheme="minorHAnsi"/>
          </w:rPr>
          <w:fldChar w:fldCharType="separate"/>
        </w:r>
        <w:r w:rsidRPr="00323698">
          <w:rPr>
            <w:rFonts w:asciiTheme="minorHAnsi" w:hAnsiTheme="minorHAnsi" w:cstheme="minorHAnsi"/>
            <w:noProof/>
          </w:rPr>
          <w:t>4</w:t>
        </w:r>
        <w:r w:rsidRPr="00323698">
          <w:rPr>
            <w:rFonts w:asciiTheme="minorHAnsi" w:hAnsiTheme="minorHAnsi" w:cstheme="minorHAnsi"/>
          </w:rPr>
          <w:fldChar w:fldCharType="end"/>
        </w:r>
      </w:p>
    </w:sdtContent>
  </w:sdt>
  <w:p w:rsidR="007639FE" w:rsidRDefault="008A0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EC" w:rsidRDefault="008A08EC">
      <w:r>
        <w:separator/>
      </w:r>
    </w:p>
  </w:footnote>
  <w:footnote w:type="continuationSeparator" w:id="0">
    <w:p w:rsidR="008A08EC" w:rsidRDefault="008A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37DE3"/>
    <w:multiLevelType w:val="hybridMultilevel"/>
    <w:tmpl w:val="ED462D7E"/>
    <w:lvl w:ilvl="0" w:tplc="491C4F48">
      <w:start w:val="1"/>
      <w:numFmt w:val="decimal"/>
      <w:lvlText w:val="%1)"/>
      <w:lvlJc w:val="left"/>
      <w:pPr>
        <w:ind w:left="720" w:hanging="360"/>
      </w:pPr>
    </w:lvl>
    <w:lvl w:ilvl="1" w:tplc="DF123994">
      <w:start w:val="1"/>
      <w:numFmt w:val="lowerLetter"/>
      <w:lvlText w:val="%2."/>
      <w:lvlJc w:val="left"/>
      <w:pPr>
        <w:ind w:left="1440" w:hanging="360"/>
      </w:pPr>
    </w:lvl>
    <w:lvl w:ilvl="2" w:tplc="6D781218">
      <w:start w:val="1"/>
      <w:numFmt w:val="lowerRoman"/>
      <w:lvlText w:val="%3."/>
      <w:lvlJc w:val="right"/>
      <w:pPr>
        <w:ind w:left="2160" w:hanging="180"/>
      </w:pPr>
    </w:lvl>
    <w:lvl w:ilvl="3" w:tplc="7B9A390A">
      <w:start w:val="1"/>
      <w:numFmt w:val="decimal"/>
      <w:lvlText w:val="%4."/>
      <w:lvlJc w:val="left"/>
      <w:pPr>
        <w:ind w:left="2880" w:hanging="360"/>
      </w:pPr>
    </w:lvl>
    <w:lvl w:ilvl="4" w:tplc="BAAE1996">
      <w:start w:val="1"/>
      <w:numFmt w:val="lowerLetter"/>
      <w:lvlText w:val="%5."/>
      <w:lvlJc w:val="left"/>
      <w:pPr>
        <w:ind w:left="3600" w:hanging="360"/>
      </w:pPr>
    </w:lvl>
    <w:lvl w:ilvl="5" w:tplc="06F2D6BC">
      <w:start w:val="1"/>
      <w:numFmt w:val="lowerRoman"/>
      <w:lvlText w:val="%6."/>
      <w:lvlJc w:val="right"/>
      <w:pPr>
        <w:ind w:left="4320" w:hanging="180"/>
      </w:pPr>
    </w:lvl>
    <w:lvl w:ilvl="6" w:tplc="75A01A38">
      <w:start w:val="1"/>
      <w:numFmt w:val="decimal"/>
      <w:lvlText w:val="%7."/>
      <w:lvlJc w:val="left"/>
      <w:pPr>
        <w:ind w:left="5040" w:hanging="360"/>
      </w:pPr>
    </w:lvl>
    <w:lvl w:ilvl="7" w:tplc="3BE2B4A6">
      <w:start w:val="1"/>
      <w:numFmt w:val="lowerLetter"/>
      <w:lvlText w:val="%8."/>
      <w:lvlJc w:val="left"/>
      <w:pPr>
        <w:ind w:left="5760" w:hanging="360"/>
      </w:pPr>
    </w:lvl>
    <w:lvl w:ilvl="8" w:tplc="F79829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C6"/>
    <w:rsid w:val="002536C6"/>
    <w:rsid w:val="008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919E0-B1D9-4237-9161-B73E0334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1CED"/>
    <w:pPr>
      <w:ind w:left="720"/>
      <w:contextualSpacing/>
    </w:pPr>
  </w:style>
  <w:style w:type="paragraph" w:styleId="Nagwek">
    <w:name w:val="header"/>
    <w:basedOn w:val="Normalny"/>
    <w:link w:val="NagwekZnak"/>
    <w:rsid w:val="007639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39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39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3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9CF8-E63B-46CC-A902-46226AB1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2022-01-12T07:33:00Z</cp:lastPrinted>
  <dcterms:created xsi:type="dcterms:W3CDTF">2022-01-14T08:07:00Z</dcterms:created>
  <dcterms:modified xsi:type="dcterms:W3CDTF">2022-01-14T08:07:00Z</dcterms:modified>
</cp:coreProperties>
</file>