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ADD35" w14:textId="149041DC" w:rsidR="0083357E" w:rsidRPr="00BE66EB" w:rsidRDefault="00E82222" w:rsidP="00AE0926">
      <w:pPr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BE66EB">
        <w:rPr>
          <w:rFonts w:ascii="Times New Roman" w:hAnsi="Times New Roman"/>
          <w:bCs/>
          <w:color w:val="000000" w:themeColor="text1"/>
          <w:sz w:val="22"/>
          <w:szCs w:val="22"/>
        </w:rPr>
        <w:t>Z</w:t>
      </w:r>
      <w:r w:rsidR="0083357E" w:rsidRPr="00BE66EB">
        <w:rPr>
          <w:rFonts w:ascii="Times New Roman" w:hAnsi="Times New Roman"/>
          <w:bCs/>
          <w:color w:val="000000" w:themeColor="text1"/>
          <w:sz w:val="22"/>
          <w:szCs w:val="22"/>
        </w:rPr>
        <w:t>ałącznik</w:t>
      </w:r>
      <w:r w:rsidR="0001156F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83357E" w:rsidRPr="00BE66EB">
        <w:rPr>
          <w:rFonts w:ascii="Times New Roman" w:hAnsi="Times New Roman"/>
          <w:bCs/>
          <w:color w:val="000000" w:themeColor="text1"/>
          <w:sz w:val="22"/>
          <w:szCs w:val="22"/>
        </w:rPr>
        <w:fldChar w:fldCharType="begin"/>
      </w:r>
      <w:r w:rsidR="0083357E" w:rsidRPr="00BE66EB">
        <w:rPr>
          <w:rFonts w:ascii="Times New Roman" w:hAnsi="Times New Roman"/>
          <w:bCs/>
          <w:color w:val="000000" w:themeColor="text1"/>
          <w:sz w:val="22"/>
          <w:szCs w:val="22"/>
        </w:rPr>
        <w:instrText xml:space="preserve"> FILENAME   \* MERGEFORMAT </w:instrText>
      </w:r>
      <w:r w:rsidR="0083357E" w:rsidRPr="00BE66EB">
        <w:rPr>
          <w:rFonts w:ascii="Times New Roman" w:hAnsi="Times New Roman"/>
          <w:bCs/>
          <w:color w:val="000000" w:themeColor="text1"/>
          <w:sz w:val="22"/>
          <w:szCs w:val="22"/>
        </w:rPr>
        <w:fldChar w:fldCharType="separate"/>
      </w:r>
      <w:r w:rsidR="0083357E" w:rsidRPr="00BE66EB">
        <w:rPr>
          <w:rFonts w:ascii="Times New Roman" w:hAnsi="Times New Roman"/>
          <w:bCs/>
          <w:color w:val="000000" w:themeColor="text1"/>
          <w:sz w:val="22"/>
          <w:szCs w:val="22"/>
        </w:rPr>
        <w:t>B.46.</w:t>
      </w:r>
      <w:r w:rsidR="0083357E" w:rsidRPr="00BE66EB">
        <w:rPr>
          <w:rFonts w:ascii="Times New Roman" w:hAnsi="Times New Roman"/>
          <w:bCs/>
          <w:color w:val="000000" w:themeColor="text1"/>
          <w:sz w:val="22"/>
          <w:szCs w:val="22"/>
        </w:rPr>
        <w:fldChar w:fldCharType="end"/>
      </w:r>
    </w:p>
    <w:p w14:paraId="38A4ED81" w14:textId="77777777" w:rsidR="0083357E" w:rsidRPr="00BE66EB" w:rsidRDefault="0083357E" w:rsidP="00AE0926">
      <w:pPr>
        <w:rPr>
          <w:rFonts w:ascii="Times New Roman" w:hAnsi="Times New Roman"/>
          <w:bCs/>
          <w:color w:val="000000" w:themeColor="text1"/>
        </w:rPr>
      </w:pPr>
      <w:r w:rsidRPr="00BE66EB">
        <w:rPr>
          <w:rFonts w:ascii="Times New Roman" w:hAnsi="Times New Roman"/>
          <w:bCs/>
          <w:color w:val="000000" w:themeColor="text1"/>
        </w:rPr>
        <w:fldChar w:fldCharType="begin"/>
      </w:r>
      <w:r w:rsidRPr="00BE66EB">
        <w:rPr>
          <w:rFonts w:ascii="Times New Roman" w:hAnsi="Times New Roman"/>
          <w:bCs/>
          <w:color w:val="000000" w:themeColor="text1"/>
        </w:rPr>
        <w:instrText xml:space="preserve"> FILENAME   \* MERGEFORMAT </w:instrText>
      </w:r>
      <w:r w:rsidRPr="00BE66EB">
        <w:rPr>
          <w:rFonts w:ascii="Times New Roman" w:hAnsi="Times New Roman"/>
          <w:bCs/>
          <w:color w:val="000000" w:themeColor="text1"/>
        </w:rPr>
        <w:fldChar w:fldCharType="end"/>
      </w:r>
    </w:p>
    <w:p w14:paraId="2A3850FF" w14:textId="7B59B17D" w:rsidR="0083357E" w:rsidRPr="00BE66EB" w:rsidRDefault="0083357E" w:rsidP="0083357E">
      <w:pPr>
        <w:spacing w:after="240"/>
        <w:jc w:val="both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LECZENIE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STWARDNIENIA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ROZSIANEGO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PO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NIEPOWODZENIU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TERAPII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LEKAMI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PIERWSZEGO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RZUTU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LUB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SZYBKO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ROZWIJAJĄCEJ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SIĘ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CIĘŻKIEJ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POSTACI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STWARDNIENIA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ROZSIANEGO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CF3675" w:rsidRP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LUB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CF3675" w:rsidRP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PIERWOTNIE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CF3675" w:rsidRP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POSTĘPUJĄCEJ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CF3675" w:rsidRP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POSTACI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CF3675" w:rsidRP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STWARDNIENIA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CF3675" w:rsidRP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ROZSIANEG</w:t>
      </w:r>
      <w:r w:rsid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O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(ICD-10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G</w:t>
      </w:r>
      <w:r w:rsidR="0001156F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35)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7"/>
        <w:gridCol w:w="3687"/>
        <w:gridCol w:w="5894"/>
      </w:tblGrid>
      <w:tr w:rsidR="00301B39" w:rsidRPr="006A1D3B" w14:paraId="79CE7FF0" w14:textId="77777777" w:rsidTr="00F65742">
        <w:trPr>
          <w:trHeight w:val="567"/>
        </w:trPr>
        <w:tc>
          <w:tcPr>
            <w:tcW w:w="5000" w:type="pct"/>
            <w:gridSpan w:val="3"/>
            <w:vAlign w:val="center"/>
          </w:tcPr>
          <w:p w14:paraId="4D881D07" w14:textId="4D8EC645" w:rsidR="0083357E" w:rsidRPr="006A1D3B" w:rsidRDefault="0083357E" w:rsidP="00287E6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ZAKRES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ŚWIADCZENIA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GWARANTOWANEGO</w:t>
            </w:r>
          </w:p>
        </w:tc>
      </w:tr>
      <w:tr w:rsidR="00301B39" w:rsidRPr="006A1D3B" w14:paraId="150E1926" w14:textId="77777777" w:rsidTr="00F65742">
        <w:trPr>
          <w:trHeight w:val="567"/>
        </w:trPr>
        <w:tc>
          <w:tcPr>
            <w:tcW w:w="1887" w:type="pct"/>
            <w:vAlign w:val="center"/>
          </w:tcPr>
          <w:p w14:paraId="020F17B2" w14:textId="77777777" w:rsidR="0083357E" w:rsidRPr="006A1D3B" w:rsidRDefault="0083357E" w:rsidP="00287E6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ŚWIADCZENIOBIORCY</w:t>
            </w:r>
          </w:p>
        </w:tc>
        <w:tc>
          <w:tcPr>
            <w:tcW w:w="1198" w:type="pct"/>
            <w:vAlign w:val="center"/>
          </w:tcPr>
          <w:p w14:paraId="180CC4BC" w14:textId="019F7584" w:rsidR="0083357E" w:rsidRPr="006A1D3B" w:rsidRDefault="0083357E" w:rsidP="00287E6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SCHEMAT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DAWKOWANIA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LEKÓW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br/>
              <w:t>W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PROGRAMIE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14:paraId="3B3DB4F4" w14:textId="6447751D" w:rsidR="00AC37B4" w:rsidRDefault="0083357E" w:rsidP="00287E6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BADA</w:t>
            </w:r>
            <w:r w:rsidR="00BE0FF8" w:rsidRPr="006A1D3B">
              <w:rPr>
                <w:rFonts w:ascii="Times New Roman" w:hAnsi="Times New Roman"/>
                <w:b/>
                <w:color w:val="000000" w:themeColor="text1"/>
              </w:rPr>
              <w:t>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b/>
                <w:color w:val="000000" w:themeColor="text1"/>
              </w:rPr>
              <w:t>DIAGNOSTYCZNE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b/>
                <w:color w:val="000000" w:themeColor="text1"/>
              </w:rPr>
              <w:t>WYKONYWANE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14:paraId="3CE41533" w14:textId="0E30A36E" w:rsidR="0083357E" w:rsidRPr="006A1D3B" w:rsidRDefault="00BE0FF8" w:rsidP="00287E6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b/>
                <w:color w:val="000000" w:themeColor="text1"/>
              </w:rPr>
              <w:t>RAMACH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b/>
                <w:color w:val="000000" w:themeColor="text1"/>
              </w:rPr>
              <w:t>PROGRAMU</w:t>
            </w:r>
          </w:p>
        </w:tc>
      </w:tr>
      <w:tr w:rsidR="0083357E" w:rsidRPr="006A1D3B" w14:paraId="7B697F64" w14:textId="77777777" w:rsidTr="00F65742">
        <w:tc>
          <w:tcPr>
            <w:tcW w:w="1887" w:type="pct"/>
          </w:tcPr>
          <w:p w14:paraId="58E7958E" w14:textId="71D15886" w:rsidR="0083357E" w:rsidRPr="00920757" w:rsidRDefault="0083357E" w:rsidP="00F65742">
            <w:pPr>
              <w:pStyle w:val="Akapitzlist"/>
              <w:numPr>
                <w:ilvl w:val="0"/>
                <w:numId w:val="4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kwalifikacji</w:t>
            </w:r>
          </w:p>
          <w:p w14:paraId="47613EC1" w14:textId="7258BEE1" w:rsidR="0083357E" w:rsidRPr="00F65742" w:rsidRDefault="0083357E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E3D14" w:rsidRPr="00F65742">
              <w:rPr>
                <w:rFonts w:ascii="Times New Roman" w:hAnsi="Times New Roman"/>
                <w:color w:val="000000" w:themeColor="text1"/>
              </w:rPr>
              <w:t>fingolimodem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E3D14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E3D14" w:rsidRPr="00F65742">
              <w:rPr>
                <w:rFonts w:ascii="Times New Roman" w:hAnsi="Times New Roman"/>
                <w:color w:val="000000" w:themeColor="text1"/>
              </w:rPr>
              <w:t>natalizumabem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kwalifikowani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spełniający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łącznie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wymienione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punktach: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1,2,3</w:t>
            </w:r>
            <w:r w:rsidR="00911583" w:rsidRPr="00F65742">
              <w:rPr>
                <w:rFonts w:ascii="Times New Roman" w:hAnsi="Times New Roman"/>
                <w:color w:val="000000" w:themeColor="text1"/>
              </w:rPr>
              <w:t>,4</w:t>
            </w:r>
            <w:r w:rsidR="00670DA7" w:rsidRPr="00F65742">
              <w:rPr>
                <w:rFonts w:ascii="Times New Roman" w:hAnsi="Times New Roman"/>
                <w:color w:val="000000" w:themeColor="text1"/>
              </w:rPr>
              <w:t>,7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F65742">
              <w:rPr>
                <w:rFonts w:ascii="Times New Roman" w:hAnsi="Times New Roman"/>
                <w:color w:val="000000" w:themeColor="text1"/>
              </w:rPr>
              <w:t>albo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F65742">
              <w:rPr>
                <w:rFonts w:ascii="Times New Roman" w:hAnsi="Times New Roman"/>
                <w:color w:val="000000" w:themeColor="text1"/>
              </w:rPr>
              <w:t>1,2,3,5</w:t>
            </w:r>
            <w:r w:rsidR="00670DA7" w:rsidRPr="00F65742">
              <w:rPr>
                <w:rFonts w:ascii="Times New Roman" w:hAnsi="Times New Roman"/>
                <w:color w:val="000000" w:themeColor="text1"/>
              </w:rPr>
              <w:t>,7</w:t>
            </w:r>
            <w:r w:rsidR="00911583" w:rsidRPr="00F65742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053814B" w14:textId="3A1C6A58" w:rsidR="00F325B6" w:rsidRPr="00F65742" w:rsidRDefault="00FE3D14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alemtuzumabem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kwalifikowani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pacjenci,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wcześniej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nieleczeni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alemtuzumabem</w:t>
            </w:r>
            <w:r w:rsidR="00C2219C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spełniający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920A4" w:rsidRPr="00F65742">
              <w:rPr>
                <w:rFonts w:ascii="Times New Roman" w:hAnsi="Times New Roman"/>
                <w:color w:val="000000" w:themeColor="text1"/>
              </w:rPr>
              <w:t>łącznie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wymienione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punktach: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6040D" w:rsidRPr="00F65742">
              <w:rPr>
                <w:rFonts w:ascii="Times New Roman" w:hAnsi="Times New Roman"/>
                <w:color w:val="000000" w:themeColor="text1"/>
              </w:rPr>
              <w:t>1,2,3,4</w:t>
            </w:r>
            <w:r w:rsidR="001E7A17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670DA7" w:rsidRPr="00F65742">
              <w:rPr>
                <w:rFonts w:ascii="Times New Roman" w:hAnsi="Times New Roman"/>
                <w:color w:val="000000" w:themeColor="text1"/>
              </w:rPr>
              <w:t>7,</w:t>
            </w:r>
            <w:r w:rsidR="00673D86" w:rsidRPr="00F65742">
              <w:rPr>
                <w:rFonts w:ascii="Times New Roman" w:hAnsi="Times New Roman"/>
                <w:color w:val="000000" w:themeColor="text1"/>
              </w:rPr>
              <w:t>9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6040D" w:rsidRPr="00F65742">
              <w:rPr>
                <w:rFonts w:ascii="Times New Roman" w:hAnsi="Times New Roman"/>
                <w:color w:val="000000" w:themeColor="text1"/>
              </w:rPr>
              <w:t>albo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C10C8" w:rsidRPr="00F65742">
              <w:rPr>
                <w:rFonts w:ascii="Times New Roman" w:hAnsi="Times New Roman"/>
                <w:color w:val="000000" w:themeColor="text1"/>
              </w:rPr>
              <w:t>1,2,3,</w:t>
            </w:r>
            <w:r w:rsidR="00F325B6" w:rsidRPr="00F65742">
              <w:rPr>
                <w:rFonts w:ascii="Times New Roman" w:hAnsi="Times New Roman"/>
                <w:color w:val="000000" w:themeColor="text1"/>
              </w:rPr>
              <w:t>5</w:t>
            </w:r>
            <w:r w:rsidR="001E7A17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670DA7" w:rsidRPr="00F65742">
              <w:rPr>
                <w:rFonts w:ascii="Times New Roman" w:hAnsi="Times New Roman"/>
                <w:color w:val="000000" w:themeColor="text1"/>
              </w:rPr>
              <w:t>7,</w:t>
            </w:r>
            <w:r w:rsidR="00673D86" w:rsidRPr="00F65742">
              <w:rPr>
                <w:rFonts w:ascii="Times New Roman" w:hAnsi="Times New Roman"/>
                <w:color w:val="000000" w:themeColor="text1"/>
              </w:rPr>
              <w:t>9.</w:t>
            </w:r>
          </w:p>
          <w:p w14:paraId="4414E8D0" w14:textId="7838D153" w:rsidR="00B608FB" w:rsidRPr="00F65742" w:rsidRDefault="00B608FB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okrelizumabem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kwalifikowani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spełnia</w:t>
            </w:r>
            <w:r w:rsidR="007507F5" w:rsidRPr="00F65742">
              <w:rPr>
                <w:rFonts w:ascii="Times New Roman" w:hAnsi="Times New Roman"/>
                <w:color w:val="000000" w:themeColor="text1"/>
              </w:rPr>
              <w:t>jący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F65742">
              <w:rPr>
                <w:rFonts w:ascii="Times New Roman" w:hAnsi="Times New Roman"/>
                <w:color w:val="000000" w:themeColor="text1"/>
              </w:rPr>
              <w:t>łącznie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F65742">
              <w:rPr>
                <w:rFonts w:ascii="Times New Roman" w:hAnsi="Times New Roman"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F65742">
              <w:rPr>
                <w:rFonts w:ascii="Times New Roman" w:hAnsi="Times New Roman"/>
                <w:color w:val="000000" w:themeColor="text1"/>
              </w:rPr>
              <w:t>wymienione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punktach: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1,</w:t>
            </w:r>
            <w:r w:rsidR="006F0E25" w:rsidRPr="00F65742">
              <w:rPr>
                <w:rFonts w:ascii="Times New Roman" w:hAnsi="Times New Roman"/>
                <w:color w:val="000000" w:themeColor="text1"/>
              </w:rPr>
              <w:t>2,3</w:t>
            </w:r>
            <w:r w:rsidR="009A77E9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6F0E25" w:rsidRPr="00F65742">
              <w:rPr>
                <w:rFonts w:ascii="Times New Roman" w:hAnsi="Times New Roman"/>
                <w:color w:val="000000" w:themeColor="text1"/>
              </w:rPr>
              <w:t>4</w:t>
            </w:r>
            <w:r w:rsidR="00DB0C87" w:rsidRPr="00F65742">
              <w:rPr>
                <w:rFonts w:ascii="Times New Roman" w:hAnsi="Times New Roman"/>
                <w:color w:val="000000" w:themeColor="text1"/>
              </w:rPr>
              <w:t>,7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A77E9" w:rsidRPr="00F65742">
              <w:rPr>
                <w:rFonts w:ascii="Times New Roman" w:hAnsi="Times New Roman"/>
                <w:color w:val="000000" w:themeColor="text1"/>
              </w:rPr>
              <w:t>albo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A77E9" w:rsidRPr="00F65742">
              <w:rPr>
                <w:rFonts w:ascii="Times New Roman" w:hAnsi="Times New Roman"/>
                <w:color w:val="000000" w:themeColor="text1"/>
              </w:rPr>
              <w:t>1,</w:t>
            </w:r>
            <w:r w:rsidR="00702007" w:rsidRPr="00F65742">
              <w:rPr>
                <w:rFonts w:ascii="Times New Roman" w:hAnsi="Times New Roman"/>
                <w:color w:val="000000" w:themeColor="text1"/>
              </w:rPr>
              <w:t>2,</w:t>
            </w:r>
            <w:r w:rsidR="008B43E4" w:rsidRPr="00F65742">
              <w:rPr>
                <w:rFonts w:ascii="Times New Roman" w:hAnsi="Times New Roman"/>
                <w:color w:val="000000" w:themeColor="text1"/>
              </w:rPr>
              <w:t>6,</w:t>
            </w:r>
            <w:r w:rsidR="00DB0C87" w:rsidRPr="00F65742">
              <w:rPr>
                <w:rFonts w:ascii="Times New Roman" w:hAnsi="Times New Roman"/>
                <w:color w:val="000000" w:themeColor="text1"/>
              </w:rPr>
              <w:t>7</w:t>
            </w:r>
            <w:r w:rsidR="00BA0AA9" w:rsidRPr="00F65742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13455CA" w14:textId="420D8ED6" w:rsidR="00BA0AA9" w:rsidRPr="00F65742" w:rsidRDefault="00BA0AA9" w:rsidP="00F65742">
            <w:pPr>
              <w:spacing w:after="60"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kladrybiną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F65742">
              <w:rPr>
                <w:rFonts w:ascii="Times New Roman" w:hAnsi="Times New Roman"/>
                <w:color w:val="000000" w:themeColor="text1"/>
              </w:rPr>
              <w:t>tabletkach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kwalifikowani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spełniający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łącznie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wymienione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punktach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1,2,3,4,</w:t>
            </w:r>
            <w:r w:rsidR="00670DA7" w:rsidRPr="00F65742">
              <w:rPr>
                <w:rFonts w:ascii="Times New Roman" w:hAnsi="Times New Roman"/>
                <w:color w:val="000000" w:themeColor="text1"/>
              </w:rPr>
              <w:t>7,</w:t>
            </w:r>
            <w:r w:rsidRPr="00F65742">
              <w:rPr>
                <w:rFonts w:ascii="Times New Roman" w:hAnsi="Times New Roman"/>
                <w:color w:val="000000" w:themeColor="text1"/>
              </w:rPr>
              <w:t>8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albo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1,2,3,5,</w:t>
            </w:r>
            <w:r w:rsidR="00670DA7" w:rsidRPr="00F65742">
              <w:rPr>
                <w:rFonts w:ascii="Times New Roman" w:hAnsi="Times New Roman"/>
                <w:color w:val="000000" w:themeColor="text1"/>
              </w:rPr>
              <w:t>7,</w:t>
            </w:r>
            <w:r w:rsidRPr="00F65742">
              <w:rPr>
                <w:rFonts w:ascii="Times New Roman" w:hAnsi="Times New Roman"/>
                <w:color w:val="000000" w:themeColor="text1"/>
              </w:rPr>
              <w:t>8.</w:t>
            </w:r>
          </w:p>
          <w:p w14:paraId="7FCC2B9A" w14:textId="5DD77067" w:rsidR="0083357E" w:rsidRPr="00920757" w:rsidRDefault="001C10C8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Wiek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życia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(natalizumab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fingol</w:t>
            </w:r>
            <w:r w:rsidR="002F39A7" w:rsidRPr="00920757">
              <w:rPr>
                <w:rFonts w:ascii="Times New Roman" w:hAnsi="Times New Roman"/>
                <w:color w:val="000000" w:themeColor="text1"/>
              </w:rPr>
              <w:t>imod)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F39A7" w:rsidRPr="00920757">
              <w:rPr>
                <w:rFonts w:ascii="Times New Roman" w:hAnsi="Times New Roman"/>
                <w:color w:val="000000" w:themeColor="text1"/>
              </w:rPr>
              <w:t>albo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wiek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18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życia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(alemtuzumab</w:t>
            </w:r>
            <w:r w:rsidR="00F76F3C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76F3C"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608FB" w:rsidRPr="00920757">
              <w:rPr>
                <w:rFonts w:ascii="Times New Roman" w:hAnsi="Times New Roman"/>
                <w:color w:val="000000" w:themeColor="text1"/>
              </w:rPr>
              <w:t>okrelizumab</w:t>
            </w:r>
            <w:r w:rsidR="00F76F3C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76F3C"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76F3C" w:rsidRPr="00920757">
              <w:rPr>
                <w:rFonts w:ascii="Times New Roman" w:hAnsi="Times New Roman"/>
                <w:color w:val="000000" w:themeColor="text1"/>
              </w:rPr>
              <w:t>kladrybina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920757">
              <w:rPr>
                <w:rFonts w:ascii="Times New Roman" w:hAnsi="Times New Roman"/>
                <w:color w:val="000000" w:themeColor="text1"/>
              </w:rPr>
              <w:t>tabletkach</w:t>
            </w:r>
            <w:r w:rsidRPr="00920757">
              <w:rPr>
                <w:rFonts w:ascii="Times New Roman" w:hAnsi="Times New Roman"/>
                <w:color w:val="000000" w:themeColor="text1"/>
              </w:rPr>
              <w:t>);</w:t>
            </w:r>
          </w:p>
          <w:p w14:paraId="56B1B1A6" w14:textId="30356F2E" w:rsidR="0083357E" w:rsidRPr="00920757" w:rsidRDefault="0083357E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Brak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przeciww</w:t>
            </w:r>
            <w:r w:rsidR="00650705" w:rsidRPr="00920757">
              <w:rPr>
                <w:rFonts w:ascii="Times New Roman" w:hAnsi="Times New Roman"/>
                <w:color w:val="000000" w:themeColor="text1"/>
              </w:rPr>
              <w:t>skazań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0705"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2219C" w:rsidRPr="00920757">
              <w:rPr>
                <w:rFonts w:ascii="Times New Roman" w:hAnsi="Times New Roman"/>
                <w:color w:val="000000" w:themeColor="text1"/>
              </w:rPr>
              <w:t>rozpoczęcia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0705"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0705" w:rsidRPr="00920757">
              <w:rPr>
                <w:rFonts w:ascii="Times New Roman" w:hAnsi="Times New Roman"/>
                <w:color w:val="000000" w:themeColor="text1"/>
              </w:rPr>
              <w:t>wskazanych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6F8B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Charakterystyce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Produktu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Leczniczego;</w:t>
            </w:r>
          </w:p>
          <w:p w14:paraId="79F90D22" w14:textId="142BBF5D" w:rsidR="0083357E" w:rsidRPr="00920757" w:rsidRDefault="0083357E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Rozpoznanie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postaci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rzutow</w:t>
            </w:r>
            <w:r w:rsidR="00814D9E" w:rsidRPr="00920757">
              <w:rPr>
                <w:rFonts w:ascii="Times New Roman" w:hAnsi="Times New Roman"/>
                <w:color w:val="000000" w:themeColor="text1"/>
              </w:rPr>
              <w:t>o-remisyjnej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6F8B" w:rsidRPr="00920757">
              <w:rPr>
                <w:rFonts w:ascii="Times New Roman" w:hAnsi="Times New Roman"/>
                <w:color w:val="000000" w:themeColor="text1"/>
              </w:rPr>
              <w:t>s</w:t>
            </w:r>
            <w:r w:rsidR="00870F41" w:rsidRPr="00920757">
              <w:rPr>
                <w:rFonts w:ascii="Times New Roman" w:hAnsi="Times New Roman"/>
                <w:color w:val="000000" w:themeColor="text1"/>
              </w:rPr>
              <w:t>twardnienia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70F41" w:rsidRPr="00920757">
              <w:rPr>
                <w:rFonts w:ascii="Times New Roman" w:hAnsi="Times New Roman"/>
                <w:color w:val="000000" w:themeColor="text1"/>
              </w:rPr>
              <w:t>rozsianego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70F41" w:rsidRPr="00920757">
              <w:rPr>
                <w:rFonts w:ascii="Times New Roman" w:hAnsi="Times New Roman"/>
                <w:color w:val="000000" w:themeColor="text1"/>
              </w:rPr>
              <w:t>(RRMS)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oparte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aktualnych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kryte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t>riach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t>diagnostycznych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t>McDonalda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t>łącznie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t>badaniami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t>rezonansem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lastRenderedPageBreak/>
              <w:t>magnetycznym,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t>podaniu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920757">
              <w:rPr>
                <w:rFonts w:ascii="Times New Roman" w:hAnsi="Times New Roman"/>
                <w:color w:val="000000" w:themeColor="text1"/>
              </w:rPr>
              <w:t>kontrastu;</w:t>
            </w:r>
          </w:p>
          <w:p w14:paraId="6279DDC4" w14:textId="06435D4D" w:rsidR="0083357E" w:rsidRPr="00920757" w:rsidRDefault="0083357E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Pacjenci,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których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stwierdza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brak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odpowiedzi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pełny,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cykl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interferonem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79C4" w:rsidRPr="00920757">
              <w:rPr>
                <w:rFonts w:ascii="Times New Roman" w:hAnsi="Times New Roman"/>
                <w:color w:val="000000" w:themeColor="text1"/>
              </w:rPr>
              <w:t>beta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79C4"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B7BF2" w:rsidRPr="00920757">
              <w:rPr>
                <w:rFonts w:ascii="Times New Roman" w:hAnsi="Times New Roman"/>
                <w:color w:val="000000" w:themeColor="text1"/>
              </w:rPr>
              <w:t>peg</w:t>
            </w:r>
            <w:r w:rsidR="00DF79C4" w:rsidRPr="00920757">
              <w:rPr>
                <w:rFonts w:ascii="Times New Roman" w:hAnsi="Times New Roman"/>
                <w:color w:val="000000" w:themeColor="text1"/>
              </w:rPr>
              <w:t>interferonem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79C4" w:rsidRPr="00920757">
              <w:rPr>
                <w:rFonts w:ascii="Times New Roman" w:hAnsi="Times New Roman"/>
                <w:color w:val="000000" w:themeColor="text1"/>
              </w:rPr>
              <w:t>beta-</w:t>
            </w:r>
            <w:r w:rsidRPr="00920757">
              <w:rPr>
                <w:rFonts w:ascii="Times New Roman" w:hAnsi="Times New Roman"/>
                <w:color w:val="000000" w:themeColor="text1"/>
              </w:rPr>
              <w:t>1a</w:t>
            </w:r>
            <w:r w:rsidR="00DF79C4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octanem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glatirameru</w:t>
            </w:r>
            <w:r w:rsidR="00DF79C4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fumaranem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dimetylu</w:t>
            </w:r>
            <w:r w:rsidR="00DF79C4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79C4"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79C4" w:rsidRPr="00920757">
              <w:rPr>
                <w:rFonts w:ascii="Times New Roman" w:hAnsi="Times New Roman"/>
                <w:color w:val="000000" w:themeColor="text1"/>
              </w:rPr>
              <w:t>teryflunomidem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efiniowany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jako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spełnienie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obu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4E5C" w:rsidRPr="00920757">
              <w:rPr>
                <w:rFonts w:ascii="Times New Roman" w:hAnsi="Times New Roman"/>
                <w:color w:val="000000" w:themeColor="text1"/>
              </w:rPr>
              <w:t>poniższych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4E5C" w:rsidRPr="00920757">
              <w:rPr>
                <w:rFonts w:ascii="Times New Roman" w:hAnsi="Times New Roman"/>
                <w:color w:val="000000" w:themeColor="text1"/>
              </w:rPr>
              <w:t>warunków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4E5C" w:rsidRPr="00920757">
              <w:rPr>
                <w:rFonts w:ascii="Times New Roman" w:hAnsi="Times New Roman"/>
                <w:color w:val="000000" w:themeColor="text1"/>
              </w:rPr>
              <w:t>(pkt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pkt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b):</w:t>
            </w:r>
          </w:p>
          <w:p w14:paraId="783D9153" w14:textId="135CD57F" w:rsidR="0083357E" w:rsidRPr="00920757" w:rsidRDefault="0083357E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liczba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ciężkość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rzutów:</w:t>
            </w:r>
          </w:p>
          <w:p w14:paraId="6CFD1748" w14:textId="5F6F585A" w:rsidR="0083357E" w:rsidRPr="00920757" w:rsidRDefault="0083357E" w:rsidP="00F65742">
            <w:pPr>
              <w:pStyle w:val="Akapitzlist"/>
              <w:numPr>
                <w:ilvl w:val="5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więcej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rzutów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umiarkowanych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wymagających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F5378"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F5378" w:rsidRPr="00920757">
              <w:rPr>
                <w:rFonts w:ascii="Times New Roman" w:hAnsi="Times New Roman"/>
                <w:color w:val="000000" w:themeColor="text1"/>
              </w:rPr>
              <w:t>sterydami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920757">
              <w:rPr>
                <w:rFonts w:ascii="Times New Roman" w:hAnsi="Times New Roman"/>
                <w:color w:val="000000" w:themeColor="text1"/>
              </w:rPr>
              <w:t>czasie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920757">
              <w:rPr>
                <w:rFonts w:ascii="Times New Roman" w:hAnsi="Times New Roman"/>
                <w:color w:val="000000" w:themeColor="text1"/>
              </w:rPr>
              <w:t>minimum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920757">
              <w:rPr>
                <w:rFonts w:ascii="Times New Roman" w:hAnsi="Times New Roman"/>
                <w:color w:val="000000" w:themeColor="text1"/>
              </w:rPr>
              <w:t>rocznego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920757">
              <w:rPr>
                <w:rFonts w:ascii="Times New Roman" w:hAnsi="Times New Roman"/>
                <w:color w:val="000000" w:themeColor="text1"/>
              </w:rPr>
              <w:t>cyklu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6F5378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</w:p>
          <w:p w14:paraId="4473285B" w14:textId="731A7F41" w:rsidR="0083357E" w:rsidRPr="00920757" w:rsidRDefault="0083357E" w:rsidP="00F65742">
            <w:pPr>
              <w:pStyle w:val="Akapitzlist"/>
              <w:numPr>
                <w:ilvl w:val="5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1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ciężki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rzut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6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leczenia;</w:t>
            </w:r>
          </w:p>
          <w:p w14:paraId="10E00700" w14:textId="78DDB724" w:rsidR="0083357E" w:rsidRPr="00920757" w:rsidRDefault="0083357E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zmiany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badaniu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rez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onansu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magnetycznego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wykonanym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każdych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miesiącach,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gdy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stwierdza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jedno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poniższych:</w:t>
            </w:r>
          </w:p>
          <w:p w14:paraId="7D79399A" w14:textId="1E629AC0" w:rsidR="0083357E" w:rsidRPr="00920757" w:rsidRDefault="0083357E" w:rsidP="00F65742">
            <w:pPr>
              <w:pStyle w:val="Akapitzlist"/>
              <w:numPr>
                <w:ilvl w:val="5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więcej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jedna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nowa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zmiana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46AF8" w:rsidRPr="00920757">
              <w:rPr>
                <w:rFonts w:ascii="Times New Roman" w:hAnsi="Times New Roman"/>
                <w:color w:val="000000" w:themeColor="text1"/>
              </w:rPr>
              <w:t>Gd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(+),</w:t>
            </w:r>
          </w:p>
          <w:p w14:paraId="2EA3C866" w14:textId="4B84C3F0" w:rsidR="0083357E" w:rsidRPr="00920757" w:rsidRDefault="00146AF8" w:rsidP="00F65742">
            <w:pPr>
              <w:pStyle w:val="Akapitzlist"/>
              <w:numPr>
                <w:ilvl w:val="5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więcej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dwie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nowe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zmiany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44A0" w:rsidRPr="00920757">
              <w:rPr>
                <w:rFonts w:ascii="Times New Roman" w:hAnsi="Times New Roman"/>
                <w:color w:val="000000" w:themeColor="text1"/>
              </w:rPr>
              <w:t>sekwencji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44A0" w:rsidRPr="00920757">
              <w:rPr>
                <w:rFonts w:ascii="Times New Roman" w:hAnsi="Times New Roman"/>
                <w:color w:val="000000" w:themeColor="text1"/>
              </w:rPr>
              <w:t>T2</w:t>
            </w:r>
            <w:r w:rsidR="00136E46"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C4BC9D8" w14:textId="51EB03D6" w:rsidR="0083357E" w:rsidRPr="00920757" w:rsidRDefault="0083357E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Szybko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rozwijająca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się,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ciężka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choroby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rozpoznawana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kiedy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zostaną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spełnione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oba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poniższe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parametry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B3211" w:rsidRPr="00920757">
              <w:rPr>
                <w:rFonts w:ascii="Times New Roman" w:hAnsi="Times New Roman"/>
                <w:color w:val="000000" w:themeColor="text1"/>
              </w:rPr>
              <w:t>(pkt.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B3211" w:rsidRPr="00920757">
              <w:rPr>
                <w:rFonts w:ascii="Times New Roman" w:hAnsi="Times New Roman"/>
                <w:color w:val="000000" w:themeColor="text1"/>
              </w:rPr>
              <w:t>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B3211"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B3211" w:rsidRPr="00920757">
              <w:rPr>
                <w:rFonts w:ascii="Times New Roman" w:hAnsi="Times New Roman"/>
                <w:color w:val="000000" w:themeColor="text1"/>
              </w:rPr>
              <w:t>pkt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B3211" w:rsidRPr="00920757">
              <w:rPr>
                <w:rFonts w:ascii="Times New Roman" w:hAnsi="Times New Roman"/>
                <w:color w:val="000000" w:themeColor="text1"/>
              </w:rPr>
              <w:t>b)</w:t>
            </w:r>
            <w:r w:rsidRPr="00920757">
              <w:rPr>
                <w:rFonts w:ascii="Times New Roman" w:hAnsi="Times New Roman"/>
                <w:color w:val="000000" w:themeColor="text1"/>
              </w:rPr>
              <w:t>: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28B46AC" w14:textId="74069E2B" w:rsidR="0083357E" w:rsidRPr="00920757" w:rsidRDefault="0083357E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najmniej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rzuty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wymagające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stery</w:t>
            </w:r>
            <w:r w:rsidR="00146AF8" w:rsidRPr="00920757">
              <w:rPr>
                <w:rFonts w:ascii="Times New Roman" w:hAnsi="Times New Roman"/>
                <w:color w:val="000000" w:themeColor="text1"/>
              </w:rPr>
              <w:t>dami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46AF8" w:rsidRPr="00920757">
              <w:rPr>
                <w:rFonts w:ascii="Times New Roman" w:hAnsi="Times New Roman"/>
                <w:color w:val="000000" w:themeColor="text1"/>
              </w:rPr>
              <w:t>powodujące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46AF8" w:rsidRPr="00920757">
              <w:rPr>
                <w:rFonts w:ascii="Times New Roman" w:hAnsi="Times New Roman"/>
                <w:color w:val="000000" w:themeColor="text1"/>
              </w:rPr>
              <w:t>niesprawność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46AF8" w:rsidRPr="00920757">
              <w:rPr>
                <w:rFonts w:ascii="Times New Roman" w:hAnsi="Times New Roman"/>
                <w:color w:val="000000" w:themeColor="text1"/>
              </w:rPr>
              <w:t>(w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czasie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rzutu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wzrost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minimum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pkt)</w:t>
            </w:r>
            <w:r w:rsidR="00F00DD4"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4232135" w14:textId="7E879EDD" w:rsidR="0083357E" w:rsidRPr="00920757" w:rsidRDefault="0083357E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zmiany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badaniu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rezonansu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magnetycznego</w:t>
            </w:r>
            <w:r w:rsidR="00F00DD4" w:rsidRPr="00920757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22BDB73C" w14:textId="698FFF20" w:rsidR="0083357E" w:rsidRPr="00920757" w:rsidRDefault="0083357E" w:rsidP="00F65742">
            <w:pPr>
              <w:pStyle w:val="Akapitzlist"/>
              <w:numPr>
                <w:ilvl w:val="5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więcej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jedna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nowa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zmiana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GD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(+)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</w:p>
          <w:p w14:paraId="632B4F7D" w14:textId="683E7A81" w:rsidR="0083357E" w:rsidRPr="00920757" w:rsidRDefault="0083357E" w:rsidP="00F65742">
            <w:pPr>
              <w:pStyle w:val="Akapitzlist"/>
              <w:numPr>
                <w:ilvl w:val="5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więcej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dwie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nowe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zmiany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sekwencji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sumie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9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zmian);</w:t>
            </w:r>
          </w:p>
          <w:p w14:paraId="0F954E52" w14:textId="7A49CB90" w:rsidR="00DB0C87" w:rsidRPr="00920757" w:rsidRDefault="00580692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Rozpoznanie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postaci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pierwotnie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postępującej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stwardnienia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rozsianego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920757">
              <w:rPr>
                <w:rFonts w:ascii="Times New Roman" w:hAnsi="Times New Roman"/>
                <w:color w:val="000000" w:themeColor="text1"/>
              </w:rPr>
              <w:t>oparte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920757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920757">
              <w:rPr>
                <w:rFonts w:ascii="Times New Roman" w:hAnsi="Times New Roman"/>
                <w:color w:val="000000" w:themeColor="text1"/>
              </w:rPr>
              <w:t>aktualnych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920757">
              <w:rPr>
                <w:rFonts w:ascii="Times New Roman" w:hAnsi="Times New Roman"/>
                <w:color w:val="000000" w:themeColor="text1"/>
              </w:rPr>
              <w:t>kryteriach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diagnostycznych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McDonalda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spełnienie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wszystkich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poniższych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warunków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(pkt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pkt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pkt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c):</w:t>
            </w:r>
          </w:p>
          <w:p w14:paraId="6DEA6672" w14:textId="610AC2B6" w:rsidR="00580692" w:rsidRPr="00920757" w:rsidRDefault="00580692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wynik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skali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3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6,5;</w:t>
            </w:r>
          </w:p>
          <w:p w14:paraId="54690844" w14:textId="4015515A" w:rsidR="00580692" w:rsidRPr="00920757" w:rsidRDefault="00580692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lastRenderedPageBreak/>
              <w:t>czas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trwania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pierwszych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objawów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postaci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pierwotnie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postępującej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stwardnienia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rozsianego:</w:t>
            </w:r>
          </w:p>
          <w:p w14:paraId="5C6F056C" w14:textId="679B4703" w:rsidR="00580692" w:rsidRPr="00920757" w:rsidRDefault="00580692" w:rsidP="00F65742">
            <w:pPr>
              <w:pStyle w:val="Akapitzlist"/>
              <w:numPr>
                <w:ilvl w:val="5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mniej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10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lat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pacjentów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wynikiem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chwili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kwalifikacji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≤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5,0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2A2FEF94" w14:textId="1146DA56" w:rsidR="00580692" w:rsidRPr="00920757" w:rsidRDefault="00580692" w:rsidP="00F65742">
            <w:pPr>
              <w:pStyle w:val="Akapitzlist"/>
              <w:numPr>
                <w:ilvl w:val="5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mniej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15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lat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pacjentów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wynikiem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chwili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kwalifikacji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&gt;5,0;</w:t>
            </w:r>
          </w:p>
          <w:p w14:paraId="0C06D776" w14:textId="1CF0F0A1" w:rsidR="00DB0C87" w:rsidRPr="00920757" w:rsidRDefault="00580692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potwierdzona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aktywność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zapalna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MRI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3E4" w:rsidRPr="00920757">
              <w:rPr>
                <w:rFonts w:ascii="Times New Roman" w:hAnsi="Times New Roman"/>
                <w:color w:val="000000" w:themeColor="text1"/>
              </w:rPr>
              <w:t>(w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3E4" w:rsidRPr="00920757">
              <w:rPr>
                <w:rFonts w:ascii="Times New Roman" w:hAnsi="Times New Roman"/>
                <w:color w:val="000000" w:themeColor="text1"/>
              </w:rPr>
              <w:t>stosunku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3E4"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3697B" w:rsidRPr="00920757">
              <w:rPr>
                <w:rFonts w:ascii="Times New Roman" w:hAnsi="Times New Roman"/>
                <w:color w:val="000000" w:themeColor="text1"/>
              </w:rPr>
              <w:t>poprzedniego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3E4" w:rsidRPr="00920757">
              <w:rPr>
                <w:rFonts w:ascii="Times New Roman" w:hAnsi="Times New Roman"/>
                <w:color w:val="000000" w:themeColor="text1"/>
              </w:rPr>
              <w:t>wykonanego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3E4" w:rsidRPr="00920757">
              <w:rPr>
                <w:rFonts w:ascii="Times New Roman" w:hAnsi="Times New Roman"/>
                <w:color w:val="000000" w:themeColor="text1"/>
              </w:rPr>
              <w:t>badania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3E4" w:rsidRPr="00920757">
              <w:rPr>
                <w:rFonts w:ascii="Times New Roman" w:hAnsi="Times New Roman"/>
                <w:color w:val="000000" w:themeColor="text1"/>
              </w:rPr>
              <w:t>MRI.)</w:t>
            </w:r>
            <w:r w:rsidRPr="00920757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7D848369" w14:textId="0950E973" w:rsidR="00580692" w:rsidRPr="00920757" w:rsidRDefault="00580692" w:rsidP="00F65742">
            <w:pPr>
              <w:pStyle w:val="Akapitzlist"/>
              <w:numPr>
                <w:ilvl w:val="5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przynajmniej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ognisko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wzmacniające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Gd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FB2402A" w14:textId="4E8A5F61" w:rsidR="008B43E4" w:rsidRPr="00920757" w:rsidRDefault="00580692" w:rsidP="00F65742">
            <w:pPr>
              <w:pStyle w:val="Akapitzlist"/>
              <w:numPr>
                <w:ilvl w:val="5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przynajmniej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nowe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powiększające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ognisko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T2</w:t>
            </w:r>
            <w:r w:rsidR="008B43E4"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454702F" w14:textId="481DEEF2" w:rsidR="00DB0C87" w:rsidRPr="00920757" w:rsidRDefault="00DB0C87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Stosowanie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antykoncepcji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kobiet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wieku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rozrodczym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oparciu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Charakterystykę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Produktu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Leczniczego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stosowanego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70DA7" w:rsidRPr="00920757">
              <w:rPr>
                <w:rFonts w:ascii="Times New Roman" w:hAnsi="Times New Roman"/>
                <w:color w:val="000000" w:themeColor="text1"/>
              </w:rPr>
              <w:t>leku;</w:t>
            </w:r>
          </w:p>
          <w:p w14:paraId="1752CA04" w14:textId="03444E8D" w:rsidR="00520914" w:rsidRPr="00920757" w:rsidRDefault="00BA0AA9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Liczba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limfocytów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musi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być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prawidłowa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rozpoczęciem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stosowania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kladry</w:t>
            </w:r>
            <w:r w:rsidR="006D30BF" w:rsidRPr="00920757">
              <w:rPr>
                <w:rFonts w:ascii="Times New Roman" w:hAnsi="Times New Roman"/>
                <w:color w:val="000000" w:themeColor="text1"/>
              </w:rPr>
              <w:t>biny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920757">
              <w:rPr>
                <w:rFonts w:ascii="Times New Roman" w:hAnsi="Times New Roman"/>
                <w:color w:val="000000" w:themeColor="text1"/>
              </w:rPr>
              <w:t>tabletkach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920757">
              <w:rPr>
                <w:rFonts w:ascii="Times New Roman" w:hAnsi="Times New Roman"/>
                <w:color w:val="000000" w:themeColor="text1"/>
              </w:rPr>
              <w:t>pierwszym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920757">
              <w:rPr>
                <w:rFonts w:ascii="Times New Roman" w:hAnsi="Times New Roman"/>
                <w:color w:val="000000" w:themeColor="text1"/>
              </w:rPr>
              <w:t>roku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920757">
              <w:rPr>
                <w:rFonts w:ascii="Times New Roman" w:hAnsi="Times New Roman"/>
                <w:color w:val="000000" w:themeColor="text1"/>
              </w:rPr>
              <w:t>terapii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wynosić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najmniej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800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komórek/mm³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rozpoczęciem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stosowania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</w:t>
            </w:r>
            <w:r w:rsidR="00063C34" w:rsidRPr="00920757">
              <w:rPr>
                <w:rFonts w:ascii="Times New Roman" w:hAnsi="Times New Roman"/>
                <w:color w:val="000000" w:themeColor="text1"/>
              </w:rPr>
              <w:t>ladrybiny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63C34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63C34" w:rsidRPr="00920757">
              <w:rPr>
                <w:rFonts w:ascii="Times New Roman" w:hAnsi="Times New Roman"/>
                <w:color w:val="000000" w:themeColor="text1"/>
              </w:rPr>
              <w:t>tabletkach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63C34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920757">
              <w:rPr>
                <w:rFonts w:ascii="Times New Roman" w:hAnsi="Times New Roman"/>
                <w:color w:val="000000" w:themeColor="text1"/>
              </w:rPr>
              <w:t>drugim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920757">
              <w:rPr>
                <w:rFonts w:ascii="Times New Roman" w:hAnsi="Times New Roman"/>
                <w:color w:val="000000" w:themeColor="text1"/>
              </w:rPr>
              <w:t>roku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920757">
              <w:rPr>
                <w:rFonts w:ascii="Times New Roman" w:hAnsi="Times New Roman"/>
                <w:color w:val="000000" w:themeColor="text1"/>
              </w:rPr>
              <w:t>terapii</w:t>
            </w:r>
            <w:r w:rsidR="007F3678" w:rsidRPr="00920757">
              <w:rPr>
                <w:rFonts w:ascii="Times New Roman" w:hAnsi="Times New Roman"/>
                <w:color w:val="000000" w:themeColor="text1"/>
              </w:rPr>
              <w:t>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razie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potrzeby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można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opóźnić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cykl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roku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2.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okres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6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miesięcy,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aby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umożliwić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odnowę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limfocytów.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Jeśli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taka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odnowa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trwa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dłużej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6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miesięcy,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pacjent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powinien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już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otrzymywać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kladrybiny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tabletkach.</w:t>
            </w:r>
          </w:p>
          <w:p w14:paraId="099AD2C2" w14:textId="3631FB2E" w:rsidR="00520914" w:rsidRPr="00920757" w:rsidRDefault="00520914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Brak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przeciwwskazań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takich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jak: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ciężkie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aktywne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zakażenia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(aż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całkowitego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ustąpienia),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zakażenie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ludzkim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wirusem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niedoboru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odporności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(HIV),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niekontrolowane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nadciśnienie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tętnicze,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przebyte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rozwarstwienie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tętnicy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szyjnej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i/lub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kręgowej,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przebyty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udar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mózgu,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przebyta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dławica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piersiowa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zawał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mięśnia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sercowego,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koagulopatia,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przeciwpłytkowe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przeciwzakrzepowe,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współistniejące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choroby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autoimmunologiczne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inne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stwardnienie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rozsiane.</w:t>
            </w:r>
          </w:p>
          <w:p w14:paraId="54D8974D" w14:textId="4D4C63BD" w:rsidR="0083357E" w:rsidRPr="00F65742" w:rsidRDefault="0083357E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Ponadto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programu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kwalifikuje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się:</w:t>
            </w:r>
          </w:p>
          <w:p w14:paraId="14314E8D" w14:textId="00AA56B1" w:rsidR="0083357E" w:rsidRPr="00920757" w:rsidRDefault="0083357E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lastRenderedPageBreak/>
              <w:t>Pacjentki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wyłączone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programu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związku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ciążą,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które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momencie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wyłączen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spełniały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pozostałe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programie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które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moment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ponownego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włączania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programu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spełniają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przeciwskazań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kryteriów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wyłączenia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spełniają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pozostałe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920757">
              <w:rPr>
                <w:rFonts w:ascii="Times New Roman" w:hAnsi="Times New Roman"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920757">
              <w:rPr>
                <w:rFonts w:ascii="Times New Roman" w:hAnsi="Times New Roman"/>
                <w:color w:val="000000" w:themeColor="text1"/>
              </w:rPr>
              <w:t>przedłużenia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920757">
              <w:rPr>
                <w:rFonts w:ascii="Times New Roman" w:hAnsi="Times New Roman"/>
                <w:color w:val="000000" w:themeColor="text1"/>
              </w:rPr>
              <w:t>leczenia;</w:t>
            </w:r>
          </w:p>
          <w:p w14:paraId="5ED475DD" w14:textId="6D40F0FC" w:rsidR="006A1D3B" w:rsidRDefault="00483529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P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acjentów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uprzednio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leczonych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natalizumabem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fingolimodem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E3D14"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E3D14" w:rsidRPr="00920757">
              <w:rPr>
                <w:rFonts w:ascii="Times New Roman" w:hAnsi="Times New Roman"/>
                <w:color w:val="000000" w:themeColor="text1"/>
              </w:rPr>
              <w:t>alemtuzumabem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okrelizumabem,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920757">
              <w:rPr>
                <w:rFonts w:ascii="Times New Roman" w:hAnsi="Times New Roman"/>
                <w:color w:val="000000" w:themeColor="text1"/>
              </w:rPr>
              <w:t>kladrybiną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920757">
              <w:rPr>
                <w:rFonts w:ascii="Times New Roman" w:hAnsi="Times New Roman"/>
                <w:color w:val="000000" w:themeColor="text1"/>
              </w:rPr>
              <w:t>tabletkach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ramach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innego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sposobu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finansowania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terapii,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celu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zapewnienia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kontynuacji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terapii,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ile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dzień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rozpoczęcia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terapii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spełnili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stosowne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920757">
              <w:rPr>
                <w:rFonts w:ascii="Times New Roman" w:hAnsi="Times New Roman"/>
                <w:color w:val="000000" w:themeColor="text1"/>
              </w:rPr>
              <w:t>kwalifikacji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920757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920757">
              <w:rPr>
                <w:rFonts w:ascii="Times New Roman" w:hAnsi="Times New Roman"/>
                <w:color w:val="000000" w:themeColor="text1"/>
              </w:rPr>
              <w:t>spełniają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920757">
              <w:rPr>
                <w:rFonts w:ascii="Times New Roman" w:hAnsi="Times New Roman"/>
                <w:color w:val="000000" w:themeColor="text1"/>
              </w:rPr>
              <w:t>przeciwskazań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920757">
              <w:rPr>
                <w:rFonts w:ascii="Times New Roman" w:hAnsi="Times New Roman"/>
                <w:color w:val="000000" w:themeColor="text1"/>
              </w:rPr>
              <w:t>lecze</w:t>
            </w:r>
            <w:r w:rsidR="009330F8" w:rsidRPr="00920757">
              <w:rPr>
                <w:rFonts w:ascii="Times New Roman" w:hAnsi="Times New Roman"/>
                <w:color w:val="000000" w:themeColor="text1"/>
              </w:rPr>
              <w:t>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330F8"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330F8" w:rsidRPr="00920757">
              <w:rPr>
                <w:rFonts w:ascii="Times New Roman" w:hAnsi="Times New Roman"/>
                <w:color w:val="000000" w:themeColor="text1"/>
              </w:rPr>
              <w:t>kryteriów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330F8" w:rsidRPr="00920757">
              <w:rPr>
                <w:rFonts w:ascii="Times New Roman" w:hAnsi="Times New Roman"/>
                <w:color w:val="000000" w:themeColor="text1"/>
              </w:rPr>
              <w:t>wyłączenia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330F8"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920757">
              <w:rPr>
                <w:rFonts w:ascii="Times New Roman" w:hAnsi="Times New Roman"/>
                <w:color w:val="000000" w:themeColor="text1"/>
              </w:rPr>
              <w:t>spełniają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920757">
              <w:rPr>
                <w:rFonts w:ascii="Times New Roman" w:hAnsi="Times New Roman"/>
                <w:color w:val="000000" w:themeColor="text1"/>
              </w:rPr>
              <w:t>pozostałe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920757">
              <w:rPr>
                <w:rFonts w:ascii="Times New Roman" w:hAnsi="Times New Roman"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920757">
              <w:rPr>
                <w:rFonts w:ascii="Times New Roman" w:hAnsi="Times New Roman"/>
                <w:color w:val="000000" w:themeColor="text1"/>
              </w:rPr>
              <w:t>przedłużenia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6A1D3B" w:rsidRPr="0092075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11E547C7" w14:textId="77777777" w:rsidR="00F65742" w:rsidRPr="00920757" w:rsidRDefault="00F65742" w:rsidP="00F65742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ED14B39" w14:textId="5A832A4A" w:rsidR="00911583" w:rsidRPr="00920757" w:rsidRDefault="00621BE0" w:rsidP="00920757">
            <w:pPr>
              <w:pStyle w:val="Akapitzlist"/>
              <w:numPr>
                <w:ilvl w:val="0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C489E" w:rsidRPr="00920757">
              <w:rPr>
                <w:rFonts w:ascii="Times New Roman" w:hAnsi="Times New Roman"/>
                <w:b/>
                <w:color w:val="000000" w:themeColor="text1"/>
              </w:rPr>
              <w:t>zamiany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C489E" w:rsidRPr="00920757">
              <w:rPr>
                <w:rFonts w:ascii="Times New Roman" w:hAnsi="Times New Roman"/>
                <w:b/>
                <w:color w:val="000000" w:themeColor="text1"/>
              </w:rPr>
              <w:t>leków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C489E" w:rsidRPr="00920757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C489E" w:rsidRPr="00920757">
              <w:rPr>
                <w:rFonts w:ascii="Times New Roman" w:hAnsi="Times New Roman"/>
                <w:b/>
                <w:color w:val="000000" w:themeColor="text1"/>
              </w:rPr>
              <w:t>programie</w:t>
            </w:r>
          </w:p>
          <w:p w14:paraId="364F97F3" w14:textId="347ABA25" w:rsidR="00FC489E" w:rsidRDefault="00FC489E" w:rsidP="00F65742">
            <w:pPr>
              <w:spacing w:after="60" w:line="276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65742"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wystąpienia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objawów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niepożądanych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ze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względu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bezpieczeństwo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chorego,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nieskuteczności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dopuszcza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ramach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programu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zamianę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lek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o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innym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mechanizmie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działania.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Dokonując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zmiany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leku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kierować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zapisami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właściwych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Charakterystyk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Produktów</w:t>
            </w:r>
            <w:r w:rsidR="0001156F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bCs/>
                <w:color w:val="000000" w:themeColor="text1"/>
              </w:rPr>
              <w:t>Leczniczych.</w:t>
            </w:r>
          </w:p>
          <w:p w14:paraId="18A63B55" w14:textId="77777777" w:rsidR="00F65742" w:rsidRPr="00F65742" w:rsidRDefault="00F65742" w:rsidP="00F65742">
            <w:pPr>
              <w:spacing w:after="60" w:line="276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24366D22" w14:textId="5B8A7D45" w:rsidR="00FC489E" w:rsidRPr="00920757" w:rsidRDefault="00FC489E" w:rsidP="00920757">
            <w:pPr>
              <w:pStyle w:val="Akapitzlist"/>
              <w:numPr>
                <w:ilvl w:val="0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wyłączenia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programu</w:t>
            </w:r>
          </w:p>
          <w:p w14:paraId="6E3FC03E" w14:textId="56972CDC" w:rsidR="0083357E" w:rsidRPr="00F65742" w:rsidRDefault="0083357E" w:rsidP="00F65742">
            <w:pPr>
              <w:spacing w:after="60"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Kryterium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wyłączenia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F00AD" w:rsidRPr="00F65742">
              <w:rPr>
                <w:rFonts w:ascii="Times New Roman" w:hAnsi="Times New Roman"/>
                <w:color w:val="000000" w:themeColor="text1"/>
              </w:rPr>
              <w:t>programu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fingolimodem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978A9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natal</w:t>
            </w:r>
            <w:r w:rsidR="00911583" w:rsidRPr="00F65742">
              <w:rPr>
                <w:rFonts w:ascii="Times New Roman" w:hAnsi="Times New Roman"/>
                <w:color w:val="000000" w:themeColor="text1"/>
              </w:rPr>
              <w:t>izumabem</w:t>
            </w:r>
            <w:r w:rsidR="007B6BD4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978A9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978A9" w:rsidRPr="00F65742">
              <w:rPr>
                <w:rFonts w:ascii="Times New Roman" w:hAnsi="Times New Roman"/>
                <w:color w:val="000000" w:themeColor="text1"/>
              </w:rPr>
              <w:t>alemtuzumabem</w:t>
            </w:r>
            <w:r w:rsidR="00F9084D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9084D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9084D" w:rsidRPr="00F65742">
              <w:rPr>
                <w:rFonts w:ascii="Times New Roman" w:hAnsi="Times New Roman"/>
                <w:color w:val="000000" w:themeColor="text1"/>
              </w:rPr>
              <w:t>okrelizumabem</w:t>
            </w:r>
            <w:r w:rsidR="0093250A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3250A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3250A" w:rsidRPr="00F65742">
              <w:rPr>
                <w:rFonts w:ascii="Times New Roman" w:hAnsi="Times New Roman"/>
                <w:color w:val="000000" w:themeColor="text1"/>
              </w:rPr>
              <w:t>kladrybiną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F65742">
              <w:rPr>
                <w:rFonts w:ascii="Times New Roman" w:hAnsi="Times New Roman"/>
                <w:color w:val="000000" w:themeColor="text1"/>
              </w:rPr>
              <w:t>tabletkach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jest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spełnienie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najmniej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jednego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F65742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F65742">
              <w:rPr>
                <w:rFonts w:ascii="Times New Roman" w:hAnsi="Times New Roman"/>
                <w:color w:val="000000" w:themeColor="text1"/>
              </w:rPr>
              <w:t>niżej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F65742">
              <w:rPr>
                <w:rFonts w:ascii="Times New Roman" w:hAnsi="Times New Roman"/>
                <w:color w:val="000000" w:themeColor="text1"/>
              </w:rPr>
              <w:t>wymienionych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F65742">
              <w:rPr>
                <w:rFonts w:ascii="Times New Roman" w:hAnsi="Times New Roman"/>
                <w:color w:val="000000" w:themeColor="text1"/>
              </w:rPr>
              <w:t>kryteriów.</w:t>
            </w:r>
          </w:p>
          <w:p w14:paraId="1EBEF227" w14:textId="10D9D528" w:rsidR="00D268CB" w:rsidRPr="00920757" w:rsidRDefault="00D268CB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Przejście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wtórnie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postępującą;</w:t>
            </w:r>
          </w:p>
          <w:p w14:paraId="1E5C7DBD" w14:textId="17349782" w:rsidR="0083357E" w:rsidRPr="00920757" w:rsidRDefault="0083357E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Rezygnacja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pacjenta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nieprzestrzeganie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zasad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911583"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D507EA5" w14:textId="27A77396" w:rsidR="00D268CB" w:rsidRPr="00920757" w:rsidRDefault="00D268CB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Pojawienie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przeciwwskazań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wymienionych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Charakterystykach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Produktów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Leczniczych;</w:t>
            </w:r>
          </w:p>
          <w:p w14:paraId="7417689D" w14:textId="08890564" w:rsidR="0083357E" w:rsidRPr="00920757" w:rsidRDefault="00240D29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podejrzenia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postępującej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wieloogniskowej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lastRenderedPageBreak/>
              <w:t>leukoencefalopatii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(PML)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postępować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zgodnie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zaleceniami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dotyczącymi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określonego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produktu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leczniczego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opisanymi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Charakterystyce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Produktu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Leczniczego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9604CA" w:rsidRPr="00920757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411545B9" w14:textId="73ABDBBD" w:rsidR="0083357E" w:rsidRPr="00920757" w:rsidRDefault="0083357E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podejrzenia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PML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40C5" w:rsidRPr="00920757">
              <w:rPr>
                <w:rFonts w:ascii="Times New Roman" w:hAnsi="Times New Roman"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40C5" w:rsidRPr="00920757">
              <w:rPr>
                <w:rFonts w:ascii="Times New Roman" w:hAnsi="Times New Roman"/>
                <w:color w:val="000000" w:themeColor="text1"/>
              </w:rPr>
              <w:t>wstrzymać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40C5" w:rsidRPr="00920757">
              <w:rPr>
                <w:rFonts w:ascii="Times New Roman" w:hAnsi="Times New Roman"/>
                <w:color w:val="000000" w:themeColor="text1"/>
              </w:rPr>
              <w:t>podawanie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czasu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wykluczenia,</w:t>
            </w:r>
          </w:p>
          <w:p w14:paraId="65CDA131" w14:textId="462D3540" w:rsidR="006A1D3B" w:rsidRDefault="0083357E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potwierdze</w:t>
            </w:r>
            <w:r w:rsidR="00911583" w:rsidRPr="00920757">
              <w:rPr>
                <w:rFonts w:ascii="Times New Roman" w:hAnsi="Times New Roman"/>
                <w:color w:val="000000" w:themeColor="text1"/>
              </w:rPr>
              <w:t>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920757">
              <w:rPr>
                <w:rFonts w:ascii="Times New Roman" w:hAnsi="Times New Roman"/>
                <w:color w:val="000000" w:themeColor="text1"/>
              </w:rPr>
              <w:t>PML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40C5" w:rsidRPr="00920757">
              <w:rPr>
                <w:rFonts w:ascii="Times New Roman" w:hAnsi="Times New Roman"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40C5" w:rsidRPr="00920757">
              <w:rPr>
                <w:rFonts w:ascii="Times New Roman" w:hAnsi="Times New Roman"/>
                <w:color w:val="000000" w:themeColor="text1"/>
              </w:rPr>
              <w:t>trwale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40C5" w:rsidRPr="00920757">
              <w:rPr>
                <w:rFonts w:ascii="Times New Roman" w:hAnsi="Times New Roman"/>
                <w:color w:val="000000" w:themeColor="text1"/>
              </w:rPr>
              <w:t>odstawić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920757">
              <w:rPr>
                <w:rFonts w:ascii="Times New Roman" w:hAnsi="Times New Roman"/>
                <w:color w:val="000000" w:themeColor="text1"/>
              </w:rPr>
              <w:t>lek</w:t>
            </w:r>
            <w:r w:rsidR="006A1D3B" w:rsidRPr="0092075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B02E19E" w14:textId="77777777" w:rsidR="00F65742" w:rsidRPr="00920757" w:rsidRDefault="00F65742" w:rsidP="00F65742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9EAA60A" w14:textId="43B6FA19" w:rsidR="0083357E" w:rsidRPr="00920757" w:rsidRDefault="0083357E" w:rsidP="00920757">
            <w:pPr>
              <w:pStyle w:val="Akapitzlist"/>
              <w:numPr>
                <w:ilvl w:val="0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Określ</w:t>
            </w:r>
            <w:r w:rsidR="00F15A5F" w:rsidRPr="00920757">
              <w:rPr>
                <w:rFonts w:ascii="Times New Roman" w:hAnsi="Times New Roman"/>
                <w:b/>
                <w:color w:val="000000" w:themeColor="text1"/>
              </w:rPr>
              <w:t>enie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15A5F" w:rsidRPr="00920757">
              <w:rPr>
                <w:rFonts w:ascii="Times New Roman" w:hAnsi="Times New Roman"/>
                <w:b/>
                <w:color w:val="000000" w:themeColor="text1"/>
              </w:rPr>
              <w:t>czasu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15A5F" w:rsidRPr="00920757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15A5F" w:rsidRPr="00920757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15A5F" w:rsidRPr="00920757">
              <w:rPr>
                <w:rFonts w:ascii="Times New Roman" w:hAnsi="Times New Roman"/>
                <w:b/>
                <w:color w:val="000000" w:themeColor="text1"/>
              </w:rPr>
              <w:t>programie</w:t>
            </w:r>
          </w:p>
          <w:p w14:paraId="63F9415F" w14:textId="71C6D0F0" w:rsidR="00AC37B4" w:rsidRPr="00F65742" w:rsidRDefault="0083357E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Ocenę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skuteczności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przeprowadza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każdych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F65742">
              <w:rPr>
                <w:rFonts w:ascii="Times New Roman" w:hAnsi="Times New Roman"/>
                <w:color w:val="000000" w:themeColor="text1"/>
              </w:rPr>
              <w:t>pełnych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F65742">
              <w:rPr>
                <w:rFonts w:ascii="Times New Roman" w:hAnsi="Times New Roman"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F65742">
              <w:rPr>
                <w:rFonts w:ascii="Times New Roman" w:hAnsi="Times New Roman"/>
                <w:color w:val="000000" w:themeColor="text1"/>
              </w:rPr>
              <w:t>miesiącach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F65742">
              <w:rPr>
                <w:rFonts w:ascii="Times New Roman" w:hAnsi="Times New Roman"/>
                <w:color w:val="000000" w:themeColor="text1"/>
              </w:rPr>
              <w:t>terapii.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chorych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odpowiadających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ocenie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skuteczności,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terapię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fingolimodem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F65742">
              <w:rPr>
                <w:rFonts w:ascii="Times New Roman" w:hAnsi="Times New Roman"/>
                <w:color w:val="000000" w:themeColor="text1"/>
              </w:rPr>
              <w:t>natalizumabem</w:t>
            </w:r>
            <w:r w:rsidR="00503E69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03E69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03E69" w:rsidRPr="00F65742">
              <w:rPr>
                <w:rFonts w:ascii="Times New Roman" w:hAnsi="Times New Roman"/>
                <w:color w:val="000000" w:themeColor="text1"/>
              </w:rPr>
              <w:t>okrelizumabem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można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</w:t>
            </w:r>
            <w:r w:rsidR="00F15A5F" w:rsidRPr="00F65742">
              <w:rPr>
                <w:rFonts w:ascii="Times New Roman" w:hAnsi="Times New Roman"/>
                <w:color w:val="000000" w:themeColor="text1"/>
              </w:rPr>
              <w:t>zedłużać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F65742">
              <w:rPr>
                <w:rFonts w:ascii="Times New Roman" w:hAnsi="Times New Roman"/>
                <w:color w:val="000000" w:themeColor="text1"/>
              </w:rPr>
              <w:t>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F65742">
              <w:rPr>
                <w:rFonts w:ascii="Times New Roman" w:hAnsi="Times New Roman"/>
                <w:color w:val="000000" w:themeColor="text1"/>
              </w:rPr>
              <w:t>kolejne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F65742">
              <w:rPr>
                <w:rFonts w:ascii="Times New Roman" w:hAnsi="Times New Roman"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F65742">
              <w:rPr>
                <w:rFonts w:ascii="Times New Roman" w:hAnsi="Times New Roman"/>
                <w:color w:val="000000" w:themeColor="text1"/>
              </w:rPr>
              <w:t>miesięcy.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Łączny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czas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pacjenta,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lekami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modyfikującymi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przebieg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choroby,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decyzji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lekarza.</w:t>
            </w:r>
          </w:p>
          <w:p w14:paraId="65DC29AF" w14:textId="54DE69B6" w:rsidR="00AC37B4" w:rsidRPr="00F65742" w:rsidRDefault="0081474A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uwagi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podwyższone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ryzyko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PML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specjalista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0185B" w:rsidRPr="00F65742">
              <w:rPr>
                <w:rFonts w:ascii="Times New Roman" w:hAnsi="Times New Roman"/>
                <w:color w:val="000000" w:themeColor="text1"/>
              </w:rPr>
              <w:t>neurolog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powinni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ponownie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latach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terapii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indywidualnie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rozważyć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korzyści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ryzyko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natalizumabem.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1096B4B5" w14:textId="691FD400" w:rsidR="007F3678" w:rsidRPr="00F65742" w:rsidRDefault="00810EE3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Maksymalny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czas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alemtuzumabem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ramach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programu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obejmuje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podanie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początkowych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kursów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dodatkowymi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dwoma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kursami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leczenia,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razie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F3678" w:rsidRPr="00F65742">
              <w:rPr>
                <w:rFonts w:ascii="Times New Roman" w:hAnsi="Times New Roman"/>
                <w:color w:val="000000" w:themeColor="text1"/>
              </w:rPr>
              <w:t>potrzeby</w:t>
            </w:r>
            <w:r w:rsidR="009241AA" w:rsidRPr="00F65742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C3DCB5B" w14:textId="1F8C608B" w:rsidR="00AC37B4" w:rsidRPr="00F65742" w:rsidRDefault="0081474A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Leczenie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kladrybiną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tabletkach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prowadzone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jest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dwóch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cyklach,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podawanych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początku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dwóch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kolejnych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lat: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każdy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kwalifikujący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otrzymuje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cykle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kladrybiną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tablet</w:t>
            </w:r>
            <w:r w:rsidR="00BD3874" w:rsidRPr="00F65742">
              <w:rPr>
                <w:rFonts w:ascii="Times New Roman" w:hAnsi="Times New Roman"/>
                <w:color w:val="000000" w:themeColor="text1"/>
              </w:rPr>
              <w:t>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F65742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pierwszy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cykl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pierwszym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drugi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cykl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drugim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Każdy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cykl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składa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tygodni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jednego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początku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pierwszego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miesiąca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jednego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początku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drugiego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miesiąca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danego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Każdy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3697B" w:rsidRPr="00F65742">
              <w:rPr>
                <w:rFonts w:ascii="Times New Roman" w:hAnsi="Times New Roman"/>
                <w:color w:val="000000" w:themeColor="text1"/>
              </w:rPr>
              <w:t>cykl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trwa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4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5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dni,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podczas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których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otrzymuje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10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mg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20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mg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(jedną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dwie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tabletki)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pojedynczej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dawce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dobow</w:t>
            </w:r>
            <w:r w:rsidR="00BD3874" w:rsidRPr="00F65742">
              <w:rPr>
                <w:rFonts w:ascii="Times New Roman" w:hAnsi="Times New Roman"/>
                <w:color w:val="000000" w:themeColor="text1"/>
              </w:rPr>
              <w:t>ej,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F65742">
              <w:rPr>
                <w:rFonts w:ascii="Times New Roman" w:hAnsi="Times New Roman"/>
                <w:color w:val="000000" w:themeColor="text1"/>
              </w:rPr>
              <w:t>zależności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F65742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F65742">
              <w:rPr>
                <w:rFonts w:ascii="Times New Roman" w:hAnsi="Times New Roman"/>
                <w:color w:val="000000" w:themeColor="text1"/>
              </w:rPr>
              <w:t>masy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F65742">
              <w:rPr>
                <w:rFonts w:ascii="Times New Roman" w:hAnsi="Times New Roman"/>
                <w:color w:val="000000" w:themeColor="text1"/>
              </w:rPr>
              <w:t>ciała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F65742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zgodnie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Charakterystyką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Produktu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Leczniczego.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zakończeniu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cykli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jest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wymagane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dalsze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kladrybiną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F65742">
              <w:rPr>
                <w:rFonts w:ascii="Times New Roman" w:hAnsi="Times New Roman"/>
                <w:color w:val="000000" w:themeColor="text1"/>
              </w:rPr>
              <w:t>tabletkach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lastRenderedPageBreak/>
              <w:t>roku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3.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4.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razie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potrzeby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można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opóźnić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cykl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2.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okres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6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miesięcy,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aby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umożliwić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odnowę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limfocytów.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Jeśli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taka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odnowa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trwa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dłużej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6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miesięcy,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powinien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już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otrzymywać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kladrybiny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tabletkach.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Czas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obserwacji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powinien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wynosić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48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miesięcy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ostatnim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podaniu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leku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kontrolą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F1A28" w:rsidRPr="00F65742">
              <w:rPr>
                <w:rFonts w:ascii="Times New Roman" w:hAnsi="Times New Roman"/>
                <w:color w:val="000000" w:themeColor="text1"/>
              </w:rPr>
              <w:t>6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miesięcy.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Ocena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skuteczności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kladrybiną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tabletkach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powinna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być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przeprowadzona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podaniu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pełnej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dawki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leku,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dwóch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cyklach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leczenia.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przypadku,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gdy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stan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pacjenta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podaniu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pierwszego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cyklu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pogorszy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stosunku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stanu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sprzed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podania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leku,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lekarz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może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rozważyć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zmianę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zgodnie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punktem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C489E" w:rsidRPr="00F65742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F65742">
              <w:rPr>
                <w:rFonts w:ascii="Times New Roman" w:hAnsi="Times New Roman"/>
                <w:color w:val="000000" w:themeColor="text1"/>
              </w:rPr>
              <w:t>kryteriów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C489E" w:rsidRPr="00F65742">
              <w:rPr>
                <w:rFonts w:ascii="Times New Roman" w:hAnsi="Times New Roman"/>
                <w:color w:val="000000" w:themeColor="text1"/>
              </w:rPr>
              <w:t>zamiany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C489E" w:rsidRPr="00F65742">
              <w:rPr>
                <w:rFonts w:ascii="Times New Roman" w:hAnsi="Times New Roman"/>
                <w:color w:val="000000" w:themeColor="text1"/>
              </w:rPr>
              <w:t>leków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C489E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C489E" w:rsidRPr="00F65742">
              <w:rPr>
                <w:rFonts w:ascii="Times New Roman" w:hAnsi="Times New Roman"/>
                <w:color w:val="000000" w:themeColor="text1"/>
              </w:rPr>
              <w:t>programie.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306C1177" w14:textId="7159096B" w:rsidR="00F15A5F" w:rsidRPr="00F65742" w:rsidRDefault="0083357E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brak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skuteczności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fingolimodem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4262C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natalizumabem</w:t>
            </w:r>
            <w:r w:rsidR="00BF58BA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4262C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4262C" w:rsidRPr="00F65742">
              <w:rPr>
                <w:rFonts w:ascii="Times New Roman" w:hAnsi="Times New Roman"/>
                <w:color w:val="000000" w:themeColor="text1"/>
              </w:rPr>
              <w:t>alemtuzumabem</w:t>
            </w:r>
            <w:r w:rsidR="00503E69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03E69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03E69" w:rsidRPr="00F65742">
              <w:rPr>
                <w:rFonts w:ascii="Times New Roman" w:hAnsi="Times New Roman"/>
                <w:color w:val="000000" w:themeColor="text1"/>
              </w:rPr>
              <w:t>okrelizumabem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03E69" w:rsidRPr="00F65742">
              <w:rPr>
                <w:rFonts w:ascii="Times New Roman" w:hAnsi="Times New Roman"/>
                <w:color w:val="000000" w:themeColor="text1"/>
              </w:rPr>
              <w:t>(w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03E69" w:rsidRPr="00F65742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1474A" w:rsidRPr="00F65742">
              <w:rPr>
                <w:rFonts w:ascii="Times New Roman" w:hAnsi="Times New Roman"/>
                <w:color w:val="000000" w:themeColor="text1"/>
              </w:rPr>
              <w:t>postaci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1474A" w:rsidRPr="00F65742">
              <w:rPr>
                <w:rFonts w:ascii="Times New Roman" w:hAnsi="Times New Roman"/>
                <w:color w:val="000000" w:themeColor="text1"/>
              </w:rPr>
              <w:t>rzutowo-remisyjnej)</w:t>
            </w:r>
            <w:r w:rsidR="000179BF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179BF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179BF" w:rsidRPr="00F65742">
              <w:rPr>
                <w:rFonts w:ascii="Times New Roman" w:hAnsi="Times New Roman"/>
                <w:color w:val="000000" w:themeColor="text1"/>
              </w:rPr>
              <w:t>kladrybiną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F65742">
              <w:rPr>
                <w:rFonts w:ascii="Times New Roman" w:hAnsi="Times New Roman"/>
                <w:color w:val="000000" w:themeColor="text1"/>
              </w:rPr>
              <w:t>tabletkach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uzasadniający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zmianę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przerwan</w:t>
            </w:r>
            <w:r w:rsidR="00BE0FF8" w:rsidRPr="00F65742">
              <w:rPr>
                <w:rFonts w:ascii="Times New Roman" w:hAnsi="Times New Roman"/>
                <w:color w:val="000000" w:themeColor="text1"/>
              </w:rPr>
              <w:t>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F65742">
              <w:rPr>
                <w:rFonts w:ascii="Times New Roman" w:hAnsi="Times New Roman"/>
                <w:color w:val="000000" w:themeColor="text1"/>
              </w:rPr>
              <w:t>leczenia,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przyjmuje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wystąpien</w:t>
            </w:r>
            <w:r w:rsidR="00BF58BA" w:rsidRPr="00F65742">
              <w:rPr>
                <w:rFonts w:ascii="Times New Roman" w:hAnsi="Times New Roman"/>
                <w:color w:val="000000" w:themeColor="text1"/>
              </w:rPr>
              <w:t>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F65742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F65742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F65742">
              <w:rPr>
                <w:rFonts w:ascii="Times New Roman" w:hAnsi="Times New Roman"/>
                <w:color w:val="000000" w:themeColor="text1"/>
              </w:rPr>
              <w:t>3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F65742">
              <w:rPr>
                <w:rFonts w:ascii="Times New Roman" w:hAnsi="Times New Roman"/>
                <w:color w:val="000000" w:themeColor="text1"/>
              </w:rPr>
              <w:t>poniższych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58BA" w:rsidRPr="00F65742">
              <w:rPr>
                <w:rFonts w:ascii="Times New Roman" w:hAnsi="Times New Roman"/>
                <w:color w:val="000000" w:themeColor="text1"/>
              </w:rPr>
              <w:t>kryteriów</w:t>
            </w:r>
            <w:r w:rsidR="00C874E7" w:rsidRPr="00F65742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3CE6CD16" w14:textId="1BF66AA8" w:rsidR="00F15A5F" w:rsidRPr="00920757" w:rsidRDefault="00BF58BA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L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iczba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ciężkość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rzutów:</w:t>
            </w:r>
          </w:p>
          <w:p w14:paraId="7D568A13" w14:textId="765FDA15" w:rsidR="00F15A5F" w:rsidRPr="00920757" w:rsidRDefault="0083357E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więcej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rzutów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umiarkowanych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wymagających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sterydami</w:t>
            </w:r>
            <w:r w:rsidR="00220A20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7BFBE6DF" w14:textId="34CEF099" w:rsidR="00F15A5F" w:rsidRPr="00920757" w:rsidRDefault="0083357E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1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ciężki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ut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wymagający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ste</w:t>
            </w:r>
            <w:r w:rsidR="00BF58BA" w:rsidRPr="00920757">
              <w:rPr>
                <w:rFonts w:ascii="Times New Roman" w:hAnsi="Times New Roman"/>
                <w:color w:val="000000" w:themeColor="text1"/>
              </w:rPr>
              <w:t>rydami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58BA"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58BA" w:rsidRPr="00920757">
              <w:rPr>
                <w:rFonts w:ascii="Times New Roman" w:hAnsi="Times New Roman"/>
                <w:color w:val="000000" w:themeColor="text1"/>
              </w:rPr>
              <w:t>6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58BA" w:rsidRPr="00920757">
              <w:rPr>
                <w:rFonts w:ascii="Times New Roman" w:hAnsi="Times New Roman"/>
                <w:color w:val="000000" w:themeColor="text1"/>
              </w:rPr>
              <w:t>miesiącach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58BA" w:rsidRPr="00920757">
              <w:rPr>
                <w:rFonts w:ascii="Times New Roman" w:hAnsi="Times New Roman"/>
                <w:color w:val="000000" w:themeColor="text1"/>
              </w:rPr>
              <w:t>leczenia;</w:t>
            </w:r>
          </w:p>
          <w:p w14:paraId="09D4EF7A" w14:textId="61A80BF8" w:rsidR="00F15A5F" w:rsidRPr="00920757" w:rsidRDefault="00BF58BA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P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rogresja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choroby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mimo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leczenia,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oznacza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utrzymujące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przez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najmniej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3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miesiące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pogorszenie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stanu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neurologicznego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najmniej:</w:t>
            </w:r>
          </w:p>
          <w:p w14:paraId="48F3D58A" w14:textId="1438F7D2" w:rsidR="00F15A5F" w:rsidRPr="00920757" w:rsidRDefault="0083357E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pkt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gdy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3,5,</w:t>
            </w:r>
          </w:p>
          <w:p w14:paraId="4D53EE24" w14:textId="401C4D13" w:rsidR="00F15A5F" w:rsidRPr="00920757" w:rsidRDefault="0083357E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1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pkt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gdy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4,0;</w:t>
            </w:r>
          </w:p>
          <w:p w14:paraId="27E3C135" w14:textId="7E61F31B" w:rsidR="003004B7" w:rsidRPr="00920757" w:rsidRDefault="00BF58BA" w:rsidP="00920757">
            <w:pPr>
              <w:pStyle w:val="Akapitzlist"/>
              <w:numPr>
                <w:ilvl w:val="2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miany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badaniu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rezonansu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magnetycznego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wykonanym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każdych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miesiącach,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gdy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stwierdza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jedno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920757">
              <w:rPr>
                <w:rFonts w:ascii="Times New Roman" w:hAnsi="Times New Roman"/>
                <w:color w:val="000000" w:themeColor="text1"/>
              </w:rPr>
              <w:t>poniższych:</w:t>
            </w:r>
          </w:p>
          <w:p w14:paraId="6777D7D5" w14:textId="44413FFE" w:rsidR="003004B7" w:rsidRPr="00920757" w:rsidRDefault="00217114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więcej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jedna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nowa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zmiana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Gd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(+),</w:t>
            </w:r>
          </w:p>
          <w:p w14:paraId="74D89E6F" w14:textId="6081FDA5" w:rsidR="00AC37B4" w:rsidRPr="00920757" w:rsidRDefault="0083357E" w:rsidP="00920757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więcej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dwie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nowe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68F3" w:rsidRPr="00920757">
              <w:rPr>
                <w:rFonts w:ascii="Times New Roman" w:hAnsi="Times New Roman"/>
                <w:color w:val="000000" w:themeColor="text1"/>
              </w:rPr>
              <w:t>zmiany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68F3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sekwencji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T2</w:t>
            </w:r>
            <w:r w:rsidR="006A1D3B" w:rsidRPr="0092075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18BBD72" w14:textId="590E9145" w:rsidR="0003725D" w:rsidRPr="00F65742" w:rsidRDefault="00AE35F1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brak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skuteczności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okrelizumabem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(w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postaci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lastRenderedPageBreak/>
              <w:t>pierwotnie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postępującej)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725D" w:rsidRPr="00F65742">
              <w:rPr>
                <w:rFonts w:ascii="Times New Roman" w:hAnsi="Times New Roman"/>
                <w:color w:val="000000" w:themeColor="text1"/>
              </w:rPr>
              <w:t>przyjmuje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725D" w:rsidRPr="00F65742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725D" w:rsidRPr="00F65742">
              <w:rPr>
                <w:rFonts w:ascii="Times New Roman" w:hAnsi="Times New Roman"/>
                <w:color w:val="000000" w:themeColor="text1"/>
              </w:rPr>
              <w:t>wystąpienie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725D" w:rsidRPr="00F65742">
              <w:rPr>
                <w:rFonts w:ascii="Times New Roman" w:hAnsi="Times New Roman"/>
                <w:color w:val="000000" w:themeColor="text1"/>
              </w:rPr>
              <w:t>jednego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725D" w:rsidRPr="00F65742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725D" w:rsidRPr="00F65742">
              <w:rPr>
                <w:rFonts w:ascii="Times New Roman" w:hAnsi="Times New Roman"/>
                <w:color w:val="000000" w:themeColor="text1"/>
              </w:rPr>
              <w:t>poniższych:</w:t>
            </w:r>
          </w:p>
          <w:p w14:paraId="28EF8812" w14:textId="56DA4005" w:rsidR="0003725D" w:rsidRPr="00920757" w:rsidRDefault="0003725D" w:rsidP="00F65742">
            <w:pPr>
              <w:pStyle w:val="Akapitzlist"/>
              <w:numPr>
                <w:ilvl w:val="2"/>
                <w:numId w:val="4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Wystąpienie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nieskuteczności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definiowanej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jako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pogorszenie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skali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najmniej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pkt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ciągu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miesięcy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C17893B" w14:textId="3213026D" w:rsidR="006A1D3B" w:rsidRDefault="0003725D" w:rsidP="00F65742">
            <w:pPr>
              <w:pStyle w:val="Akapitzlist"/>
              <w:numPr>
                <w:ilvl w:val="2"/>
                <w:numId w:val="4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EDSS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powyżej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8</w:t>
            </w:r>
            <w:r w:rsidR="006A1D3B" w:rsidRPr="0092075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8275584" w14:textId="77777777" w:rsidR="00F65742" w:rsidRPr="00920757" w:rsidRDefault="00F65742" w:rsidP="00F65742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F70BC87" w14:textId="084097E9" w:rsidR="006868F3" w:rsidRPr="00920757" w:rsidRDefault="0083357E" w:rsidP="00F65742">
            <w:pPr>
              <w:pStyle w:val="Akapitzlist"/>
              <w:numPr>
                <w:ilvl w:val="0"/>
                <w:numId w:val="4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przedłużenia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0B187A" w:rsidRPr="00920757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0B187A" w:rsidRPr="00920757">
              <w:rPr>
                <w:rFonts w:ascii="Times New Roman" w:hAnsi="Times New Roman"/>
                <w:b/>
                <w:color w:val="000000" w:themeColor="text1"/>
              </w:rPr>
              <w:t>o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0B187A" w:rsidRPr="00920757">
              <w:rPr>
                <w:rFonts w:ascii="Times New Roman" w:hAnsi="Times New Roman"/>
                <w:b/>
                <w:color w:val="000000" w:themeColor="text1"/>
              </w:rPr>
              <w:t>kolejne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0B187A" w:rsidRPr="00920757"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0B187A" w:rsidRPr="00920757">
              <w:rPr>
                <w:rFonts w:ascii="Times New Roman" w:hAnsi="Times New Roman"/>
                <w:b/>
                <w:color w:val="000000" w:themeColor="text1"/>
              </w:rPr>
              <w:t>miesięcy</w:t>
            </w:r>
          </w:p>
          <w:p w14:paraId="12FD5113" w14:textId="16B2950C" w:rsidR="000B187A" w:rsidRPr="00F65742" w:rsidRDefault="000B187A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Leczenie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fingolimodem</w:t>
            </w:r>
            <w:r w:rsidR="00A5591D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natalizumabem</w:t>
            </w:r>
            <w:r w:rsidR="00A5591D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5591D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5591D" w:rsidRPr="00F65742">
              <w:rPr>
                <w:rFonts w:ascii="Times New Roman" w:hAnsi="Times New Roman"/>
                <w:color w:val="000000" w:themeColor="text1"/>
              </w:rPr>
              <w:t>okrelizumabem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może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zostać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przedłużone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kolejne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miesięcy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pacjentów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niespełniających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kryteriów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wyłączenia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zgodnie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pkt.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C489E" w:rsidRPr="00F65742">
              <w:rPr>
                <w:rFonts w:ascii="Times New Roman" w:hAnsi="Times New Roman"/>
                <w:color w:val="000000" w:themeColor="text1"/>
              </w:rPr>
              <w:t>3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5591D" w:rsidRPr="00F65742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kryteriów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nieskuteczności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wskazanych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pkt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C489E" w:rsidRPr="00F65742">
              <w:rPr>
                <w:rFonts w:ascii="Times New Roman" w:hAnsi="Times New Roman"/>
                <w:color w:val="000000" w:themeColor="text1"/>
              </w:rPr>
              <w:t>4</w:t>
            </w:r>
            <w:r w:rsidRPr="00F65742">
              <w:rPr>
                <w:rFonts w:ascii="Times New Roman" w:hAnsi="Times New Roman"/>
                <w:color w:val="000000" w:themeColor="text1"/>
              </w:rPr>
              <w:t>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D3584" w:rsidRPr="00F65742">
              <w:rPr>
                <w:rFonts w:ascii="Times New Roman" w:hAnsi="Times New Roman"/>
                <w:color w:val="000000" w:themeColor="text1"/>
              </w:rPr>
              <w:t>L</w:t>
            </w:r>
            <w:r w:rsidRPr="00F65742">
              <w:rPr>
                <w:rFonts w:ascii="Times New Roman" w:hAnsi="Times New Roman"/>
                <w:color w:val="000000" w:themeColor="text1"/>
              </w:rPr>
              <w:t>eczenie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powinno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być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stosowane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tak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długo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jak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osiągana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jest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skuteczność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kliniczna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wystąpią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kryteria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wyłączenia.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1B1C0B10" w14:textId="2E4EA56E" w:rsidR="0083357E" w:rsidRPr="00F65742" w:rsidRDefault="000B187A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ukończeniu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18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</w:t>
            </w:r>
            <w:r w:rsidR="00E45F29" w:rsidRPr="00F65742">
              <w:rPr>
                <w:rFonts w:ascii="Times New Roman" w:hAnsi="Times New Roman"/>
                <w:color w:val="000000" w:themeColor="text1"/>
              </w:rPr>
              <w:t>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5F29" w:rsidRPr="00F65742">
              <w:rPr>
                <w:rFonts w:ascii="Times New Roman" w:hAnsi="Times New Roman"/>
                <w:color w:val="000000" w:themeColor="text1"/>
              </w:rPr>
              <w:t>życia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konieczności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ponownej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kwalifikacji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programu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przeniesieniu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ośrodka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dla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dorosłych.</w:t>
            </w:r>
          </w:p>
          <w:p w14:paraId="5E33E474" w14:textId="26A8CA5A" w:rsidR="00541F8B" w:rsidRDefault="00541F8B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Pacjent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będący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trakcie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terapii,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który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ukończył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18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rok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życia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może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kontynuować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terapię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pediatrycznym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ośrodku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realizującym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program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lekowy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czasu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ukończenia,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jednak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dłużej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ukończenia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20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</w:t>
            </w:r>
            <w:r w:rsidR="00E45F29" w:rsidRPr="00F65742">
              <w:rPr>
                <w:rFonts w:ascii="Times New Roman" w:hAnsi="Times New Roman"/>
                <w:color w:val="000000" w:themeColor="text1"/>
              </w:rPr>
              <w:t>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5F29" w:rsidRPr="00F65742">
              <w:rPr>
                <w:rFonts w:ascii="Times New Roman" w:hAnsi="Times New Roman"/>
                <w:color w:val="000000" w:themeColor="text1"/>
              </w:rPr>
              <w:t>życia,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uzyskaniu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indywidualnej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zgody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dyrektora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wojewódzkiego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oddziału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NFZ.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1DE13164" w14:textId="726D17B8" w:rsidR="00F65742" w:rsidRPr="00F65742" w:rsidRDefault="00F65742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8" w:type="pct"/>
          </w:tcPr>
          <w:p w14:paraId="6330953B" w14:textId="211F18B8" w:rsidR="00E243C5" w:rsidRPr="00920757" w:rsidRDefault="00E243C5" w:rsidP="00F65742">
            <w:pPr>
              <w:pStyle w:val="Default"/>
              <w:numPr>
                <w:ilvl w:val="0"/>
                <w:numId w:val="46"/>
              </w:numPr>
              <w:spacing w:before="120" w:after="6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07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Dawkowanie</w:t>
            </w:r>
            <w:r w:rsidR="000115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oraz</w:t>
            </w:r>
            <w:r w:rsidR="000115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sposób</w:t>
            </w:r>
            <w:r w:rsidR="000115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modyfikacji</w:t>
            </w:r>
            <w:r w:rsidR="000115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dawkowania</w:t>
            </w:r>
            <w:r w:rsidR="000115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0115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programie</w:t>
            </w:r>
          </w:p>
          <w:p w14:paraId="146778FA" w14:textId="252ED88D" w:rsidR="0083357E" w:rsidRPr="00920757" w:rsidRDefault="00791462" w:rsidP="00F65742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Dawkowanie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sposób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modyfikacji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dawkowania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prowadzić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zapisami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Produktów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Leczniczych.</w:t>
            </w:r>
          </w:p>
        </w:tc>
        <w:tc>
          <w:tcPr>
            <w:tcW w:w="1915" w:type="pct"/>
            <w:tcBorders>
              <w:right w:val="single" w:sz="4" w:space="0" w:color="auto"/>
            </w:tcBorders>
          </w:tcPr>
          <w:p w14:paraId="6098BDB9" w14:textId="572D94D4" w:rsidR="005D46E5" w:rsidRPr="00920757" w:rsidRDefault="005D46E5" w:rsidP="00F65742">
            <w:pPr>
              <w:pStyle w:val="Akapitzlist"/>
              <w:numPr>
                <w:ilvl w:val="0"/>
                <w:numId w:val="47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Badania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przy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kwalifikacji</w:t>
            </w:r>
          </w:p>
          <w:p w14:paraId="72222AD5" w14:textId="6F8F6580" w:rsidR="00A66FD4" w:rsidRPr="00920757" w:rsidRDefault="002815FF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Dla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postaci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rzutow</w:t>
            </w:r>
            <w:r w:rsidR="0027061A" w:rsidRPr="00920757">
              <w:rPr>
                <w:rFonts w:ascii="Times New Roman" w:hAnsi="Times New Roman"/>
                <w:color w:val="000000" w:themeColor="text1"/>
              </w:rPr>
              <w:t>o-remisyjnej</w:t>
            </w:r>
            <w:r w:rsidRPr="00920757">
              <w:rPr>
                <w:rFonts w:ascii="Times New Roman" w:hAnsi="Times New Roman"/>
                <w:color w:val="000000" w:themeColor="text1"/>
              </w:rPr>
              <w:t>: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ezonans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magnetyczny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kontrastem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123FB38" w14:textId="21249A3A" w:rsidR="00E82222" w:rsidRPr="00920757" w:rsidRDefault="00DB13B2" w:rsidP="00F65742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R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ezonans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magnetyczny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wykonuje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okresie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kwalifikacji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programu.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Jeżeli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lecze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zostanie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rozpoczęte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9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0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dni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jego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wykonania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to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powtarza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tuż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920757">
              <w:rPr>
                <w:rFonts w:ascii="Times New Roman" w:hAnsi="Times New Roman"/>
                <w:color w:val="000000" w:themeColor="text1"/>
              </w:rPr>
              <w:t>zas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tosowaniem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pierwszej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dawki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leku.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uzasadnionych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przypadkach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lekarz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prowadzący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może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uznać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wyjściowe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rezonansu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magnetycznego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wykonane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okresie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ostatnich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180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dni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rozpoczęciem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2222" w:rsidRPr="00920757">
              <w:rPr>
                <w:rFonts w:ascii="Times New Roman" w:hAnsi="Times New Roman"/>
                <w:color w:val="000000" w:themeColor="text1"/>
              </w:rPr>
              <w:t>leczenia.</w:t>
            </w:r>
          </w:p>
          <w:p w14:paraId="6A21883C" w14:textId="25E46571" w:rsidR="00A66FD4" w:rsidRPr="00920757" w:rsidRDefault="002815FF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Dla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postaci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pierwotnie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postępującej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okrelizumabu):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ezonans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magnetyczny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głowy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maksymalnie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odcinków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rdzenia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kręgowego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podaniu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920757">
              <w:rPr>
                <w:rFonts w:ascii="Times New Roman" w:hAnsi="Times New Roman"/>
                <w:color w:val="000000" w:themeColor="text1"/>
              </w:rPr>
              <w:t>kontrastu</w:t>
            </w:r>
            <w:r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E64313C" w14:textId="6B720D2A" w:rsidR="005D46E5" w:rsidRPr="00920757" w:rsidRDefault="00617588" w:rsidP="00F65742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Rezonans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magnetyczny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wykonuje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okresie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kwalifikacji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programu.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Jeżeli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zostanie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rozpoczęte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okresie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miesięcy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wykonania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powtarza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tuż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zastosowaniem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pierwszej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dawki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leku.</w:t>
            </w:r>
          </w:p>
          <w:p w14:paraId="14C1B439" w14:textId="4179093A" w:rsidR="00617588" w:rsidRPr="00920757" w:rsidRDefault="00617588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Ocena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stanu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neurologicznego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określeniem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EDSS;</w:t>
            </w:r>
          </w:p>
          <w:p w14:paraId="662BB80F" w14:textId="4AA437B3" w:rsidR="005D46E5" w:rsidRPr="00920757" w:rsidRDefault="005D46E5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biochem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iczne,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tym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oceniające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funkcje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wątroby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nerek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152B"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152B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152B" w:rsidRPr="00920757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152B" w:rsidRPr="00920757">
              <w:rPr>
                <w:rFonts w:ascii="Times New Roman" w:hAnsi="Times New Roman"/>
                <w:color w:val="000000" w:themeColor="text1"/>
              </w:rPr>
              <w:t>alemtuzumabu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152B" w:rsidRPr="00920757">
              <w:rPr>
                <w:rFonts w:ascii="Times New Roman" w:hAnsi="Times New Roman"/>
                <w:color w:val="000000" w:themeColor="text1"/>
              </w:rPr>
              <w:t>tarczycy;</w:t>
            </w:r>
          </w:p>
          <w:p w14:paraId="364110FC" w14:textId="43CF16C3" w:rsidR="005D46E5" w:rsidRPr="00920757" w:rsidRDefault="005D46E5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lastRenderedPageBreak/>
              <w:t>Morfologia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krwi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rozmazem</w:t>
            </w:r>
            <w:r w:rsidR="007670B2"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3FFB65C" w14:textId="26C28F03" w:rsidR="003C1AED" w:rsidRPr="00920757" w:rsidRDefault="005D46E5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ogólne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moczu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alemtuzumabu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moczu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mikroskopową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oceną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osadu</w:t>
            </w:r>
            <w:r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9355ED9" w14:textId="0102472A" w:rsidR="005D46E5" w:rsidRPr="00920757" w:rsidRDefault="003C1AED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EKG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alemtuzumabu;</w:t>
            </w:r>
          </w:p>
          <w:p w14:paraId="0B7467C4" w14:textId="6B378E61" w:rsidR="003C1AED" w:rsidRPr="00920757" w:rsidRDefault="003C1AED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Częstość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tętna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wartość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ciśnienia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tętniczego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krwi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alemtuzumabu;</w:t>
            </w:r>
          </w:p>
          <w:p w14:paraId="0F8499BB" w14:textId="422EE271" w:rsidR="005D46E5" w:rsidRPr="00920757" w:rsidRDefault="005D46E5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Test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ciążowy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920757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920757">
              <w:rPr>
                <w:rFonts w:ascii="Times New Roman" w:hAnsi="Times New Roman"/>
                <w:color w:val="000000" w:themeColor="text1"/>
              </w:rPr>
              <w:t>kobiet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920757">
              <w:rPr>
                <w:rFonts w:ascii="Times New Roman" w:hAnsi="Times New Roman"/>
                <w:color w:val="000000" w:themeColor="text1"/>
              </w:rPr>
              <w:t>wieku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920757">
              <w:rPr>
                <w:rFonts w:ascii="Times New Roman" w:hAnsi="Times New Roman"/>
                <w:color w:val="000000" w:themeColor="text1"/>
              </w:rPr>
              <w:t>rozrodczym</w:t>
            </w:r>
            <w:r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D0A47D0" w14:textId="4C157EDD" w:rsidR="005D46E5" w:rsidRPr="00920757" w:rsidRDefault="005D46E5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Konsultacja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kardiologiczna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pacjentów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otrzymujących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mogące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zwalniać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akcję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serca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(betablokery,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werapamil,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digoksyna,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cholinolityczne,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pilokarpina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itp.)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pacjentów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wywiadem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kierunku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zaburzeń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rytmu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przewodzenia,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niewydolności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serca,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omdleń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kardiogennych,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innej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znaczącej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choroby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serca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fingolimodu;</w:t>
            </w:r>
          </w:p>
          <w:p w14:paraId="3E71EF33" w14:textId="317B1125" w:rsidR="00CE6229" w:rsidRPr="00920757" w:rsidRDefault="005D46E5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Konsulta</w:t>
            </w:r>
            <w:r w:rsidR="005406D6" w:rsidRPr="00920757">
              <w:rPr>
                <w:rFonts w:ascii="Times New Roman" w:hAnsi="Times New Roman"/>
                <w:color w:val="000000" w:themeColor="text1"/>
              </w:rPr>
              <w:t>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406D6" w:rsidRPr="00920757">
              <w:rPr>
                <w:rFonts w:ascii="Times New Roman" w:hAnsi="Times New Roman"/>
                <w:color w:val="000000" w:themeColor="text1"/>
              </w:rPr>
              <w:t>okulistyczna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406D6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pacjentów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wywiadem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kierunku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cukrzycy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palenia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błony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naczyniowej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oka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fingolimodu</w:t>
            </w:r>
            <w:r w:rsidR="0001515E"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3F23C16" w14:textId="3AD7B730" w:rsidR="005D46E5" w:rsidRPr="00920757" w:rsidRDefault="005D46E5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Oznaczenie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poziomu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przeciwciał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wirusowi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os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py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wietrznej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półpaśca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(VZV).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razie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braku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przeciwciał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VZV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konieczne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jest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przeprowadzenie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szczepienia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VZV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włą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czeniem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fingolimodu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kladrybiny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920757">
              <w:rPr>
                <w:rFonts w:ascii="Times New Roman" w:hAnsi="Times New Roman"/>
                <w:color w:val="000000" w:themeColor="text1"/>
              </w:rPr>
              <w:t>tabletkach;</w:t>
            </w:r>
          </w:p>
          <w:p w14:paraId="6EF7F98C" w14:textId="7344B2D2" w:rsidR="005D46E5" w:rsidRPr="00920757" w:rsidRDefault="005D46E5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Konsultacja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dermatologiczna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ciągu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6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miesięc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rozpoczęciem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fingolimodu</w:t>
            </w:r>
            <w:r w:rsidR="00CE6229"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A2D5CBB" w14:textId="2ECCAF77" w:rsidR="00CE6229" w:rsidRPr="00920757" w:rsidRDefault="005D46E5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Wykonanie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testu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obecność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przeciwciał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anty-JCV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celu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kwalifikacji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stratyfikacji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ryzyka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PML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natalizumabu;</w:t>
            </w:r>
          </w:p>
          <w:p w14:paraId="2BD2F812" w14:textId="398DE69B" w:rsidR="00DB4D90" w:rsidRPr="00920757" w:rsidRDefault="00DD688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adania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przesiewowe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kierunku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HIV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HBV,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HCV,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TBC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alemtuzumabu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kladrybiny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920757">
              <w:rPr>
                <w:rFonts w:ascii="Times New Roman" w:hAnsi="Times New Roman"/>
                <w:color w:val="000000" w:themeColor="text1"/>
              </w:rPr>
              <w:t>tabletkach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05DC39F8" w14:textId="4F7C4D5B" w:rsidR="00DB4D90" w:rsidRPr="00920757" w:rsidRDefault="00DB4D90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przesiewowe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kierunku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HBV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(antyHBc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Total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HbsAg)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razie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potrzeby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konsultacja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specjalisty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ds.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chorób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lastRenderedPageBreak/>
              <w:t>zakaźnych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okrelizumabu;</w:t>
            </w:r>
          </w:p>
          <w:p w14:paraId="1D7F679A" w14:textId="58B5C1C7" w:rsidR="00DB4D90" w:rsidRPr="00920757" w:rsidRDefault="00DB13B2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Konsultacja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specjalisty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ds.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chorób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zakaźnych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specjalisty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chorób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płuc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alemtuzumabu</w:t>
            </w:r>
            <w:r w:rsidR="00230DD8"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9481210" w14:textId="233F46EB" w:rsidR="00DB4D90" w:rsidRPr="00920757" w:rsidRDefault="00DB4D90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RTG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płuc,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razie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potrzeby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konsultacja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specjalisty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chorób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płuc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okrelizumabu;</w:t>
            </w:r>
          </w:p>
          <w:p w14:paraId="46B67EC3" w14:textId="165F4BC4" w:rsidR="00CA22FC" w:rsidRPr="00920757" w:rsidRDefault="00CA22FC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Standardowe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badania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przesiewowe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kierunku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raka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piersi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zgodnie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lokalnymi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wytycznymi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D6883" w:rsidRPr="00920757">
              <w:rPr>
                <w:rFonts w:ascii="Times New Roman" w:hAnsi="Times New Roman"/>
                <w:color w:val="000000" w:themeColor="text1"/>
              </w:rPr>
              <w:t>okrelizumabu</w:t>
            </w:r>
            <w:r w:rsidR="006A1D3B" w:rsidRPr="0092075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69D0E42" w14:textId="76BC7B8D" w:rsidR="006A1D3B" w:rsidRDefault="00CE6229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Ponadto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włączeni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powinni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obligatoryjnie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zapoznać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materiałami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edukacyjnymi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ramach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tzw.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„planu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zarządzania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ryzykiem”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potwierdzić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ten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fakt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pisemnie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dokumentacji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medycznej.</w:t>
            </w:r>
          </w:p>
          <w:p w14:paraId="2ABA32F7" w14:textId="77777777" w:rsidR="00F65742" w:rsidRPr="00F65742" w:rsidRDefault="00F65742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B1C94DC" w14:textId="2C9F3E12" w:rsidR="00296B8D" w:rsidRPr="00920757" w:rsidRDefault="00C95267" w:rsidP="00F65742">
            <w:pPr>
              <w:pStyle w:val="Akapitzlist"/>
              <w:numPr>
                <w:ilvl w:val="0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Inicjacja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leczenia</w:t>
            </w:r>
          </w:p>
          <w:p w14:paraId="1287C8B7" w14:textId="77777777" w:rsidR="00C95267" w:rsidRPr="00920757" w:rsidRDefault="00C95267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Fingolimod</w:t>
            </w:r>
          </w:p>
          <w:p w14:paraId="0E9719EA" w14:textId="53ADF621" w:rsidR="005F26E1" w:rsidRPr="00F65742" w:rsidRDefault="00C95267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Inicjacja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musi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być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przeprowadzona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warunkach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krótkotrwałej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hospitalizacji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bądź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poradni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przyszpitalnej.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rozpoczynaniu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jak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również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okresowym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przerwaniu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zastosować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sposób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monitorowania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wskazany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Charakterystyce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Produktu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Leczniczego.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86F5955" w14:textId="77777777" w:rsidR="00F65742" w:rsidRPr="00920757" w:rsidRDefault="00F65742" w:rsidP="00F65742">
            <w:pPr>
              <w:pStyle w:val="Akapitzlist"/>
              <w:spacing w:after="60" w:line="276" w:lineRule="auto"/>
              <w:ind w:left="454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2633F80" w14:textId="77777777" w:rsidR="00C95267" w:rsidRPr="00920757" w:rsidRDefault="00C95267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Natalizumab</w:t>
            </w:r>
          </w:p>
          <w:p w14:paraId="3D5B4831" w14:textId="5114F6F2" w:rsidR="005F26E1" w:rsidRPr="00F65742" w:rsidRDefault="00C95267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Inicjacja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musi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być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przeprowadzona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warunkach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krótkotrwałej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hospitalizacji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662F3" w:rsidRPr="00F65742">
              <w:rPr>
                <w:rFonts w:ascii="Times New Roman" w:hAnsi="Times New Roman"/>
                <w:color w:val="000000" w:themeColor="text1"/>
              </w:rPr>
              <w:t>bądź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662F3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662F3" w:rsidRPr="00F65742">
              <w:rPr>
                <w:rFonts w:ascii="Times New Roman" w:hAnsi="Times New Roman"/>
                <w:color w:val="000000" w:themeColor="text1"/>
              </w:rPr>
              <w:t>poradni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662F3" w:rsidRPr="00F65742">
              <w:rPr>
                <w:rFonts w:ascii="Times New Roman" w:hAnsi="Times New Roman"/>
                <w:color w:val="000000" w:themeColor="text1"/>
              </w:rPr>
              <w:t>przyszpitalnej.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Sposób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monitorowania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492A" w:rsidRPr="00F65742">
              <w:rPr>
                <w:rFonts w:ascii="Times New Roman" w:hAnsi="Times New Roman"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492A" w:rsidRPr="00F65742">
              <w:rPr>
                <w:rFonts w:ascii="Times New Roman" w:hAnsi="Times New Roman"/>
                <w:color w:val="000000" w:themeColor="text1"/>
              </w:rPr>
              <w:t>zastosować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F65742">
              <w:rPr>
                <w:rFonts w:ascii="Times New Roman" w:hAnsi="Times New Roman"/>
                <w:color w:val="000000" w:themeColor="text1"/>
              </w:rPr>
              <w:t>według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F65742">
              <w:rPr>
                <w:rFonts w:ascii="Times New Roman" w:hAnsi="Times New Roman"/>
                <w:color w:val="000000" w:themeColor="text1"/>
              </w:rPr>
              <w:t>Charakterystyki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F65742">
              <w:rPr>
                <w:rFonts w:ascii="Times New Roman" w:hAnsi="Times New Roman"/>
                <w:color w:val="000000" w:themeColor="text1"/>
              </w:rPr>
              <w:t>Produktu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F65742">
              <w:rPr>
                <w:rFonts w:ascii="Times New Roman" w:hAnsi="Times New Roman"/>
                <w:color w:val="000000" w:themeColor="text1"/>
              </w:rPr>
              <w:t>Leczniczego.</w:t>
            </w:r>
          </w:p>
          <w:p w14:paraId="600F8782" w14:textId="77777777" w:rsidR="00F65742" w:rsidRPr="00920757" w:rsidRDefault="00F65742" w:rsidP="00F65742">
            <w:pPr>
              <w:pStyle w:val="Akapitzlist"/>
              <w:spacing w:after="60" w:line="276" w:lineRule="auto"/>
              <w:ind w:left="454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EB52AD5" w14:textId="77777777" w:rsidR="00C95267" w:rsidRPr="00920757" w:rsidRDefault="00C95267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Alemtuzumab</w:t>
            </w:r>
          </w:p>
          <w:p w14:paraId="383EA9A4" w14:textId="37BB67AE" w:rsidR="005F26E1" w:rsidRPr="00F65742" w:rsidRDefault="00C95267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Inicjacja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musi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być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przeprowadzona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warunkach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hospitalizacji.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zastosować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premedykację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sposób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monitorowania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pacjenta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F65742">
              <w:rPr>
                <w:rFonts w:ascii="Times New Roman" w:hAnsi="Times New Roman"/>
                <w:color w:val="000000" w:themeColor="text1"/>
              </w:rPr>
              <w:t>według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F65742">
              <w:rPr>
                <w:rFonts w:ascii="Times New Roman" w:hAnsi="Times New Roman"/>
                <w:color w:val="000000" w:themeColor="text1"/>
              </w:rPr>
              <w:t>Charakterystyki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F65742">
              <w:rPr>
                <w:rFonts w:ascii="Times New Roman" w:hAnsi="Times New Roman"/>
                <w:color w:val="000000" w:themeColor="text1"/>
              </w:rPr>
              <w:t>Produktu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F65742">
              <w:rPr>
                <w:rFonts w:ascii="Times New Roman" w:hAnsi="Times New Roman"/>
                <w:color w:val="000000" w:themeColor="text1"/>
              </w:rPr>
              <w:t>Leczniczego.</w:t>
            </w:r>
          </w:p>
          <w:p w14:paraId="5F1CF447" w14:textId="77777777" w:rsidR="00F65742" w:rsidRPr="00920757" w:rsidRDefault="00F65742" w:rsidP="00F65742">
            <w:pPr>
              <w:pStyle w:val="Akapitzlist"/>
              <w:spacing w:after="60" w:line="276" w:lineRule="auto"/>
              <w:ind w:left="454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371CE87" w14:textId="77777777" w:rsidR="00FF2BDA" w:rsidRPr="00920757" w:rsidRDefault="00FF2BDA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Okrelizumab</w:t>
            </w:r>
          </w:p>
          <w:p w14:paraId="078DB38C" w14:textId="56259DDF" w:rsidR="005F26E1" w:rsidRPr="00F65742" w:rsidRDefault="00FF2BDA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Inicjacja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40D29" w:rsidRPr="00F65742">
              <w:rPr>
                <w:rFonts w:ascii="Times New Roman" w:hAnsi="Times New Roman"/>
                <w:color w:val="000000" w:themeColor="text1"/>
              </w:rPr>
              <w:t>musi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być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przeprowadzona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warunkach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krótkotrwałej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hospitalizacji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bądź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poradni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przyszpitalnej.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F65742">
              <w:rPr>
                <w:rFonts w:ascii="Times New Roman" w:hAnsi="Times New Roman"/>
                <w:color w:val="000000" w:themeColor="text1"/>
              </w:rPr>
              <w:t>N</w:t>
            </w:r>
            <w:r w:rsidRPr="00F65742">
              <w:rPr>
                <w:rFonts w:ascii="Times New Roman" w:hAnsi="Times New Roman"/>
                <w:color w:val="000000" w:themeColor="text1"/>
              </w:rPr>
              <w:t>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zastosować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F65742">
              <w:rPr>
                <w:rFonts w:ascii="Times New Roman" w:hAnsi="Times New Roman"/>
                <w:color w:val="000000" w:themeColor="text1"/>
              </w:rPr>
              <w:t>premedykację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F65742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sposób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monitorowania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wskazany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Charakterystyce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Produktu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Leczniczego.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4F5827F5" w14:textId="77777777" w:rsidR="00F65742" w:rsidRPr="00920757" w:rsidRDefault="00F65742" w:rsidP="00F65742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2B6ECB1" w14:textId="4DA53B96" w:rsidR="00FF2BDA" w:rsidRPr="00920757" w:rsidRDefault="00FF2BDA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Kladrybina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920757">
              <w:rPr>
                <w:rFonts w:ascii="Times New Roman" w:hAnsi="Times New Roman"/>
                <w:color w:val="000000" w:themeColor="text1"/>
              </w:rPr>
              <w:t>tabletkach</w:t>
            </w:r>
          </w:p>
          <w:p w14:paraId="1127982C" w14:textId="0AD0AFBD" w:rsidR="005F26E1" w:rsidRPr="00F65742" w:rsidRDefault="00FF2BDA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Inicjacja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F65742">
              <w:rPr>
                <w:rFonts w:ascii="Times New Roman" w:hAnsi="Times New Roman"/>
                <w:color w:val="000000" w:themeColor="text1"/>
              </w:rPr>
              <w:t>może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być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przeprowadzona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warunkach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F65742">
              <w:rPr>
                <w:rFonts w:ascii="Times New Roman" w:hAnsi="Times New Roman"/>
                <w:color w:val="000000" w:themeColor="text1"/>
              </w:rPr>
              <w:t>krótkotrwałej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hospitalizacji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F65742">
              <w:rPr>
                <w:rFonts w:ascii="Times New Roman" w:hAnsi="Times New Roman"/>
                <w:color w:val="000000" w:themeColor="text1"/>
              </w:rPr>
              <w:t>bądź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F65742">
              <w:rPr>
                <w:rFonts w:ascii="Times New Roman" w:hAnsi="Times New Roman"/>
                <w:color w:val="000000" w:themeColor="text1"/>
              </w:rPr>
              <w:t>poradni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F65742">
              <w:rPr>
                <w:rFonts w:ascii="Times New Roman" w:hAnsi="Times New Roman"/>
                <w:color w:val="000000" w:themeColor="text1"/>
              </w:rPr>
              <w:t>przyszpitalnej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zastosować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sposób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monitorowania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pacjenta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według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Charakterystyki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Produktu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Leczniczego.</w:t>
            </w:r>
          </w:p>
          <w:p w14:paraId="4E5C1AB5" w14:textId="77777777" w:rsidR="00F65742" w:rsidRPr="00920757" w:rsidRDefault="00F65742" w:rsidP="00F65742">
            <w:pPr>
              <w:pStyle w:val="Akapitzlist"/>
              <w:spacing w:after="60" w:line="276" w:lineRule="auto"/>
              <w:ind w:left="454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6F192E0" w14:textId="2DF29C05" w:rsidR="00C662F3" w:rsidRPr="00920757" w:rsidRDefault="00BD58A3" w:rsidP="00F65742">
            <w:pPr>
              <w:pStyle w:val="Akapitzlist"/>
              <w:numPr>
                <w:ilvl w:val="0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M</w:t>
            </w:r>
            <w:r w:rsidR="00C662F3" w:rsidRPr="00920757">
              <w:rPr>
                <w:rFonts w:ascii="Times New Roman" w:hAnsi="Times New Roman"/>
                <w:b/>
                <w:color w:val="000000" w:themeColor="text1"/>
              </w:rPr>
              <w:t>onitorowanie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C662F3" w:rsidRPr="00920757">
              <w:rPr>
                <w:rFonts w:ascii="Times New Roman" w:hAnsi="Times New Roman"/>
                <w:b/>
                <w:color w:val="000000" w:themeColor="text1"/>
              </w:rPr>
              <w:t>leczenia</w:t>
            </w:r>
          </w:p>
          <w:p w14:paraId="71677C61" w14:textId="3A987C34" w:rsidR="005F26E1" w:rsidRPr="00F65742" w:rsidRDefault="00AD0144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Monitorując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fingolimodem,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63597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natalizumabem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alemtuzumabem</w:t>
            </w:r>
            <w:r w:rsidR="00C50A1C" w:rsidRPr="00F65742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50A1C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50A1C" w:rsidRPr="00F65742">
              <w:rPr>
                <w:rFonts w:ascii="Times New Roman" w:hAnsi="Times New Roman"/>
                <w:color w:val="000000" w:themeColor="text1"/>
              </w:rPr>
              <w:t>okrelizumabem,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50A1C" w:rsidRPr="00F65742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50A1C" w:rsidRPr="00F65742">
              <w:rPr>
                <w:rFonts w:ascii="Times New Roman" w:hAnsi="Times New Roman"/>
                <w:color w:val="000000" w:themeColor="text1"/>
              </w:rPr>
              <w:t>kladrybiną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F65742">
              <w:rPr>
                <w:rFonts w:ascii="Times New Roman" w:hAnsi="Times New Roman"/>
                <w:color w:val="000000" w:themeColor="text1"/>
              </w:rPr>
              <w:t>tabletkach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kierować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zapisami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właściwych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Charakterystyk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Produktów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Leczniczych.</w:t>
            </w:r>
          </w:p>
          <w:p w14:paraId="7BA2559F" w14:textId="67C09AA9" w:rsidR="00C662F3" w:rsidRPr="00920757" w:rsidRDefault="00C662F3" w:rsidP="00F65742">
            <w:pPr>
              <w:pStyle w:val="Akapitzlist"/>
              <w:numPr>
                <w:ilvl w:val="1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fingolimodem</w:t>
            </w:r>
          </w:p>
          <w:p w14:paraId="1DBBA335" w14:textId="7B9CEC63" w:rsidR="00C662F3" w:rsidRPr="00920757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neurologiczne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oceną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3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miesiące;</w:t>
            </w:r>
          </w:p>
          <w:p w14:paraId="4270F834" w14:textId="552CE2AC" w:rsidR="00C662F3" w:rsidRPr="00920757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morfologii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krwi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poziomu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transaminaz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wątrobowych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bilirubiny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1.,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3.,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6.,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9.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12.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następnie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rzadziej,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6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miesięcy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zależnie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wskazań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klinicznych;</w:t>
            </w:r>
          </w:p>
          <w:p w14:paraId="02EEB577" w14:textId="5C7804F5" w:rsidR="00C662F3" w:rsidRPr="00920757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Okresowa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kontrola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ciśnienia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tętniczego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krwi,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rzadziej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3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miesiące;</w:t>
            </w:r>
          </w:p>
          <w:p w14:paraId="1AB45027" w14:textId="1C6ADECB" w:rsidR="009B388A" w:rsidRPr="00920757" w:rsidRDefault="00115B91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ogólne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moczu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odstępach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czasu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ustalonych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przez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lekarza</w:t>
            </w:r>
            <w:r w:rsidR="00F325B6"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273AB4F" w14:textId="5F2413C0" w:rsidR="00115B91" w:rsidRPr="00920757" w:rsidRDefault="00F325B6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T</w:t>
            </w:r>
            <w:r w:rsidR="00115B91" w:rsidRPr="00920757">
              <w:rPr>
                <w:rFonts w:ascii="Times New Roman" w:hAnsi="Times New Roman"/>
                <w:color w:val="000000" w:themeColor="text1"/>
              </w:rPr>
              <w:t>est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5B91" w:rsidRPr="00920757">
              <w:rPr>
                <w:rFonts w:ascii="Times New Roman" w:hAnsi="Times New Roman"/>
                <w:color w:val="000000" w:themeColor="text1"/>
              </w:rPr>
              <w:t>ciążowy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odstępach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czasu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ustalonych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przez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lekarza</w:t>
            </w:r>
            <w:r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A7FB695" w14:textId="64D0138F" w:rsidR="00C662F3" w:rsidRPr="00920757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Konsultacja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okulistyczna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3-4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rozpoczęciu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celu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wykluczenia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obrzęku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plamki,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następnie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zależnie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opinii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lastRenderedPageBreak/>
              <w:t>okulisty,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jednak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rzadziej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roku.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Konsultacja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okulistyczna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jest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konieczna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również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wystąpienia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jakichkolwiek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zaburzeń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widzenia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trakcie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fingolimodem;</w:t>
            </w:r>
          </w:p>
          <w:p w14:paraId="108C7DE0" w14:textId="171ADB2B" w:rsidR="00C662F3" w:rsidRPr="00920757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Konsultacja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dermatologiczna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każdych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leczenia;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176C59A0" w14:textId="46AB4B96" w:rsidR="005F26E1" w:rsidRPr="00F65742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Rezonans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magnetyczny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każdych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kontrastu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decyzji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lekarza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prowadzącego</w:t>
            </w:r>
            <w:r w:rsidR="005F26E1" w:rsidRPr="0092075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74B68AE" w14:textId="77777777" w:rsidR="00F65742" w:rsidRPr="00920757" w:rsidRDefault="00F65742" w:rsidP="00F65742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14CA5A5" w14:textId="342A9069" w:rsidR="00C662F3" w:rsidRPr="00920757" w:rsidRDefault="00C662F3" w:rsidP="00F65742">
            <w:pPr>
              <w:pStyle w:val="Akapitzlist"/>
              <w:numPr>
                <w:ilvl w:val="1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natalizumabem</w:t>
            </w:r>
          </w:p>
          <w:p w14:paraId="047B8862" w14:textId="453D0FC5" w:rsidR="00C662F3" w:rsidRPr="00920757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neurologi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czne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oceną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EDSS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3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miesiące;</w:t>
            </w:r>
          </w:p>
          <w:p w14:paraId="122BB820" w14:textId="5500DCDB" w:rsidR="00C662F3" w:rsidRPr="00920757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morfologii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krwi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poziomu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transaminaz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wątrobowych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3.,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6.,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9.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12.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następnie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rzadziej,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6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miesięcy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zależnie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wskazań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klinicznych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;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324350A8" w14:textId="77A16BE7" w:rsidR="009B388A" w:rsidRPr="00920757" w:rsidRDefault="00115B91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moczu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mikroskopową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oceną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920757">
              <w:rPr>
                <w:rFonts w:ascii="Times New Roman" w:hAnsi="Times New Roman"/>
                <w:color w:val="000000" w:themeColor="text1"/>
              </w:rPr>
              <w:t>osadu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odstępach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czasu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ustalonych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przez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lekarza</w:t>
            </w:r>
            <w:r w:rsidR="00F325B6"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B7A1D3D" w14:textId="22B68C12" w:rsidR="00115B91" w:rsidRPr="00920757" w:rsidRDefault="00F325B6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T</w:t>
            </w:r>
            <w:r w:rsidR="00115B91" w:rsidRPr="00920757">
              <w:rPr>
                <w:rFonts w:ascii="Times New Roman" w:hAnsi="Times New Roman"/>
                <w:color w:val="000000" w:themeColor="text1"/>
              </w:rPr>
              <w:t>est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5B91" w:rsidRPr="00920757">
              <w:rPr>
                <w:rFonts w:ascii="Times New Roman" w:hAnsi="Times New Roman"/>
                <w:color w:val="000000" w:themeColor="text1"/>
              </w:rPr>
              <w:t>ciążowy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odstępach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czasu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ustalonych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przez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920757">
              <w:rPr>
                <w:rFonts w:ascii="Times New Roman" w:hAnsi="Times New Roman"/>
                <w:color w:val="000000" w:themeColor="text1"/>
              </w:rPr>
              <w:t>lekarza</w:t>
            </w:r>
            <w:r w:rsidRPr="00920757">
              <w:rPr>
                <w:rFonts w:ascii="Times New Roman" w:hAnsi="Times New Roman"/>
                <w:color w:val="000000" w:themeColor="text1"/>
              </w:rPr>
              <w:t>;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76C08FB0" w14:textId="796FA144" w:rsidR="00C662F3" w:rsidRPr="00920757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podejrzenia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PML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JCV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GCN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płynu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mózgowo-rdzeniowego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obecność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wirusa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JC,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rezonansu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magnetycznego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bez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podaniu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kontrastu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;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4554DAB" w14:textId="1484B951" w:rsidR="00C662F3" w:rsidRPr="00920757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Powtarzanie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tes</w:t>
            </w:r>
            <w:r w:rsidR="005A7E57" w:rsidRPr="00920757">
              <w:rPr>
                <w:rFonts w:ascii="Times New Roman" w:hAnsi="Times New Roman"/>
                <w:color w:val="000000" w:themeColor="text1"/>
              </w:rPr>
              <w:t>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920757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920757">
              <w:rPr>
                <w:rFonts w:ascii="Times New Roman" w:hAnsi="Times New Roman"/>
                <w:color w:val="000000" w:themeColor="text1"/>
              </w:rPr>
              <w:t>obecność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920757">
              <w:rPr>
                <w:rFonts w:ascii="Times New Roman" w:hAnsi="Times New Roman"/>
                <w:color w:val="000000" w:themeColor="text1"/>
              </w:rPr>
              <w:t>przeciwciał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920757">
              <w:rPr>
                <w:rFonts w:ascii="Times New Roman" w:hAnsi="Times New Roman"/>
                <w:color w:val="000000" w:themeColor="text1"/>
              </w:rPr>
              <w:t>anty-</w:t>
            </w:r>
            <w:r w:rsidRPr="00920757">
              <w:rPr>
                <w:rFonts w:ascii="Times New Roman" w:hAnsi="Times New Roman"/>
                <w:color w:val="000000" w:themeColor="text1"/>
              </w:rPr>
              <w:t>JCV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określeniem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miana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poziomu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przeciwciał,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pacjenta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ujemnym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mianem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</w:t>
            </w:r>
            <w:r w:rsidR="005A7E57" w:rsidRPr="00920757">
              <w:rPr>
                <w:rFonts w:ascii="Times New Roman" w:hAnsi="Times New Roman"/>
                <w:color w:val="000000" w:themeColor="text1"/>
              </w:rPr>
              <w:t>iwciał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920757">
              <w:rPr>
                <w:rFonts w:ascii="Times New Roman" w:hAnsi="Times New Roman"/>
                <w:color w:val="000000" w:themeColor="text1"/>
              </w:rPr>
              <w:t>anty-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JCV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6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miesięcy;</w:t>
            </w:r>
          </w:p>
          <w:p w14:paraId="67918757" w14:textId="272A3912" w:rsidR="00C662F3" w:rsidRPr="00920757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pacjentów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zgłaszających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objawy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takie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jak: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zmniejszona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ostrość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widzenia,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zaczerwienienie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ból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oka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skierować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siatkówki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kierunku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ARN.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klinicznego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potwierdzenia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ARN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rozważyć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zakończenie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natalizumabem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;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501F5DD" w14:textId="647F6900" w:rsidR="00C662F3" w:rsidRPr="00920757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Rezonans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magnetyczny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ażdych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miesiącach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kontrastu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decyzji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lekarza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prowadzącego;</w:t>
            </w:r>
          </w:p>
          <w:p w14:paraId="4741F048" w14:textId="3E46FBF9" w:rsidR="00D42573" w:rsidRPr="00920757" w:rsidRDefault="00C662F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terapii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natalizumabem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pacjentów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wyższym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lastRenderedPageBreak/>
              <w:t>ryzykiem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wystąpienia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PML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</w:t>
            </w:r>
            <w:r w:rsidR="005A7E57" w:rsidRPr="00920757">
              <w:rPr>
                <w:rFonts w:ascii="Times New Roman" w:hAnsi="Times New Roman"/>
                <w:color w:val="000000" w:themeColor="text1"/>
              </w:rPr>
              <w:t>ważyć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920757">
              <w:rPr>
                <w:rFonts w:ascii="Times New Roman" w:hAnsi="Times New Roman"/>
                <w:color w:val="000000" w:themeColor="text1"/>
              </w:rPr>
              <w:t>częstsze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920757">
              <w:rPr>
                <w:rFonts w:ascii="Times New Roman" w:hAnsi="Times New Roman"/>
                <w:color w:val="000000" w:themeColor="text1"/>
              </w:rPr>
              <w:t>badania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920757">
              <w:rPr>
                <w:rFonts w:ascii="Times New Roman" w:hAnsi="Times New Roman"/>
                <w:color w:val="000000" w:themeColor="text1"/>
              </w:rPr>
              <w:t>MRI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920757">
              <w:rPr>
                <w:rFonts w:ascii="Times New Roman" w:hAnsi="Times New Roman"/>
                <w:color w:val="000000" w:themeColor="text1"/>
              </w:rPr>
              <w:t>(np.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3-6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miesięcy),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zastosowaniem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skróconej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sekwencji.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takich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pacjentów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należą:</w:t>
            </w:r>
          </w:p>
          <w:p w14:paraId="47ABE18F" w14:textId="65EFF74F" w:rsidR="00D42573" w:rsidRPr="00920757" w:rsidRDefault="00C662F3" w:rsidP="00F65742">
            <w:pPr>
              <w:pStyle w:val="Akapitzlist"/>
              <w:numPr>
                <w:ilvl w:val="3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pacjenci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wszystkimi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trzema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czynnikami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ryzyka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PML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(tj.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obecnością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przeciwciał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anty-JCV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stosujący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natalizumabem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ponad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lat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wcześniej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stosujący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immunosupresyjne)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12363CCD" w14:textId="24809412" w:rsidR="005F26E1" w:rsidRDefault="00C662F3" w:rsidP="00F65742">
            <w:pPr>
              <w:pStyle w:val="Akapitzlist"/>
              <w:numPr>
                <w:ilvl w:val="3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pacjenci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wysokim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wskaźnikiem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przeciwciał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anty-JCV,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natalizumbem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ponad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lat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którzy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wcześniej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otrzymywali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immunosupresyjnych.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dostępnych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danych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wynika,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że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ryzyko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rozwoju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PML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jest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niskie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wskaźniku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≤0,9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znacząco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wzrasta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dla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wartości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powyżej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1,5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pacjentów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leczonych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natalizumabem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dłużej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niż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lata</w:t>
            </w:r>
            <w:r w:rsidR="005F26E1" w:rsidRPr="0092075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1B0339B" w14:textId="77777777" w:rsidR="00F65742" w:rsidRPr="00920757" w:rsidRDefault="00F65742" w:rsidP="00F65742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54B214D" w14:textId="065EE11C" w:rsidR="00C662F3" w:rsidRPr="00920757" w:rsidRDefault="00C662F3" w:rsidP="00F65742">
            <w:pPr>
              <w:pStyle w:val="Akapitzlist"/>
              <w:numPr>
                <w:ilvl w:val="1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alemtuzumabem</w:t>
            </w:r>
          </w:p>
          <w:p w14:paraId="7E494C47" w14:textId="378D8A57" w:rsidR="000E0CBA" w:rsidRPr="00920757" w:rsidRDefault="000E0CBA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neurologiczne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oceną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3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miesiące;</w:t>
            </w:r>
          </w:p>
          <w:p w14:paraId="5D0040AB" w14:textId="63D8A491" w:rsidR="000E0CBA" w:rsidRPr="00920757" w:rsidRDefault="00630ECD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Morfologia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krwi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rozmazem,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stężenie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kreatyniny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surowicy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moczu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mikroskopową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oceną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osadu,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miesiąc.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Rozszerzenie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diagnostyki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wskazań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920757">
              <w:rPr>
                <w:rFonts w:ascii="Times New Roman" w:hAnsi="Times New Roman"/>
                <w:color w:val="000000" w:themeColor="text1"/>
              </w:rPr>
              <w:t>klinicznych;</w:t>
            </w:r>
          </w:p>
          <w:p w14:paraId="6DBDCA24" w14:textId="0173956C" w:rsidR="000E0CBA" w:rsidRPr="00920757" w:rsidRDefault="000E0CBA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Stężenie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TSH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surowicy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3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miesiące.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Rozszerzenie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diagnostyki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przypadku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wskazań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klinicznych;</w:t>
            </w:r>
          </w:p>
          <w:p w14:paraId="2A09858F" w14:textId="2680337D" w:rsidR="000E0CBA" w:rsidRPr="00920757" w:rsidRDefault="000E0CBA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pacjentek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przeprowadzenie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roku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badania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przesiewowego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</w:t>
            </w:r>
            <w:r w:rsidR="00630ECD" w:rsidRPr="00920757">
              <w:rPr>
                <w:rFonts w:ascii="Times New Roman" w:hAnsi="Times New Roman"/>
                <w:color w:val="000000" w:themeColor="text1"/>
              </w:rPr>
              <w:t>od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920757">
              <w:rPr>
                <w:rFonts w:ascii="Times New Roman" w:hAnsi="Times New Roman"/>
                <w:color w:val="000000" w:themeColor="text1"/>
              </w:rPr>
              <w:t>kątem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920757">
              <w:rPr>
                <w:rFonts w:ascii="Times New Roman" w:hAnsi="Times New Roman"/>
                <w:color w:val="000000" w:themeColor="text1"/>
              </w:rPr>
              <w:t>zakażenia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920757">
              <w:rPr>
                <w:rFonts w:ascii="Times New Roman" w:hAnsi="Times New Roman"/>
                <w:color w:val="000000" w:themeColor="text1"/>
              </w:rPr>
              <w:t>wirusem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920757">
              <w:rPr>
                <w:rFonts w:ascii="Times New Roman" w:hAnsi="Times New Roman"/>
                <w:color w:val="000000" w:themeColor="text1"/>
              </w:rPr>
              <w:t>HPV;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4A5578F2" w14:textId="53DED026" w:rsidR="000E0CBA" w:rsidRPr="00920757" w:rsidRDefault="000E0CBA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</w:t>
            </w:r>
            <w:r w:rsidR="00E14650" w:rsidRPr="00920757">
              <w:rPr>
                <w:rFonts w:ascii="Times New Roman" w:hAnsi="Times New Roman"/>
                <w:color w:val="000000" w:themeColor="text1"/>
              </w:rPr>
              <w:t>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14650" w:rsidRPr="00920757">
              <w:rPr>
                <w:rFonts w:ascii="Times New Roman" w:hAnsi="Times New Roman"/>
                <w:color w:val="000000" w:themeColor="text1"/>
              </w:rPr>
              <w:t>rezonansu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14650" w:rsidRPr="00920757">
              <w:rPr>
                <w:rFonts w:ascii="Times New Roman" w:hAnsi="Times New Roman"/>
                <w:color w:val="000000" w:themeColor="text1"/>
              </w:rPr>
              <w:t>magnetycznego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14650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decyzji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lekarza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prowadzącego</w:t>
            </w:r>
            <w:r w:rsidR="005F26E1" w:rsidRPr="0092075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C0DA605" w14:textId="5B24E8C2" w:rsidR="000E0CBA" w:rsidRPr="00F65742" w:rsidRDefault="000E0CBA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Badania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kontynuować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48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miesięcy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ostatnim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kursie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alemtuzumabem.</w:t>
            </w:r>
          </w:p>
          <w:p w14:paraId="5B7DB046" w14:textId="030A4048" w:rsidR="005F26E1" w:rsidRDefault="000E0CBA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65742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drugim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podaniem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alemtuzumabu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kobiet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wieku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rozrodczym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należy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wykonać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test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ciążowy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badania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kierunku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HIV,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oznaczenie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jakościowe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ki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erunku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wiremii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HBV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F65742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HCV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RTG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t>klatki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65742">
              <w:rPr>
                <w:rFonts w:ascii="Times New Roman" w:hAnsi="Times New Roman"/>
                <w:color w:val="000000" w:themeColor="text1"/>
              </w:rPr>
              <w:lastRenderedPageBreak/>
              <w:t>piersiowej.</w:t>
            </w:r>
          </w:p>
          <w:p w14:paraId="271EB915" w14:textId="77777777" w:rsidR="00F65742" w:rsidRPr="00F65742" w:rsidRDefault="00F65742" w:rsidP="00F65742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603E15F" w14:textId="37A94431" w:rsidR="00905DC4" w:rsidRPr="00920757" w:rsidRDefault="00905DC4" w:rsidP="00F65742">
            <w:pPr>
              <w:pStyle w:val="Akapitzlist"/>
              <w:numPr>
                <w:ilvl w:val="1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okrelizumabem</w:t>
            </w:r>
          </w:p>
          <w:p w14:paraId="2DE9C5CA" w14:textId="5D518265" w:rsidR="00717ADC" w:rsidRPr="00920757" w:rsidRDefault="00717ADC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neurologiczne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oceną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EDSS,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D095E" w:rsidRPr="00920757">
              <w:rPr>
                <w:rFonts w:ascii="Times New Roman" w:hAnsi="Times New Roman"/>
                <w:color w:val="000000" w:themeColor="text1"/>
              </w:rPr>
              <w:t>3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D095E" w:rsidRPr="00920757">
              <w:rPr>
                <w:rFonts w:ascii="Times New Roman" w:hAnsi="Times New Roman"/>
                <w:color w:val="000000" w:themeColor="text1"/>
              </w:rPr>
              <w:t>miesiące</w:t>
            </w:r>
            <w:r w:rsidRPr="00920757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C55ACC6" w14:textId="54186CD5" w:rsidR="00115B91" w:rsidRPr="00920757" w:rsidRDefault="00625EBE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5B91" w:rsidRPr="00920757">
              <w:rPr>
                <w:rFonts w:ascii="Times New Roman" w:hAnsi="Times New Roman"/>
                <w:color w:val="000000" w:themeColor="text1"/>
              </w:rPr>
              <w:t>morfologii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5B91" w:rsidRPr="00920757">
              <w:rPr>
                <w:rFonts w:ascii="Times New Roman" w:hAnsi="Times New Roman"/>
                <w:color w:val="000000" w:themeColor="text1"/>
              </w:rPr>
              <w:t>krwi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6077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każdym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podaniem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leku;</w:t>
            </w:r>
          </w:p>
          <w:p w14:paraId="7DD21253" w14:textId="73620FD0" w:rsidR="00115B91" w:rsidRPr="00920757" w:rsidRDefault="00115B91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59A2" w:rsidRPr="00920757">
              <w:rPr>
                <w:rFonts w:ascii="Times New Roman" w:hAnsi="Times New Roman"/>
                <w:color w:val="000000" w:themeColor="text1"/>
              </w:rPr>
              <w:t>ogólne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59A2" w:rsidRPr="00920757">
              <w:rPr>
                <w:rFonts w:ascii="Times New Roman" w:hAnsi="Times New Roman"/>
                <w:color w:val="000000" w:themeColor="text1"/>
              </w:rPr>
              <w:t>moczu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59A2"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59A2" w:rsidRPr="00920757">
              <w:rPr>
                <w:rFonts w:ascii="Times New Roman" w:hAnsi="Times New Roman"/>
                <w:color w:val="000000" w:themeColor="text1"/>
              </w:rPr>
              <w:t>test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59A2" w:rsidRPr="00920757">
              <w:rPr>
                <w:rFonts w:ascii="Times New Roman" w:hAnsi="Times New Roman"/>
                <w:color w:val="000000" w:themeColor="text1"/>
              </w:rPr>
              <w:t>ciążowy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59A2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każdym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podaniem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leku;</w:t>
            </w:r>
          </w:p>
          <w:p w14:paraId="7F15F7A7" w14:textId="55F08C75" w:rsidR="00D159A2" w:rsidRPr="00920757" w:rsidRDefault="00D159A2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funkcji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nerek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E175A"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E175A" w:rsidRPr="00920757">
              <w:rPr>
                <w:rFonts w:ascii="Times New Roman" w:hAnsi="Times New Roman"/>
                <w:color w:val="000000" w:themeColor="text1"/>
              </w:rPr>
              <w:t>wątroby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każdym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podaniem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leku;</w:t>
            </w:r>
          </w:p>
          <w:p w14:paraId="08CACB77" w14:textId="65C26B4B" w:rsidR="00D159A2" w:rsidRPr="00920757" w:rsidRDefault="00D159A2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Badanie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E175A" w:rsidRPr="00920757">
              <w:rPr>
                <w:rFonts w:ascii="Times New Roman" w:hAnsi="Times New Roman"/>
                <w:color w:val="000000" w:themeColor="text1"/>
              </w:rPr>
              <w:t>HBsAg</w:t>
            </w:r>
            <w:r w:rsidR="00E81BA0" w:rsidRPr="00920757">
              <w:rPr>
                <w:rFonts w:ascii="Times New Roman" w:hAnsi="Times New Roman"/>
                <w:color w:val="000000" w:themeColor="text1"/>
              </w:rPr>
              <w:t>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1BA0" w:rsidRPr="00920757">
              <w:rPr>
                <w:rFonts w:ascii="Times New Roman" w:hAnsi="Times New Roman"/>
                <w:color w:val="000000" w:themeColor="text1"/>
              </w:rPr>
              <w:t>antyHBcAg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przed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każdym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podaniem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leku;</w:t>
            </w:r>
          </w:p>
          <w:p w14:paraId="291C15CD" w14:textId="64CB1BF3" w:rsidR="005F26E1" w:rsidRDefault="00115B91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Rezonans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magnetyczny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każdych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12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miesiącach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kontrastu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920757">
              <w:rPr>
                <w:rFonts w:ascii="Times New Roman" w:hAnsi="Times New Roman"/>
                <w:color w:val="000000" w:themeColor="text1"/>
              </w:rPr>
              <w:t>decyzji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920757">
              <w:rPr>
                <w:rFonts w:ascii="Times New Roman" w:hAnsi="Times New Roman"/>
                <w:color w:val="000000" w:themeColor="text1"/>
              </w:rPr>
              <w:t>lekarza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920757">
              <w:rPr>
                <w:rFonts w:ascii="Times New Roman" w:hAnsi="Times New Roman"/>
                <w:color w:val="000000" w:themeColor="text1"/>
              </w:rPr>
              <w:t>prowadzącego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920757">
              <w:rPr>
                <w:rFonts w:ascii="Times New Roman" w:hAnsi="Times New Roman"/>
                <w:color w:val="000000" w:themeColor="text1"/>
              </w:rPr>
              <w:t>dotyczy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920757">
              <w:rPr>
                <w:rFonts w:ascii="Times New Roman" w:hAnsi="Times New Roman"/>
                <w:color w:val="000000" w:themeColor="text1"/>
              </w:rPr>
              <w:t>stosowania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920757">
              <w:rPr>
                <w:rFonts w:ascii="Times New Roman" w:hAnsi="Times New Roman"/>
                <w:color w:val="000000" w:themeColor="text1"/>
              </w:rPr>
              <w:t>okrelizumabu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920757">
              <w:rPr>
                <w:rFonts w:ascii="Times New Roman" w:hAnsi="Times New Roman"/>
                <w:color w:val="000000" w:themeColor="text1"/>
              </w:rPr>
              <w:t>postaci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920757">
              <w:rPr>
                <w:rFonts w:ascii="Times New Roman" w:hAnsi="Times New Roman"/>
                <w:color w:val="000000" w:themeColor="text1"/>
              </w:rPr>
              <w:t>rzutowo-remisyjnej</w:t>
            </w:r>
            <w:r w:rsidR="005F26E1" w:rsidRPr="0092075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C4EB356" w14:textId="77777777" w:rsidR="00F65742" w:rsidRPr="00920757" w:rsidRDefault="00F65742" w:rsidP="00F65742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1C139D8" w14:textId="6A54FA18" w:rsidR="00CE0373" w:rsidRPr="00920757" w:rsidRDefault="00CE0373" w:rsidP="00F65742">
            <w:pPr>
              <w:pStyle w:val="Akapitzlist"/>
              <w:numPr>
                <w:ilvl w:val="1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kladrybiną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A131F9" w:rsidRPr="00920757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A131F9" w:rsidRPr="00920757">
              <w:rPr>
                <w:rFonts w:ascii="Times New Roman" w:hAnsi="Times New Roman"/>
                <w:b/>
                <w:color w:val="000000" w:themeColor="text1"/>
              </w:rPr>
              <w:t>tabletkach</w:t>
            </w:r>
          </w:p>
          <w:p w14:paraId="1472731C" w14:textId="144BCDC7" w:rsidR="00AD095E" w:rsidRPr="00920757" w:rsidRDefault="00AD095E" w:rsidP="00F65742">
            <w:pPr>
              <w:pStyle w:val="Default"/>
              <w:numPr>
                <w:ilvl w:val="2"/>
                <w:numId w:val="47"/>
              </w:numPr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neurologiczne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oceną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EDSS,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miesiące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A139F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A139F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pierwsze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A139F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dwa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A139F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lata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A139F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</w:p>
          <w:p w14:paraId="48F54E31" w14:textId="34303E37" w:rsidR="001973F5" w:rsidRPr="00920757" w:rsidRDefault="001973F5" w:rsidP="00F65742">
            <w:pPr>
              <w:pStyle w:val="Default"/>
              <w:numPr>
                <w:ilvl w:val="2"/>
                <w:numId w:val="47"/>
              </w:numPr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rozmazem,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uwzględnieniem</w:t>
            </w:r>
            <w:r w:rsidR="000115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9207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liczby</w:t>
            </w:r>
            <w:r w:rsidR="000115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9207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limfocytów</w:t>
            </w:r>
            <w:r w:rsidR="000115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9207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0115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rozpoczęciem</w:t>
            </w:r>
            <w:r w:rsidR="000115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stosowania</w:t>
            </w:r>
            <w:r w:rsidR="000115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0115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0115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miesiące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miesięcy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rozpoczęciu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każdym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roku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Jeśli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limfocytów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zmniejszy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wartości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poniżej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komórek/mm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ją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aktywnie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monitorować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czasu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ponownego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wzrostu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wartości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wartości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najmniej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0115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komórek/mm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5C57FDA" w14:textId="024F0835" w:rsidR="002D6FA7" w:rsidRPr="00920757" w:rsidRDefault="002D6FA7" w:rsidP="00F65742">
            <w:pPr>
              <w:pStyle w:val="Default"/>
              <w:numPr>
                <w:ilvl w:val="2"/>
                <w:numId w:val="47"/>
              </w:numPr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Ocena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neurologicznego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określeniem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EDSS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kolejnym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kursem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leku;</w:t>
            </w:r>
          </w:p>
          <w:p w14:paraId="04C67DB4" w14:textId="59F81DB2" w:rsidR="001973F5" w:rsidRPr="00920757" w:rsidRDefault="001973F5" w:rsidP="00F65742">
            <w:pPr>
              <w:pStyle w:val="Default"/>
              <w:numPr>
                <w:ilvl w:val="2"/>
                <w:numId w:val="47"/>
              </w:numPr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rozmazem,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2D6FA7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względnieniem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D6FA7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liczby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D6FA7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limfocytów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kolejnym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kursem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leku;</w:t>
            </w:r>
          </w:p>
          <w:p w14:paraId="4DD11C03" w14:textId="49367848" w:rsidR="001973F5" w:rsidRPr="00920757" w:rsidRDefault="002D6FA7" w:rsidP="00F65742">
            <w:pPr>
              <w:pStyle w:val="Default"/>
              <w:numPr>
                <w:ilvl w:val="2"/>
                <w:numId w:val="47"/>
              </w:numPr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znaczenie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stężenia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kolejnym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kursem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leku;</w:t>
            </w:r>
          </w:p>
          <w:p w14:paraId="6A2C6CB7" w14:textId="591CFD0A" w:rsidR="001973F5" w:rsidRPr="00920757" w:rsidRDefault="002D6FA7" w:rsidP="00F65742">
            <w:pPr>
              <w:pStyle w:val="Default"/>
              <w:numPr>
                <w:ilvl w:val="2"/>
                <w:numId w:val="47"/>
              </w:numPr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Test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ciążowy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kobiet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ieku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rozrodczym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kolejnym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kursem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leku;</w:t>
            </w:r>
          </w:p>
          <w:p w14:paraId="45538937" w14:textId="67086A55" w:rsidR="001973F5" w:rsidRPr="00920757" w:rsidRDefault="002D6FA7" w:rsidP="00F65742">
            <w:pPr>
              <w:pStyle w:val="Default"/>
              <w:numPr>
                <w:ilvl w:val="2"/>
                <w:numId w:val="47"/>
              </w:numPr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adania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przesiewowe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kierunku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HIV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HBV,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HCV,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TBC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0" w:name="_Hlk18679822"/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kolejnym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kursem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leku;</w:t>
            </w:r>
          </w:p>
          <w:p w14:paraId="30C3C990" w14:textId="1FC86D31" w:rsidR="001973F5" w:rsidRPr="00920757" w:rsidRDefault="00056BED" w:rsidP="00F65742">
            <w:pPr>
              <w:pStyle w:val="Default"/>
              <w:numPr>
                <w:ilvl w:val="2"/>
                <w:numId w:val="47"/>
              </w:numPr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18679728"/>
            <w:bookmarkEnd w:id="0"/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izyta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kontrolna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miesięcy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oceną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klinicznego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D6FA7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</w:t>
            </w:r>
            <w:r w:rsidR="00DF45C6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ych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latach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F655BF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miesięcy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ostatniej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dawce)</w:t>
            </w:r>
            <w:r w:rsidR="009E2725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8287278" w14:textId="051FC053" w:rsidR="005F26E1" w:rsidRDefault="001973F5" w:rsidP="00F65742">
            <w:pPr>
              <w:pStyle w:val="Default"/>
              <w:numPr>
                <w:ilvl w:val="2"/>
                <w:numId w:val="47"/>
              </w:numPr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MRI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D3874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zalecane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0115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rok</w:t>
            </w:r>
            <w:bookmarkEnd w:id="1"/>
            <w:r w:rsidR="005F26E1" w:rsidRPr="009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4B9FEB3" w14:textId="77777777" w:rsidR="00F65742" w:rsidRPr="00920757" w:rsidRDefault="00F65742" w:rsidP="00F65742">
            <w:pPr>
              <w:pStyle w:val="Default"/>
              <w:spacing w:after="60" w:line="276" w:lineRule="auto"/>
              <w:ind w:left="45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FE1797" w14:textId="0E9BAF62" w:rsidR="007B5173" w:rsidRPr="00920757" w:rsidRDefault="007B5173" w:rsidP="00F65742">
            <w:pPr>
              <w:pStyle w:val="Akapitzlist"/>
              <w:numPr>
                <w:ilvl w:val="0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20757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01156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b/>
                <w:color w:val="000000" w:themeColor="text1"/>
              </w:rPr>
              <w:t>programu</w:t>
            </w:r>
          </w:p>
          <w:p w14:paraId="49DBDE50" w14:textId="4736871D" w:rsidR="007B5173" w:rsidRPr="00920757" w:rsidRDefault="007B517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Gromadzenie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dokumentacji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medycznej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pacjenta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danych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dotyczących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monitorowania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każdorazowe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przedst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awianie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żądanie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kontrolerów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Narodowego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Funduszu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Zdrowia;</w:t>
            </w:r>
          </w:p>
          <w:p w14:paraId="12EC7077" w14:textId="12EF4091" w:rsidR="00CC1A38" w:rsidRPr="00920757" w:rsidRDefault="007B5173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Uzupełnienie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danych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zawartych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rejestrze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(SMPT)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dostępnym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pomocą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aplikacji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internetowej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udostępnionej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NFZ,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częstotliwością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zgodną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opisem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programu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oraz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zakończenie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leczenia;</w:t>
            </w:r>
          </w:p>
          <w:p w14:paraId="5069A721" w14:textId="2AC73463" w:rsidR="005F26E1" w:rsidRDefault="00787AA9" w:rsidP="00F65742">
            <w:pPr>
              <w:pStyle w:val="Akapitzlist"/>
              <w:numPr>
                <w:ilvl w:val="2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20757">
              <w:rPr>
                <w:rFonts w:ascii="Times New Roman" w:hAnsi="Times New Roman"/>
                <w:color w:val="000000" w:themeColor="text1"/>
              </w:rPr>
              <w:t>Przekazywanie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informacji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sprawozdawczo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rozliczeniowych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920757">
              <w:rPr>
                <w:rFonts w:ascii="Times New Roman" w:hAnsi="Times New Roman"/>
                <w:color w:val="000000" w:themeColor="text1"/>
              </w:rPr>
              <w:t>NFZ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4E2C" w:rsidRPr="00920757">
              <w:rPr>
                <w:rFonts w:ascii="Times New Roman" w:hAnsi="Times New Roman"/>
                <w:color w:val="000000" w:themeColor="text1"/>
              </w:rPr>
              <w:t>-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informacje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przekazuje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się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do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NFZ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formie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papierowej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lub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formie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elektronicznej,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zgodnie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wymaganiami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opublikowanymi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przez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Narodowy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Fundusz</w:t>
            </w:r>
            <w:r w:rsidR="000115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757">
              <w:rPr>
                <w:rFonts w:ascii="Times New Roman" w:hAnsi="Times New Roman"/>
                <w:color w:val="000000" w:themeColor="text1"/>
              </w:rPr>
              <w:t>Zdrowia</w:t>
            </w:r>
            <w:r w:rsidR="005F26E1" w:rsidRPr="0092075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13A35110" w14:textId="1C85B47B" w:rsidR="00F65742" w:rsidRPr="00920757" w:rsidRDefault="00F65742" w:rsidP="00F65742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9492275" w14:textId="77777777" w:rsidR="00D453C6" w:rsidRPr="00BE66EB" w:rsidRDefault="00D453C6" w:rsidP="00A73413">
      <w:pPr>
        <w:rPr>
          <w:rFonts w:ascii="Times New Roman" w:hAnsi="Times New Roman"/>
          <w:color w:val="000000" w:themeColor="text1"/>
        </w:rPr>
      </w:pPr>
    </w:p>
    <w:sectPr w:rsidR="00D453C6" w:rsidRPr="00BE66EB" w:rsidSect="000479E7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8C59C" w14:textId="77777777" w:rsidR="00071D69" w:rsidRDefault="00071D69" w:rsidP="00A13741">
      <w:r>
        <w:separator/>
      </w:r>
    </w:p>
  </w:endnote>
  <w:endnote w:type="continuationSeparator" w:id="0">
    <w:p w14:paraId="6904DD41" w14:textId="77777777" w:rsidR="00071D69" w:rsidRDefault="00071D69" w:rsidP="00A1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7FDD1" w14:textId="77777777" w:rsidR="00071D69" w:rsidRDefault="00071D69" w:rsidP="00A13741">
      <w:r>
        <w:separator/>
      </w:r>
    </w:p>
  </w:footnote>
  <w:footnote w:type="continuationSeparator" w:id="0">
    <w:p w14:paraId="7DB8ED51" w14:textId="77777777" w:rsidR="00071D69" w:rsidRDefault="00071D69" w:rsidP="00A1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B47"/>
    <w:multiLevelType w:val="hybridMultilevel"/>
    <w:tmpl w:val="0AD4D094"/>
    <w:lvl w:ilvl="0" w:tplc="796485A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9738D"/>
    <w:multiLevelType w:val="multilevel"/>
    <w:tmpl w:val="3542AA5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69" w:hanging="227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454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65C192C"/>
    <w:multiLevelType w:val="hybridMultilevel"/>
    <w:tmpl w:val="B2E47DD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81148"/>
    <w:multiLevelType w:val="multilevel"/>
    <w:tmpl w:val="3542AA5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68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11A38EA"/>
    <w:multiLevelType w:val="hybridMultilevel"/>
    <w:tmpl w:val="43EE92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07947"/>
    <w:multiLevelType w:val="hybridMultilevel"/>
    <w:tmpl w:val="908850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103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63A26"/>
    <w:multiLevelType w:val="hybridMultilevel"/>
    <w:tmpl w:val="48E26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072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114484"/>
    <w:multiLevelType w:val="hybridMultilevel"/>
    <w:tmpl w:val="9D7AFC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57" w:hanging="360"/>
      </w:pPr>
    </w:lvl>
    <w:lvl w:ilvl="2" w:tplc="0415001B">
      <w:start w:val="1"/>
      <w:numFmt w:val="lowerRoman"/>
      <w:lvlText w:val="%3."/>
      <w:lvlJc w:val="right"/>
      <w:pPr>
        <w:ind w:left="1032" w:hanging="180"/>
      </w:pPr>
    </w:lvl>
    <w:lvl w:ilvl="3" w:tplc="96A8227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46E65"/>
    <w:multiLevelType w:val="multilevel"/>
    <w:tmpl w:val="0246AB9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B9E181C"/>
    <w:multiLevelType w:val="hybridMultilevel"/>
    <w:tmpl w:val="F15293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57" w:hanging="360"/>
      </w:pPr>
    </w:lvl>
    <w:lvl w:ilvl="2" w:tplc="0415001B">
      <w:start w:val="1"/>
      <w:numFmt w:val="lowerRoman"/>
      <w:lvlText w:val="%3."/>
      <w:lvlJc w:val="right"/>
      <w:pPr>
        <w:ind w:left="1032" w:hanging="180"/>
      </w:pPr>
    </w:lvl>
    <w:lvl w:ilvl="3" w:tplc="96A8227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4619B"/>
    <w:multiLevelType w:val="hybridMultilevel"/>
    <w:tmpl w:val="62167D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0E3F09"/>
    <w:multiLevelType w:val="hybridMultilevel"/>
    <w:tmpl w:val="F4B0CD8C"/>
    <w:lvl w:ilvl="0" w:tplc="4C8E7C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27E87"/>
    <w:multiLevelType w:val="hybridMultilevel"/>
    <w:tmpl w:val="CF0A38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0D6387"/>
    <w:multiLevelType w:val="hybridMultilevel"/>
    <w:tmpl w:val="E0C47E2C"/>
    <w:lvl w:ilvl="0" w:tplc="5E566C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A35978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69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32896E20"/>
    <w:multiLevelType w:val="multilevel"/>
    <w:tmpl w:val="92A2CA8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22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369" w:hanging="227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68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38AC4DF5"/>
    <w:multiLevelType w:val="hybridMultilevel"/>
    <w:tmpl w:val="E8FCD1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81427"/>
    <w:multiLevelType w:val="hybridMultilevel"/>
    <w:tmpl w:val="0A6E7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CE43D2"/>
    <w:multiLevelType w:val="hybridMultilevel"/>
    <w:tmpl w:val="9A60BAF4"/>
    <w:lvl w:ilvl="0" w:tplc="B37047C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491B95"/>
    <w:multiLevelType w:val="hybridMultilevel"/>
    <w:tmpl w:val="07022D7C"/>
    <w:lvl w:ilvl="0" w:tplc="0A745D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D9254F"/>
    <w:multiLevelType w:val="hybridMultilevel"/>
    <w:tmpl w:val="6B40EE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C7370"/>
    <w:multiLevelType w:val="multilevel"/>
    <w:tmpl w:val="0DC45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E67373E"/>
    <w:multiLevelType w:val="hybridMultilevel"/>
    <w:tmpl w:val="001689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B97AB8"/>
    <w:multiLevelType w:val="hybridMultilevel"/>
    <w:tmpl w:val="E702D7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A8254A"/>
    <w:multiLevelType w:val="hybridMultilevel"/>
    <w:tmpl w:val="A0568120"/>
    <w:lvl w:ilvl="0" w:tplc="1150870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2B3286"/>
    <w:multiLevelType w:val="multilevel"/>
    <w:tmpl w:val="53A0B6FC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464B000B"/>
    <w:multiLevelType w:val="hybridMultilevel"/>
    <w:tmpl w:val="263649BE"/>
    <w:lvl w:ilvl="0" w:tplc="7484599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67E89424">
      <w:start w:val="1"/>
      <w:numFmt w:val="lowerLetter"/>
      <w:lvlText w:val="%2)"/>
      <w:lvlJc w:val="left"/>
      <w:pPr>
        <w:ind w:left="64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CB69D9"/>
    <w:multiLevelType w:val="hybridMultilevel"/>
    <w:tmpl w:val="52E464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57" w:hanging="360"/>
      </w:pPr>
    </w:lvl>
    <w:lvl w:ilvl="2" w:tplc="0415001B">
      <w:start w:val="1"/>
      <w:numFmt w:val="lowerRoman"/>
      <w:lvlText w:val="%3."/>
      <w:lvlJc w:val="right"/>
      <w:pPr>
        <w:ind w:left="1032" w:hanging="180"/>
      </w:pPr>
    </w:lvl>
    <w:lvl w:ilvl="3" w:tplc="96A8227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A5975"/>
    <w:multiLevelType w:val="multilevel"/>
    <w:tmpl w:val="92A2CA8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22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369" w:hanging="227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68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0" w15:restartNumberingAfterBreak="0">
    <w:nsid w:val="500051C1"/>
    <w:multiLevelType w:val="hybridMultilevel"/>
    <w:tmpl w:val="0A6E7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D74093"/>
    <w:multiLevelType w:val="hybridMultilevel"/>
    <w:tmpl w:val="A51CA53A"/>
    <w:lvl w:ilvl="0" w:tplc="17628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041F98"/>
    <w:multiLevelType w:val="hybridMultilevel"/>
    <w:tmpl w:val="0A6E7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F917C0"/>
    <w:multiLevelType w:val="hybridMultilevel"/>
    <w:tmpl w:val="A5961630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4" w15:restartNumberingAfterBreak="0">
    <w:nsid w:val="60804F9A"/>
    <w:multiLevelType w:val="multilevel"/>
    <w:tmpl w:val="96560FC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5" w15:restartNumberingAfterBreak="0">
    <w:nsid w:val="60F27E76"/>
    <w:multiLevelType w:val="hybridMultilevel"/>
    <w:tmpl w:val="0DCEE80A"/>
    <w:lvl w:ilvl="0" w:tplc="5532D616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1570FD9"/>
    <w:multiLevelType w:val="hybridMultilevel"/>
    <w:tmpl w:val="8ACAFF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CB7114"/>
    <w:multiLevelType w:val="hybridMultilevel"/>
    <w:tmpl w:val="81806F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57" w:hanging="360"/>
      </w:pPr>
    </w:lvl>
    <w:lvl w:ilvl="2" w:tplc="0415001B">
      <w:start w:val="1"/>
      <w:numFmt w:val="lowerRoman"/>
      <w:lvlText w:val="%3."/>
      <w:lvlJc w:val="right"/>
      <w:pPr>
        <w:ind w:left="1032" w:hanging="180"/>
      </w:pPr>
    </w:lvl>
    <w:lvl w:ilvl="3" w:tplc="96A8227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E60A91"/>
    <w:multiLevelType w:val="multilevel"/>
    <w:tmpl w:val="96560FC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9" w15:restartNumberingAfterBreak="0">
    <w:nsid w:val="65EF4B0A"/>
    <w:multiLevelType w:val="hybridMultilevel"/>
    <w:tmpl w:val="90627A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D67666"/>
    <w:multiLevelType w:val="multilevel"/>
    <w:tmpl w:val="F5F4266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68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1" w15:restartNumberingAfterBreak="0">
    <w:nsid w:val="6D70202B"/>
    <w:multiLevelType w:val="multilevel"/>
    <w:tmpl w:val="3542AA5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69" w:hanging="227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454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2" w15:restartNumberingAfterBreak="0">
    <w:nsid w:val="6E4D4E78"/>
    <w:multiLevelType w:val="hybridMultilevel"/>
    <w:tmpl w:val="98B4C8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0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4F074A"/>
    <w:multiLevelType w:val="hybridMultilevel"/>
    <w:tmpl w:val="81806F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57" w:hanging="360"/>
      </w:pPr>
    </w:lvl>
    <w:lvl w:ilvl="2" w:tplc="0415001B">
      <w:start w:val="1"/>
      <w:numFmt w:val="lowerRoman"/>
      <w:lvlText w:val="%3."/>
      <w:lvlJc w:val="right"/>
      <w:pPr>
        <w:ind w:left="1032" w:hanging="180"/>
      </w:pPr>
    </w:lvl>
    <w:lvl w:ilvl="3" w:tplc="96A8227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8E12DC"/>
    <w:multiLevelType w:val="hybridMultilevel"/>
    <w:tmpl w:val="276CBC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D850216C">
      <w:start w:val="1"/>
      <w:numFmt w:val="lowerLetter"/>
      <w:lvlText w:val="%2)"/>
      <w:lvlJc w:val="left"/>
      <w:pPr>
        <w:ind w:left="75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861BD8"/>
    <w:multiLevelType w:val="multilevel"/>
    <w:tmpl w:val="839EB796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68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6" w15:restartNumberingAfterBreak="0">
    <w:nsid w:val="7C0B062A"/>
    <w:multiLevelType w:val="hybridMultilevel"/>
    <w:tmpl w:val="D1E28AF8"/>
    <w:lvl w:ilvl="0" w:tplc="330000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4"/>
  </w:num>
  <w:num w:numId="3">
    <w:abstractNumId w:val="39"/>
  </w:num>
  <w:num w:numId="4">
    <w:abstractNumId w:val="43"/>
  </w:num>
  <w:num w:numId="5">
    <w:abstractNumId w:val="36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46"/>
  </w:num>
  <w:num w:numId="11">
    <w:abstractNumId w:val="27"/>
  </w:num>
  <w:num w:numId="12">
    <w:abstractNumId w:val="35"/>
  </w:num>
  <w:num w:numId="13">
    <w:abstractNumId w:val="6"/>
  </w:num>
  <w:num w:numId="14">
    <w:abstractNumId w:val="4"/>
  </w:num>
  <w:num w:numId="15">
    <w:abstractNumId w:val="28"/>
  </w:num>
  <w:num w:numId="16">
    <w:abstractNumId w:val="12"/>
  </w:num>
  <w:num w:numId="17">
    <w:abstractNumId w:val="11"/>
  </w:num>
  <w:num w:numId="18">
    <w:abstractNumId w:val="31"/>
  </w:num>
  <w:num w:numId="19">
    <w:abstractNumId w:val="21"/>
  </w:num>
  <w:num w:numId="20">
    <w:abstractNumId w:val="0"/>
  </w:num>
  <w:num w:numId="21">
    <w:abstractNumId w:val="32"/>
  </w:num>
  <w:num w:numId="22">
    <w:abstractNumId w:val="42"/>
  </w:num>
  <w:num w:numId="23">
    <w:abstractNumId w:val="20"/>
  </w:num>
  <w:num w:numId="24">
    <w:abstractNumId w:val="2"/>
  </w:num>
  <w:num w:numId="25">
    <w:abstractNumId w:val="37"/>
  </w:num>
  <w:num w:numId="26">
    <w:abstractNumId w:val="30"/>
  </w:num>
  <w:num w:numId="27">
    <w:abstractNumId w:val="18"/>
  </w:num>
  <w:num w:numId="28">
    <w:abstractNumId w:val="33"/>
  </w:num>
  <w:num w:numId="29">
    <w:abstractNumId w:val="13"/>
  </w:num>
  <w:num w:numId="30">
    <w:abstractNumId w:val="19"/>
  </w:num>
  <w:num w:numId="31">
    <w:abstractNumId w:val="17"/>
  </w:num>
  <w:num w:numId="32">
    <w:abstractNumId w:val="24"/>
  </w:num>
  <w:num w:numId="33">
    <w:abstractNumId w:val="25"/>
  </w:num>
  <w:num w:numId="34">
    <w:abstractNumId w:val="14"/>
  </w:num>
  <w:num w:numId="35">
    <w:abstractNumId w:val="23"/>
  </w:num>
  <w:num w:numId="36">
    <w:abstractNumId w:val="15"/>
  </w:num>
  <w:num w:numId="37">
    <w:abstractNumId w:val="1"/>
  </w:num>
  <w:num w:numId="38">
    <w:abstractNumId w:val="3"/>
  </w:num>
  <w:num w:numId="39">
    <w:abstractNumId w:val="45"/>
  </w:num>
  <w:num w:numId="40">
    <w:abstractNumId w:val="40"/>
  </w:num>
  <w:num w:numId="41">
    <w:abstractNumId w:val="29"/>
  </w:num>
  <w:num w:numId="42">
    <w:abstractNumId w:val="41"/>
  </w:num>
  <w:num w:numId="43">
    <w:abstractNumId w:val="16"/>
  </w:num>
  <w:num w:numId="44">
    <w:abstractNumId w:val="9"/>
  </w:num>
  <w:num w:numId="45">
    <w:abstractNumId w:val="26"/>
  </w:num>
  <w:num w:numId="46">
    <w:abstractNumId w:val="38"/>
  </w:num>
  <w:num w:numId="47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7E"/>
    <w:rsid w:val="00007D43"/>
    <w:rsid w:val="0001156F"/>
    <w:rsid w:val="00012DA4"/>
    <w:rsid w:val="0001515E"/>
    <w:rsid w:val="000179BF"/>
    <w:rsid w:val="00034E65"/>
    <w:rsid w:val="0003725D"/>
    <w:rsid w:val="00042C9A"/>
    <w:rsid w:val="00056BED"/>
    <w:rsid w:val="00063C34"/>
    <w:rsid w:val="00071335"/>
    <w:rsid w:val="00071788"/>
    <w:rsid w:val="00071D69"/>
    <w:rsid w:val="00073FCB"/>
    <w:rsid w:val="00086492"/>
    <w:rsid w:val="000B187A"/>
    <w:rsid w:val="000C06A1"/>
    <w:rsid w:val="000C14D0"/>
    <w:rsid w:val="000D178A"/>
    <w:rsid w:val="000E0CBA"/>
    <w:rsid w:val="000E783E"/>
    <w:rsid w:val="0010185B"/>
    <w:rsid w:val="00115B91"/>
    <w:rsid w:val="00130866"/>
    <w:rsid w:val="00133191"/>
    <w:rsid w:val="00136E46"/>
    <w:rsid w:val="00143DD4"/>
    <w:rsid w:val="00146AF8"/>
    <w:rsid w:val="00164E48"/>
    <w:rsid w:val="001724FD"/>
    <w:rsid w:val="001828B8"/>
    <w:rsid w:val="0018603B"/>
    <w:rsid w:val="00186F8B"/>
    <w:rsid w:val="001973F5"/>
    <w:rsid w:val="001A0CB9"/>
    <w:rsid w:val="001B3AFB"/>
    <w:rsid w:val="001C10C8"/>
    <w:rsid w:val="001E7A17"/>
    <w:rsid w:val="00217114"/>
    <w:rsid w:val="00217477"/>
    <w:rsid w:val="002179D5"/>
    <w:rsid w:val="00220A20"/>
    <w:rsid w:val="00230DD8"/>
    <w:rsid w:val="00232589"/>
    <w:rsid w:val="00236077"/>
    <w:rsid w:val="00240D29"/>
    <w:rsid w:val="0024602D"/>
    <w:rsid w:val="0027061A"/>
    <w:rsid w:val="002726E1"/>
    <w:rsid w:val="00273B6B"/>
    <w:rsid w:val="002766F0"/>
    <w:rsid w:val="00281499"/>
    <w:rsid w:val="002815FF"/>
    <w:rsid w:val="00287E66"/>
    <w:rsid w:val="00296B8D"/>
    <w:rsid w:val="002A1CCB"/>
    <w:rsid w:val="002D6FA7"/>
    <w:rsid w:val="002F14BB"/>
    <w:rsid w:val="002F15D8"/>
    <w:rsid w:val="002F39A7"/>
    <w:rsid w:val="002F755E"/>
    <w:rsid w:val="003004B7"/>
    <w:rsid w:val="00301B39"/>
    <w:rsid w:val="0032086B"/>
    <w:rsid w:val="00325DE9"/>
    <w:rsid w:val="00373E44"/>
    <w:rsid w:val="00382840"/>
    <w:rsid w:val="00390748"/>
    <w:rsid w:val="003A2AEB"/>
    <w:rsid w:val="003B3211"/>
    <w:rsid w:val="003C1AED"/>
    <w:rsid w:val="003C21FE"/>
    <w:rsid w:val="003D7103"/>
    <w:rsid w:val="004006F0"/>
    <w:rsid w:val="00467408"/>
    <w:rsid w:val="00470A10"/>
    <w:rsid w:val="00476A3A"/>
    <w:rsid w:val="00483529"/>
    <w:rsid w:val="004841B8"/>
    <w:rsid w:val="0048734E"/>
    <w:rsid w:val="00491A32"/>
    <w:rsid w:val="00497166"/>
    <w:rsid w:val="004E1A1B"/>
    <w:rsid w:val="00503E69"/>
    <w:rsid w:val="00516223"/>
    <w:rsid w:val="00520914"/>
    <w:rsid w:val="005406D6"/>
    <w:rsid w:val="00541F8B"/>
    <w:rsid w:val="005768F4"/>
    <w:rsid w:val="00580692"/>
    <w:rsid w:val="00582CA0"/>
    <w:rsid w:val="00587B7E"/>
    <w:rsid w:val="005900CE"/>
    <w:rsid w:val="005A52D9"/>
    <w:rsid w:val="005A7E57"/>
    <w:rsid w:val="005B5DDF"/>
    <w:rsid w:val="005D0C40"/>
    <w:rsid w:val="005D46E5"/>
    <w:rsid w:val="005E6A4F"/>
    <w:rsid w:val="005F26E1"/>
    <w:rsid w:val="00617588"/>
    <w:rsid w:val="00621BE0"/>
    <w:rsid w:val="00625EBE"/>
    <w:rsid w:val="00630D2F"/>
    <w:rsid w:val="00630ECD"/>
    <w:rsid w:val="00650705"/>
    <w:rsid w:val="0065355B"/>
    <w:rsid w:val="006544A0"/>
    <w:rsid w:val="00670DA7"/>
    <w:rsid w:val="00673D86"/>
    <w:rsid w:val="00677A80"/>
    <w:rsid w:val="00681BED"/>
    <w:rsid w:val="00684E66"/>
    <w:rsid w:val="006868F3"/>
    <w:rsid w:val="006A1D3B"/>
    <w:rsid w:val="006B0862"/>
    <w:rsid w:val="006B614F"/>
    <w:rsid w:val="006C2F63"/>
    <w:rsid w:val="006D30BF"/>
    <w:rsid w:val="006F0E25"/>
    <w:rsid w:val="006F2971"/>
    <w:rsid w:val="006F5378"/>
    <w:rsid w:val="00702007"/>
    <w:rsid w:val="00717ADC"/>
    <w:rsid w:val="007256C3"/>
    <w:rsid w:val="00742B3D"/>
    <w:rsid w:val="00746CE5"/>
    <w:rsid w:val="007507F5"/>
    <w:rsid w:val="00763B84"/>
    <w:rsid w:val="007640C5"/>
    <w:rsid w:val="00766CB9"/>
    <w:rsid w:val="007670B2"/>
    <w:rsid w:val="00782073"/>
    <w:rsid w:val="00787AA9"/>
    <w:rsid w:val="00791462"/>
    <w:rsid w:val="007B46C7"/>
    <w:rsid w:val="007B5173"/>
    <w:rsid w:val="007B6BD4"/>
    <w:rsid w:val="007C7E51"/>
    <w:rsid w:val="007D1A05"/>
    <w:rsid w:val="007D3584"/>
    <w:rsid w:val="007D7939"/>
    <w:rsid w:val="007E1DAF"/>
    <w:rsid w:val="007F0BDB"/>
    <w:rsid w:val="007F3678"/>
    <w:rsid w:val="00810EE3"/>
    <w:rsid w:val="0081474A"/>
    <w:rsid w:val="00814D9E"/>
    <w:rsid w:val="0083357E"/>
    <w:rsid w:val="00834E5C"/>
    <w:rsid w:val="00840A79"/>
    <w:rsid w:val="0084262C"/>
    <w:rsid w:val="00863597"/>
    <w:rsid w:val="00870F41"/>
    <w:rsid w:val="00881294"/>
    <w:rsid w:val="00885EF6"/>
    <w:rsid w:val="00892DFA"/>
    <w:rsid w:val="0089723E"/>
    <w:rsid w:val="008B2EAC"/>
    <w:rsid w:val="008B43E4"/>
    <w:rsid w:val="008C51E6"/>
    <w:rsid w:val="008D4112"/>
    <w:rsid w:val="008D43E9"/>
    <w:rsid w:val="008D7483"/>
    <w:rsid w:val="008F00AD"/>
    <w:rsid w:val="008F745D"/>
    <w:rsid w:val="00905DC4"/>
    <w:rsid w:val="00911583"/>
    <w:rsid w:val="00914E2C"/>
    <w:rsid w:val="00920757"/>
    <w:rsid w:val="00923864"/>
    <w:rsid w:val="009241AA"/>
    <w:rsid w:val="0093250A"/>
    <w:rsid w:val="009330F8"/>
    <w:rsid w:val="00935213"/>
    <w:rsid w:val="0096040D"/>
    <w:rsid w:val="009604CA"/>
    <w:rsid w:val="009A1219"/>
    <w:rsid w:val="009A77E9"/>
    <w:rsid w:val="009B388A"/>
    <w:rsid w:val="009B3E2E"/>
    <w:rsid w:val="009B492A"/>
    <w:rsid w:val="009E2725"/>
    <w:rsid w:val="009E69C0"/>
    <w:rsid w:val="009E6A66"/>
    <w:rsid w:val="00A1152B"/>
    <w:rsid w:val="00A131F9"/>
    <w:rsid w:val="00A13741"/>
    <w:rsid w:val="00A3697B"/>
    <w:rsid w:val="00A538E3"/>
    <w:rsid w:val="00A5591D"/>
    <w:rsid w:val="00A66FD4"/>
    <w:rsid w:val="00A73413"/>
    <w:rsid w:val="00AC37B4"/>
    <w:rsid w:val="00AD0144"/>
    <w:rsid w:val="00AD095E"/>
    <w:rsid w:val="00AE175A"/>
    <w:rsid w:val="00AE35F1"/>
    <w:rsid w:val="00AF37DD"/>
    <w:rsid w:val="00B032E9"/>
    <w:rsid w:val="00B127AC"/>
    <w:rsid w:val="00B2211F"/>
    <w:rsid w:val="00B36ECA"/>
    <w:rsid w:val="00B46919"/>
    <w:rsid w:val="00B608FB"/>
    <w:rsid w:val="00B62593"/>
    <w:rsid w:val="00B920A4"/>
    <w:rsid w:val="00B95AC8"/>
    <w:rsid w:val="00BA0AA9"/>
    <w:rsid w:val="00BB7BF2"/>
    <w:rsid w:val="00BD3874"/>
    <w:rsid w:val="00BD4E0F"/>
    <w:rsid w:val="00BD58A3"/>
    <w:rsid w:val="00BE0FF8"/>
    <w:rsid w:val="00BE5371"/>
    <w:rsid w:val="00BE5801"/>
    <w:rsid w:val="00BE66EB"/>
    <w:rsid w:val="00BF58BA"/>
    <w:rsid w:val="00C002DA"/>
    <w:rsid w:val="00C02D5E"/>
    <w:rsid w:val="00C2219C"/>
    <w:rsid w:val="00C50A1C"/>
    <w:rsid w:val="00C662F3"/>
    <w:rsid w:val="00C76A36"/>
    <w:rsid w:val="00C86AB4"/>
    <w:rsid w:val="00C874E7"/>
    <w:rsid w:val="00C917FF"/>
    <w:rsid w:val="00C95267"/>
    <w:rsid w:val="00C95467"/>
    <w:rsid w:val="00C978A9"/>
    <w:rsid w:val="00CA22FC"/>
    <w:rsid w:val="00CC1A38"/>
    <w:rsid w:val="00CC6AFE"/>
    <w:rsid w:val="00CD08D2"/>
    <w:rsid w:val="00CD278F"/>
    <w:rsid w:val="00CE0373"/>
    <w:rsid w:val="00CE6229"/>
    <w:rsid w:val="00CF3675"/>
    <w:rsid w:val="00CF6DE7"/>
    <w:rsid w:val="00CF78D6"/>
    <w:rsid w:val="00D159A2"/>
    <w:rsid w:val="00D268CB"/>
    <w:rsid w:val="00D34632"/>
    <w:rsid w:val="00D42573"/>
    <w:rsid w:val="00D453C6"/>
    <w:rsid w:val="00D62367"/>
    <w:rsid w:val="00D6565B"/>
    <w:rsid w:val="00D71096"/>
    <w:rsid w:val="00D83C79"/>
    <w:rsid w:val="00D93901"/>
    <w:rsid w:val="00DA139F"/>
    <w:rsid w:val="00DB0C87"/>
    <w:rsid w:val="00DB13B2"/>
    <w:rsid w:val="00DB4D90"/>
    <w:rsid w:val="00DC10F4"/>
    <w:rsid w:val="00DC1D21"/>
    <w:rsid w:val="00DD6883"/>
    <w:rsid w:val="00DF45C6"/>
    <w:rsid w:val="00DF79C4"/>
    <w:rsid w:val="00E14650"/>
    <w:rsid w:val="00E243C5"/>
    <w:rsid w:val="00E350E1"/>
    <w:rsid w:val="00E42852"/>
    <w:rsid w:val="00E4413D"/>
    <w:rsid w:val="00E45F29"/>
    <w:rsid w:val="00E61C85"/>
    <w:rsid w:val="00E81BA0"/>
    <w:rsid w:val="00E82222"/>
    <w:rsid w:val="00E965BC"/>
    <w:rsid w:val="00EB16BD"/>
    <w:rsid w:val="00EB2B47"/>
    <w:rsid w:val="00EC173C"/>
    <w:rsid w:val="00EE047D"/>
    <w:rsid w:val="00EE57A6"/>
    <w:rsid w:val="00EF1A28"/>
    <w:rsid w:val="00EF27C3"/>
    <w:rsid w:val="00EF73ED"/>
    <w:rsid w:val="00F00DD4"/>
    <w:rsid w:val="00F15A5F"/>
    <w:rsid w:val="00F325B6"/>
    <w:rsid w:val="00F32E8A"/>
    <w:rsid w:val="00F42458"/>
    <w:rsid w:val="00F655BF"/>
    <w:rsid w:val="00F65742"/>
    <w:rsid w:val="00F66633"/>
    <w:rsid w:val="00F6687C"/>
    <w:rsid w:val="00F74026"/>
    <w:rsid w:val="00F76F3C"/>
    <w:rsid w:val="00F9084D"/>
    <w:rsid w:val="00F9297C"/>
    <w:rsid w:val="00FA1AF8"/>
    <w:rsid w:val="00FB745E"/>
    <w:rsid w:val="00FC489E"/>
    <w:rsid w:val="00FE19A6"/>
    <w:rsid w:val="00FE3D14"/>
    <w:rsid w:val="00FF2BDA"/>
    <w:rsid w:val="00FF33EA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CF65"/>
  <w15:chartTrackingRefBased/>
  <w15:docId w15:val="{650EBEF2-AC03-4B6E-8B35-EA9E1C56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5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357E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83357E"/>
    <w:pPr>
      <w:ind w:left="720"/>
      <w:contextualSpacing/>
    </w:pPr>
  </w:style>
  <w:style w:type="character" w:customStyle="1" w:styleId="AkapitzlistZnak">
    <w:name w:val="Akapit z listą Znak"/>
    <w:aliases w:val="Styl moj Znak"/>
    <w:link w:val="Akapitzlist"/>
    <w:uiPriority w:val="34"/>
    <w:locked/>
    <w:rsid w:val="0083357E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741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7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741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1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B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B6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B6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D752-6890-44E3-B5BE-25EA9511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2931</Words>
  <Characters>17590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4</cp:revision>
  <cp:lastPrinted>2019-08-13T09:01:00Z</cp:lastPrinted>
  <dcterms:created xsi:type="dcterms:W3CDTF">2020-11-18T12:56:00Z</dcterms:created>
  <dcterms:modified xsi:type="dcterms:W3CDTF">2020-12-02T09:28:00Z</dcterms:modified>
</cp:coreProperties>
</file>