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7424" w14:textId="0FC05AF0" w:rsidR="007E740C" w:rsidRPr="0061165D" w:rsidRDefault="0008036A" w:rsidP="00DE75C7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 xml:space="preserve">Uchwała nr </w:t>
      </w:r>
      <w:r w:rsidR="000034EF">
        <w:rPr>
          <w:rFonts w:ascii="Verdana" w:eastAsia="Verdana" w:hAnsi="Verdana" w:cs="Verdana"/>
          <w:b/>
          <w:sz w:val="24"/>
          <w:szCs w:val="24"/>
        </w:rPr>
        <w:t>180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>Rady Działalności Pożytku Publicznego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 xml:space="preserve">z dnia </w:t>
      </w:r>
      <w:r w:rsidR="000034EF">
        <w:rPr>
          <w:rFonts w:ascii="Verdana" w:eastAsia="Verdana" w:hAnsi="Verdana" w:cs="Verdana"/>
          <w:b/>
          <w:sz w:val="24"/>
          <w:szCs w:val="24"/>
        </w:rPr>
        <w:t>20</w:t>
      </w:r>
      <w:r w:rsidRPr="0061165D">
        <w:rPr>
          <w:rFonts w:ascii="Verdana" w:eastAsia="Verdana" w:hAnsi="Verdana" w:cs="Verdana"/>
          <w:b/>
          <w:sz w:val="24"/>
          <w:szCs w:val="24"/>
        </w:rPr>
        <w:t xml:space="preserve"> kwietnia 2021 r. 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>w sprawie projektu Programu Pomoc Techniczna dla Funduszy Europejskich na lata 2021-2027</w:t>
      </w:r>
    </w:p>
    <w:p w14:paraId="3EC84326" w14:textId="0488ED24" w:rsidR="007E740C" w:rsidRPr="0061165D" w:rsidRDefault="007E740C" w:rsidP="00DE75C7">
      <w:pPr>
        <w:rPr>
          <w:rFonts w:ascii="Verdana" w:eastAsia="Verdana" w:hAnsi="Verdana" w:cs="Verdana"/>
          <w:b/>
          <w:sz w:val="24"/>
          <w:szCs w:val="24"/>
        </w:rPr>
      </w:pPr>
    </w:p>
    <w:p w14:paraId="13FE33A8" w14:textId="1A1062A4" w:rsidR="003A27A6" w:rsidRPr="0061165D" w:rsidRDefault="003A27A6" w:rsidP="00DE75C7">
      <w:pPr>
        <w:rPr>
          <w:rFonts w:ascii="Verdana" w:eastAsia="Verdana" w:hAnsi="Verdana" w:cs="Verdana"/>
          <w:b/>
          <w:sz w:val="24"/>
          <w:szCs w:val="24"/>
        </w:rPr>
      </w:pPr>
    </w:p>
    <w:p w14:paraId="23C4D9E1" w14:textId="432EDFB8" w:rsidR="007E740C" w:rsidRPr="0061165D" w:rsidRDefault="0008036A" w:rsidP="00DE75C7">
      <w:pPr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Na podstawie § 10 rozporządzenia Przewodniczącego Komitetu do spraw Pożytku Publicznego z dnia 24 października 2018 r. w sprawie Rady Działa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lności Pożytku Publicznego (Dz. U. poz. </w:t>
      </w:r>
      <w:r w:rsidRPr="0061165D">
        <w:rPr>
          <w:rFonts w:ascii="Verdana" w:eastAsia="Verdana" w:hAnsi="Verdana" w:cs="Verdana"/>
          <w:sz w:val="24"/>
          <w:szCs w:val="24"/>
        </w:rPr>
        <w:t>2052) oraz art. 35 ust. 2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 ustawy z dnia</w:t>
      </w:r>
      <w:r w:rsidR="00DE75C7" w:rsidRPr="0061165D">
        <w:rPr>
          <w:rFonts w:ascii="Verdana" w:eastAsia="Verdana" w:hAnsi="Verdana" w:cs="Verdana"/>
          <w:sz w:val="24"/>
          <w:szCs w:val="24"/>
        </w:rPr>
        <w:t xml:space="preserve"> 24 kwietnia 2003</w:t>
      </w:r>
      <w:r w:rsidR="006205A9">
        <w:rPr>
          <w:rFonts w:ascii="Verdana" w:eastAsia="Verdana" w:hAnsi="Verdana" w:cs="Verdana"/>
          <w:sz w:val="24"/>
          <w:szCs w:val="24"/>
        </w:rPr>
        <w:t xml:space="preserve"> </w:t>
      </w:r>
      <w:r w:rsidRPr="0061165D">
        <w:rPr>
          <w:rFonts w:ascii="Verdana" w:eastAsia="Verdana" w:hAnsi="Verdana" w:cs="Verdana"/>
          <w:sz w:val="24"/>
          <w:szCs w:val="24"/>
        </w:rPr>
        <w:t>r. o działalności pożytku publiczn</w:t>
      </w:r>
      <w:r w:rsidR="00CF7DBC" w:rsidRPr="0061165D">
        <w:rPr>
          <w:rFonts w:ascii="Verdana" w:eastAsia="Verdana" w:hAnsi="Verdana" w:cs="Verdana"/>
          <w:sz w:val="24"/>
          <w:szCs w:val="24"/>
        </w:rPr>
        <w:t>ego i o wolontariacie (Dz. </w:t>
      </w:r>
      <w:r w:rsidR="0079195C" w:rsidRPr="0061165D">
        <w:rPr>
          <w:rFonts w:ascii="Verdana" w:eastAsia="Verdana" w:hAnsi="Verdana" w:cs="Verdana"/>
          <w:sz w:val="24"/>
          <w:szCs w:val="24"/>
        </w:rPr>
        <w:t>U.</w:t>
      </w:r>
      <w:r w:rsidR="00CF7DBC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z</w:t>
      </w:r>
      <w:r w:rsidR="00DE75C7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2020 r. poz. </w:t>
      </w:r>
      <w:r w:rsidRPr="0061165D">
        <w:rPr>
          <w:rFonts w:ascii="Verdana" w:eastAsia="Verdana" w:hAnsi="Verdana" w:cs="Verdana"/>
          <w:sz w:val="24"/>
          <w:szCs w:val="24"/>
        </w:rPr>
        <w:t>1057), uchwala się stanowisko Rady Dzi</w:t>
      </w:r>
      <w:r w:rsidR="0079195C" w:rsidRPr="0061165D">
        <w:rPr>
          <w:rFonts w:ascii="Verdana" w:eastAsia="Verdana" w:hAnsi="Verdana" w:cs="Verdana"/>
          <w:sz w:val="24"/>
          <w:szCs w:val="24"/>
        </w:rPr>
        <w:t>ałalności Pożytku Publicznego w </w:t>
      </w:r>
      <w:r w:rsidRPr="0061165D">
        <w:rPr>
          <w:rFonts w:ascii="Verdana" w:eastAsia="Verdana" w:hAnsi="Verdana" w:cs="Verdana"/>
          <w:sz w:val="24"/>
          <w:szCs w:val="24"/>
        </w:rPr>
        <w:t>sprawie projektu Programu Pomoc Techniczna dla Funduszy Europejskich na lata 2021-2027.</w:t>
      </w:r>
    </w:p>
    <w:p w14:paraId="51E754BE" w14:textId="77777777" w:rsidR="007E740C" w:rsidRPr="0061165D" w:rsidRDefault="007E740C" w:rsidP="00DE75C7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2AAEC38" w14:textId="77777777" w:rsidR="007E740C" w:rsidRPr="0061165D" w:rsidRDefault="0008036A" w:rsidP="00DE75C7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>§ 1</w:t>
      </w:r>
    </w:p>
    <w:p w14:paraId="6234E919" w14:textId="77777777" w:rsidR="007E740C" w:rsidRPr="0061165D" w:rsidRDefault="0008036A" w:rsidP="00DE75C7">
      <w:pPr>
        <w:numPr>
          <w:ilvl w:val="0"/>
          <w:numId w:val="1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0" w:name="_30j0zll" w:colFirst="0" w:colLast="0"/>
      <w:bookmarkEnd w:id="0"/>
      <w:r w:rsidRPr="0061165D">
        <w:rPr>
          <w:rFonts w:ascii="Verdana" w:eastAsia="Verdana" w:hAnsi="Verdana" w:cs="Verdana"/>
          <w:sz w:val="24"/>
          <w:szCs w:val="24"/>
        </w:rPr>
        <w:t>Rada Działalności Pożytku Publicznego, zwana dalej: „Radą”, zgłasza następujące uwagi do Programu Pomoc Techniczna dla Funduszy Europejskich na lata 2021-2027:</w:t>
      </w:r>
    </w:p>
    <w:p w14:paraId="22DF4C3C" w14:textId="2DCEDB7D" w:rsidR="007E740C" w:rsidRPr="0061165D" w:rsidRDefault="006205A9" w:rsidP="008370A0">
      <w:pPr>
        <w:numPr>
          <w:ilvl w:val="1"/>
          <w:numId w:val="7"/>
        </w:numPr>
        <w:ind w:left="993"/>
        <w:rPr>
          <w:rFonts w:ascii="Verdana" w:eastAsia="Verdana" w:hAnsi="Verdana" w:cs="Verdana"/>
          <w:sz w:val="24"/>
          <w:szCs w:val="24"/>
        </w:rPr>
      </w:pPr>
      <w:bookmarkStart w:id="1" w:name="_dycrrvggtanf" w:colFirst="0" w:colLast="0"/>
      <w:bookmarkEnd w:id="1"/>
      <w:r>
        <w:rPr>
          <w:rFonts w:ascii="Verdana" w:eastAsia="Verdana" w:hAnsi="Verdana" w:cs="Verdana"/>
          <w:sz w:val="24"/>
          <w:szCs w:val="24"/>
        </w:rPr>
        <w:t>u</w:t>
      </w:r>
      <w:r w:rsidR="0008036A" w:rsidRPr="0061165D">
        <w:rPr>
          <w:rFonts w:ascii="Verdana" w:eastAsia="Verdana" w:hAnsi="Verdana" w:cs="Verdana"/>
          <w:sz w:val="24"/>
          <w:szCs w:val="24"/>
        </w:rPr>
        <w:t>względnienie społeczeństwa obywatelskiego i organizacji je reprezentujących w Programie;</w:t>
      </w:r>
    </w:p>
    <w:p w14:paraId="6B7C5FB4" w14:textId="1AB82D1E" w:rsidR="007E740C" w:rsidRPr="0061165D" w:rsidRDefault="006205A9" w:rsidP="008370A0">
      <w:pPr>
        <w:numPr>
          <w:ilvl w:val="1"/>
          <w:numId w:val="7"/>
        </w:numPr>
        <w:ind w:left="993"/>
        <w:rPr>
          <w:rFonts w:ascii="Verdana" w:eastAsia="Verdana" w:hAnsi="Verdana" w:cs="Verdana"/>
          <w:sz w:val="24"/>
          <w:szCs w:val="24"/>
        </w:rPr>
      </w:pPr>
      <w:bookmarkStart w:id="2" w:name="_wz1us2k6nkfh" w:colFirst="0" w:colLast="0"/>
      <w:bookmarkEnd w:id="2"/>
      <w:r>
        <w:rPr>
          <w:rFonts w:ascii="Verdana" w:eastAsia="Verdana" w:hAnsi="Verdana" w:cs="Verdana"/>
          <w:sz w:val="24"/>
          <w:szCs w:val="24"/>
        </w:rPr>
        <w:t>u</w:t>
      </w:r>
      <w:r w:rsidR="0008036A" w:rsidRPr="0061165D">
        <w:rPr>
          <w:rFonts w:ascii="Verdana" w:eastAsia="Verdana" w:hAnsi="Verdana" w:cs="Verdana"/>
          <w:sz w:val="24"/>
          <w:szCs w:val="24"/>
        </w:rPr>
        <w:t>względnienie zasady dostępności dla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 osób z niepełnosprawnościami w </w:t>
      </w:r>
      <w:r w:rsidR="0008036A" w:rsidRPr="0061165D">
        <w:rPr>
          <w:rFonts w:ascii="Verdana" w:eastAsia="Verdana" w:hAnsi="Verdana" w:cs="Verdana"/>
          <w:sz w:val="24"/>
          <w:szCs w:val="24"/>
        </w:rPr>
        <w:t>opisie działań wrażliwych z punktu dostępności oraz uniwersalnego projektowania jako metody realizacji działań w ramach Programu;</w:t>
      </w:r>
    </w:p>
    <w:p w14:paraId="1D70684A" w14:textId="5E9957A7" w:rsidR="007E740C" w:rsidRPr="0061165D" w:rsidRDefault="006205A9" w:rsidP="008370A0">
      <w:pPr>
        <w:numPr>
          <w:ilvl w:val="1"/>
          <w:numId w:val="7"/>
        </w:numPr>
        <w:ind w:left="993"/>
        <w:rPr>
          <w:rFonts w:ascii="Verdana" w:eastAsia="Verdana" w:hAnsi="Verdana" w:cs="Verdana"/>
          <w:sz w:val="24"/>
          <w:szCs w:val="24"/>
        </w:rPr>
      </w:pPr>
      <w:bookmarkStart w:id="3" w:name="_x0qyrggwo75y" w:colFirst="0" w:colLast="0"/>
      <w:bookmarkEnd w:id="3"/>
      <w:r>
        <w:rPr>
          <w:rFonts w:ascii="Verdana" w:eastAsia="Verdana" w:hAnsi="Verdana" w:cs="Verdana"/>
          <w:sz w:val="24"/>
          <w:szCs w:val="24"/>
        </w:rPr>
        <w:t>z</w:t>
      </w:r>
      <w:r w:rsidR="0008036A" w:rsidRPr="0061165D">
        <w:rPr>
          <w:rFonts w:ascii="Verdana" w:eastAsia="Verdana" w:hAnsi="Verdana" w:cs="Verdana"/>
          <w:sz w:val="24"/>
          <w:szCs w:val="24"/>
        </w:rPr>
        <w:t>auważenie i podkreślenie roli wsi i terenów wiejskich w kontekście instrumentów rozwoju terytorialnego (zamiast wyłącznie miast).</w:t>
      </w:r>
    </w:p>
    <w:p w14:paraId="7C5DA7EF" w14:textId="3AA578DE" w:rsidR="007E740C" w:rsidRPr="0061165D" w:rsidRDefault="006205A9" w:rsidP="008370A0">
      <w:pPr>
        <w:numPr>
          <w:ilvl w:val="1"/>
          <w:numId w:val="7"/>
        </w:numPr>
        <w:ind w:left="993"/>
        <w:rPr>
          <w:rFonts w:ascii="Verdana" w:eastAsia="Verdana" w:hAnsi="Verdana" w:cs="Verdana"/>
          <w:sz w:val="24"/>
          <w:szCs w:val="24"/>
        </w:rPr>
      </w:pPr>
      <w:bookmarkStart w:id="4" w:name="_39hjqp3kdekg" w:colFirst="0" w:colLast="0"/>
      <w:bookmarkEnd w:id="4"/>
      <w:r>
        <w:rPr>
          <w:rFonts w:ascii="Verdana" w:eastAsia="Verdana" w:hAnsi="Verdana" w:cs="Verdana"/>
          <w:sz w:val="24"/>
          <w:szCs w:val="24"/>
        </w:rPr>
        <w:t>r</w:t>
      </w:r>
      <w:r w:rsidR="0008036A" w:rsidRPr="0061165D">
        <w:rPr>
          <w:rFonts w:ascii="Verdana" w:eastAsia="Verdana" w:hAnsi="Verdana" w:cs="Verdana"/>
          <w:sz w:val="24"/>
          <w:szCs w:val="24"/>
        </w:rPr>
        <w:t>ozszerzenie i podkreślenie wagi wsparcia eksperckiego, w tym doradztwa.</w:t>
      </w:r>
    </w:p>
    <w:p w14:paraId="30007FD9" w14:textId="77777777" w:rsidR="007E740C" w:rsidRPr="0061165D" w:rsidRDefault="0008036A" w:rsidP="00DE75C7">
      <w:pPr>
        <w:numPr>
          <w:ilvl w:val="0"/>
          <w:numId w:val="1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5" w:name="_s6ig9l4mfz7k" w:colFirst="0" w:colLast="0"/>
      <w:bookmarkEnd w:id="5"/>
      <w:r w:rsidRPr="0061165D">
        <w:rPr>
          <w:rFonts w:ascii="Verdana" w:eastAsia="Verdana" w:hAnsi="Verdana" w:cs="Verdana"/>
          <w:sz w:val="24"/>
          <w:szCs w:val="24"/>
        </w:rPr>
        <w:t>Punkty te zostały uszczegółowione w kolejnych paragrafach, a Załącznik zawiera uwagi szczegółowe.</w:t>
      </w:r>
    </w:p>
    <w:p w14:paraId="1E3583C5" w14:textId="77777777" w:rsidR="00DE75C7" w:rsidRPr="0061165D" w:rsidRDefault="00DE75C7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60CF18A" w14:textId="453A0742" w:rsidR="007E740C" w:rsidRPr="0061165D" w:rsidRDefault="000B1BE8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2</w:t>
      </w:r>
    </w:p>
    <w:p w14:paraId="399AEDDC" w14:textId="77777777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6" w:name="_i8fj4710bgpq" w:colFirst="0" w:colLast="0"/>
      <w:bookmarkEnd w:id="6"/>
      <w:r w:rsidRPr="0061165D">
        <w:rPr>
          <w:rFonts w:ascii="Verdana" w:eastAsia="Verdana" w:hAnsi="Verdana" w:cs="Verdana"/>
          <w:sz w:val="24"/>
          <w:szCs w:val="24"/>
        </w:rPr>
        <w:t>Opis udziału partnerów spoza administra</w:t>
      </w:r>
      <w:r w:rsidR="0079195C" w:rsidRPr="0061165D">
        <w:rPr>
          <w:rFonts w:ascii="Verdana" w:eastAsia="Verdana" w:hAnsi="Verdana" w:cs="Verdana"/>
          <w:sz w:val="24"/>
          <w:szCs w:val="24"/>
        </w:rPr>
        <w:t>cji w pracach nad Programem (s. </w:t>
      </w:r>
      <w:r w:rsidRPr="0061165D">
        <w:rPr>
          <w:rFonts w:ascii="Verdana" w:eastAsia="Verdana" w:hAnsi="Verdana" w:cs="Verdana"/>
          <w:sz w:val="24"/>
          <w:szCs w:val="24"/>
        </w:rPr>
        <w:t>28) potwierdza, że w pracach nie uczestniczyli partnerzy reprezentujący organizacje społeczeństwa obywatelskiego (organizacje pozarządowe). Rada oczekuje obecnie szczególnej uwagi odnośnie do zgłaszanych propozycji, gdyż w przeciwieństwie do partnerów społeczno-gospodarczych społeczeństwo obywatelskie nie miało możliwości oddziaływania na Program.</w:t>
      </w:r>
    </w:p>
    <w:p w14:paraId="07A3E9A4" w14:textId="77777777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7" w:name="_5lpbeqptlv5" w:colFirst="0" w:colLast="0"/>
      <w:bookmarkEnd w:id="7"/>
      <w:r w:rsidRPr="0061165D">
        <w:rPr>
          <w:rFonts w:ascii="Verdana" w:eastAsia="Verdana" w:hAnsi="Verdana" w:cs="Verdana"/>
          <w:sz w:val="24"/>
          <w:szCs w:val="24"/>
        </w:rPr>
        <w:lastRenderedPageBreak/>
        <w:t>Opis Programu (s. 29) zakłada, że Rada pozytywnie go zaopiniuje. Rada może wydać pozytywną opinię dla Programu pod warunkiem uwzględnienia uwag zamieszczonych w niniejszej uchwale.</w:t>
      </w:r>
    </w:p>
    <w:p w14:paraId="3646EE74" w14:textId="3A9EFE13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8" w:name="_j5a5ju6r3yo4" w:colFirst="0" w:colLast="0"/>
      <w:bookmarkEnd w:id="8"/>
      <w:r w:rsidRPr="0061165D">
        <w:rPr>
          <w:rFonts w:ascii="Verdana" w:eastAsia="Verdana" w:hAnsi="Verdana" w:cs="Verdana"/>
          <w:sz w:val="24"/>
          <w:szCs w:val="24"/>
        </w:rPr>
        <w:t>Wzorem regulacji dla EFS+ Rada postuluje, żeby wszystkie programy (niezależnie od funduszu finansującego), w tym Program Pomoc Techniczna, przewidywały określoną alokację (1 %) przeznaczoną na budowanie i rozwój potencjału organizacji społeczeństwa obywatelskiego. Rada jest przekonana, że skoro analogiczne rozwiązanie zostało wdrożone w przypadku podatku od osób fizy</w:t>
      </w:r>
      <w:r w:rsidR="00DE75C7" w:rsidRPr="0061165D">
        <w:rPr>
          <w:rFonts w:ascii="Verdana" w:eastAsia="Verdana" w:hAnsi="Verdana" w:cs="Verdana"/>
          <w:sz w:val="24"/>
          <w:szCs w:val="24"/>
        </w:rPr>
        <w:t>cznych, to uda się je wdrożyć w </w:t>
      </w:r>
      <w:r w:rsidRPr="0061165D">
        <w:rPr>
          <w:rFonts w:ascii="Verdana" w:eastAsia="Verdana" w:hAnsi="Verdana" w:cs="Verdana"/>
          <w:sz w:val="24"/>
          <w:szCs w:val="24"/>
        </w:rPr>
        <w:t xml:space="preserve">programach dla Funduszy Europejskich </w:t>
      </w:r>
      <w:r w:rsidR="0061165D" w:rsidRPr="0061165D">
        <w:rPr>
          <w:rFonts w:ascii="Verdana" w:eastAsia="Verdana" w:hAnsi="Verdana" w:cs="Verdana"/>
          <w:sz w:val="24"/>
          <w:szCs w:val="24"/>
        </w:rPr>
        <w:t>–</w:t>
      </w:r>
      <w:r w:rsidRPr="0061165D">
        <w:rPr>
          <w:rFonts w:ascii="Verdana" w:eastAsia="Verdana" w:hAnsi="Verdana" w:cs="Verdana"/>
          <w:sz w:val="24"/>
          <w:szCs w:val="24"/>
        </w:rPr>
        <w:t xml:space="preserve"> z korzyścią dla Polski, społeczeństwa i finansów publicznych.</w:t>
      </w:r>
    </w:p>
    <w:p w14:paraId="5A36A29E" w14:textId="60DCA4BD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9" w:name="_nzeasnebdarn" w:colFirst="0" w:colLast="0"/>
      <w:bookmarkEnd w:id="9"/>
      <w:r w:rsidRPr="0061165D">
        <w:rPr>
          <w:rFonts w:ascii="Verdana" w:eastAsia="Verdana" w:hAnsi="Verdana" w:cs="Verdana"/>
          <w:sz w:val="24"/>
          <w:szCs w:val="24"/>
        </w:rPr>
        <w:t>Program w większości przypadków, gdy wymieniani są partnerzy społeczno-gospodarczy, pomija partne</w:t>
      </w:r>
      <w:r w:rsidR="006205A9">
        <w:rPr>
          <w:rFonts w:ascii="Verdana" w:eastAsia="Verdana" w:hAnsi="Verdana" w:cs="Verdana"/>
          <w:sz w:val="24"/>
          <w:szCs w:val="24"/>
        </w:rPr>
        <w:t>rów reprezentujących organizacje</w:t>
      </w:r>
      <w:r w:rsidRPr="0061165D">
        <w:rPr>
          <w:rFonts w:ascii="Verdana" w:eastAsia="Verdana" w:hAnsi="Verdana" w:cs="Verdana"/>
          <w:sz w:val="24"/>
          <w:szCs w:val="24"/>
        </w:rPr>
        <w:t xml:space="preserve"> społeczeństwa obywatelskiego. Należy to skorygować w opisie Programu.</w:t>
      </w:r>
    </w:p>
    <w:p w14:paraId="7D09765D" w14:textId="77777777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0" w:name="_whcwdojpqkup" w:colFirst="0" w:colLast="0"/>
      <w:bookmarkEnd w:id="10"/>
      <w:r w:rsidRPr="0061165D">
        <w:rPr>
          <w:rFonts w:ascii="Verdana" w:eastAsia="Verdana" w:hAnsi="Verdana" w:cs="Verdana"/>
          <w:sz w:val="24"/>
          <w:szCs w:val="24"/>
        </w:rPr>
        <w:t>W podsumow</w:t>
      </w:r>
      <w:r w:rsidR="0079195C" w:rsidRPr="0061165D">
        <w:rPr>
          <w:rFonts w:ascii="Verdana" w:eastAsia="Verdana" w:hAnsi="Verdana" w:cs="Verdana"/>
          <w:sz w:val="24"/>
          <w:szCs w:val="24"/>
        </w:rPr>
        <w:t>aniu priorytetu 2, działania 1 „</w:t>
      </w:r>
      <w:r w:rsidRPr="0061165D">
        <w:rPr>
          <w:rFonts w:ascii="Verdana" w:eastAsia="Verdana" w:hAnsi="Verdana" w:cs="Verdana"/>
          <w:sz w:val="24"/>
          <w:szCs w:val="24"/>
        </w:rPr>
        <w:t xml:space="preserve">Zwiększenie potencjału beneficjentów FE” jest mowa o działaniach szkoleniowych oraz wsparciu </w:t>
      </w:r>
      <w:r w:rsidRPr="0061165D">
        <w:rPr>
          <w:rFonts w:ascii="Verdana" w:eastAsia="Verdana" w:hAnsi="Verdana" w:cs="Verdana"/>
          <w:color w:val="222222"/>
          <w:sz w:val="24"/>
          <w:szCs w:val="24"/>
        </w:rPr>
        <w:t>potencjału partnerów spoza administracji. Tymczasem w opisie samego działania nie pojawia się informacja o szkoleniach, a wsparcie eksperckie jest zarezerwowane wyłącznie dla pewnych kategorii JST. Należy w opisie działania przedstawić działania kierowane do partnerów spoza administracji oraz szkolenia dla wszystkich beneficjentów i potencjalnych beneficjentów.</w:t>
      </w:r>
    </w:p>
    <w:p w14:paraId="6F0ECE5C" w14:textId="77777777" w:rsidR="007E740C" w:rsidRPr="0061165D" w:rsidRDefault="0008036A" w:rsidP="00DE75C7">
      <w:pPr>
        <w:numPr>
          <w:ilvl w:val="0"/>
          <w:numId w:val="4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1" w:name="_5zn6eazboxhw" w:colFirst="0" w:colLast="0"/>
      <w:bookmarkEnd w:id="11"/>
      <w:r w:rsidRPr="0061165D">
        <w:rPr>
          <w:rFonts w:ascii="Verdana" w:eastAsia="Verdana" w:hAnsi="Verdana" w:cs="Verdana"/>
          <w:sz w:val="24"/>
          <w:szCs w:val="24"/>
        </w:rPr>
        <w:t xml:space="preserve">Przy </w:t>
      </w:r>
      <w:proofErr w:type="spellStart"/>
      <w:r w:rsidRPr="0061165D">
        <w:rPr>
          <w:rFonts w:ascii="Verdana" w:eastAsia="Verdana" w:hAnsi="Verdana" w:cs="Verdana"/>
          <w:sz w:val="24"/>
          <w:szCs w:val="24"/>
        </w:rPr>
        <w:t>odwołaniach</w:t>
      </w:r>
      <w:proofErr w:type="spellEnd"/>
      <w:r w:rsidRPr="0061165D">
        <w:rPr>
          <w:rFonts w:ascii="Verdana" w:eastAsia="Verdana" w:hAnsi="Verdana" w:cs="Verdana"/>
          <w:sz w:val="24"/>
          <w:szCs w:val="24"/>
        </w:rPr>
        <w:t xml:space="preserve"> do zamówień publicznych spośród aspektów społecznych wymienia się jedynie zielone zamówienia publiczne. Należy promować wszystkie aspekty społeczne zamówień publicznych.</w:t>
      </w:r>
    </w:p>
    <w:p w14:paraId="260F93F0" w14:textId="77777777" w:rsidR="00DE75C7" w:rsidRPr="0061165D" w:rsidRDefault="00DE75C7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EAB230C" w14:textId="400E8AE1" w:rsidR="007E740C" w:rsidRPr="0061165D" w:rsidRDefault="000B1BE8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3</w:t>
      </w:r>
    </w:p>
    <w:p w14:paraId="466C5A6D" w14:textId="2D85BB78" w:rsidR="007E740C" w:rsidRPr="0061165D" w:rsidRDefault="0008036A" w:rsidP="00DE75C7">
      <w:pPr>
        <w:numPr>
          <w:ilvl w:val="0"/>
          <w:numId w:val="5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2" w:name="_1fob9te" w:colFirst="0" w:colLast="0"/>
      <w:bookmarkEnd w:id="12"/>
      <w:r w:rsidRPr="0061165D">
        <w:rPr>
          <w:rFonts w:ascii="Verdana" w:eastAsia="Verdana" w:hAnsi="Verdana" w:cs="Verdana"/>
          <w:sz w:val="24"/>
          <w:szCs w:val="24"/>
        </w:rPr>
        <w:t xml:space="preserve">Wiele inwestycji zrealizowanych w kończącej się perspektywie nie spełniało zasady </w:t>
      </w:r>
      <w:r w:rsidR="004A3605" w:rsidRPr="0061165D">
        <w:rPr>
          <w:rFonts w:ascii="Verdana" w:eastAsia="Verdana" w:hAnsi="Verdana" w:cs="Verdana"/>
          <w:sz w:val="24"/>
          <w:szCs w:val="24"/>
        </w:rPr>
        <w:t xml:space="preserve">dostępności, w tym dla osób z niepełnosprawnościami </w:t>
      </w:r>
      <w:r w:rsidRPr="0061165D">
        <w:rPr>
          <w:rFonts w:ascii="Verdana" w:eastAsia="Verdana" w:hAnsi="Verdana" w:cs="Verdana"/>
          <w:sz w:val="24"/>
          <w:szCs w:val="24"/>
        </w:rPr>
        <w:t>ani standardów dostępności dla polityki spó</w:t>
      </w:r>
      <w:r w:rsidR="0061165D" w:rsidRPr="0061165D">
        <w:rPr>
          <w:rFonts w:ascii="Verdana" w:eastAsia="Verdana" w:hAnsi="Verdana" w:cs="Verdana"/>
          <w:sz w:val="24"/>
          <w:szCs w:val="24"/>
        </w:rPr>
        <w:t>jności, ani wymogów prawnych (w </w:t>
      </w:r>
      <w:r w:rsidRPr="0061165D">
        <w:rPr>
          <w:rFonts w:ascii="Verdana" w:eastAsia="Verdana" w:hAnsi="Verdana" w:cs="Verdana"/>
          <w:sz w:val="24"/>
          <w:szCs w:val="24"/>
        </w:rPr>
        <w:t>tym wynikających z ustawy o informatyzacji podmiotów realizujących zadania publiczne czy ustawy o dostępności</w:t>
      </w:r>
      <w:r w:rsidR="0061165D" w:rsidRPr="0061165D">
        <w:rPr>
          <w:rFonts w:ascii="Verdana" w:eastAsia="Verdana" w:hAnsi="Verdana" w:cs="Verdana"/>
          <w:sz w:val="24"/>
          <w:szCs w:val="24"/>
        </w:rPr>
        <w:t xml:space="preserve"> cyfrowej stron internetowych i </w:t>
      </w:r>
      <w:r w:rsidRPr="0061165D">
        <w:rPr>
          <w:rFonts w:ascii="Verdana" w:eastAsia="Verdana" w:hAnsi="Verdana" w:cs="Verdana"/>
          <w:sz w:val="24"/>
          <w:szCs w:val="24"/>
        </w:rPr>
        <w:t>aplikacji mobilnych podmiotów publicznych). Dotyczy to w szczególności systemów informatycznych, w tym systemu SL 2014.</w:t>
      </w:r>
    </w:p>
    <w:p w14:paraId="45D5E3FC" w14:textId="77777777" w:rsidR="007E740C" w:rsidRPr="0061165D" w:rsidRDefault="0008036A" w:rsidP="00DE75C7">
      <w:pPr>
        <w:numPr>
          <w:ilvl w:val="0"/>
          <w:numId w:val="5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3" w:name="_2b466txw4dbv" w:colFirst="0" w:colLast="0"/>
      <w:bookmarkEnd w:id="13"/>
      <w:r w:rsidRPr="0061165D">
        <w:rPr>
          <w:rFonts w:ascii="Verdana" w:eastAsia="Verdana" w:hAnsi="Verdana" w:cs="Verdana"/>
          <w:sz w:val="24"/>
          <w:szCs w:val="24"/>
        </w:rPr>
        <w:t>Działania przewidziane w priorytecie 1 i 2 zakładają rozwój istniejących systemów (jak SL 2014) oraz tworzenie nowych. Jednak nigdzie nie wspomina się o wymogu dostępności cyfrowej. W opisie działań wrażliwych ze względu na dostęp</w:t>
      </w:r>
      <w:r w:rsidR="00DE75C7" w:rsidRPr="0061165D">
        <w:rPr>
          <w:rFonts w:ascii="Verdana" w:eastAsia="Verdana" w:hAnsi="Verdana" w:cs="Verdana"/>
          <w:sz w:val="24"/>
          <w:szCs w:val="24"/>
        </w:rPr>
        <w:t>ność (priorytet 1, działanie 2 „</w:t>
      </w:r>
      <w:r w:rsidRPr="0061165D">
        <w:rPr>
          <w:rFonts w:ascii="Verdana" w:eastAsia="Verdana" w:hAnsi="Verdana" w:cs="Verdana"/>
          <w:sz w:val="24"/>
          <w:szCs w:val="24"/>
        </w:rPr>
        <w:t>Finansowanie działań zapewniających sprawny system wdrażania FE”</w:t>
      </w:r>
      <w:r w:rsidR="00DE75C7" w:rsidRPr="0061165D">
        <w:rPr>
          <w:rFonts w:ascii="Verdana" w:eastAsia="Verdana" w:hAnsi="Verdana" w:cs="Verdana"/>
          <w:sz w:val="24"/>
          <w:szCs w:val="24"/>
        </w:rPr>
        <w:t xml:space="preserve"> oraz priorytet 2, działanie 3 </w:t>
      </w:r>
      <w:r w:rsidR="0079195C" w:rsidRPr="0061165D">
        <w:rPr>
          <w:rFonts w:ascii="Verdana" w:eastAsia="Verdana" w:hAnsi="Verdana" w:cs="Verdana"/>
          <w:sz w:val="24"/>
          <w:szCs w:val="24"/>
        </w:rPr>
        <w:t>„</w:t>
      </w:r>
      <w:r w:rsidRPr="0061165D">
        <w:rPr>
          <w:rFonts w:ascii="Verdana" w:eastAsia="Verdana" w:hAnsi="Verdana" w:cs="Verdana"/>
          <w:sz w:val="24"/>
          <w:szCs w:val="24"/>
        </w:rPr>
        <w:t>Rozwój i utrzymanie krajowego systemu informatycznego CST 2021”) należy zapewnić ich zgodność z wymogami dostępności cyfrowej.</w:t>
      </w:r>
    </w:p>
    <w:p w14:paraId="399812F7" w14:textId="77777777" w:rsidR="007E740C" w:rsidRPr="0061165D" w:rsidRDefault="0008036A" w:rsidP="00DE75C7">
      <w:pPr>
        <w:numPr>
          <w:ilvl w:val="0"/>
          <w:numId w:val="5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4" w:name="_mxzlh8wi1xuv" w:colFirst="0" w:colLast="0"/>
      <w:bookmarkEnd w:id="14"/>
      <w:r w:rsidRPr="0061165D">
        <w:rPr>
          <w:rFonts w:ascii="Verdana" w:eastAsia="Verdana" w:hAnsi="Verdana" w:cs="Verdana"/>
          <w:sz w:val="24"/>
          <w:szCs w:val="24"/>
        </w:rPr>
        <w:lastRenderedPageBreak/>
        <w:t>Wśród modelowych rozwiązań do wypracowywani</w:t>
      </w:r>
      <w:r w:rsidR="0079195C" w:rsidRPr="0061165D">
        <w:rPr>
          <w:rFonts w:ascii="Verdana" w:eastAsia="Verdana" w:hAnsi="Verdana" w:cs="Verdana"/>
          <w:sz w:val="24"/>
          <w:szCs w:val="24"/>
        </w:rPr>
        <w:t>a w priorytecie 2, działaniu 1 „</w:t>
      </w:r>
      <w:r w:rsidRPr="0061165D">
        <w:rPr>
          <w:rFonts w:ascii="Verdana" w:eastAsia="Verdana" w:hAnsi="Verdana" w:cs="Verdana"/>
          <w:sz w:val="24"/>
          <w:szCs w:val="24"/>
        </w:rPr>
        <w:t>Zwiększenie potencjału beneficjentów FE” należy dodać „wdrażanie dostępności i uniwersalnego projektowania w działalności samorządów”.</w:t>
      </w:r>
    </w:p>
    <w:p w14:paraId="1A1C4E19" w14:textId="60C932FB" w:rsidR="007E740C" w:rsidRPr="0061165D" w:rsidRDefault="000B1BE8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4</w:t>
      </w:r>
    </w:p>
    <w:p w14:paraId="4AECC9AE" w14:textId="77777777" w:rsidR="007E740C" w:rsidRPr="0061165D" w:rsidRDefault="0008036A" w:rsidP="00DE75C7">
      <w:pPr>
        <w:numPr>
          <w:ilvl w:val="0"/>
          <w:numId w:val="3"/>
        </w:numPr>
        <w:ind w:left="566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color w:val="222222"/>
          <w:sz w:val="24"/>
          <w:szCs w:val="24"/>
        </w:rPr>
        <w:t xml:space="preserve">Priorytet 2, interwencja 2 </w:t>
      </w:r>
      <w:r w:rsidR="0079195C" w:rsidRPr="0061165D">
        <w:rPr>
          <w:rFonts w:ascii="Verdana" w:eastAsia="Verdana" w:hAnsi="Verdana" w:cs="Verdana"/>
          <w:color w:val="222222"/>
          <w:sz w:val="24"/>
          <w:szCs w:val="24"/>
        </w:rPr>
        <w:t>„</w:t>
      </w:r>
      <w:r w:rsidRPr="0061165D">
        <w:rPr>
          <w:rFonts w:ascii="Verdana" w:eastAsia="Verdana" w:hAnsi="Verdana" w:cs="Verdana"/>
          <w:color w:val="222222"/>
          <w:sz w:val="24"/>
          <w:szCs w:val="24"/>
        </w:rPr>
        <w:t>Wsparcie wdrażania instrumentów rozwoju terytorialnego” kładzie nacisk na wzmacnianie potencjału rozwojowego miast. Tymczasem polityka spójności wskazywałaby na potrzebę rozwoju potencjału terenów wiejskich (który statystycznie jest niższy od potencjału miast).</w:t>
      </w:r>
    </w:p>
    <w:p w14:paraId="790205AE" w14:textId="6C158BDE" w:rsidR="007E740C" w:rsidRPr="0061165D" w:rsidRDefault="0008036A" w:rsidP="00DE75C7">
      <w:pPr>
        <w:numPr>
          <w:ilvl w:val="0"/>
          <w:numId w:val="3"/>
        </w:numPr>
        <w:ind w:left="566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color w:val="222222"/>
          <w:sz w:val="24"/>
          <w:szCs w:val="24"/>
        </w:rPr>
        <w:t>Należy poszerzyć opis tej interwenc</w:t>
      </w:r>
      <w:r w:rsidR="006205A9">
        <w:rPr>
          <w:rFonts w:ascii="Verdana" w:eastAsia="Verdana" w:hAnsi="Verdana" w:cs="Verdana"/>
          <w:color w:val="222222"/>
          <w:sz w:val="24"/>
          <w:szCs w:val="24"/>
        </w:rPr>
        <w:t>ji o przedsięwzięcia skierowane</w:t>
      </w:r>
      <w:r w:rsidRPr="0061165D">
        <w:rPr>
          <w:rFonts w:ascii="Verdana" w:eastAsia="Verdana" w:hAnsi="Verdana" w:cs="Verdana"/>
          <w:color w:val="222222"/>
          <w:sz w:val="24"/>
          <w:szCs w:val="24"/>
        </w:rPr>
        <w:t xml:space="preserve"> do terenów wiejskich oraz podkreślić wagę rozwoju obszarów wiejskich.</w:t>
      </w:r>
    </w:p>
    <w:p w14:paraId="5DA0CC82" w14:textId="77777777" w:rsidR="00DE75C7" w:rsidRPr="0061165D" w:rsidRDefault="00DE75C7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CD2916E" w14:textId="5247F9D2" w:rsidR="007E740C" w:rsidRPr="0061165D" w:rsidRDefault="000B1BE8" w:rsidP="00DE75C7">
      <w:pPr>
        <w:keepNext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5</w:t>
      </w:r>
    </w:p>
    <w:p w14:paraId="352232FB" w14:textId="77777777" w:rsidR="007E740C" w:rsidRPr="0061165D" w:rsidRDefault="0008036A" w:rsidP="00DE75C7">
      <w:pPr>
        <w:numPr>
          <w:ilvl w:val="0"/>
          <w:numId w:val="2"/>
        </w:numPr>
        <w:ind w:left="566"/>
        <w:rPr>
          <w:rFonts w:ascii="Verdana" w:eastAsia="Verdana" w:hAnsi="Verdana" w:cs="Verdana"/>
          <w:sz w:val="24"/>
          <w:szCs w:val="24"/>
        </w:rPr>
      </w:pPr>
      <w:bookmarkStart w:id="15" w:name="_8nhi88g9avb" w:colFirst="0" w:colLast="0"/>
      <w:bookmarkEnd w:id="15"/>
      <w:r w:rsidRPr="0061165D">
        <w:rPr>
          <w:rFonts w:ascii="Verdana" w:eastAsia="Verdana" w:hAnsi="Verdana" w:cs="Verdana"/>
          <w:color w:val="222222"/>
          <w:sz w:val="24"/>
          <w:szCs w:val="24"/>
        </w:rPr>
        <w:t>Zdaniem Rady niedoceniana jest rola wsparcia eksperckiego dla beneficjentów i potencjalnych beneficjentów. Tego typu działania bardzo dobrze sprawdziły się, między innymi, w przypadku wdrażania zasady dostępności dla osób z niepełnosprawnościami.</w:t>
      </w:r>
    </w:p>
    <w:p w14:paraId="7C0A9122" w14:textId="77777777" w:rsidR="007E740C" w:rsidRPr="0061165D" w:rsidRDefault="0008036A" w:rsidP="00DE75C7">
      <w:pPr>
        <w:numPr>
          <w:ilvl w:val="0"/>
          <w:numId w:val="2"/>
        </w:numPr>
        <w:ind w:left="566"/>
        <w:rPr>
          <w:rFonts w:ascii="Verdana" w:eastAsia="Verdana" w:hAnsi="Verdana" w:cs="Verdana"/>
          <w:color w:val="222222"/>
          <w:sz w:val="24"/>
          <w:szCs w:val="24"/>
        </w:rPr>
      </w:pPr>
      <w:bookmarkStart w:id="16" w:name="_713xfzt2mm9h" w:colFirst="0" w:colLast="0"/>
      <w:bookmarkEnd w:id="16"/>
      <w:r w:rsidRPr="0061165D">
        <w:rPr>
          <w:rFonts w:ascii="Verdana" w:eastAsia="Verdana" w:hAnsi="Verdana" w:cs="Verdana"/>
          <w:color w:val="222222"/>
          <w:sz w:val="24"/>
          <w:szCs w:val="24"/>
        </w:rPr>
        <w:t>Wsparcie ekspercki</w:t>
      </w:r>
      <w:r w:rsidR="0079195C" w:rsidRPr="0061165D">
        <w:rPr>
          <w:rFonts w:ascii="Verdana" w:eastAsia="Verdana" w:hAnsi="Verdana" w:cs="Verdana"/>
          <w:color w:val="222222"/>
          <w:sz w:val="24"/>
          <w:szCs w:val="24"/>
        </w:rPr>
        <w:t>e w priorytecie 2, działaniu 1 „</w:t>
      </w:r>
      <w:r w:rsidRPr="0061165D">
        <w:rPr>
          <w:rFonts w:ascii="Verdana" w:eastAsia="Verdana" w:hAnsi="Verdana" w:cs="Verdana"/>
          <w:color w:val="222222"/>
          <w:sz w:val="24"/>
          <w:szCs w:val="24"/>
        </w:rPr>
        <w:t>Zwiększenie potencjału beneficjentów FE” należy otworzyć dla wszystkich beneficjentów (a nie tylko pewnej kategorii JST).</w:t>
      </w:r>
    </w:p>
    <w:p w14:paraId="3C6ED045" w14:textId="77777777" w:rsidR="00DE75C7" w:rsidRPr="0061165D" w:rsidRDefault="00DE75C7" w:rsidP="00DE75C7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238B7EB" w14:textId="15C58B19" w:rsidR="007E740C" w:rsidRPr="0061165D" w:rsidRDefault="000B1BE8" w:rsidP="00DE75C7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6</w:t>
      </w:r>
      <w:bookmarkStart w:id="17" w:name="_GoBack"/>
      <w:bookmarkEnd w:id="17"/>
    </w:p>
    <w:p w14:paraId="05AD181C" w14:textId="77777777" w:rsidR="004A3605" w:rsidRPr="0061165D" w:rsidRDefault="004A3605" w:rsidP="004A3605">
      <w:pPr>
        <w:spacing w:line="360" w:lineRule="auto"/>
        <w:rPr>
          <w:rFonts w:ascii="Verdana" w:hAnsi="Verdana"/>
          <w:sz w:val="24"/>
          <w:szCs w:val="24"/>
        </w:rPr>
      </w:pPr>
      <w:r w:rsidRPr="0061165D">
        <w:rPr>
          <w:rFonts w:ascii="Verdana" w:hAnsi="Verdana"/>
          <w:sz w:val="24"/>
          <w:szCs w:val="24"/>
        </w:rPr>
        <w:t>Rada wnosi o przekazanie niniejszej uchwały:</w:t>
      </w:r>
    </w:p>
    <w:p w14:paraId="5C82AB5C" w14:textId="77777777" w:rsidR="004A3605" w:rsidRPr="0061165D" w:rsidRDefault="004A3605" w:rsidP="004A3605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Prezesowi Rady Ministrów;</w:t>
      </w:r>
    </w:p>
    <w:p w14:paraId="1BF4C350" w14:textId="77777777" w:rsidR="004A3605" w:rsidRPr="0061165D" w:rsidRDefault="004A3605" w:rsidP="004A3605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Ministrowi Finansów, Funduszy i Polityki Regionalnej;</w:t>
      </w:r>
    </w:p>
    <w:p w14:paraId="17F59434" w14:textId="77777777" w:rsidR="004A3605" w:rsidRPr="0061165D" w:rsidRDefault="004A3605" w:rsidP="004A3605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 xml:space="preserve">Komisji Europejskiej oraz Przedstawicielstwu Komisji Europejskiej </w:t>
      </w:r>
      <w:r w:rsidRPr="0061165D">
        <w:rPr>
          <w:rFonts w:ascii="Verdana" w:hAnsi="Verdana"/>
        </w:rPr>
        <w:br/>
        <w:t>w Polsce;</w:t>
      </w:r>
    </w:p>
    <w:p w14:paraId="434354F3" w14:textId="77777777" w:rsidR="004A3605" w:rsidRPr="0061165D" w:rsidRDefault="004A3605" w:rsidP="004A3605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Przewodniczącemu Podkomitetu ds. Realizacji Rozwoju Partnerstwa;</w:t>
      </w:r>
    </w:p>
    <w:p w14:paraId="7081129B" w14:textId="77777777" w:rsidR="006205A9" w:rsidRDefault="004A3605" w:rsidP="006205A9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polskim członkom Euro</w:t>
      </w:r>
      <w:r w:rsidR="006205A9">
        <w:rPr>
          <w:rFonts w:ascii="Verdana" w:hAnsi="Verdana"/>
        </w:rPr>
        <w:t>pejskiego Komitetu Ekonomiczno-</w:t>
      </w:r>
      <w:r w:rsidRPr="0061165D">
        <w:rPr>
          <w:rFonts w:ascii="Verdana" w:hAnsi="Verdana"/>
        </w:rPr>
        <w:t>Społecznego;</w:t>
      </w:r>
    </w:p>
    <w:p w14:paraId="0EACF778" w14:textId="7955ED64" w:rsidR="004A3605" w:rsidRPr="006205A9" w:rsidRDefault="004A3605" w:rsidP="006205A9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205A9">
        <w:rPr>
          <w:rFonts w:ascii="Verdana" w:hAnsi="Verdana"/>
        </w:rPr>
        <w:t>Komitetowi Umowy Partnerstwa oraz Podkomitetowi ds. rozwoju partnerstwa.</w:t>
      </w:r>
    </w:p>
    <w:p w14:paraId="079F6074" w14:textId="77777777" w:rsidR="004A3605" w:rsidRPr="0061165D" w:rsidRDefault="004A3605" w:rsidP="00DE75C7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004D929" w14:textId="6F65A694" w:rsidR="004A3605" w:rsidRPr="0061165D" w:rsidRDefault="004A3605" w:rsidP="004A3605">
      <w:pPr>
        <w:jc w:val="center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>§ 7</w:t>
      </w:r>
    </w:p>
    <w:p w14:paraId="54F46579" w14:textId="0843E716" w:rsidR="007E740C" w:rsidRPr="0061165D" w:rsidRDefault="0008036A" w:rsidP="00DE75C7">
      <w:pPr>
        <w:jc w:val="both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Uchwała wchodzi w życie z dniem podjęcia.</w:t>
      </w:r>
    </w:p>
    <w:p w14:paraId="3EE5A827" w14:textId="77777777" w:rsidR="007E740C" w:rsidRPr="0061165D" w:rsidRDefault="007E740C" w:rsidP="00DE75C7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B70BECE" w14:textId="77777777" w:rsidR="007E740C" w:rsidRPr="0079195C" w:rsidRDefault="007E740C" w:rsidP="00DE75C7">
      <w:pPr>
        <w:jc w:val="both"/>
        <w:rPr>
          <w:rFonts w:ascii="Verdana" w:eastAsia="Verdana" w:hAnsi="Verdana" w:cs="Verdana"/>
          <w:sz w:val="24"/>
          <w:szCs w:val="24"/>
        </w:rPr>
        <w:sectPr w:rsidR="007E740C" w:rsidRPr="0079195C" w:rsidSect="0079195C">
          <w:pgSz w:w="11909" w:h="16834"/>
          <w:pgMar w:top="1440" w:right="1080" w:bottom="1440" w:left="1080" w:header="720" w:footer="720" w:gutter="0"/>
          <w:pgNumType w:start="1"/>
          <w:cols w:space="708"/>
          <w:docGrid w:linePitch="299"/>
        </w:sectPr>
      </w:pPr>
    </w:p>
    <w:p w14:paraId="7F54A81E" w14:textId="2870A30A" w:rsidR="007E740C" w:rsidRPr="0079195C" w:rsidRDefault="0061165D" w:rsidP="00DE75C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Załącznik</w:t>
      </w:r>
      <w:r w:rsidR="0008036A" w:rsidRPr="0079195C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 w:rsidR="0008036A" w:rsidRPr="0079195C">
        <w:rPr>
          <w:rFonts w:ascii="Verdana" w:eastAsia="Verdana" w:hAnsi="Verdana" w:cs="Verdana"/>
          <w:sz w:val="24"/>
          <w:szCs w:val="24"/>
        </w:rPr>
        <w:t>Szczegółowe uwagi do projektu Programu Pomoc Techniczna dla Funduszy Europejskich na lata 2021-2027</w:t>
      </w:r>
    </w:p>
    <w:p w14:paraId="6DC28B72" w14:textId="77777777" w:rsidR="007E740C" w:rsidRPr="0079195C" w:rsidRDefault="007E740C" w:rsidP="00DE75C7">
      <w:pPr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14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600" w:firstRow="0" w:lastRow="0" w:firstColumn="0" w:lastColumn="0" w:noHBand="1" w:noVBand="1"/>
      </w:tblPr>
      <w:tblGrid>
        <w:gridCol w:w="2098"/>
        <w:gridCol w:w="1020"/>
        <w:gridCol w:w="6630"/>
        <w:gridCol w:w="4605"/>
      </w:tblGrid>
      <w:tr w:rsidR="007E740C" w:rsidRPr="0079195C" w14:paraId="346E7039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C7AB1" w14:textId="77777777" w:rsidR="007E740C" w:rsidRPr="0079195C" w:rsidRDefault="0008036A" w:rsidP="00DE75C7">
            <w:pPr>
              <w:widowControl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Część Programu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BAFE4" w14:textId="77777777" w:rsidR="007E740C" w:rsidRPr="0079195C" w:rsidRDefault="0008036A" w:rsidP="00DE75C7">
            <w:pPr>
              <w:widowControl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Strona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7A4A1" w14:textId="77777777" w:rsidR="007E740C" w:rsidRPr="0079195C" w:rsidRDefault="0008036A" w:rsidP="00DE75C7">
            <w:pPr>
              <w:widowControl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Proponowana zmiana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3966B" w14:textId="77777777" w:rsidR="007E740C" w:rsidRPr="0079195C" w:rsidRDefault="0008036A" w:rsidP="00DE75C7">
            <w:pPr>
              <w:widowControl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Uzasadnienie zmiany</w:t>
            </w:r>
          </w:p>
        </w:tc>
      </w:tr>
      <w:tr w:rsidR="007E740C" w:rsidRPr="0079195C" w14:paraId="6B3C559A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FD06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Priorytet 1, działanie 2 Finansowanie działań zapewniających sprawny system wdrażania FE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7923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8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2922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  <w:vertAlign w:val="superscript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* budowa, wdrożenie i utrzymanie systemów informatycznych (wraz z niezbędną infrastrukturą teleinformatyczną)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– z uwzględnieniem dostępności cyfrowej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  <w:vertAlign w:val="superscript"/>
              </w:rPr>
              <w:t>2</w:t>
            </w:r>
          </w:p>
          <w:p w14:paraId="3528A2AB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[wytłuszczenie – nowa treść]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3F21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Inwestycje, w tym systemy informatyczne, stworzone w ramach obecnej perspektywy często nie zapewniają dostępności.</w:t>
            </w:r>
          </w:p>
          <w:p w14:paraId="4583C57E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Dotyczy to między innymi systemu SL 2014.</w:t>
            </w:r>
          </w:p>
        </w:tc>
      </w:tr>
      <w:tr w:rsidR="007E740C" w:rsidRPr="0079195C" w14:paraId="52B5EB45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E53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Priorytet 1, działanie 3 Zwiększenie zdolności </w:t>
            </w:r>
            <w:proofErr w:type="spellStart"/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administracyjn</w:t>
            </w:r>
            <w:proofErr w:type="spellEnd"/>
            <w:r w:rsidR="00215D8E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-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ej instytucji systemu wdrażania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402B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8-9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BABE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* wsparcie wymiany doświadczeń i wzajemnego uczenia się instytucji poprzez tworzenie grup, sieci tematycznych oraz innych ciał dialogu angażujących ekspertów i partnerów, także spoza administracji publicznej, w obszarach kluczowych dla efektywnego wdrażania FE (np. kosztów uproszczonych lub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aspektów społecznych w zamówieniach publicznych, w tym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zielonych zamówień publicznych)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CE17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Przy </w:t>
            </w:r>
            <w:proofErr w:type="spellStart"/>
            <w:r w:rsidRPr="0079195C">
              <w:rPr>
                <w:rFonts w:ascii="Verdana" w:eastAsia="Verdana" w:hAnsi="Verdana" w:cs="Verdana"/>
                <w:sz w:val="24"/>
                <w:szCs w:val="24"/>
              </w:rPr>
              <w:t>odwołaniach</w:t>
            </w:r>
            <w:proofErr w:type="spellEnd"/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 do zamówień publicznych spośród aspektów społecznych wymienia się jedynie zielone zamówienia publiczne. Należy promować wszystkie aspekty społeczne zamówień publicznych.</w:t>
            </w:r>
          </w:p>
        </w:tc>
      </w:tr>
      <w:tr w:rsidR="007E740C" w:rsidRPr="0079195C" w14:paraId="63158584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A8A2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Priorytet 1, Tabela 1: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Wskaźniki produktu dla priorytetu 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29BC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1E29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Nazwa wskaźnika: Liczba uczestników  form szkoleniowych  dla instytucji</w:t>
            </w:r>
          </w:p>
          <w:p w14:paraId="6B94F750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Jednostka miary: </w:t>
            </w:r>
            <w:r w:rsidRPr="0079195C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Osoba </w:t>
            </w:r>
            <w:r w:rsidRPr="0079195C">
              <w:rPr>
                <w:rFonts w:ascii="Verdana" w:eastAsia="Verdana" w:hAnsi="Verdana" w:cs="Verdana"/>
                <w:strike/>
                <w:sz w:val="24"/>
                <w:szCs w:val="24"/>
              </w:rPr>
              <w:t>Sztuka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B1E5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Jednostką</w:t>
            </w:r>
            <w:r w:rsidR="0079195C">
              <w:rPr>
                <w:rFonts w:ascii="Verdana" w:eastAsia="Verdana" w:hAnsi="Verdana" w:cs="Verdana"/>
                <w:sz w:val="24"/>
                <w:szCs w:val="24"/>
              </w:rPr>
              <w:t xml:space="preserve"> miary liczby uczestników jest „</w:t>
            </w:r>
            <w:r w:rsidRPr="0079195C">
              <w:rPr>
                <w:rFonts w:ascii="Verdana" w:eastAsia="Verdana" w:hAnsi="Verdana" w:cs="Verdana"/>
                <w:sz w:val="24"/>
                <w:szCs w:val="24"/>
              </w:rPr>
              <w:t>osoba”.</w:t>
            </w:r>
          </w:p>
        </w:tc>
      </w:tr>
      <w:tr w:rsidR="007E740C" w:rsidRPr="0079195C" w14:paraId="11315CD5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054D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Jw.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277A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Jw.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3842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Nazwa wskaźnika: Liczba pos</w:t>
            </w:r>
            <w:r w:rsidR="0079195C">
              <w:rPr>
                <w:rFonts w:ascii="Verdana" w:eastAsia="Verdana" w:hAnsi="Verdana" w:cs="Verdana"/>
                <w:sz w:val="24"/>
                <w:szCs w:val="24"/>
              </w:rPr>
              <w:t>iedzeń sieci, grup, komitetów oraz innych ciał angażujących</w:t>
            </w:r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 partnerów spoza administracji</w:t>
            </w:r>
          </w:p>
          <w:p w14:paraId="163DF3A7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Wątpliwość co do założonej wartości wskaźnika (niedoszacowanie).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FF92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Liczba samych posiedzeń KM POWER-a sięgnęła już ponad 30 (co najmniej: 1 na kwartał, 4 na rok, 40 na 7 lat + 3 lata). Te liczby (wartość sumaryczna wskaźnika: 90) wydają się mocno niedoszacowane.</w:t>
            </w:r>
          </w:p>
        </w:tc>
      </w:tr>
      <w:tr w:rsidR="007E740C" w:rsidRPr="0079195C" w14:paraId="035771B2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1439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Priorytet 2, pkt 1.2.1 Opis planowanych interwencji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9511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12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7627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Celem priorytetu jest (…) oraz inicjowania i realizacji kompleksowych przedsięwzięć rozwojowych, </w:t>
            </w:r>
            <w:r w:rsidR="00215D8E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z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partnerami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 xml:space="preserve">w partnerstwie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społeczno-gospodarczym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i, z partnerami reprezentującymi organizacje </w:t>
            </w:r>
            <w:r w:rsidR="001A6F03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społeczeństwa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 obywatelskie</w:t>
            </w:r>
            <w:r w:rsidR="001A6F03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go</w:t>
            </w:r>
            <w:r w:rsidR="00215D8E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i z 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 xml:space="preserve">innymi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samorządami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B339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W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przypadku</w:t>
            </w:r>
            <w:r w:rsidRPr="0079195C">
              <w:rPr>
                <w:rFonts w:ascii="Verdana" w:eastAsia="Verdana" w:hAnsi="Verdana" w:cs="Verdana"/>
                <w:sz w:val="24"/>
                <w:szCs w:val="24"/>
              </w:rPr>
              <w:t>, gdy wymieniani są partnerzy społeczno-gospodarczy, to należy uzupełnić także partnerów reprezentujących organizacje społeczeństwa obywatelskiego.</w:t>
            </w:r>
          </w:p>
        </w:tc>
      </w:tr>
      <w:tr w:rsidR="007E740C" w:rsidRPr="0079195C" w14:paraId="2B86187E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6100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Priorytet 2, interwencja 1 Zwiększenie potencjału beneficjentów FE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24B3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13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CFDA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Jednocześnie budowana będzie podaż projektów wsparcia dla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wszystkich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pozostałych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beneficjentów 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(</w:t>
            </w:r>
            <w:proofErr w:type="spellStart"/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jst</w:t>
            </w:r>
            <w:proofErr w:type="spellEnd"/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) będących spoza ww. obszarów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,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w tym spoza administracji,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ale zgłaszających potrzebę wsparcia eksperckiego (m.in. poprzez doradztwo w zakresie projektów inwestycyjnych, partnerskich, stosowania prawa zamówień publicznych) lub też wymagających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wsparcia eksperckiego, w celu wykorzystania możliwości rozwojowych swoich obszarów.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BC76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 xml:space="preserve">Planowane przedsięwzięcia (s. 12-13) koncentrują się na JST. Nie odnoszą się w żaden sposób do beneficjentów spoza administracji. 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Zaskakująco, w podsumowaniu (s.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13-24) pojawiają się przedsięwzięcia kierowane do innych beneficjentów (niż JST),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choć nie ma to odbicia w opisie interwencji.</w:t>
            </w:r>
          </w:p>
          <w:p w14:paraId="04CF9B51" w14:textId="6132A12C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Dodatkowo, działania doradcze (wsparcie eksperckie) należy otworzyć dla wszystkich BFE, a nie tylko dla JST spoza obszarów strategicznej interwencji (OSI). Takie podejście sprawdziło się bardzo dobrze w </w:t>
            </w:r>
            <w:r w:rsidR="0061165D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zakresie doradztwa związanego z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dostępnością.</w:t>
            </w:r>
          </w:p>
        </w:tc>
      </w:tr>
      <w:tr w:rsidR="007E740C" w:rsidRPr="0079195C" w14:paraId="6C89FC96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633C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Jw.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DDF6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12-14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EA67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i/>
                <w:sz w:val="24"/>
                <w:szCs w:val="24"/>
              </w:rPr>
              <w:t>Opis działań szkoleniowych, o których mowa w podsumowaniu, a których brakuje w opisie właściwym.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4890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Planowane przedsięwzięcia (s. 12-13) koncentrują się na JST. Nie odnoszą się w żaden sposób do beneficjentów spoza administracji. 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Zaskakująco, w podsumowaniu (s.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13-24) pojawiają się przedsięwzięcia kierowane do innych beneficjentów (niż JST):</w:t>
            </w:r>
          </w:p>
          <w:p w14:paraId="5029794E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„Podsumowując, w ramach obszaru przewidziane są n</w:t>
            </w:r>
            <w:r w:rsidR="00BE4009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astępujące przedsięwzięcia: (…)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działania 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szkoleniowe dla beneficjentów i potencjalnych beneficjentów o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sprofilowanym, praktycznym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i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warsztatowym charakterze poprzedzone analizą potrzeb m.in. w zakresie zielonych zamówień publicznych;”.</w:t>
            </w:r>
          </w:p>
          <w:p w14:paraId="621F79A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Należy w planowanych przedsięwzięciach (s. 12-13) dodać przedsięwzięcia szkoleniowe.</w:t>
            </w:r>
          </w:p>
        </w:tc>
      </w:tr>
      <w:tr w:rsidR="007E740C" w:rsidRPr="0079195C" w14:paraId="35E8C86A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044D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Priorytet 2, działanie 1 Zwiększenie potencjału beneficjentów FE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B08C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14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DC0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* działania 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szkoleniowe dla beneficjentów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potencjalnych beneficjentów o sprofilowanym, praktycznym i warsztatowym charakterze poprzedzone analizą potrzeb m.in. w zakresie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aspektów społecznych w zamówieniach publicznych, w tym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zielonych zamówień publicznych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, dostępności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;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D07B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Przy </w:t>
            </w:r>
            <w:proofErr w:type="spellStart"/>
            <w:r w:rsidRPr="0079195C">
              <w:rPr>
                <w:rFonts w:ascii="Verdana" w:eastAsia="Verdana" w:hAnsi="Verdana" w:cs="Verdana"/>
                <w:sz w:val="24"/>
                <w:szCs w:val="24"/>
              </w:rPr>
              <w:t>odwołaniach</w:t>
            </w:r>
            <w:proofErr w:type="spellEnd"/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 do zamówień publicznych spośród aspektów społecznych wymienia się jedynie zielone zamówienia publiczne. Należy promować wszystkie aspekty społeczne zamówień publicznych.</w:t>
            </w:r>
          </w:p>
        </w:tc>
      </w:tr>
      <w:tr w:rsidR="007E740C" w:rsidRPr="0079195C" w14:paraId="2820A02D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5A28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Jw.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8D98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Jw.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CA9F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* wsparcie dla specyficznych grup projektodawców (…) mających na celu wypracowanie modelowych rozwiązań w takich obszarach jak np.: inteligentne miasta (smart </w:t>
            </w:r>
            <w:proofErr w:type="spellStart"/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cities</w:t>
            </w:r>
            <w:proofErr w:type="spellEnd"/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), inteligentne specjalizacje, IF, (…), modele funkcjonalno-przestrzenne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, wdrażanie dostępności </w:t>
            </w:r>
            <w:r w:rsidR="007A3940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i uniwersalnego projektowania w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działalności samorządów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;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1DC4" w14:textId="32A41424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Wdrażanie dostępności i </w:t>
            </w:r>
            <w:r w:rsidR="0061165D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uniwersalnego projektowania w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dz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iałalności samorządów to nowe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trudne wyzwanie. Potrzebuje ono koniecznie wypracowania modelowych rozwiązań.</w:t>
            </w:r>
          </w:p>
        </w:tc>
      </w:tr>
      <w:tr w:rsidR="007E740C" w:rsidRPr="0079195C" w14:paraId="77C2A581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AC2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Priorytet 2, interwencja 2 Wsparcie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wdrażania instrumentów rozwoju terytorialnego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0FEE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14-16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022A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i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i/>
                <w:color w:val="222222"/>
                <w:sz w:val="24"/>
                <w:szCs w:val="24"/>
              </w:rPr>
              <w:t>Opis działań skier</w:t>
            </w:r>
            <w:r w:rsidR="007A3940">
              <w:rPr>
                <w:rFonts w:ascii="Verdana" w:eastAsia="Verdana" w:hAnsi="Verdana" w:cs="Verdana"/>
                <w:i/>
                <w:color w:val="222222"/>
                <w:sz w:val="24"/>
                <w:szCs w:val="24"/>
              </w:rPr>
              <w:t>owanych do obszarów wiejskich w </w:t>
            </w:r>
            <w:r w:rsidRPr="0079195C">
              <w:rPr>
                <w:rFonts w:ascii="Verdana" w:eastAsia="Verdana" w:hAnsi="Verdana" w:cs="Verdana"/>
                <w:i/>
                <w:color w:val="222222"/>
                <w:sz w:val="24"/>
                <w:szCs w:val="24"/>
              </w:rPr>
              <w:t>ramach tej interwencji.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E3E5" w14:textId="77777777" w:rsidR="007E740C" w:rsidRPr="0079195C" w:rsidRDefault="0008036A" w:rsidP="00DE75C7">
            <w:pPr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bookmarkStart w:id="18" w:name="_qbiea8igugrk" w:colFirst="0" w:colLast="0"/>
            <w:bookmarkEnd w:id="18"/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Interwencja kładzie nacisk na wzmacnianie potencjału rozwojowego miast. Tymczasem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polityka spójności wskazywałaby na potrzebę rozwoju potencjału terenów wiejskich (który statystycznie jest niższy od potencjału miast).</w:t>
            </w:r>
          </w:p>
          <w:p w14:paraId="6C1B8B7A" w14:textId="77777777" w:rsidR="007E740C" w:rsidRPr="0079195C" w:rsidRDefault="0008036A" w:rsidP="00DE75C7">
            <w:pPr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bookmarkStart w:id="19" w:name="_f8p7n3syufac" w:colFirst="0" w:colLast="0"/>
            <w:bookmarkEnd w:id="19"/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Należy poszerzyć opis tej interwencji o przedsięwzięcia skierowanie do terenów wiejskich oraz podkreślić wagę rozwoju obszarów wiejskich.</w:t>
            </w:r>
          </w:p>
        </w:tc>
      </w:tr>
      <w:tr w:rsidR="007E740C" w:rsidRPr="0079195C" w14:paraId="380636AA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2C25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Priorytet 2, działanie 3 Rozwój i utrzymanie krajowego systemu informatyczn</w:t>
            </w:r>
            <w:r w:rsidR="00215D8E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-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ego CST 2021 (…)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38AC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16-17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DEED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W ramach działania będą ponoszone wydatki także na utrzymanie i niezbędne modyfikacje systemu SL 2014 oraz budowę systemu na potrzeby perspektywy finansowej po 2027 r.</w:t>
            </w:r>
            <w:r w:rsidR="007A3940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 – z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uwzględnieniem dostępności cyfrowej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F12B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Obecnie system SL 2014 nie spełnia wymogów dostępności cyfrowe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j, nie jest dostępny dla osób z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niepełnosprawnościam</w:t>
            </w:r>
            <w:r w:rsidR="00215D8E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i, wyklucza takie osoby z grona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użytkowników/czek. Te wady należy usunąć w obecnej perspektywie.</w:t>
            </w:r>
          </w:p>
          <w:p w14:paraId="1094D042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Należy zapewnić brak tych bolączek także dla nowych systemów.</w:t>
            </w:r>
          </w:p>
        </w:tc>
      </w:tr>
      <w:tr w:rsidR="007E740C" w:rsidRPr="0079195C" w14:paraId="6DF6D067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E48F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Priorytet 2, 1.2.2 Główne grupy docelowe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22C3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17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3A07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Grupami docelowymi p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riorytetu 2 będą beneficjenci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potencjalni beneficjenci polityki spójności, w tym m.in. jednostki samorządu terytorialnego, ich stowarzyszenia i partnerstwa, przedsiębiorcy, w tym w szczególności mali i średni oraz ich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stowarzyszenia, szkoły wyższe i instytuty naukowe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, a także organizacje pozarządowe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F850" w14:textId="37617F2D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 xml:space="preserve">Opis grup docelowych </w:t>
            </w:r>
            <w:r w:rsidR="0061165D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należy poszerzyć bezwzględnie o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organizacje pozarządowe (lub organizacje społeczeństwa obywatelskiego).</w:t>
            </w:r>
          </w:p>
        </w:tc>
      </w:tr>
      <w:tr w:rsidR="007E740C" w:rsidRPr="0079195C" w14:paraId="15B26550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FA3A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Priorytet 2, Tabela 4: Kategorie interwencji dla priorytetu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51D1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17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BB74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Nazwa wskaźnika: Liczba uczestników form szkoleniowych dla beneficjentów</w:t>
            </w:r>
          </w:p>
          <w:p w14:paraId="1DFC4D00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 xml:space="preserve">Jednostka miary: </w:t>
            </w:r>
            <w:r w:rsidRPr="0079195C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Osoba </w:t>
            </w:r>
            <w:r w:rsidRPr="0079195C">
              <w:rPr>
                <w:rFonts w:ascii="Verdana" w:eastAsia="Verdana" w:hAnsi="Verdana" w:cs="Verdana"/>
                <w:strike/>
                <w:sz w:val="24"/>
                <w:szCs w:val="24"/>
              </w:rPr>
              <w:t>Sztuka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B624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Jednostką</w:t>
            </w:r>
            <w:r w:rsidR="00BE4009">
              <w:rPr>
                <w:rFonts w:ascii="Verdana" w:eastAsia="Verdana" w:hAnsi="Verdana" w:cs="Verdana"/>
                <w:sz w:val="24"/>
                <w:szCs w:val="24"/>
              </w:rPr>
              <w:t xml:space="preserve"> miary liczby uczestników jest „</w:t>
            </w:r>
            <w:r w:rsidRPr="0079195C">
              <w:rPr>
                <w:rFonts w:ascii="Verdana" w:eastAsia="Verdana" w:hAnsi="Verdana" w:cs="Verdana"/>
                <w:sz w:val="24"/>
                <w:szCs w:val="24"/>
              </w:rPr>
              <w:t>osoba”.</w:t>
            </w:r>
          </w:p>
        </w:tc>
      </w:tr>
      <w:tr w:rsidR="007E740C" w:rsidRPr="0079195C" w14:paraId="525D7F3C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66A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Jw.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3403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18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24F1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i/>
                <w:sz w:val="24"/>
                <w:szCs w:val="24"/>
              </w:rPr>
              <w:t>Wskaźnik dotyczący udzielanego wsparcia eksperckiego.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0D4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Tabelę należy poszerzyć o wskaźnik dotyczący udzielanego wsparcia eksperckiego.</w:t>
            </w:r>
          </w:p>
        </w:tc>
      </w:tr>
      <w:tr w:rsidR="007E740C" w:rsidRPr="0079195C" w14:paraId="19F88F3C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FFCE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Priorytet 3, 1.3.1 Opis planowanych interwencji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67F7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19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384F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Powyższe prz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edsięwzięcia wprowadzane będą w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oparciu o horyzontalny dokument – Strategię komunikacji Funduszy Europejskich</w:t>
            </w:r>
            <w:r w:rsidR="007A3940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 oraz z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zachowaniem wymogów dostępności, w tym Standardów dostępności dla polityki spójności 2021-2027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16C6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Należy zapewnić dostępność prowadzonych działań informacyjno-komunikacyjnych.</w:t>
            </w:r>
          </w:p>
        </w:tc>
      </w:tr>
      <w:tr w:rsidR="007E740C" w:rsidRPr="0079195C" w14:paraId="1FC36EDA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BA73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Jw.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BCD2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Jw.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A59F" w14:textId="1E96B47D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* dotacje dla partnerów społeczno-gospodarczych</w:t>
            </w:r>
            <w:r w:rsidR="0061165D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 i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partnerów reprezentujących organizacje społeczeństwa obywatelskiego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;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9CBB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Opis należy poszerzyć bezwzględnie o partnerów reprezentujących organizacje społeczeństwa obywatelskiego.</w:t>
            </w:r>
          </w:p>
        </w:tc>
      </w:tr>
      <w:tr w:rsidR="007E740C" w:rsidRPr="0079195C" w14:paraId="7810D2F5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6E86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Rozdział 4 Partnerstwo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CF8B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27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B833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Zasada partnerstwa oznacza zobowiązanie do stałej, zinstytucjonalizowanej współpracy pomiędzy 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 xml:space="preserve">administracją rządową, samorządami wojewódzkimi i lokalnymi oraz partnerami spoza administracji (partnerami społecznymi i gospodarczymi, a także 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partnerami reprezentującymi organizacje społeczeństwa obywatelskiego 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organizacjami pozarządowymi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).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158EA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Zgodnie z regulacjami unijnymi.</w:t>
            </w:r>
          </w:p>
          <w:p w14:paraId="7C6CE16B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Ponadto, organizacje pozarządowe to także partnerzy.</w:t>
            </w:r>
          </w:p>
        </w:tc>
      </w:tr>
      <w:tr w:rsidR="007E740C" w:rsidRPr="0079195C" w14:paraId="78E56412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0268" w14:textId="77777777" w:rsidR="007E740C" w:rsidRPr="0079195C" w:rsidRDefault="007A3940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Rozdział 5 Komunikacja i </w:t>
            </w:r>
            <w:r w:rsidR="0008036A"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widoczność, podrozdział Założenia ogólne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1DEF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31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1E9D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„Działania komunikacyjne prowadzone będą przez IZ i instytucję </w:t>
            </w:r>
            <w:r w:rsidR="007A3940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koordynującą UP we współpracy z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instytucjami europejskimi, krajowymi, regionalnymi, a także partnerami społeczno-gospodarczymi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, partnerami reprezentującymi organizacje społeczeństwa obywatelskiego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beneficjentami.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16C5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Opis należy poszerzyć bezwzględnie o partnerów reprezentujących organizacje społeczeństwa obywatelskiego.</w:t>
            </w:r>
          </w:p>
        </w:tc>
      </w:tr>
      <w:tr w:rsidR="007E740C" w:rsidRPr="0079195C" w14:paraId="4DD56129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04F2" w14:textId="77777777" w:rsidR="007E740C" w:rsidRPr="0079195C" w:rsidRDefault="00CF7DBC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Rozdział 5 Komunikacja i </w:t>
            </w:r>
            <w:r w:rsidR="0008036A"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widoc</w:t>
            </w:r>
            <w:r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zność, podrozdział Monitoring i </w:t>
            </w:r>
            <w:r w:rsidR="0008036A"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ewaluacja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7BE0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33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108C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Działania komunikacyjne podlegają stałej ewaluacji i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monitoringowi pod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kątem ich jakości, trafności w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realizacji celów k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omunikacyjnych i skuteczności w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dotarciu do grup docelowych. Służyć temu będą m.in. bieżące badania ankietowe, badania jakościowe (FGI, IDI, analizy eksperckie), analizy użyteczności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>, badania typu tajemniczy klient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B255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Badania typu tajemniczy kli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ent podnoszą jakość ewaluacji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monitoringu.</w:t>
            </w:r>
          </w:p>
        </w:tc>
      </w:tr>
      <w:tr w:rsidR="007E740C" w:rsidRPr="0079195C" w14:paraId="77ECE88E" w14:textId="77777777" w:rsidTr="00215D8E"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C85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Załącznik nr 1, rozdział Cel 3 (...)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5000" w14:textId="77777777" w:rsidR="007E740C" w:rsidRPr="0079195C" w:rsidRDefault="0008036A" w:rsidP="00DE75C7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sz w:val="24"/>
                <w:szCs w:val="24"/>
              </w:rPr>
              <w:t>62</w:t>
            </w:r>
          </w:p>
        </w:tc>
        <w:tc>
          <w:tcPr>
            <w:tcW w:w="6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E6FF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W celu jak najlepszego dopasowania komunikatów dotyczących funduszy europejskich (...) przewiduje się szerokie zaangażowanie partnerów spoza administracji (part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nerów społeczno-gospodarczych 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i </w:t>
            </w:r>
            <w:r w:rsidRPr="0079195C">
              <w:rPr>
                <w:rFonts w:ascii="Verdana" w:eastAsia="Verdana" w:hAnsi="Verdana" w:cs="Verdana"/>
                <w:b/>
                <w:color w:val="222222"/>
                <w:sz w:val="24"/>
                <w:szCs w:val="24"/>
              </w:rPr>
              <w:t xml:space="preserve">partnerów reprezentujących organizacje społeczeństwa obywatelskiego </w:t>
            </w:r>
            <w:r w:rsidRPr="0079195C">
              <w:rPr>
                <w:rFonts w:ascii="Verdana" w:eastAsia="Verdana" w:hAnsi="Verdana" w:cs="Verdana"/>
                <w:strike/>
                <w:color w:val="222222"/>
                <w:sz w:val="24"/>
                <w:szCs w:val="24"/>
              </w:rPr>
              <w:t>organizacji pozarządowych</w:t>
            </w:r>
            <w:r w:rsidR="00CF7DB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) w działania informacyjne i </w:t>
            </w: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promocyjne oraz (...).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73B1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lastRenderedPageBreak/>
              <w:t>Zgodnie z regulacjami unijnymi.</w:t>
            </w:r>
          </w:p>
          <w:p w14:paraId="315729D7" w14:textId="77777777" w:rsidR="007E740C" w:rsidRPr="0079195C" w:rsidRDefault="0008036A" w:rsidP="00DE75C7">
            <w:pPr>
              <w:shd w:val="clear" w:color="auto" w:fill="FFFFFF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 w:rsidRPr="0079195C">
              <w:rPr>
                <w:rFonts w:ascii="Verdana" w:eastAsia="Verdana" w:hAnsi="Verdana" w:cs="Verdana"/>
                <w:color w:val="222222"/>
                <w:sz w:val="24"/>
                <w:szCs w:val="24"/>
              </w:rPr>
              <w:t>Ponadto, organizacje pozarządowe to także partnerzy.</w:t>
            </w:r>
          </w:p>
        </w:tc>
      </w:tr>
    </w:tbl>
    <w:p w14:paraId="56A28C6A" w14:textId="77777777" w:rsidR="007E740C" w:rsidRPr="0079195C" w:rsidRDefault="007E740C" w:rsidP="00DE75C7">
      <w:pPr>
        <w:rPr>
          <w:rFonts w:ascii="Verdana" w:eastAsia="Verdana" w:hAnsi="Verdana" w:cs="Verdana"/>
          <w:sz w:val="24"/>
          <w:szCs w:val="24"/>
        </w:rPr>
      </w:pPr>
    </w:p>
    <w:sectPr w:rsidR="007E740C" w:rsidRPr="0079195C">
      <w:pgSz w:w="16834" w:h="11909" w:orient="landscape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37"/>
    <w:multiLevelType w:val="multilevel"/>
    <w:tmpl w:val="2F900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50915"/>
    <w:multiLevelType w:val="multilevel"/>
    <w:tmpl w:val="2C1A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4" w15:restartNumberingAfterBreak="0">
    <w:nsid w:val="5B9D61AA"/>
    <w:multiLevelType w:val="multilevel"/>
    <w:tmpl w:val="EA90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3D3C2E"/>
    <w:multiLevelType w:val="multilevel"/>
    <w:tmpl w:val="FF284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52B45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C"/>
    <w:rsid w:val="000034EF"/>
    <w:rsid w:val="0002145D"/>
    <w:rsid w:val="0008036A"/>
    <w:rsid w:val="000B1BE8"/>
    <w:rsid w:val="001A6F03"/>
    <w:rsid w:val="00215D8E"/>
    <w:rsid w:val="003A27A6"/>
    <w:rsid w:val="004A3605"/>
    <w:rsid w:val="0061165D"/>
    <w:rsid w:val="006205A9"/>
    <w:rsid w:val="0079195C"/>
    <w:rsid w:val="007A3940"/>
    <w:rsid w:val="007E740C"/>
    <w:rsid w:val="008370A0"/>
    <w:rsid w:val="00BE4009"/>
    <w:rsid w:val="00CF7DBC"/>
    <w:rsid w:val="00D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723"/>
  <w15:docId w15:val="{B4328772-2096-4AFA-BE62-84BFD90C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99"/>
    <w:qFormat/>
    <w:rsid w:val="004A360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2197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Krupa Katarzyna (DOB)</cp:lastModifiedBy>
  <cp:revision>14</cp:revision>
  <dcterms:created xsi:type="dcterms:W3CDTF">2021-04-16T07:23:00Z</dcterms:created>
  <dcterms:modified xsi:type="dcterms:W3CDTF">2021-04-20T14:39:00Z</dcterms:modified>
</cp:coreProperties>
</file>