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1930" w:h="533" w:wrap="none" w:hAnchor="page" w:x="1963" w:y="15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Podsekretarz Stanu</w:t>
      </w:r>
    </w:p>
    <w:p>
      <w:pPr>
        <w:pStyle w:val="Style2"/>
        <w:keepNext w:val="0"/>
        <w:keepLines w:val="0"/>
        <w:framePr w:w="1930" w:h="533" w:wrap="none" w:hAnchor="page" w:x="1963" w:y="15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Główny Geolog Kraju</w:t>
      </w:r>
    </w:p>
    <w:p>
      <w:pPr>
        <w:widowControl w:val="0"/>
        <w:spacing w:line="360" w:lineRule="exact"/>
      </w:pPr>
      <w:r>
        <w:drawing>
          <wp:anchor distT="0" distB="353695" distL="0" distR="0" simplePos="0" relativeHeight="62914690" behindDoc="1" locked="0" layoutInCell="1" allowOverlap="1">
            <wp:simplePos x="0" y="0"/>
            <wp:positionH relativeFrom="page">
              <wp:posOffset>353060</wp:posOffset>
            </wp:positionH>
            <wp:positionV relativeFrom="margin">
              <wp:posOffset>0</wp:posOffset>
            </wp:positionV>
            <wp:extent cx="3145790" cy="95123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45790" cy="9512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0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77" w:right="1955" w:bottom="483" w:left="556" w:header="149" w:footer="55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9" w:after="8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094" w:right="0" w:bottom="651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40" w:line="254" w:lineRule="auto"/>
        <w:ind w:left="0" w:right="0" w:firstLine="0"/>
        <w:jc w:val="both"/>
      </w:pPr>
      <w:r>
        <w:rPr>
          <w:rStyle w:val="CharStyle9"/>
        </w:rPr>
        <w:t xml:space="preserve">DGL-WSM.053.2.2026.WK </w:t>
      </w:r>
      <w:r>
        <w:rPr>
          <w:rStyle w:val="CharStyle9"/>
          <w:sz w:val="18"/>
          <w:szCs w:val="18"/>
        </w:rPr>
        <w:t xml:space="preserve">4493280.18561992.14948109 </w:t>
      </w:r>
      <w:r>
        <w:rPr>
          <w:rStyle w:val="CharStyle9"/>
        </w:rPr>
        <w:t>Warszawa, 10-08-2026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1180" w:line="240" w:lineRule="auto"/>
        <w:ind w:left="0" w:right="0" w:firstLine="0"/>
        <w:jc w:val="both"/>
      </w:pPr>
      <w:bookmarkStart w:id="0" w:name="bookmark0"/>
      <w:r>
        <w:rPr>
          <w:rStyle w:val="CharStyle12"/>
          <w:b/>
          <w:bCs/>
        </w:rPr>
        <w:t>Pan</w:t>
      </w:r>
      <w:bookmarkEnd w:id="0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Szanowny Panie,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w odpowiedzi na Pana petycje z dnia 14.07.2025 r. przesyłam odpowiedź na poniższe postulaty w zakresie właściwości MKiŚ: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2" w:name="bookmark2"/>
      <w:r>
        <w:rPr>
          <w:rStyle w:val="CharStyle12"/>
          <w:b/>
          <w:bCs/>
        </w:rPr>
        <w:t>Przygotowanie międzyresortowej analizy potencjału Polski w zakresie przetwarzania surowców krytycznych</w:t>
      </w:r>
      <w:bookmarkEnd w:id="2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W odpowiedzi na postulat dotyczący przygotowania międzyresortowej analizy potencjału Polski w zakresie przetwarzania surowców krytycznych należy wskazać, że działania analityczne w tym obszarze są już prowadzone w ramach wdrażania rozporządzenia Critical Raw Materials Act (CRMA) oraz prac nad aktualizacją Polityki Surowcowej Państwa (PSP). Jednym z instrumentów służących zwiększeniu wiedzy o krajowym potencjale surowcowym jest również przygotowywany Krajowy Program Poszukiwań Surowców Krytycznych, którego realizacja ma dostarczyć nowych informacji dotyczących krajowej bazy zasobowej. Program przewidziano na lata 2026–2033, a jego wykonawcą będzie Państwowy Instytut Geologiczny – Państwowy Instytut Badawczy.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Jednocześnie CRMA nakłada na państwa członkowskie dodatkowe obowiązki dotyczące zwiększania odzysku surowców krytycznych. Zgodnie z art. 26 rozporządzenia państwa członkowskie mają przyjąć i wdrożyć krajowe programy obejmujące środki wspierające rozwój gospodarki o obiegu zamkniętym, w tym zwiększenie odzysku surowców krytycznych z produktów, komponentów i strumieni odpadów oraz rozwój technologii umożliwiających ich ponowne wykorzystanie i recykling. Obowiązki te są również uwzględniane w projekcie ustawy UC83 (wdrażającej CRMA) i będą realizowane we współpracy właściwych resortów.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Odrębny obszar działań przewiduje art. 27 CRMA dotyczący odzysku surowców krytycznych z odpadów wydobywczych. Rozporządzenie nakłada m.in. obowiązek oceny ilości i koncentracji surowców krytycznych znajdujących się w odpadach wydobywczych oraz technicznych i ekonomicznych możliwości ich odzysku. W Polsce działania przygotowawcze w tym zakresie są prowadzone z udziałem państwowej służby geologicznej, co pozwoli na lepsze rozpoznanie potencjału odzysku surowców również z historycznych obiektów i nagromadzeń odpadów wydobywczych.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540"/>
        <w:ind w:left="0" w:right="0" w:firstLine="0"/>
        <w:jc w:val="both"/>
      </w:pPr>
      <w:r>
        <w:rPr>
          <w:rStyle w:val="CharStyle9"/>
        </w:rPr>
        <w:t>W konsekwencji analiza potencjału Polski w zakresie przetwarzania i odzysku surowców krytycznych jest już rozwijana w kilku wzajemnie uzupełniających się obszarach – od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5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5"/>
        </w:rPr>
        <w:t>Telefon: (+48) 22 369 29 00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5"/>
        </w:rPr>
        <w:t>info@klimat.gov.pl</w:t>
      </w:r>
      <w:r>
        <w:fldChar w:fldCharType="end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7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7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5"/>
        </w:rPr>
        <w:t>www.gov.pl/klimat</w:t>
      </w:r>
      <w:r>
        <w:fldChar w:fldCharType="end"/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rozpoznania krajowej bazy zasobowej, przez analizę strumieni odpadów i możliwości recyklingu, po ocenę potencjału odzysku surowców z odpadów wydobywczych.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4" w:name="bookmark4"/>
      <w:r>
        <w:rPr>
          <w:rStyle w:val="CharStyle12"/>
          <w:b/>
          <w:bCs/>
        </w:rPr>
        <w:t>Opracowanie Narodowej Strategii Rozwoju Przetwarzania Surowców Krytycznych</w:t>
      </w:r>
      <w:bookmarkEnd w:id="4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W ocenie Ministerstwa Klimatu i Środowiska nie ma obecnie potrzeby tworzenia odrębnej strategii poświęconej wyłącznie przetwarzaniu surowców krytycznych. Zagadnienie to stanowi jeden z elementów szerszej polityki surowcowej państwa oraz działań wdrażających CRMA.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Rozporządzenie CRMA, które aktualnie jest implementowane do krajowego prawodawstwa, nakłada m.in. obowiązek przyjmowania krajowych programów zawierających środki służące zwiększeniu obiegu zamkniętego surowców krytycznych. W projekcie ustawy UC83 przewidziano współpracę właściwych ministrów przy wdrażaniu tych programów. Równolegle prowadzona jest aktualizacja Polityki Surowcowej Państwa, która ma obejmować zagadnienia dotyczące całego łańcucha wartości surowców – od pozyskania, przez przetwarzanie, po recykling. Dotychczasowe prace nad PSP obejmują również aktualizację zapotrzebowania gospodarki krajowej na najważniejsze surowce oraz ocenę ryzyka przerw w ich dostawach.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6" w:name="bookmark6"/>
      <w:r>
        <w:rPr>
          <w:rStyle w:val="CharStyle12"/>
          <w:b/>
          <w:bCs/>
        </w:rPr>
        <w:t>Powołanie wyspecjalizowanej jednostki koordynującej współpracę administracji, przemysłu i nauki</w:t>
      </w:r>
      <w:bookmarkEnd w:id="6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 xml:space="preserve">Mechanizmy współpracy pomiędzy administracją, przemysłem i środowiskiem naukowym w obszarze polityki surowcowej już funkcjonują i są obecnie rozwijane. Oprócz Zespołu do spraw Polityki Surowcowej Państwa, który zapewnia koordynację międzyresortową i wspiera realizację oraz aktualizację PSP, istotną rolę pełni również </w:t>
      </w:r>
      <w:r>
        <w:rPr>
          <w:rStyle w:val="CharStyle9"/>
          <w:b/>
          <w:bCs/>
        </w:rPr>
        <w:t>Rada Gospodarowania Zasobami Ziemi</w:t>
      </w:r>
      <w:r>
        <w:rPr>
          <w:rStyle w:val="CharStyle9"/>
        </w:rPr>
        <w:t>, działająca jako forum eksperckie przy Głównym Geologu Kraju.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Rada skupia przedstawicieli nauki, przedsiębiorstw, instytucji branżowych oraz administracji i umożliwia prowadzenie konsultacji dotyczących najważniejszych kierunków polityki surowcowej państwa. Jej rolą jest m.in. formułowanie rekomendacji dotyczących gospodarowania zasobami, identyfikowanie problemów i barier regulacyjnych, opiniowanie kierunków zmian w dokumentach strategicznych oraz wspieranie dialogu pomiędzy administracją a przedstawicielami nauki i gospodarki. W praktyce Rada stanowi przestrzeń do dyskusji nad rozwiązaniami dotyczącymi zarówno pozyskiwania i ochrony zasobów, jak i ich przetwarzania, wykorzystania, recyklingu oraz rozwoju nowych technologii.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8" w:name="bookmark8"/>
      <w:r>
        <w:rPr>
          <w:rStyle w:val="CharStyle12"/>
          <w:b/>
          <w:bCs/>
        </w:rPr>
        <w:t>Przygotowanie programu rozwoju technologii separacji metali ziem rzadkich oraz materiałów zaawansowanych</w:t>
      </w:r>
      <w:bookmarkEnd w:id="8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Ministerstwo Klimatu i Środowiska dostrzega znaczenie rozwoju krajowych technologii przetwarzania i separacji surowców krytycznych, w tym pierwiastków ziem rzadkich. Zagadnienia te są uwzględniane w pracach dotyczących rozwoju całego krajowego łańcucha wartości surowców krytycznych oraz w działaniach związanych z projektami strategicznymi CRMA.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Jednocześnie prowadzone są działania zmierzające do stworzenia instrumentów wspierających rozwój technologii surowcowych. Przykładowo w maju 2026 r., przy współpracy z Siecią Badawczą Łukasiewicz – Instytutem Metali Nieżelaznych, zorganizowano spotkanie przedstawicieli przemysłu, nauki i administracji dotyczące założeń nowego programu strategicznego NCBR.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0" w:name="bookmark10"/>
      <w:r>
        <w:rPr>
          <w:rStyle w:val="CharStyle12"/>
          <w:b/>
          <w:bCs/>
        </w:rPr>
        <w:t>Opracowanie programu wsparcia inwestycji w instalacje rafinacji, przetwarzania i recyklingu</w:t>
      </w:r>
      <w:bookmarkEnd w:id="10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Kwestia zwiększenia dostępności finansowania projektów dotyczących wydobycia, przetwarzania i recyklingu surowców krytycznych jest już przedmiotem prac zarówno na poziomie krajowym, jak i Unii Europejskiej. W ramach Zespołu do spraw Polityki Surowcowej Państwa przewidziano prace nad możliwymi instrumentami finansowania projektów dotyczących surowców krytycznych. Jednocześnie na poziomie UE projekty strategiczne mogą korzystać m.in. z instrumentów InvestEU, Innovation Fund oraz finansowania Europejskiego Banku Inwestycyjnego i Europejskiego Banku Odbudowy i Rozwoju. Komisja Europejska przewiduje również dalszą koordynację finansowania w ramach działań ReSourceEU.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2" w:name="bookmark12"/>
      <w:r>
        <w:rPr>
          <w:rStyle w:val="CharStyle12"/>
          <w:b/>
          <w:bCs/>
        </w:rPr>
        <w:t>Wykorzystanie potencjału KGHM, ORLEN, Grupy Azoty, uczelni i przedsiębiorstw prywatnych</w:t>
      </w:r>
      <w:bookmarkEnd w:id="12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Budowanie krajowych i europejskich łańcuchów wartości surowców krytycznych wymaga współpracy administracji z przedsiębiorstwami oraz sektorem naukowym. Mechanizmy takiej współpracy są rozwijane m.in. w ramach Rady Gospodarowania Zasobami Ziemi oraz działań związanych z wdrażaniem CRMA.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MKiŚ prowadzi również bezpośredni dialog z przedsiębiorcami i informuje ich o możliwościach ubiegania się o status projektu strategicznego CRMA. Informacje dotyczące naborów są przekazywane podczas spotkań branżowych, konferencji oraz bezpośrednio przez stronę internetową Ministerstwa.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4" w:name="bookmark14"/>
      <w:r>
        <w:rPr>
          <w:rStyle w:val="CharStyle12"/>
          <w:b/>
          <w:bCs/>
        </w:rPr>
        <w:t>Przygotowanie programu wykorzystania środków UE na rozwój strategicznych zdolności przemysłowych</w:t>
      </w:r>
      <w:bookmarkEnd w:id="14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Na poziomie Unii Europejskiej funkcjonuje już szereg instrumentów, z których mogą korzystać przedsięwzięcia związane z surowcami krytycznymi. Szczególne znaczenie mają projekty strategiczne w rozumieniu CRMA, dla których Komisja Europejska przewiduje możliwość korzystania m.in. z InvestEU, Innovation Fund oraz finansowania EBI i EBOiR. Dalsze zwiększenie dostępności finansowania projektów surowcowych zostało również przewidziane w ramach inicjatywy ReSourceEU.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MKiŚ monitoruje rozwój tych instrumentów, uczestniczy w pracach podgrupy Europejskiej Rady ds. Surowców Krytycznych poświęconej finansowaniu oraz przekazuje informacje przedsiębiorcom.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0"/>
        <w:jc w:val="both"/>
      </w:pPr>
      <w:r>
        <w:rPr>
          <w:rStyle w:val="CharStyle9"/>
        </w:rPr>
        <w:t>Z wyrazami szacunku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9"/>
        </w:rPr>
        <w:t>Podsekretarz Stanu - Główny Geolog Kraju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9"/>
        </w:rPr>
        <w:t>Ministerstwo Klimatu i Środowiska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40"/>
        <w:ind w:left="0" w:right="0" w:firstLine="0"/>
        <w:jc w:val="both"/>
      </w:pPr>
      <w:r>
        <w:rPr>
          <w:rStyle w:val="CharStyle9"/>
        </w:rPr>
        <w:t>/ – podpisany cyfrowo/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16" w:name="bookmark16"/>
      <w:r>
        <w:rPr>
          <w:rStyle w:val="CharStyle12"/>
          <w:b/>
          <w:bCs/>
        </w:rPr>
        <w:t>Do wiadomości:</w:t>
      </w:r>
      <w:bookmarkEnd w:id="16"/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1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9"/>
        </w:rPr>
        <w:t>Kancelaria Prezesa Rady Ministrów, DWS.161.145.2.2026;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6" w:val="left"/>
        </w:tabs>
        <w:bidi w:val="0"/>
        <w:spacing w:before="0" w:line="240" w:lineRule="auto"/>
        <w:ind w:left="0" w:right="0" w:firstLine="0"/>
        <w:jc w:val="both"/>
      </w:pPr>
      <w:r>
        <w:rPr>
          <w:rStyle w:val="CharStyle9"/>
        </w:rPr>
        <w:t>Biuro Kontroli i Audytu, MKiŚ.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2094" w:right="1954" w:bottom="651" w:left="1950" w:header="1666" w:footer="22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Picture caption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5">
    <w:name w:val="Body text (2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7">
    <w:name w:val="Body text (3)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9">
    <w:name w:val="Body text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2">
    <w:name w:val="Heading #1_"/>
    <w:basedOn w:val="DefaultParagraphFont"/>
    <w:link w:val="Style1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Picture caption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4">
    <w:name w:val="Body text (2)"/>
    <w:basedOn w:val="Normal"/>
    <w:link w:val="CharStyle5"/>
    <w:pPr>
      <w:widowControl w:val="0"/>
      <w:shd w:val="clear" w:color="auto" w:fill="auto"/>
      <w:ind w:left="15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6">
    <w:name w:val="Body text (3)"/>
    <w:basedOn w:val="Normal"/>
    <w:link w:val="CharStyle7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8">
    <w:name w:val="Body text"/>
    <w:basedOn w:val="Normal"/>
    <w:link w:val="CharStyle9"/>
    <w:qFormat/>
    <w:pPr>
      <w:widowControl w:val="0"/>
      <w:shd w:val="clear" w:color="auto" w:fill="auto"/>
      <w:spacing w:after="16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1">
    <w:name w:val="Heading #1"/>
    <w:basedOn w:val="Normal"/>
    <w:link w:val="CharStyle12"/>
    <w:pPr>
      <w:widowControl w:val="0"/>
      <w:shd w:val="clear" w:color="auto" w:fill="auto"/>
      <w:spacing w:after="16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Podsekretarz Stanu Krzysztof Galos kolor</dc:title>
  <dc:subject/>
  <dc:creator/>
  <cp:keywords>PL. KOLOR</cp:keywords>
</cp:coreProperties>
</file>