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B93D" w14:textId="04BE1789" w:rsidR="00040DC3" w:rsidRPr="00702F1A" w:rsidRDefault="00040DC3" w:rsidP="00702F1A">
      <w:pPr>
        <w:spacing w:after="0" w:line="360" w:lineRule="auto"/>
        <w:jc w:val="right"/>
        <w:rPr>
          <w:rFonts w:ascii="Aptos" w:hAnsi="Aptos" w:cs="Calibri"/>
          <w:b/>
          <w:bCs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 xml:space="preserve">Warszawa, </w:t>
      </w:r>
      <w:r w:rsidR="00FB7F8C" w:rsidRPr="00702F1A">
        <w:rPr>
          <w:rFonts w:ascii="Aptos" w:hAnsi="Aptos" w:cs="Calibri"/>
          <w:sz w:val="24"/>
          <w:szCs w:val="24"/>
        </w:rPr>
        <w:t xml:space="preserve">dnia </w:t>
      </w:r>
      <w:r w:rsidR="00017EA2" w:rsidRPr="00702F1A">
        <w:rPr>
          <w:rFonts w:ascii="Aptos" w:hAnsi="Aptos" w:cs="Calibri"/>
          <w:sz w:val="24"/>
          <w:szCs w:val="24"/>
        </w:rPr>
        <w:t xml:space="preserve">18 </w:t>
      </w:r>
      <w:r w:rsidR="00A67DAB">
        <w:rPr>
          <w:rFonts w:ascii="Aptos" w:hAnsi="Aptos" w:cs="Calibri"/>
          <w:sz w:val="24"/>
          <w:szCs w:val="24"/>
        </w:rPr>
        <w:t>listopada</w:t>
      </w:r>
      <w:r w:rsidR="00017EA2" w:rsidRPr="00702F1A">
        <w:rPr>
          <w:rFonts w:ascii="Aptos" w:hAnsi="Aptos" w:cs="Calibri"/>
          <w:sz w:val="24"/>
          <w:szCs w:val="24"/>
        </w:rPr>
        <w:t xml:space="preserve"> 2025 r.</w:t>
      </w:r>
    </w:p>
    <w:p w14:paraId="3834268B" w14:textId="470B7B04" w:rsidR="0029392B" w:rsidRPr="00702F1A" w:rsidRDefault="0029392B" w:rsidP="00702F1A">
      <w:pPr>
        <w:spacing w:after="0" w:line="360" w:lineRule="auto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Komisja Kodyfikacyjna Prawa Karnego</w:t>
      </w:r>
    </w:p>
    <w:p w14:paraId="43B766AE" w14:textId="77777777" w:rsidR="0029392B" w:rsidRPr="00702F1A" w:rsidRDefault="0029392B" w:rsidP="00702F1A">
      <w:p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</w:p>
    <w:p w14:paraId="3DFBD8BB" w14:textId="77777777" w:rsidR="000427F5" w:rsidRPr="00702F1A" w:rsidRDefault="000427F5" w:rsidP="00702F1A">
      <w:p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</w:p>
    <w:p w14:paraId="2E38E1CE" w14:textId="77777777" w:rsidR="00C1311C" w:rsidRPr="00702F1A" w:rsidRDefault="00C1311C" w:rsidP="00702F1A">
      <w:p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</w:p>
    <w:p w14:paraId="765DEE4B" w14:textId="77777777" w:rsidR="004949BA" w:rsidRPr="00702F1A" w:rsidRDefault="0029392B" w:rsidP="00702F1A">
      <w:pPr>
        <w:spacing w:after="0" w:line="360" w:lineRule="auto"/>
        <w:jc w:val="center"/>
        <w:rPr>
          <w:rFonts w:ascii="Aptos" w:hAnsi="Aptos" w:cs="Calibri"/>
          <w:b/>
          <w:bCs/>
          <w:sz w:val="24"/>
          <w:szCs w:val="24"/>
        </w:rPr>
      </w:pPr>
      <w:r w:rsidRPr="00702F1A">
        <w:rPr>
          <w:rFonts w:ascii="Aptos" w:hAnsi="Aptos" w:cs="Calibri"/>
          <w:b/>
          <w:bCs/>
          <w:sz w:val="24"/>
          <w:szCs w:val="24"/>
        </w:rPr>
        <w:t xml:space="preserve">Opinia </w:t>
      </w:r>
    </w:p>
    <w:p w14:paraId="1C84FA50" w14:textId="1BE6DB80" w:rsidR="0029392B" w:rsidRPr="00702F1A" w:rsidRDefault="0029392B" w:rsidP="00702F1A">
      <w:pPr>
        <w:spacing w:after="0" w:line="360" w:lineRule="auto"/>
        <w:jc w:val="center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b/>
          <w:bCs/>
          <w:sz w:val="24"/>
          <w:szCs w:val="24"/>
        </w:rPr>
        <w:t>w przedmiocie</w:t>
      </w:r>
      <w:r w:rsidR="0024543B">
        <w:rPr>
          <w:rFonts w:ascii="Aptos" w:hAnsi="Aptos" w:cs="Calibri"/>
          <w:b/>
          <w:bCs/>
          <w:sz w:val="24"/>
          <w:szCs w:val="24"/>
        </w:rPr>
        <w:t xml:space="preserve"> </w:t>
      </w:r>
      <w:r w:rsidR="00017EA2" w:rsidRPr="00702F1A">
        <w:rPr>
          <w:rFonts w:ascii="Aptos" w:hAnsi="Aptos" w:cs="Calibri"/>
          <w:b/>
          <w:bCs/>
          <w:sz w:val="24"/>
          <w:szCs w:val="24"/>
        </w:rPr>
        <w:t xml:space="preserve">wyroku Europejskiego Trybunału Praw Człowieka z dnia 8 czerwca 2023 r. w sprawie </w:t>
      </w:r>
      <w:r w:rsidR="00017EA2" w:rsidRPr="0024543B">
        <w:rPr>
          <w:rFonts w:ascii="Aptos" w:hAnsi="Aptos" w:cs="Calibri"/>
          <w:b/>
          <w:bCs/>
          <w:i/>
          <w:iCs/>
          <w:sz w:val="24"/>
          <w:szCs w:val="24"/>
        </w:rPr>
        <w:t>Mazowiecki przeciwko Polsce</w:t>
      </w:r>
      <w:r w:rsidR="00017EA2" w:rsidRPr="00702F1A">
        <w:rPr>
          <w:rFonts w:ascii="Aptos" w:hAnsi="Aptos" w:cs="Calibri"/>
          <w:b/>
          <w:bCs/>
          <w:sz w:val="24"/>
          <w:szCs w:val="24"/>
        </w:rPr>
        <w:t xml:space="preserve"> (skarga nr 34734/13) dotyczącego problematyki </w:t>
      </w:r>
      <w:r w:rsidR="00A65137" w:rsidRPr="00702F1A">
        <w:rPr>
          <w:rFonts w:ascii="Aptos" w:hAnsi="Aptos" w:cs="Calibri"/>
          <w:b/>
          <w:bCs/>
          <w:sz w:val="24"/>
          <w:szCs w:val="24"/>
        </w:rPr>
        <w:t>przeszukania</w:t>
      </w:r>
      <w:r w:rsidR="00017EA2" w:rsidRPr="00702F1A">
        <w:rPr>
          <w:rFonts w:ascii="Aptos" w:hAnsi="Aptos" w:cs="Calibri"/>
          <w:b/>
          <w:bCs/>
          <w:sz w:val="24"/>
          <w:szCs w:val="24"/>
        </w:rPr>
        <w:t xml:space="preserve"> mieszkania</w:t>
      </w:r>
      <w:r w:rsidR="0024543B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5AE1F92A" w14:textId="77777777" w:rsidR="00017EA2" w:rsidRPr="00702F1A" w:rsidRDefault="00017EA2" w:rsidP="00702F1A">
      <w:pPr>
        <w:spacing w:after="0" w:line="360" w:lineRule="auto"/>
        <w:jc w:val="center"/>
        <w:rPr>
          <w:rFonts w:ascii="Aptos" w:hAnsi="Aptos" w:cs="Calibri"/>
          <w:sz w:val="24"/>
          <w:szCs w:val="24"/>
        </w:rPr>
      </w:pPr>
    </w:p>
    <w:p w14:paraId="415410C7" w14:textId="77777777" w:rsidR="00017EA2" w:rsidRPr="00702F1A" w:rsidRDefault="00017EA2" w:rsidP="00702F1A">
      <w:pPr>
        <w:spacing w:after="0" w:line="360" w:lineRule="auto"/>
        <w:jc w:val="center"/>
        <w:rPr>
          <w:rFonts w:ascii="Aptos" w:hAnsi="Aptos" w:cs="Calibri"/>
          <w:sz w:val="24"/>
          <w:szCs w:val="24"/>
        </w:rPr>
      </w:pPr>
    </w:p>
    <w:p w14:paraId="30584685" w14:textId="40D55FB9" w:rsidR="00DA34DC" w:rsidRPr="00702F1A" w:rsidRDefault="00187785" w:rsidP="00702F1A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 xml:space="preserve">1. </w:t>
      </w:r>
      <w:r w:rsidR="00017EA2" w:rsidRPr="00702F1A">
        <w:rPr>
          <w:rFonts w:ascii="Aptos" w:hAnsi="Aptos" w:cs="Calibri"/>
          <w:sz w:val="24"/>
          <w:szCs w:val="24"/>
        </w:rPr>
        <w:t xml:space="preserve">W związku z </w:t>
      </w:r>
      <w:r w:rsidR="00A65137" w:rsidRPr="00702F1A">
        <w:rPr>
          <w:rFonts w:ascii="Aptos" w:hAnsi="Aptos" w:cs="Calibri"/>
          <w:sz w:val="24"/>
          <w:szCs w:val="24"/>
        </w:rPr>
        <w:t>wyrokiem Europejskiego Trybunału Praw Człowieka (dalej „</w:t>
      </w:r>
      <w:proofErr w:type="spellStart"/>
      <w:r w:rsidR="00A65137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="00A65137" w:rsidRPr="00702F1A">
        <w:rPr>
          <w:rFonts w:ascii="Aptos" w:hAnsi="Aptos" w:cs="Calibri"/>
          <w:sz w:val="24"/>
          <w:szCs w:val="24"/>
        </w:rPr>
        <w:t>”</w:t>
      </w:r>
      <w:r w:rsidR="00052933" w:rsidRPr="00702F1A">
        <w:rPr>
          <w:rFonts w:ascii="Aptos" w:hAnsi="Aptos" w:cs="Calibri"/>
          <w:sz w:val="24"/>
          <w:szCs w:val="24"/>
        </w:rPr>
        <w:t xml:space="preserve"> lub „Trybunał”</w:t>
      </w:r>
      <w:r w:rsidR="00A65137" w:rsidRPr="00702F1A">
        <w:rPr>
          <w:rFonts w:ascii="Aptos" w:hAnsi="Aptos" w:cs="Calibri"/>
          <w:sz w:val="24"/>
          <w:szCs w:val="24"/>
        </w:rPr>
        <w:t xml:space="preserve">) z dnia 8 czerwca 2023 r. w sprawie </w:t>
      </w:r>
      <w:r w:rsidR="00A65137" w:rsidRPr="00702F1A">
        <w:rPr>
          <w:rFonts w:ascii="Aptos" w:hAnsi="Aptos" w:cs="Calibri"/>
          <w:i/>
          <w:iCs/>
          <w:sz w:val="24"/>
          <w:szCs w:val="24"/>
        </w:rPr>
        <w:t>Mazowiecki przeciwko Polsce</w:t>
      </w:r>
      <w:r w:rsidR="00A65137" w:rsidRPr="00702F1A">
        <w:rPr>
          <w:rFonts w:ascii="Aptos" w:hAnsi="Aptos" w:cs="Calibri"/>
          <w:sz w:val="24"/>
          <w:szCs w:val="24"/>
        </w:rPr>
        <w:t>, skarga nr 34734/13, dotycząc</w:t>
      </w:r>
      <w:r w:rsidR="00FC51A9" w:rsidRPr="00702F1A">
        <w:rPr>
          <w:rFonts w:ascii="Aptos" w:hAnsi="Aptos" w:cs="Calibri"/>
          <w:sz w:val="24"/>
          <w:szCs w:val="24"/>
        </w:rPr>
        <w:t>ym</w:t>
      </w:r>
      <w:r w:rsidR="00A65137" w:rsidRPr="00702F1A">
        <w:rPr>
          <w:rFonts w:ascii="Aptos" w:hAnsi="Aptos" w:cs="Calibri"/>
          <w:sz w:val="24"/>
          <w:szCs w:val="24"/>
        </w:rPr>
        <w:t xml:space="preserve"> problematyki </w:t>
      </w:r>
      <w:r w:rsidR="006B3D40" w:rsidRPr="00702F1A">
        <w:rPr>
          <w:rFonts w:ascii="Aptos" w:hAnsi="Aptos" w:cs="Calibri"/>
          <w:sz w:val="24"/>
          <w:szCs w:val="24"/>
        </w:rPr>
        <w:t>przeszukania mieszkania</w:t>
      </w:r>
      <w:r w:rsidR="00C159D5" w:rsidRPr="00702F1A">
        <w:rPr>
          <w:rFonts w:ascii="Aptos" w:hAnsi="Aptos" w:cs="Calibri"/>
          <w:sz w:val="24"/>
          <w:szCs w:val="24"/>
        </w:rPr>
        <w:t>, Ministerstwo Sprawiedliwości zwróciło się do Komisji Kodyfikacyjnej Prawa Karn</w:t>
      </w:r>
      <w:r w:rsidR="00DA34DC" w:rsidRPr="00702F1A">
        <w:rPr>
          <w:rFonts w:ascii="Aptos" w:hAnsi="Aptos" w:cs="Calibri"/>
          <w:sz w:val="24"/>
          <w:szCs w:val="24"/>
        </w:rPr>
        <w:t xml:space="preserve">ego o </w:t>
      </w:r>
      <w:r w:rsidR="00C159D5" w:rsidRPr="00702F1A">
        <w:rPr>
          <w:rFonts w:ascii="Aptos" w:hAnsi="Aptos" w:cs="Calibri"/>
          <w:sz w:val="24"/>
          <w:szCs w:val="24"/>
        </w:rPr>
        <w:t xml:space="preserve">przedstawienie opinii </w:t>
      </w:r>
      <w:r w:rsidR="00A41DC8" w:rsidRPr="00702F1A">
        <w:rPr>
          <w:rFonts w:ascii="Aptos" w:hAnsi="Aptos" w:cs="Calibri"/>
          <w:sz w:val="24"/>
          <w:szCs w:val="24"/>
        </w:rPr>
        <w:t xml:space="preserve">w </w:t>
      </w:r>
      <w:r w:rsidR="00B770E6" w:rsidRPr="00702F1A">
        <w:rPr>
          <w:rFonts w:ascii="Aptos" w:hAnsi="Aptos" w:cs="Calibri"/>
          <w:sz w:val="24"/>
          <w:szCs w:val="24"/>
        </w:rPr>
        <w:t>przedmiocie</w:t>
      </w:r>
      <w:r w:rsidR="00A41DC8" w:rsidRPr="00702F1A">
        <w:rPr>
          <w:rFonts w:ascii="Aptos" w:hAnsi="Aptos" w:cs="Calibri"/>
          <w:sz w:val="24"/>
          <w:szCs w:val="24"/>
        </w:rPr>
        <w:t xml:space="preserve"> </w:t>
      </w:r>
      <w:r w:rsidR="00845E04" w:rsidRPr="00702F1A">
        <w:rPr>
          <w:rFonts w:ascii="Aptos" w:hAnsi="Aptos" w:cs="Calibri"/>
          <w:sz w:val="24"/>
          <w:szCs w:val="24"/>
        </w:rPr>
        <w:t xml:space="preserve">ewentualnych zmian </w:t>
      </w:r>
      <w:r w:rsidR="00B770E6" w:rsidRPr="00702F1A">
        <w:rPr>
          <w:rFonts w:ascii="Aptos" w:hAnsi="Aptos" w:cs="Calibri"/>
          <w:sz w:val="24"/>
          <w:szCs w:val="24"/>
        </w:rPr>
        <w:t>legislacyjnych art. 220</w:t>
      </w:r>
      <w:r w:rsidR="006729D5" w:rsidRPr="00702F1A">
        <w:rPr>
          <w:rFonts w:ascii="Aptos" w:hAnsi="Aptos" w:cs="Calibri"/>
          <w:sz w:val="24"/>
          <w:szCs w:val="24"/>
        </w:rPr>
        <w:t xml:space="preserve"> § 3 k.p.k.</w:t>
      </w:r>
    </w:p>
    <w:p w14:paraId="1D6C2F50" w14:textId="54C61525" w:rsidR="007A44C7" w:rsidRPr="00702F1A" w:rsidRDefault="00187785" w:rsidP="00B34437">
      <w:pPr>
        <w:spacing w:line="360" w:lineRule="auto"/>
        <w:ind w:firstLine="709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 xml:space="preserve">2. </w:t>
      </w:r>
      <w:r w:rsidR="006729D5" w:rsidRPr="00702F1A">
        <w:rPr>
          <w:rFonts w:ascii="Aptos" w:hAnsi="Aptos" w:cs="Calibri"/>
          <w:sz w:val="24"/>
          <w:szCs w:val="24"/>
        </w:rPr>
        <w:t xml:space="preserve">Na wstępie należy odnieść się do </w:t>
      </w:r>
      <w:r w:rsidR="00C27702" w:rsidRPr="00702F1A">
        <w:rPr>
          <w:rFonts w:ascii="Aptos" w:hAnsi="Aptos" w:cs="Calibri"/>
          <w:sz w:val="24"/>
          <w:szCs w:val="24"/>
        </w:rPr>
        <w:t xml:space="preserve">stanu faktycznego, jakie legł u podstaw </w:t>
      </w:r>
      <w:r w:rsidR="006729D5" w:rsidRPr="00702F1A">
        <w:rPr>
          <w:rFonts w:ascii="Aptos" w:hAnsi="Aptos" w:cs="Calibri"/>
          <w:sz w:val="24"/>
          <w:szCs w:val="24"/>
        </w:rPr>
        <w:t xml:space="preserve">wyroku </w:t>
      </w:r>
      <w:proofErr w:type="spellStart"/>
      <w:r w:rsidR="006729D5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="006729D5" w:rsidRPr="00702F1A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sprawie Mazowiecki przeciwko Polsce</w:t>
      </w:r>
      <w:r w:rsidR="00052933" w:rsidRPr="00702F1A">
        <w:rPr>
          <w:rFonts w:ascii="Aptos" w:hAnsi="Aptos" w:cs="Calibri"/>
          <w:sz w:val="24"/>
          <w:szCs w:val="24"/>
        </w:rPr>
        <w:t xml:space="preserve"> oraz rozstrzygnięcia Trybunału</w:t>
      </w:r>
      <w:r w:rsidR="00C27702" w:rsidRPr="00702F1A">
        <w:rPr>
          <w:rFonts w:ascii="Aptos" w:hAnsi="Aptos" w:cs="Calibri"/>
          <w:sz w:val="24"/>
          <w:szCs w:val="24"/>
        </w:rPr>
        <w:t xml:space="preserve">. </w:t>
      </w:r>
      <w:r w:rsidR="00B20E85" w:rsidRPr="00702F1A">
        <w:rPr>
          <w:rFonts w:ascii="Aptos" w:hAnsi="Aptos" w:cs="Calibri"/>
          <w:sz w:val="24"/>
          <w:szCs w:val="24"/>
        </w:rPr>
        <w:t xml:space="preserve">Sprawa ta dotyczyła przeszukania domu skarżącego na </w:t>
      </w:r>
      <w:r w:rsidR="002A7E9D" w:rsidRPr="00702F1A">
        <w:rPr>
          <w:rFonts w:ascii="Aptos" w:hAnsi="Aptos" w:cs="Calibri"/>
          <w:sz w:val="24"/>
          <w:szCs w:val="24"/>
        </w:rPr>
        <w:t xml:space="preserve">etapie postępowania przygotowawczego. </w:t>
      </w:r>
      <w:r w:rsidR="00B00BF3" w:rsidRPr="00702F1A">
        <w:rPr>
          <w:rFonts w:ascii="Aptos" w:hAnsi="Aptos" w:cs="Calibri"/>
          <w:sz w:val="24"/>
          <w:szCs w:val="24"/>
        </w:rPr>
        <w:t>Żona skarżącego poinformowania policję, że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05299D" w:rsidRPr="00702F1A">
        <w:rPr>
          <w:rFonts w:ascii="Aptos" w:hAnsi="Aptos" w:cs="Calibri"/>
          <w:sz w:val="24"/>
          <w:szCs w:val="24"/>
        </w:rPr>
        <w:t>podejrzewa, iż skarżący ukradł klucze do jej mieszkania oraz egzemplarz aktu notarialnego umowy darowizny przedmiotowego mieszkania. Tego samego dnia policja przeprowadziła</w:t>
      </w:r>
      <w:r w:rsidR="00BE7C5E" w:rsidRPr="00702F1A">
        <w:rPr>
          <w:rFonts w:ascii="Aptos" w:hAnsi="Aptos" w:cs="Calibri"/>
          <w:sz w:val="24"/>
          <w:szCs w:val="24"/>
        </w:rPr>
        <w:t xml:space="preserve"> przeszukanie w domu skarżącego pod jego nieobecność.</w:t>
      </w:r>
      <w:r w:rsidR="0098118B" w:rsidRPr="00702F1A">
        <w:rPr>
          <w:rFonts w:ascii="Aptos" w:hAnsi="Aptos" w:cs="Calibri"/>
          <w:sz w:val="24"/>
          <w:szCs w:val="24"/>
        </w:rPr>
        <w:t xml:space="preserve"> W trakcie przeprowadzonego przeszukania zostały zabezpieczone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98118B" w:rsidRPr="00702F1A">
        <w:rPr>
          <w:rFonts w:ascii="Aptos" w:hAnsi="Aptos" w:cs="Calibri"/>
          <w:sz w:val="24"/>
          <w:szCs w:val="24"/>
        </w:rPr>
        <w:t>trzy komplety kluczy oraz szereg dokumentów, w tym egzemplarz wniosku o wymeldowanie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D931E0" w:rsidRPr="00702F1A">
        <w:rPr>
          <w:rFonts w:ascii="Aptos" w:hAnsi="Aptos" w:cs="Calibri"/>
          <w:sz w:val="24"/>
          <w:szCs w:val="24"/>
        </w:rPr>
        <w:t>skarżącego w drodze decyzji administracyjnej z mieszkania żony, złożonego przez nią we właściwym organie administracyjnym oraz</w:t>
      </w:r>
      <w:r w:rsidR="00044E15" w:rsidRPr="00702F1A">
        <w:rPr>
          <w:rFonts w:ascii="Aptos" w:hAnsi="Aptos" w:cs="Calibri"/>
          <w:sz w:val="24"/>
          <w:szCs w:val="24"/>
        </w:rPr>
        <w:t xml:space="preserve"> egzemplarz aktu notarialnego</w:t>
      </w:r>
      <w:r w:rsidR="00FC7D31" w:rsidRPr="00702F1A">
        <w:rPr>
          <w:rFonts w:ascii="Aptos" w:hAnsi="Aptos" w:cs="Calibri"/>
          <w:sz w:val="24"/>
          <w:szCs w:val="24"/>
        </w:rPr>
        <w:t xml:space="preserve"> </w:t>
      </w:r>
      <w:r w:rsidR="00FC7D31" w:rsidRPr="00702F1A">
        <w:rPr>
          <w:rFonts w:ascii="Aptos" w:hAnsi="Aptos"/>
          <w:sz w:val="24"/>
          <w:szCs w:val="24"/>
        </w:rPr>
        <w:t>umowy darowizny.</w:t>
      </w:r>
      <w:r w:rsidR="0024543B">
        <w:rPr>
          <w:rFonts w:ascii="Aptos" w:hAnsi="Aptos"/>
          <w:sz w:val="24"/>
          <w:szCs w:val="24"/>
        </w:rPr>
        <w:t xml:space="preserve"> </w:t>
      </w:r>
      <w:r w:rsidR="005F06F1" w:rsidRPr="00702F1A">
        <w:rPr>
          <w:rFonts w:ascii="Aptos" w:hAnsi="Aptos"/>
          <w:sz w:val="24"/>
          <w:szCs w:val="24"/>
        </w:rPr>
        <w:t>Pięć dni p</w:t>
      </w:r>
      <w:r w:rsidR="00A57853" w:rsidRPr="00702F1A">
        <w:rPr>
          <w:rFonts w:ascii="Aptos" w:hAnsi="Aptos"/>
          <w:sz w:val="24"/>
          <w:szCs w:val="24"/>
        </w:rPr>
        <w:t xml:space="preserve">o tej czynności </w:t>
      </w:r>
      <w:r w:rsidR="00C27702" w:rsidRPr="00702F1A">
        <w:rPr>
          <w:rFonts w:ascii="Aptos" w:hAnsi="Aptos" w:cs="Calibri"/>
          <w:sz w:val="24"/>
          <w:szCs w:val="24"/>
        </w:rPr>
        <w:t>wszczęto</w:t>
      </w:r>
      <w:r w:rsidR="00A57853" w:rsidRPr="00702F1A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postępowanie przygotowawcze w sprawie o czyn z art. 276 k.k.</w:t>
      </w:r>
      <w:r w:rsidR="00A57853" w:rsidRPr="00702F1A">
        <w:rPr>
          <w:rFonts w:ascii="Aptos" w:hAnsi="Aptos" w:cs="Calibri"/>
          <w:sz w:val="24"/>
          <w:szCs w:val="24"/>
        </w:rPr>
        <w:t>, zaś dwa dni później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prokurator zatwierdził przeszukanie,</w:t>
      </w:r>
      <w:r w:rsidR="00A57853" w:rsidRPr="00702F1A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uznając, że środek ten był uzasadniony pilnością i był konieczny, aby zapobiec ryzyku manipulowania dowodami w toczącym się postępowaniu przygotowawczym</w:t>
      </w:r>
      <w:r w:rsidR="007A44C7" w:rsidRPr="00702F1A">
        <w:rPr>
          <w:rFonts w:ascii="Aptos" w:hAnsi="Aptos" w:cs="Calibri"/>
          <w:sz w:val="24"/>
          <w:szCs w:val="24"/>
        </w:rPr>
        <w:t xml:space="preserve"> (§ 5 uzasadnienia wyroku). </w:t>
      </w:r>
    </w:p>
    <w:p w14:paraId="6FED1D36" w14:textId="4EF61D0B" w:rsidR="006B3D40" w:rsidRPr="00702F1A" w:rsidRDefault="007A44C7" w:rsidP="00B34437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lastRenderedPageBreak/>
        <w:t xml:space="preserve">Skarżący wniósł </w:t>
      </w:r>
      <w:r w:rsidR="002E305E" w:rsidRPr="00702F1A">
        <w:rPr>
          <w:rFonts w:ascii="Aptos" w:hAnsi="Aptos" w:cs="Calibri"/>
          <w:sz w:val="24"/>
          <w:szCs w:val="24"/>
        </w:rPr>
        <w:t xml:space="preserve">do sądu rejonowego </w:t>
      </w:r>
      <w:r w:rsidR="000E1F96" w:rsidRPr="00702F1A">
        <w:rPr>
          <w:rFonts w:ascii="Aptos" w:hAnsi="Aptos" w:cs="Calibri"/>
          <w:sz w:val="24"/>
          <w:szCs w:val="24"/>
        </w:rPr>
        <w:t xml:space="preserve">zażalenie na </w:t>
      </w:r>
      <w:r w:rsidR="002E305E" w:rsidRPr="00702F1A">
        <w:rPr>
          <w:rFonts w:ascii="Aptos" w:hAnsi="Aptos" w:cs="Calibri"/>
          <w:sz w:val="24"/>
          <w:szCs w:val="24"/>
        </w:rPr>
        <w:t>postanowienie prokuratora w przedmiocie zatwierdzenia przeszukania. Sąd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2E305E" w:rsidRPr="00702F1A">
        <w:rPr>
          <w:rFonts w:ascii="Aptos" w:hAnsi="Aptos" w:cs="Calibri"/>
          <w:sz w:val="24"/>
          <w:szCs w:val="24"/>
        </w:rPr>
        <w:t>nie podzielił zarzutów skarżącego. W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uzasadnieniu sąd przytoczył</w:t>
      </w:r>
      <w:r w:rsidR="002E305E" w:rsidRPr="00702F1A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art. 220 § 3 k.p.k. i art. 219 k.p.k.; wyjaśnił ponadto, że środek zaskarżony</w:t>
      </w:r>
      <w:r w:rsidR="002E305E" w:rsidRPr="00702F1A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przez skarżącego był uzasadniony potrzebą zweryfikowania przez policję</w:t>
      </w:r>
      <w:r w:rsidR="002E305E" w:rsidRPr="00702F1A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>zasadności popełnienia przez niego czynu z art. 276 k.k.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89208E" w:rsidRPr="00702F1A">
        <w:rPr>
          <w:rFonts w:ascii="Aptos" w:hAnsi="Aptos" w:cs="Calibri"/>
          <w:sz w:val="24"/>
          <w:szCs w:val="24"/>
        </w:rPr>
        <w:t>Miesiąc później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C27702" w:rsidRPr="00702F1A">
        <w:rPr>
          <w:rFonts w:ascii="Aptos" w:hAnsi="Aptos" w:cs="Calibri"/>
          <w:sz w:val="24"/>
          <w:szCs w:val="24"/>
        </w:rPr>
        <w:t xml:space="preserve">postępowanie przygotowawcze zostało umorzone z powodu braku znamion czynu zabronionego z </w:t>
      </w:r>
      <w:r w:rsidR="002C17C8" w:rsidRPr="00702F1A">
        <w:rPr>
          <w:rFonts w:ascii="Aptos" w:hAnsi="Aptos" w:cs="Calibri"/>
          <w:sz w:val="24"/>
          <w:szCs w:val="24"/>
        </w:rPr>
        <w:t>art.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187785" w:rsidRPr="00702F1A">
        <w:rPr>
          <w:rFonts w:ascii="Aptos" w:hAnsi="Aptos" w:cs="Calibri"/>
          <w:sz w:val="24"/>
          <w:szCs w:val="24"/>
        </w:rPr>
        <w:t>276 k.k. (§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187785" w:rsidRPr="00702F1A">
        <w:rPr>
          <w:rFonts w:ascii="Aptos" w:hAnsi="Aptos" w:cs="Calibri"/>
          <w:sz w:val="24"/>
          <w:szCs w:val="24"/>
        </w:rPr>
        <w:t>7-9).</w:t>
      </w:r>
      <w:r w:rsidR="00052933" w:rsidRPr="00702F1A">
        <w:rPr>
          <w:rFonts w:ascii="Aptos" w:hAnsi="Aptos" w:cs="Calibri"/>
          <w:sz w:val="24"/>
          <w:szCs w:val="24"/>
        </w:rPr>
        <w:t xml:space="preserve"> </w:t>
      </w:r>
    </w:p>
    <w:p w14:paraId="2951AF56" w14:textId="53954767" w:rsidR="00CB0070" w:rsidRPr="00702F1A" w:rsidRDefault="00052933" w:rsidP="00702F1A">
      <w:pPr>
        <w:spacing w:line="360" w:lineRule="auto"/>
        <w:ind w:firstLine="360"/>
        <w:jc w:val="both"/>
        <w:rPr>
          <w:rFonts w:ascii="Aptos" w:hAnsi="Aptos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 xml:space="preserve"> </w:t>
      </w:r>
      <w:r w:rsidR="00CB0070" w:rsidRPr="00702F1A">
        <w:rPr>
          <w:rFonts w:ascii="Aptos" w:hAnsi="Aptos" w:cs="Calibri"/>
          <w:sz w:val="24"/>
          <w:szCs w:val="24"/>
        </w:rPr>
        <w:tab/>
      </w:r>
      <w:r w:rsidRPr="00052933">
        <w:rPr>
          <w:rFonts w:ascii="Aptos" w:hAnsi="Aptos" w:cs="Calibri"/>
          <w:sz w:val="24"/>
          <w:szCs w:val="24"/>
        </w:rPr>
        <w:t xml:space="preserve">Powołując się na art. 8 </w:t>
      </w:r>
      <w:r w:rsidR="00CB0070" w:rsidRPr="00702F1A">
        <w:rPr>
          <w:rFonts w:ascii="Aptos" w:hAnsi="Aptos" w:cs="Calibri"/>
          <w:sz w:val="24"/>
          <w:szCs w:val="24"/>
        </w:rPr>
        <w:t>Europejskiej Konwencji Praw Człowieka</w:t>
      </w:r>
      <w:r w:rsidR="0012034F" w:rsidRPr="00702F1A">
        <w:rPr>
          <w:rFonts w:ascii="Aptos" w:hAnsi="Aptos" w:cs="Calibri"/>
          <w:sz w:val="24"/>
          <w:szCs w:val="24"/>
        </w:rPr>
        <w:t xml:space="preserve"> (dalej: „EKPCz”)</w:t>
      </w:r>
      <w:r w:rsidRPr="00052933">
        <w:rPr>
          <w:rFonts w:ascii="Aptos" w:hAnsi="Aptos" w:cs="Calibri"/>
          <w:sz w:val="24"/>
          <w:szCs w:val="24"/>
        </w:rPr>
        <w:t>, skarżący zarzucił, że przeszukanie jego</w:t>
      </w:r>
      <w:r w:rsidR="00CB0070" w:rsidRPr="00702F1A">
        <w:rPr>
          <w:rFonts w:ascii="Aptos" w:hAnsi="Aptos" w:cs="Calibri"/>
          <w:sz w:val="24"/>
          <w:szCs w:val="24"/>
        </w:rPr>
        <w:t xml:space="preserve"> </w:t>
      </w:r>
      <w:r w:rsidRPr="00052933">
        <w:rPr>
          <w:rFonts w:ascii="Aptos" w:hAnsi="Aptos" w:cs="Calibri"/>
          <w:sz w:val="24"/>
          <w:szCs w:val="24"/>
        </w:rPr>
        <w:t>domu i zajęcie rzeczy przez władze naruszyło przysługujące mu prawo do</w:t>
      </w:r>
      <w:r w:rsidR="00CB0070" w:rsidRPr="00702F1A">
        <w:rPr>
          <w:rFonts w:ascii="Aptos" w:hAnsi="Aptos" w:cs="Calibri"/>
          <w:sz w:val="24"/>
          <w:szCs w:val="24"/>
        </w:rPr>
        <w:t xml:space="preserve"> </w:t>
      </w:r>
      <w:r w:rsidRPr="00702F1A">
        <w:rPr>
          <w:rFonts w:ascii="Aptos" w:hAnsi="Aptos" w:cs="Calibri"/>
          <w:sz w:val="24"/>
          <w:szCs w:val="24"/>
        </w:rPr>
        <w:t xml:space="preserve">poszanowania jego mieszkania i poufności jego kontaktów z </w:t>
      </w:r>
      <w:r w:rsidR="00CB0070" w:rsidRPr="00702F1A">
        <w:rPr>
          <w:rFonts w:ascii="Aptos" w:hAnsi="Aptos" w:cs="Calibri"/>
          <w:sz w:val="24"/>
          <w:szCs w:val="24"/>
        </w:rPr>
        <w:t xml:space="preserve">adwokatem. </w:t>
      </w:r>
      <w:r w:rsidR="0012034F" w:rsidRPr="00702F1A">
        <w:rPr>
          <w:rFonts w:ascii="Aptos" w:hAnsi="Aptos" w:cs="Calibri"/>
          <w:sz w:val="24"/>
          <w:szCs w:val="24"/>
        </w:rPr>
        <w:t>W</w:t>
      </w:r>
      <w:r w:rsidR="00770B2D" w:rsidRPr="00702F1A">
        <w:rPr>
          <w:rFonts w:ascii="Aptos" w:hAnsi="Aptos" w:cs="Calibri"/>
          <w:sz w:val="24"/>
          <w:szCs w:val="24"/>
        </w:rPr>
        <w:t xml:space="preserve"> zakresie drugie</w:t>
      </w:r>
      <w:r w:rsidR="0024543B">
        <w:rPr>
          <w:rFonts w:ascii="Aptos" w:hAnsi="Aptos" w:cs="Calibri"/>
          <w:sz w:val="24"/>
          <w:szCs w:val="24"/>
        </w:rPr>
        <w:t>go</w:t>
      </w:r>
      <w:r w:rsidR="00770B2D" w:rsidRPr="00702F1A">
        <w:rPr>
          <w:rFonts w:ascii="Aptos" w:hAnsi="Aptos" w:cs="Calibri"/>
          <w:sz w:val="24"/>
          <w:szCs w:val="24"/>
        </w:rPr>
        <w:t xml:space="preserve"> ze wskazanych </w:t>
      </w:r>
      <w:r w:rsidR="0012034F" w:rsidRPr="00702F1A">
        <w:rPr>
          <w:rFonts w:ascii="Aptos" w:hAnsi="Aptos" w:cs="Calibri"/>
          <w:sz w:val="24"/>
          <w:szCs w:val="24"/>
        </w:rPr>
        <w:t>zarzutów Trybunał uznał, że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770B2D" w:rsidRPr="00702F1A">
        <w:rPr>
          <w:rFonts w:ascii="Aptos" w:hAnsi="Aptos" w:cs="Calibri"/>
          <w:sz w:val="24"/>
          <w:szCs w:val="24"/>
        </w:rPr>
        <w:t xml:space="preserve">skarga </w:t>
      </w:r>
      <w:r w:rsidR="0012034F" w:rsidRPr="00702F1A">
        <w:rPr>
          <w:rFonts w:ascii="Aptos" w:hAnsi="Aptos" w:cs="Calibri"/>
          <w:sz w:val="24"/>
          <w:szCs w:val="24"/>
        </w:rPr>
        <w:t xml:space="preserve">jest </w:t>
      </w:r>
      <w:r w:rsidR="00770B2D" w:rsidRPr="00702F1A">
        <w:rPr>
          <w:rFonts w:ascii="Aptos" w:hAnsi="Aptos" w:cs="Calibri"/>
          <w:sz w:val="24"/>
          <w:szCs w:val="24"/>
        </w:rPr>
        <w:t>niedopuszczalna z uwagi na to, że skarżący nie wykazał, które z dokumentów zabezpieczonych przez władze podczas przedmiotowego przeszukania miały dotyczyć kontaktów</w:t>
      </w:r>
      <w:r w:rsidR="0012034F" w:rsidRPr="00702F1A">
        <w:rPr>
          <w:rFonts w:ascii="Aptos" w:hAnsi="Aptos" w:cs="Calibri"/>
          <w:sz w:val="24"/>
          <w:szCs w:val="24"/>
        </w:rPr>
        <w:t xml:space="preserve"> z adwokatem. W konsekwencji </w:t>
      </w:r>
      <w:proofErr w:type="spellStart"/>
      <w:r w:rsidR="0012034F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="0012034F" w:rsidRPr="00702F1A">
        <w:rPr>
          <w:rFonts w:ascii="Aptos" w:hAnsi="Aptos" w:cs="Calibri"/>
          <w:sz w:val="24"/>
          <w:szCs w:val="24"/>
        </w:rPr>
        <w:t xml:space="preserve"> uznał w tym zakresie </w:t>
      </w:r>
      <w:r w:rsidR="00770B2D" w:rsidRPr="00702F1A">
        <w:rPr>
          <w:rFonts w:ascii="Aptos" w:hAnsi="Aptos" w:cs="Calibri"/>
          <w:sz w:val="24"/>
          <w:szCs w:val="24"/>
        </w:rPr>
        <w:t xml:space="preserve">skargę za oczywiście nieuzasadnioną i </w:t>
      </w:r>
      <w:r w:rsidR="0012034F" w:rsidRPr="00702F1A">
        <w:rPr>
          <w:rFonts w:ascii="Aptos" w:hAnsi="Aptos" w:cs="Calibri"/>
          <w:sz w:val="24"/>
          <w:szCs w:val="24"/>
        </w:rPr>
        <w:t>oddalił</w:t>
      </w:r>
      <w:r w:rsidR="00770B2D" w:rsidRPr="00702F1A">
        <w:rPr>
          <w:rFonts w:ascii="Aptos" w:hAnsi="Aptos" w:cs="Calibri"/>
          <w:sz w:val="24"/>
          <w:szCs w:val="24"/>
        </w:rPr>
        <w:t xml:space="preserve"> ją na podstawie art. 35 ust. 3 lit. a) i art. 35 ust. 4 </w:t>
      </w:r>
      <w:r w:rsidR="0012034F" w:rsidRPr="00702F1A">
        <w:rPr>
          <w:rFonts w:ascii="Aptos" w:hAnsi="Aptos" w:cs="Calibri"/>
          <w:sz w:val="24"/>
          <w:szCs w:val="24"/>
        </w:rPr>
        <w:t>EKPCz</w:t>
      </w:r>
      <w:r w:rsidR="00DF230F" w:rsidRPr="00702F1A">
        <w:rPr>
          <w:rFonts w:ascii="Aptos" w:hAnsi="Aptos" w:cs="Calibri"/>
          <w:sz w:val="24"/>
          <w:szCs w:val="24"/>
        </w:rPr>
        <w:t xml:space="preserve"> (</w:t>
      </w:r>
      <w:r w:rsidR="00FB7F8C" w:rsidRPr="00702F1A">
        <w:rPr>
          <w:rFonts w:ascii="Aptos" w:hAnsi="Aptos" w:cs="Calibri"/>
          <w:sz w:val="24"/>
          <w:szCs w:val="24"/>
        </w:rPr>
        <w:t>§</w:t>
      </w:r>
      <w:r w:rsidR="00FB7F8C" w:rsidRPr="00702F1A">
        <w:rPr>
          <w:rFonts w:ascii="Aptos" w:hAnsi="Aptos"/>
          <w:sz w:val="24"/>
          <w:szCs w:val="24"/>
        </w:rPr>
        <w:t xml:space="preserve"> 11).</w:t>
      </w:r>
    </w:p>
    <w:p w14:paraId="4364A438" w14:textId="65A14C72" w:rsidR="0091505B" w:rsidRPr="00702F1A" w:rsidRDefault="007766E3" w:rsidP="00702F1A">
      <w:pPr>
        <w:spacing w:line="360" w:lineRule="auto"/>
        <w:ind w:firstLine="360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ab/>
      </w:r>
      <w:r w:rsidR="00971A6C" w:rsidRPr="00702F1A">
        <w:rPr>
          <w:rFonts w:ascii="Aptos" w:hAnsi="Aptos" w:cs="Calibri"/>
          <w:sz w:val="24"/>
          <w:szCs w:val="24"/>
        </w:rPr>
        <w:t>Trybunał, o</w:t>
      </w:r>
      <w:r w:rsidR="00DF230F" w:rsidRPr="00702F1A">
        <w:rPr>
          <w:rFonts w:ascii="Aptos" w:hAnsi="Aptos" w:cs="Calibri"/>
          <w:sz w:val="24"/>
          <w:szCs w:val="24"/>
        </w:rPr>
        <w:t xml:space="preserve">dnosząc się </w:t>
      </w:r>
      <w:r w:rsidR="00FB7F8C" w:rsidRPr="00702F1A">
        <w:rPr>
          <w:rFonts w:ascii="Aptos" w:hAnsi="Aptos" w:cs="Calibri"/>
          <w:sz w:val="24"/>
          <w:szCs w:val="24"/>
        </w:rPr>
        <w:t>do</w:t>
      </w:r>
      <w:r w:rsidR="00845E04" w:rsidRPr="00702F1A">
        <w:rPr>
          <w:rFonts w:ascii="Aptos" w:hAnsi="Aptos" w:cs="Calibri"/>
          <w:sz w:val="24"/>
          <w:szCs w:val="24"/>
        </w:rPr>
        <w:t xml:space="preserve"> </w:t>
      </w:r>
      <w:r w:rsidR="00971A6C" w:rsidRPr="00702F1A">
        <w:rPr>
          <w:rFonts w:ascii="Aptos" w:hAnsi="Aptos" w:cs="Calibri"/>
          <w:sz w:val="24"/>
          <w:szCs w:val="24"/>
        </w:rPr>
        <w:t>zarzutu</w:t>
      </w:r>
      <w:r w:rsidR="00390BFB" w:rsidRPr="00702F1A">
        <w:rPr>
          <w:rFonts w:ascii="Aptos" w:hAnsi="Aptos" w:cs="Calibri"/>
          <w:sz w:val="24"/>
          <w:szCs w:val="24"/>
        </w:rPr>
        <w:t xml:space="preserve"> naruszenia prawa do poszanowania mieszkania skarżącego wskazał, że</w:t>
      </w:r>
      <w:r w:rsidR="00DF230F" w:rsidRPr="00702F1A">
        <w:rPr>
          <w:rFonts w:ascii="Aptos" w:hAnsi="Aptos" w:cs="Calibri"/>
          <w:sz w:val="24"/>
          <w:szCs w:val="24"/>
        </w:rPr>
        <w:t xml:space="preserve"> doszło do ingerencji </w:t>
      </w:r>
      <w:r w:rsidR="007F791E" w:rsidRPr="00702F1A">
        <w:rPr>
          <w:rFonts w:ascii="Aptos" w:hAnsi="Aptos" w:cs="Calibri"/>
          <w:sz w:val="24"/>
          <w:szCs w:val="24"/>
        </w:rPr>
        <w:t xml:space="preserve">w to prawo, </w:t>
      </w:r>
      <w:r w:rsidR="00B34437">
        <w:rPr>
          <w:rFonts w:ascii="Aptos" w:hAnsi="Aptos" w:cs="Calibri"/>
          <w:sz w:val="24"/>
          <w:szCs w:val="24"/>
        </w:rPr>
        <w:t>które jest chronione przez</w:t>
      </w:r>
      <w:r w:rsidR="007F791E" w:rsidRPr="00702F1A">
        <w:rPr>
          <w:rFonts w:ascii="Aptos" w:hAnsi="Aptos" w:cs="Calibri"/>
          <w:sz w:val="24"/>
          <w:szCs w:val="24"/>
        </w:rPr>
        <w:t xml:space="preserve"> art. 8 EKPCz. </w:t>
      </w:r>
      <w:r w:rsidR="00042F05" w:rsidRPr="00702F1A">
        <w:rPr>
          <w:rFonts w:ascii="Aptos" w:hAnsi="Aptos" w:cs="Calibri"/>
          <w:sz w:val="24"/>
          <w:szCs w:val="24"/>
        </w:rPr>
        <w:t>W</w:t>
      </w:r>
      <w:r w:rsidR="000C7AF8" w:rsidRPr="00702F1A">
        <w:rPr>
          <w:rFonts w:ascii="Aptos" w:hAnsi="Aptos" w:cs="Calibri"/>
          <w:sz w:val="24"/>
          <w:szCs w:val="24"/>
        </w:rPr>
        <w:t>ątpliwe było w jego ocenie</w:t>
      </w:r>
      <w:r w:rsidR="00042F05" w:rsidRPr="00702F1A">
        <w:rPr>
          <w:rFonts w:ascii="Aptos" w:hAnsi="Aptos" w:cs="Calibri"/>
          <w:sz w:val="24"/>
          <w:szCs w:val="24"/>
        </w:rPr>
        <w:t xml:space="preserve"> </w:t>
      </w:r>
      <w:r w:rsidR="000C7AF8" w:rsidRPr="00702F1A">
        <w:rPr>
          <w:rFonts w:ascii="Aptos" w:hAnsi="Aptos" w:cs="Calibri"/>
          <w:sz w:val="24"/>
          <w:szCs w:val="24"/>
        </w:rPr>
        <w:t xml:space="preserve">wyłącznie to, czy ingerencja ta była uzasadniona w świetle art. 8 ust. 2 </w:t>
      </w:r>
      <w:r w:rsidR="00042F05" w:rsidRPr="00702F1A">
        <w:rPr>
          <w:rFonts w:ascii="Aptos" w:hAnsi="Aptos" w:cs="Calibri"/>
          <w:sz w:val="24"/>
          <w:szCs w:val="24"/>
        </w:rPr>
        <w:t>EKPCz</w:t>
      </w:r>
      <w:r w:rsidR="000C7AF8" w:rsidRPr="00702F1A">
        <w:rPr>
          <w:rFonts w:ascii="Aptos" w:hAnsi="Aptos" w:cs="Calibri"/>
          <w:sz w:val="24"/>
          <w:szCs w:val="24"/>
        </w:rPr>
        <w:t>, tj. w szczególności, czy była „przewidziana przez prawo”, realizowała</w:t>
      </w:r>
      <w:r w:rsidR="00042F05" w:rsidRPr="00702F1A">
        <w:rPr>
          <w:rFonts w:ascii="Aptos" w:hAnsi="Aptos" w:cs="Calibri"/>
          <w:sz w:val="24"/>
          <w:szCs w:val="24"/>
        </w:rPr>
        <w:t xml:space="preserve"> </w:t>
      </w:r>
      <w:r w:rsidR="000C7AF8" w:rsidRPr="00702F1A">
        <w:rPr>
          <w:rFonts w:ascii="Aptos" w:hAnsi="Aptos" w:cs="Calibri"/>
          <w:sz w:val="24"/>
          <w:szCs w:val="24"/>
        </w:rPr>
        <w:t>jeden lub więcej uprawnionych celów i czy była „konieczna” do osiągnięcia</w:t>
      </w:r>
      <w:r w:rsidR="00042F05" w:rsidRPr="00702F1A">
        <w:rPr>
          <w:rFonts w:ascii="Aptos" w:hAnsi="Aptos" w:cs="Calibri"/>
          <w:sz w:val="24"/>
          <w:szCs w:val="24"/>
        </w:rPr>
        <w:t xml:space="preserve"> </w:t>
      </w:r>
      <w:r w:rsidR="000C7AF8" w:rsidRPr="00702F1A">
        <w:rPr>
          <w:rFonts w:ascii="Aptos" w:hAnsi="Aptos" w:cs="Calibri"/>
          <w:sz w:val="24"/>
          <w:szCs w:val="24"/>
        </w:rPr>
        <w:t>tego lub tych celów</w:t>
      </w:r>
      <w:r w:rsidR="00A0756C" w:rsidRPr="00702F1A">
        <w:rPr>
          <w:rFonts w:ascii="Aptos" w:hAnsi="Aptos" w:cs="Calibri"/>
          <w:sz w:val="24"/>
          <w:szCs w:val="24"/>
        </w:rPr>
        <w:t xml:space="preserve"> (§ 14)</w:t>
      </w:r>
      <w:r w:rsidR="000C7AF8" w:rsidRPr="00702F1A">
        <w:rPr>
          <w:rFonts w:ascii="Aptos" w:hAnsi="Aptos" w:cs="Calibri"/>
          <w:sz w:val="24"/>
          <w:szCs w:val="24"/>
        </w:rPr>
        <w:t>.</w:t>
      </w:r>
      <w:r w:rsidR="006E1D67" w:rsidRPr="00702F1A">
        <w:rPr>
          <w:rFonts w:ascii="Aptos" w:hAnsi="Aptos" w:cs="Calibri"/>
          <w:sz w:val="24"/>
          <w:szCs w:val="24"/>
        </w:rPr>
        <w:t xml:space="preserve"> Odwołując się do swoich wcześniejszych rozstrzygnięć</w:t>
      </w:r>
      <w:r w:rsidR="006E1D67" w:rsidRPr="00702F1A">
        <w:rPr>
          <w:rStyle w:val="Odwoanieprzypisudolnego"/>
          <w:rFonts w:ascii="Aptos" w:hAnsi="Aptos" w:cs="Calibri"/>
          <w:sz w:val="24"/>
          <w:szCs w:val="24"/>
        </w:rPr>
        <w:footnoteReference w:id="1"/>
      </w:r>
      <w:r w:rsidR="006E1D67" w:rsidRPr="00702F1A">
        <w:rPr>
          <w:rFonts w:ascii="Aptos" w:hAnsi="Aptos" w:cs="Calibri"/>
          <w:sz w:val="24"/>
          <w:szCs w:val="24"/>
        </w:rPr>
        <w:t xml:space="preserve"> Trybunał podniósł, że przedmiotowe przeszukanie i zajęcie przeprowadzono bez uprzedniego postanowienia sądu, zgodnie z art. 220 § 3 k.p.k., który upoważnia</w:t>
      </w:r>
      <w:r w:rsidR="002979A5" w:rsidRPr="00702F1A">
        <w:rPr>
          <w:rFonts w:ascii="Aptos" w:hAnsi="Aptos" w:cs="Calibri"/>
          <w:sz w:val="24"/>
          <w:szCs w:val="24"/>
        </w:rPr>
        <w:t xml:space="preserve"> </w:t>
      </w:r>
      <w:r w:rsidR="006E1D67" w:rsidRPr="00702F1A">
        <w:rPr>
          <w:rFonts w:ascii="Aptos" w:hAnsi="Aptos" w:cs="Calibri"/>
          <w:sz w:val="24"/>
          <w:szCs w:val="24"/>
        </w:rPr>
        <w:t xml:space="preserve">organy dochodzeniowe do wdrożenia przedmiotowych środków „w wypadkach niecierpiących zwłoki”. </w:t>
      </w:r>
      <w:proofErr w:type="spellStart"/>
      <w:r w:rsidR="00B34437">
        <w:rPr>
          <w:rFonts w:ascii="Aptos" w:hAnsi="Aptos" w:cs="Calibri"/>
          <w:sz w:val="24"/>
          <w:szCs w:val="24"/>
        </w:rPr>
        <w:t>ETPCz</w:t>
      </w:r>
      <w:proofErr w:type="spellEnd"/>
      <w:r w:rsidR="00B34437">
        <w:rPr>
          <w:rFonts w:ascii="Aptos" w:hAnsi="Aptos" w:cs="Calibri"/>
          <w:sz w:val="24"/>
          <w:szCs w:val="24"/>
        </w:rPr>
        <w:t xml:space="preserve"> z</w:t>
      </w:r>
      <w:r w:rsidR="006E1D67" w:rsidRPr="00702F1A">
        <w:rPr>
          <w:rFonts w:ascii="Aptos" w:hAnsi="Aptos" w:cs="Calibri"/>
          <w:sz w:val="24"/>
          <w:szCs w:val="24"/>
        </w:rPr>
        <w:t>auważył również, że brzmienie tego przepisu</w:t>
      </w:r>
      <w:r w:rsidR="002979A5" w:rsidRPr="00702F1A">
        <w:rPr>
          <w:rFonts w:ascii="Aptos" w:hAnsi="Aptos" w:cs="Calibri"/>
          <w:sz w:val="24"/>
          <w:szCs w:val="24"/>
        </w:rPr>
        <w:t xml:space="preserve"> </w:t>
      </w:r>
      <w:r w:rsidR="006E1D67" w:rsidRPr="00702F1A">
        <w:rPr>
          <w:rFonts w:ascii="Aptos" w:hAnsi="Aptos" w:cs="Calibri"/>
          <w:sz w:val="24"/>
          <w:szCs w:val="24"/>
        </w:rPr>
        <w:t xml:space="preserve">w praktyce pozostawia władzom szeroki margines oceny konieczności i zakresu przeszukań </w:t>
      </w:r>
      <w:r w:rsidR="00B34437">
        <w:rPr>
          <w:rFonts w:ascii="Aptos" w:hAnsi="Aptos" w:cs="Calibri"/>
          <w:sz w:val="24"/>
          <w:szCs w:val="24"/>
        </w:rPr>
        <w:t>oraz</w:t>
      </w:r>
      <w:r w:rsidR="006E1D67" w:rsidRPr="00702F1A">
        <w:rPr>
          <w:rFonts w:ascii="Aptos" w:hAnsi="Aptos" w:cs="Calibri"/>
          <w:sz w:val="24"/>
          <w:szCs w:val="24"/>
        </w:rPr>
        <w:t xml:space="preserve"> zaję</w:t>
      </w:r>
      <w:r w:rsidR="002979A5" w:rsidRPr="00702F1A">
        <w:rPr>
          <w:rFonts w:ascii="Aptos" w:hAnsi="Aptos" w:cs="Calibri"/>
          <w:sz w:val="24"/>
          <w:szCs w:val="24"/>
        </w:rPr>
        <w:t>ć</w:t>
      </w:r>
      <w:r w:rsidR="001B0A40" w:rsidRPr="00702F1A">
        <w:rPr>
          <w:rFonts w:ascii="Aptos" w:hAnsi="Aptos" w:cs="Calibri"/>
          <w:sz w:val="24"/>
          <w:szCs w:val="24"/>
        </w:rPr>
        <w:t>.</w:t>
      </w:r>
      <w:r w:rsidR="0002331E" w:rsidRPr="00702F1A">
        <w:rPr>
          <w:rFonts w:ascii="Aptos" w:hAnsi="Aptos" w:cs="Calibri"/>
          <w:sz w:val="24"/>
          <w:szCs w:val="24"/>
        </w:rPr>
        <w:t xml:space="preserve"> Trybunał </w:t>
      </w:r>
      <w:r w:rsidR="0002331E" w:rsidRPr="00702F1A">
        <w:rPr>
          <w:rFonts w:ascii="Aptos" w:hAnsi="Aptos" w:cs="Calibri"/>
          <w:sz w:val="24"/>
          <w:szCs w:val="24"/>
        </w:rPr>
        <w:lastRenderedPageBreak/>
        <w:t>dodał jednocześnie, że</w:t>
      </w:r>
      <w:r w:rsidR="00B34437">
        <w:rPr>
          <w:rFonts w:ascii="Aptos" w:hAnsi="Aptos" w:cs="Calibri"/>
          <w:sz w:val="24"/>
          <w:szCs w:val="24"/>
        </w:rPr>
        <w:t xml:space="preserve"> o</w:t>
      </w:r>
      <w:r w:rsidR="0002331E" w:rsidRPr="00702F1A">
        <w:rPr>
          <w:rFonts w:ascii="Aptos" w:hAnsi="Aptos" w:cs="Calibri"/>
          <w:sz w:val="24"/>
          <w:szCs w:val="24"/>
        </w:rPr>
        <w:t xml:space="preserve"> </w:t>
      </w:r>
      <w:r w:rsidR="001B0A40" w:rsidRPr="00702F1A">
        <w:rPr>
          <w:rFonts w:ascii="Aptos" w:hAnsi="Aptos" w:cs="Calibri"/>
          <w:sz w:val="24"/>
          <w:szCs w:val="24"/>
        </w:rPr>
        <w:t>ile brak nakazu przeszukania lub zajęcia można zostać zrównoważony następczą kontrolą sądową zgodności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1B0A40" w:rsidRPr="00702F1A">
        <w:rPr>
          <w:rFonts w:ascii="Aptos" w:hAnsi="Aptos" w:cs="Calibri"/>
          <w:sz w:val="24"/>
          <w:szCs w:val="24"/>
        </w:rPr>
        <w:t>z prawem i konieczności takich środków dochodzeniowych</w:t>
      </w:r>
      <w:r w:rsidR="0002331E" w:rsidRPr="00702F1A">
        <w:rPr>
          <w:rStyle w:val="Odwoanieprzypisudolnego"/>
          <w:rFonts w:ascii="Aptos" w:hAnsi="Aptos" w:cs="Calibri"/>
          <w:sz w:val="24"/>
          <w:szCs w:val="24"/>
        </w:rPr>
        <w:footnoteReference w:id="2"/>
      </w:r>
      <w:r w:rsidR="001B0A40" w:rsidRPr="00702F1A">
        <w:rPr>
          <w:rFonts w:ascii="Aptos" w:hAnsi="Aptos" w:cs="Calibri"/>
          <w:sz w:val="24"/>
          <w:szCs w:val="24"/>
        </w:rPr>
        <w:t>, to kontrola ta musi być skuteczna</w:t>
      </w:r>
      <w:r w:rsidR="0002331E" w:rsidRPr="00702F1A">
        <w:rPr>
          <w:rStyle w:val="Odwoanieprzypisudolnego"/>
          <w:rFonts w:ascii="Aptos" w:hAnsi="Aptos" w:cs="Calibri"/>
          <w:sz w:val="24"/>
          <w:szCs w:val="24"/>
        </w:rPr>
        <w:footnoteReference w:id="3"/>
      </w:r>
      <w:r w:rsidR="001B0A40" w:rsidRPr="00702F1A">
        <w:rPr>
          <w:rFonts w:ascii="Aptos" w:hAnsi="Aptos" w:cs="Calibri"/>
          <w:sz w:val="24"/>
          <w:szCs w:val="24"/>
        </w:rPr>
        <w:t xml:space="preserve">. Orzecznictwo </w:t>
      </w:r>
      <w:proofErr w:type="spellStart"/>
      <w:r w:rsidR="00EA1C0F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="001B0A40" w:rsidRPr="00702F1A">
        <w:rPr>
          <w:rFonts w:ascii="Aptos" w:hAnsi="Aptos" w:cs="Calibri"/>
          <w:sz w:val="24"/>
          <w:szCs w:val="24"/>
        </w:rPr>
        <w:t xml:space="preserve"> w tym zakresie wskazuje, że sporządzenie postanowienia sądu w następstwie przeprowadzonej w ten sposób kontroli, choć konieczne</w:t>
      </w:r>
      <w:r w:rsidR="00EA1C0F" w:rsidRPr="00702F1A">
        <w:rPr>
          <w:rFonts w:ascii="Aptos" w:hAnsi="Aptos" w:cs="Calibri"/>
          <w:sz w:val="24"/>
          <w:szCs w:val="24"/>
        </w:rPr>
        <w:t>,</w:t>
      </w:r>
      <w:r w:rsidR="001B0A40" w:rsidRPr="00702F1A">
        <w:rPr>
          <w:rFonts w:ascii="Aptos" w:hAnsi="Aptos" w:cs="Calibri"/>
          <w:sz w:val="24"/>
          <w:szCs w:val="24"/>
        </w:rPr>
        <w:t xml:space="preserve"> nie jest </w:t>
      </w:r>
      <w:r w:rsidR="00582B1D" w:rsidRPr="00702F1A">
        <w:rPr>
          <w:rFonts w:ascii="Aptos" w:hAnsi="Aptos" w:cs="Calibri"/>
          <w:sz w:val="24"/>
          <w:szCs w:val="24"/>
        </w:rPr>
        <w:t>wystarczające</w:t>
      </w:r>
      <w:r w:rsidR="0091505B" w:rsidRPr="00702F1A">
        <w:rPr>
          <w:rFonts w:ascii="Aptos" w:hAnsi="Aptos" w:cs="Calibri"/>
          <w:sz w:val="24"/>
          <w:szCs w:val="24"/>
        </w:rPr>
        <w:t>, lecz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1B0A40" w:rsidRPr="00702F1A">
        <w:rPr>
          <w:rFonts w:ascii="Aptos" w:hAnsi="Aptos" w:cs="Calibri"/>
          <w:sz w:val="24"/>
          <w:szCs w:val="24"/>
        </w:rPr>
        <w:t>takie postanowienie musi również odzwierciedlać skuteczne zbadanie pilności sprawy przez sąd i przedstawiać argumenty w tym zakresie</w:t>
      </w:r>
      <w:r w:rsidR="0091505B" w:rsidRPr="00702F1A">
        <w:rPr>
          <w:rStyle w:val="Odwoanieprzypisudolnego"/>
          <w:rFonts w:ascii="Aptos" w:hAnsi="Aptos" w:cs="Calibri"/>
          <w:sz w:val="24"/>
          <w:szCs w:val="24"/>
        </w:rPr>
        <w:footnoteReference w:id="4"/>
      </w:r>
      <w:r w:rsidR="000506F1" w:rsidRPr="00702F1A">
        <w:rPr>
          <w:rFonts w:ascii="Aptos" w:hAnsi="Aptos" w:cs="Calibri"/>
          <w:sz w:val="24"/>
          <w:szCs w:val="24"/>
        </w:rPr>
        <w:t>.</w:t>
      </w:r>
    </w:p>
    <w:p w14:paraId="7172A4A7" w14:textId="73AB47A9" w:rsidR="00D13312" w:rsidRPr="00702F1A" w:rsidRDefault="00B34437" w:rsidP="00B34437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Trybunał</w:t>
      </w:r>
      <w:r>
        <w:rPr>
          <w:rFonts w:ascii="Aptos" w:hAnsi="Aptos" w:cs="Calibri"/>
          <w:sz w:val="24"/>
          <w:szCs w:val="24"/>
        </w:rPr>
        <w:t>, o</w:t>
      </w:r>
      <w:r w:rsidR="002031F6" w:rsidRPr="00702F1A">
        <w:rPr>
          <w:rFonts w:ascii="Aptos" w:hAnsi="Aptos" w:cs="Calibri"/>
          <w:sz w:val="24"/>
          <w:szCs w:val="24"/>
        </w:rPr>
        <w:t>dnosząc się do stanu faktycznego sprawy</w:t>
      </w:r>
      <w:r>
        <w:rPr>
          <w:rFonts w:ascii="Aptos" w:hAnsi="Aptos" w:cs="Calibri"/>
          <w:sz w:val="24"/>
          <w:szCs w:val="24"/>
        </w:rPr>
        <w:t>,</w:t>
      </w:r>
      <w:r w:rsidR="002031F6" w:rsidRPr="00702F1A">
        <w:rPr>
          <w:rFonts w:ascii="Aptos" w:hAnsi="Aptos" w:cs="Calibri"/>
          <w:sz w:val="24"/>
          <w:szCs w:val="24"/>
        </w:rPr>
        <w:t xml:space="preserve"> </w:t>
      </w:r>
      <w:r w:rsidR="002D4BD7" w:rsidRPr="00702F1A">
        <w:rPr>
          <w:rFonts w:ascii="Aptos" w:hAnsi="Aptos" w:cs="Calibri"/>
          <w:sz w:val="24"/>
          <w:szCs w:val="24"/>
        </w:rPr>
        <w:t>stwierdzi</w:t>
      </w:r>
      <w:r>
        <w:rPr>
          <w:rFonts w:ascii="Aptos" w:hAnsi="Aptos" w:cs="Calibri"/>
          <w:sz w:val="24"/>
          <w:szCs w:val="24"/>
        </w:rPr>
        <w:t>ł</w:t>
      </w:r>
      <w:r w:rsidR="002D4BD7" w:rsidRPr="00702F1A">
        <w:rPr>
          <w:rFonts w:ascii="Aptos" w:hAnsi="Aptos" w:cs="Calibri"/>
          <w:sz w:val="24"/>
          <w:szCs w:val="24"/>
        </w:rPr>
        <w:t xml:space="preserve">, że </w:t>
      </w:r>
      <w:r w:rsidR="00634548" w:rsidRPr="00702F1A">
        <w:rPr>
          <w:rFonts w:ascii="Aptos" w:hAnsi="Aptos" w:cs="Calibri"/>
          <w:sz w:val="24"/>
          <w:szCs w:val="24"/>
        </w:rPr>
        <w:t xml:space="preserve">wprawdzie </w:t>
      </w:r>
      <w:r w:rsidR="002031F6" w:rsidRPr="00702F1A">
        <w:rPr>
          <w:rFonts w:ascii="Aptos" w:hAnsi="Aptos" w:cs="Calibri"/>
          <w:sz w:val="24"/>
          <w:szCs w:val="24"/>
        </w:rPr>
        <w:t xml:space="preserve">sąd rejonowy </w:t>
      </w:r>
      <w:r w:rsidR="00634548" w:rsidRPr="00702F1A">
        <w:rPr>
          <w:rFonts w:ascii="Aptos" w:hAnsi="Aptos" w:cs="Calibri"/>
          <w:sz w:val="24"/>
          <w:szCs w:val="24"/>
        </w:rPr>
        <w:t>zatwierdził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0506F1" w:rsidRPr="00702F1A">
        <w:rPr>
          <w:rFonts w:ascii="Aptos" w:hAnsi="Aptos" w:cs="Calibri"/>
          <w:sz w:val="24"/>
          <w:szCs w:val="24"/>
        </w:rPr>
        <w:t>sporne</w:t>
      </w:r>
      <w:r>
        <w:rPr>
          <w:rFonts w:ascii="Aptos" w:hAnsi="Aptos" w:cs="Calibri"/>
          <w:sz w:val="24"/>
          <w:szCs w:val="24"/>
        </w:rPr>
        <w:t xml:space="preserve"> przeszukanie</w:t>
      </w:r>
      <w:r w:rsidR="00634548" w:rsidRPr="00702F1A">
        <w:rPr>
          <w:rFonts w:ascii="Aptos" w:hAnsi="Aptos" w:cs="Calibri"/>
          <w:sz w:val="24"/>
          <w:szCs w:val="24"/>
        </w:rPr>
        <w:t xml:space="preserve">, to jednak decyzja w tym zakresie „nie </w:t>
      </w:r>
      <w:r w:rsidR="000506F1" w:rsidRPr="00702F1A">
        <w:rPr>
          <w:rFonts w:ascii="Aptos" w:hAnsi="Aptos" w:cs="Calibri"/>
          <w:sz w:val="24"/>
          <w:szCs w:val="24"/>
        </w:rPr>
        <w:t>miał</w:t>
      </w:r>
      <w:r w:rsidR="00634548" w:rsidRPr="00702F1A">
        <w:rPr>
          <w:rFonts w:ascii="Aptos" w:hAnsi="Aptos" w:cs="Calibri"/>
          <w:sz w:val="24"/>
          <w:szCs w:val="24"/>
        </w:rPr>
        <w:t>a</w:t>
      </w:r>
      <w:r w:rsidR="000506F1" w:rsidRPr="00702F1A">
        <w:rPr>
          <w:rFonts w:ascii="Aptos" w:hAnsi="Aptos" w:cs="Calibri"/>
          <w:sz w:val="24"/>
          <w:szCs w:val="24"/>
        </w:rPr>
        <w:t xml:space="preserve"> skutku równoważącego brak nakazu sądowego</w:t>
      </w:r>
      <w:r w:rsidR="00634548" w:rsidRPr="00702F1A">
        <w:rPr>
          <w:rFonts w:ascii="Aptos" w:hAnsi="Aptos" w:cs="Calibri"/>
          <w:sz w:val="24"/>
          <w:szCs w:val="24"/>
        </w:rPr>
        <w:t>” (§</w:t>
      </w:r>
      <w:r w:rsidR="0024543B">
        <w:rPr>
          <w:rFonts w:ascii="Aptos" w:hAnsi="Aptos"/>
          <w:sz w:val="24"/>
          <w:szCs w:val="24"/>
        </w:rPr>
        <w:t xml:space="preserve"> </w:t>
      </w:r>
      <w:r w:rsidR="00501113" w:rsidRPr="00702F1A">
        <w:rPr>
          <w:rFonts w:ascii="Aptos" w:hAnsi="Aptos"/>
          <w:sz w:val="24"/>
          <w:szCs w:val="24"/>
        </w:rPr>
        <w:t>18).</w:t>
      </w:r>
      <w:r w:rsidR="00A700D8" w:rsidRPr="00702F1A">
        <w:rPr>
          <w:rFonts w:ascii="Aptos" w:hAnsi="Aptos"/>
          <w:sz w:val="24"/>
          <w:szCs w:val="24"/>
        </w:rPr>
        <w:t xml:space="preserve"> Wynikało to z faktu, iż w uzasadnieniu orzeczenia sąd przytoczył</w:t>
      </w:r>
      <w:r w:rsidR="0024543B">
        <w:rPr>
          <w:rFonts w:ascii="Aptos" w:hAnsi="Aptos"/>
          <w:sz w:val="24"/>
          <w:szCs w:val="24"/>
        </w:rPr>
        <w:t xml:space="preserve"> </w:t>
      </w:r>
      <w:r w:rsidR="000506F1" w:rsidRPr="00702F1A">
        <w:rPr>
          <w:rFonts w:ascii="Aptos" w:hAnsi="Aptos" w:cs="Calibri"/>
          <w:sz w:val="24"/>
          <w:szCs w:val="24"/>
        </w:rPr>
        <w:t xml:space="preserve">jedynie odpowiednie przepisy prawa i stwierdził, że skoro celem przeszukania było sprawdzenie, czy istnieją podstawy do </w:t>
      </w:r>
      <w:r>
        <w:rPr>
          <w:rFonts w:ascii="Aptos" w:hAnsi="Aptos" w:cs="Calibri"/>
          <w:sz w:val="24"/>
          <w:szCs w:val="24"/>
        </w:rPr>
        <w:t xml:space="preserve">przyjęcia </w:t>
      </w:r>
      <w:r w:rsidR="000506F1" w:rsidRPr="00702F1A">
        <w:rPr>
          <w:rFonts w:ascii="Aptos" w:hAnsi="Aptos" w:cs="Calibri"/>
          <w:sz w:val="24"/>
          <w:szCs w:val="24"/>
        </w:rPr>
        <w:t xml:space="preserve">podejrzenia popełnienia przestępstwa, </w:t>
      </w:r>
      <w:r>
        <w:rPr>
          <w:rFonts w:ascii="Aptos" w:hAnsi="Aptos" w:cs="Calibri"/>
          <w:sz w:val="24"/>
          <w:szCs w:val="24"/>
        </w:rPr>
        <w:t xml:space="preserve">to </w:t>
      </w:r>
      <w:r w:rsidR="000506F1" w:rsidRPr="00702F1A">
        <w:rPr>
          <w:rFonts w:ascii="Aptos" w:hAnsi="Aptos" w:cs="Calibri"/>
          <w:sz w:val="24"/>
          <w:szCs w:val="24"/>
        </w:rPr>
        <w:t>przedmiotowy środek był zgodny z prawem. Trybunał zauważ</w:t>
      </w:r>
      <w:r w:rsidR="00A700D8" w:rsidRPr="00702F1A">
        <w:rPr>
          <w:rFonts w:ascii="Aptos" w:hAnsi="Aptos" w:cs="Calibri"/>
          <w:sz w:val="24"/>
          <w:szCs w:val="24"/>
        </w:rPr>
        <w:t>ył</w:t>
      </w:r>
      <w:r w:rsidR="000506F1" w:rsidRPr="00702F1A">
        <w:rPr>
          <w:rFonts w:ascii="Aptos" w:hAnsi="Aptos" w:cs="Calibri"/>
          <w:sz w:val="24"/>
          <w:szCs w:val="24"/>
        </w:rPr>
        <w:t xml:space="preserve">, że z uzasadnienia przedmiotowego postanowienia nie wynikało, że </w:t>
      </w:r>
      <w:r w:rsidR="00A700D8" w:rsidRPr="00702F1A">
        <w:rPr>
          <w:rFonts w:ascii="Aptos" w:hAnsi="Aptos" w:cs="Calibri"/>
          <w:sz w:val="24"/>
          <w:szCs w:val="24"/>
        </w:rPr>
        <w:t>s</w:t>
      </w:r>
      <w:r w:rsidR="000506F1" w:rsidRPr="00702F1A">
        <w:rPr>
          <w:rFonts w:ascii="Aptos" w:hAnsi="Aptos" w:cs="Calibri"/>
          <w:sz w:val="24"/>
          <w:szCs w:val="24"/>
        </w:rPr>
        <w:t xml:space="preserve">ąd </w:t>
      </w:r>
      <w:r w:rsidR="00A700D8" w:rsidRPr="00702F1A">
        <w:rPr>
          <w:rFonts w:ascii="Aptos" w:hAnsi="Aptos" w:cs="Calibri"/>
          <w:sz w:val="24"/>
          <w:szCs w:val="24"/>
        </w:rPr>
        <w:t>r</w:t>
      </w:r>
      <w:r w:rsidR="000506F1" w:rsidRPr="00702F1A">
        <w:rPr>
          <w:rFonts w:ascii="Aptos" w:hAnsi="Aptos" w:cs="Calibri"/>
          <w:sz w:val="24"/>
          <w:szCs w:val="24"/>
        </w:rPr>
        <w:t>ejonowy rozważał, czy przeszukanie było uzasadnione ze względu na niecierpiący zwłoki charakter sprawy, ani że przeprowadził jakąkolwiek analizę sprawy pod tym kątem</w:t>
      </w:r>
      <w:r w:rsidR="009C3DA1" w:rsidRPr="00702F1A">
        <w:rPr>
          <w:rFonts w:ascii="Aptos" w:hAnsi="Aptos" w:cs="Calibri"/>
          <w:sz w:val="24"/>
          <w:szCs w:val="24"/>
        </w:rPr>
        <w:t>, a zatem nie przeprowadził on skutecznej kontroli legalności i konieczności zaskarżonego środka.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EF6CC3" w:rsidRPr="00702F1A">
        <w:rPr>
          <w:rFonts w:ascii="Aptos" w:hAnsi="Aptos" w:cs="Calibri"/>
          <w:sz w:val="24"/>
          <w:szCs w:val="24"/>
        </w:rPr>
        <w:t xml:space="preserve">Poza tym, </w:t>
      </w:r>
      <w:proofErr w:type="spellStart"/>
      <w:r w:rsidR="00EF6CC3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="00EF6CC3" w:rsidRPr="00702F1A">
        <w:rPr>
          <w:rFonts w:ascii="Aptos" w:hAnsi="Aptos" w:cs="Calibri"/>
          <w:sz w:val="24"/>
          <w:szCs w:val="24"/>
        </w:rPr>
        <w:t xml:space="preserve"> dodał, że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D13312" w:rsidRPr="00702F1A">
        <w:rPr>
          <w:rFonts w:ascii="Aptos" w:hAnsi="Aptos" w:cs="Calibri"/>
          <w:sz w:val="24"/>
          <w:szCs w:val="24"/>
        </w:rPr>
        <w:t>kontrola ta była w niniejszej sprawie tym bardziej konieczna, że</w:t>
      </w:r>
      <w:r w:rsidR="00EF6CC3" w:rsidRPr="00702F1A">
        <w:rPr>
          <w:rFonts w:ascii="Aptos" w:hAnsi="Aptos" w:cs="Calibri"/>
          <w:sz w:val="24"/>
          <w:szCs w:val="24"/>
        </w:rPr>
        <w:t xml:space="preserve"> </w:t>
      </w:r>
      <w:r w:rsidR="00D13312" w:rsidRPr="00702F1A">
        <w:rPr>
          <w:rFonts w:ascii="Aptos" w:hAnsi="Aptos" w:cs="Calibri"/>
          <w:sz w:val="24"/>
          <w:szCs w:val="24"/>
        </w:rPr>
        <w:t>przestępstwo zarzucane skarżącem</w:t>
      </w:r>
      <w:r>
        <w:rPr>
          <w:rFonts w:ascii="Aptos" w:hAnsi="Aptos" w:cs="Calibri"/>
          <w:sz w:val="24"/>
          <w:szCs w:val="24"/>
        </w:rPr>
        <w:t>u</w:t>
      </w:r>
      <w:r w:rsidR="00D13312" w:rsidRPr="00702F1A">
        <w:rPr>
          <w:rFonts w:ascii="Aptos" w:hAnsi="Aptos" w:cs="Calibri"/>
          <w:sz w:val="24"/>
          <w:szCs w:val="24"/>
        </w:rPr>
        <w:t xml:space="preserve"> nie było poważne, a zainteresowany nie</w:t>
      </w:r>
      <w:r w:rsidR="00EF6CC3" w:rsidRPr="00702F1A">
        <w:rPr>
          <w:rFonts w:ascii="Aptos" w:hAnsi="Aptos" w:cs="Calibri"/>
          <w:sz w:val="24"/>
          <w:szCs w:val="24"/>
        </w:rPr>
        <w:t xml:space="preserve"> </w:t>
      </w:r>
      <w:r w:rsidR="00D13312" w:rsidRPr="00702F1A">
        <w:rPr>
          <w:rFonts w:ascii="Aptos" w:hAnsi="Aptos" w:cs="Calibri"/>
          <w:sz w:val="24"/>
          <w:szCs w:val="24"/>
        </w:rPr>
        <w:t>był obecny w miejscu przeszukania.</w:t>
      </w:r>
    </w:p>
    <w:p w14:paraId="39ADA1C5" w14:textId="6A9BE981" w:rsidR="00EF6CC3" w:rsidRPr="00702F1A" w:rsidRDefault="00125113" w:rsidP="00B34437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W konsekwencji Trybunał stwierdził, że nawet jeśli kwestionowana czynność dochodzeniowa miała podstawę prawną w prawie krajowym, ustawodawstwo krajowe nie zapewniło skarżącemu, w okolicznościach niniejszej sprawy, ani przed, ani po kwestionowanym przeszukaniu, wystarczających zabezpieczeń przed arbitralnością</w:t>
      </w:r>
      <w:r w:rsidR="00D2658D" w:rsidRPr="00702F1A">
        <w:rPr>
          <w:rFonts w:ascii="Aptos" w:hAnsi="Aptos" w:cs="Calibri"/>
          <w:sz w:val="24"/>
          <w:szCs w:val="24"/>
        </w:rPr>
        <w:t xml:space="preserve"> (§</w:t>
      </w:r>
      <w:r w:rsidR="00D2658D" w:rsidRPr="00702F1A">
        <w:rPr>
          <w:rFonts w:ascii="Aptos" w:hAnsi="Aptos"/>
          <w:sz w:val="24"/>
          <w:szCs w:val="24"/>
        </w:rPr>
        <w:t xml:space="preserve"> 21</w:t>
      </w:r>
      <w:r w:rsidR="00FF04E3" w:rsidRPr="00702F1A">
        <w:rPr>
          <w:rFonts w:ascii="Aptos" w:hAnsi="Aptos"/>
          <w:sz w:val="24"/>
          <w:szCs w:val="24"/>
        </w:rPr>
        <w:t>)</w:t>
      </w:r>
      <w:r w:rsidRPr="00702F1A">
        <w:rPr>
          <w:rFonts w:ascii="Aptos" w:hAnsi="Aptos" w:cs="Calibri"/>
          <w:sz w:val="24"/>
          <w:szCs w:val="24"/>
        </w:rPr>
        <w:t>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Pr="00702F1A">
        <w:rPr>
          <w:rFonts w:ascii="Aptos" w:hAnsi="Aptos" w:cs="Calibri"/>
          <w:sz w:val="24"/>
          <w:szCs w:val="24"/>
        </w:rPr>
        <w:t xml:space="preserve">W tych okolicznościach </w:t>
      </w:r>
      <w:proofErr w:type="spellStart"/>
      <w:r w:rsidR="00E70C67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Pr="00702F1A">
        <w:rPr>
          <w:rFonts w:ascii="Aptos" w:hAnsi="Aptos" w:cs="Calibri"/>
          <w:sz w:val="24"/>
          <w:szCs w:val="24"/>
        </w:rPr>
        <w:t xml:space="preserve"> uznaje, że ingerencja w korzystanie przez</w:t>
      </w:r>
      <w:r w:rsidR="00E70C67" w:rsidRPr="00702F1A">
        <w:rPr>
          <w:rFonts w:ascii="Aptos" w:hAnsi="Aptos" w:cs="Calibri"/>
          <w:sz w:val="24"/>
          <w:szCs w:val="24"/>
        </w:rPr>
        <w:t xml:space="preserve"> </w:t>
      </w:r>
      <w:r w:rsidRPr="00702F1A">
        <w:rPr>
          <w:rFonts w:ascii="Aptos" w:hAnsi="Aptos" w:cs="Calibri"/>
          <w:sz w:val="24"/>
          <w:szCs w:val="24"/>
        </w:rPr>
        <w:t xml:space="preserve">skarżącego </w:t>
      </w:r>
      <w:r w:rsidRPr="00702F1A">
        <w:rPr>
          <w:rFonts w:ascii="Aptos" w:hAnsi="Aptos" w:cs="Calibri"/>
          <w:sz w:val="24"/>
          <w:szCs w:val="24"/>
        </w:rPr>
        <w:lastRenderedPageBreak/>
        <w:t>z prawa do poszanowania jego mieszkania nie była „przewidziana</w:t>
      </w:r>
      <w:r w:rsidR="00E70C67" w:rsidRPr="00702F1A">
        <w:rPr>
          <w:rFonts w:ascii="Aptos" w:hAnsi="Aptos" w:cs="Calibri"/>
          <w:sz w:val="24"/>
          <w:szCs w:val="24"/>
        </w:rPr>
        <w:t xml:space="preserve"> </w:t>
      </w:r>
      <w:r w:rsidRPr="00702F1A">
        <w:rPr>
          <w:rFonts w:ascii="Aptos" w:hAnsi="Aptos" w:cs="Calibri"/>
          <w:sz w:val="24"/>
          <w:szCs w:val="24"/>
        </w:rPr>
        <w:t xml:space="preserve">przez ustawę” w rozumieniu art. 8 ust. 2 Konwencji. Doszło zatem do naruszenia art. 8 </w:t>
      </w:r>
      <w:r w:rsidR="00E70C67" w:rsidRPr="00702F1A">
        <w:rPr>
          <w:rFonts w:ascii="Aptos" w:hAnsi="Aptos" w:cs="Calibri"/>
          <w:sz w:val="24"/>
          <w:szCs w:val="24"/>
        </w:rPr>
        <w:t>EKPCz.</w:t>
      </w:r>
    </w:p>
    <w:p w14:paraId="689FF914" w14:textId="1FBDE4BD" w:rsidR="002B7C61" w:rsidRPr="00702F1A" w:rsidRDefault="00E70C67" w:rsidP="00B34437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3.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8F32B4" w:rsidRPr="00702F1A">
        <w:rPr>
          <w:rFonts w:ascii="Aptos" w:hAnsi="Aptos" w:cs="Calibri"/>
          <w:sz w:val="24"/>
          <w:szCs w:val="24"/>
        </w:rPr>
        <w:t xml:space="preserve">Z wyroku </w:t>
      </w:r>
      <w:proofErr w:type="spellStart"/>
      <w:r w:rsidR="008F32B4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="008F32B4" w:rsidRPr="00702F1A">
        <w:rPr>
          <w:rFonts w:ascii="Aptos" w:hAnsi="Aptos" w:cs="Calibri"/>
          <w:sz w:val="24"/>
          <w:szCs w:val="24"/>
        </w:rPr>
        <w:t xml:space="preserve"> w sprawie </w:t>
      </w:r>
      <w:r w:rsidR="008F32B4" w:rsidRPr="00702F1A">
        <w:rPr>
          <w:rFonts w:ascii="Aptos" w:hAnsi="Aptos" w:cs="Calibri"/>
          <w:i/>
          <w:iCs/>
          <w:sz w:val="24"/>
          <w:szCs w:val="24"/>
        </w:rPr>
        <w:t>Mazowiecki przeciwko Polsce</w:t>
      </w:r>
      <w:r w:rsidR="008F32B4" w:rsidRPr="00702F1A">
        <w:rPr>
          <w:rFonts w:ascii="Aptos" w:hAnsi="Aptos" w:cs="Calibri"/>
          <w:sz w:val="24"/>
          <w:szCs w:val="24"/>
        </w:rPr>
        <w:t xml:space="preserve"> wynika, że Trybunał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8F32B4" w:rsidRPr="00702F1A">
        <w:rPr>
          <w:rFonts w:ascii="Aptos" w:hAnsi="Aptos" w:cs="Calibri"/>
          <w:sz w:val="24"/>
          <w:szCs w:val="24"/>
        </w:rPr>
        <w:t>nie kwestionuje samej procesowej możliwości dokonania przeszukania przez organ niesądowy w sytuacji, gdy następuje następcza kontrola sądu w tym zakresie.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8F32B4" w:rsidRPr="00702F1A">
        <w:rPr>
          <w:rFonts w:ascii="Aptos" w:hAnsi="Aptos" w:cs="Calibri"/>
          <w:sz w:val="24"/>
          <w:szCs w:val="24"/>
        </w:rPr>
        <w:t>Warunkiem zachowania standardu strasburskiego jest jednak, aby była to kontrola realna i skuteczna, chroniąca przed arbitralnością</w:t>
      </w:r>
      <w:r w:rsidR="0060515F" w:rsidRPr="00702F1A">
        <w:rPr>
          <w:rFonts w:ascii="Aptos" w:hAnsi="Aptos" w:cs="Calibri"/>
          <w:sz w:val="24"/>
          <w:szCs w:val="24"/>
        </w:rPr>
        <w:t xml:space="preserve"> ze strony organów ścigania.</w:t>
      </w:r>
      <w:r w:rsidR="0090097F" w:rsidRPr="00702F1A">
        <w:rPr>
          <w:rFonts w:ascii="Aptos" w:hAnsi="Aptos" w:cs="Calibri"/>
          <w:sz w:val="24"/>
          <w:szCs w:val="24"/>
        </w:rPr>
        <w:t xml:space="preserve"> Jej wyznacznikiem może być także jakość uzasadnienia</w:t>
      </w:r>
      <w:r w:rsidR="00855126">
        <w:rPr>
          <w:rFonts w:ascii="Aptos" w:hAnsi="Aptos" w:cs="Calibri"/>
          <w:sz w:val="24"/>
          <w:szCs w:val="24"/>
        </w:rPr>
        <w:t>, p</w:t>
      </w:r>
      <w:r w:rsidR="0090097F" w:rsidRPr="00702F1A">
        <w:rPr>
          <w:rFonts w:ascii="Aptos" w:hAnsi="Aptos" w:cs="Calibri"/>
          <w:sz w:val="24"/>
          <w:szCs w:val="24"/>
        </w:rPr>
        <w:t xml:space="preserve">rzy czym nie może </w:t>
      </w:r>
      <w:r w:rsidR="00855126" w:rsidRPr="00702F1A">
        <w:rPr>
          <w:rFonts w:ascii="Aptos" w:hAnsi="Aptos" w:cs="Calibri"/>
          <w:sz w:val="24"/>
          <w:szCs w:val="24"/>
        </w:rPr>
        <w:t xml:space="preserve">się </w:t>
      </w:r>
      <w:r w:rsidR="002E2AFE" w:rsidRPr="00702F1A">
        <w:rPr>
          <w:rFonts w:ascii="Aptos" w:hAnsi="Aptos" w:cs="Calibri"/>
          <w:sz w:val="24"/>
          <w:szCs w:val="24"/>
        </w:rPr>
        <w:t>ono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60515F" w:rsidRPr="00702F1A">
        <w:rPr>
          <w:rFonts w:ascii="Aptos" w:hAnsi="Aptos" w:cs="Calibri"/>
          <w:sz w:val="24"/>
          <w:szCs w:val="24"/>
        </w:rPr>
        <w:t>sprowadzać do</w:t>
      </w:r>
      <w:r w:rsidR="00B107DD" w:rsidRPr="00702F1A">
        <w:rPr>
          <w:rFonts w:ascii="Aptos" w:hAnsi="Aptos" w:cs="Calibri"/>
          <w:sz w:val="24"/>
          <w:szCs w:val="24"/>
        </w:rPr>
        <w:t xml:space="preserve"> </w:t>
      </w:r>
      <w:r w:rsidR="0060515F" w:rsidRPr="00702F1A">
        <w:rPr>
          <w:rFonts w:ascii="Aptos" w:hAnsi="Aptos" w:cs="Calibri"/>
          <w:sz w:val="24"/>
          <w:szCs w:val="24"/>
        </w:rPr>
        <w:t>powtórzenia odpowiednich przepisów ustawy</w:t>
      </w:r>
      <w:r w:rsidR="00B107DD" w:rsidRPr="00702F1A">
        <w:rPr>
          <w:rFonts w:ascii="Aptos" w:hAnsi="Aptos" w:cs="Calibri"/>
          <w:sz w:val="24"/>
          <w:szCs w:val="24"/>
        </w:rPr>
        <w:t xml:space="preserve"> procesowej</w:t>
      </w:r>
      <w:r w:rsidR="005866EE" w:rsidRPr="00702F1A">
        <w:rPr>
          <w:rFonts w:ascii="Aptos" w:hAnsi="Aptos" w:cs="Calibri"/>
          <w:sz w:val="24"/>
          <w:szCs w:val="24"/>
        </w:rPr>
        <w:t xml:space="preserve">, gdyż nie daje </w:t>
      </w:r>
      <w:r w:rsidR="002B7C61" w:rsidRPr="00702F1A">
        <w:rPr>
          <w:rFonts w:ascii="Aptos" w:hAnsi="Aptos" w:cs="Calibri"/>
          <w:sz w:val="24"/>
          <w:szCs w:val="24"/>
        </w:rPr>
        <w:t>możliwości poznania</w:t>
      </w:r>
      <w:r w:rsidR="005866EE" w:rsidRPr="00702F1A">
        <w:rPr>
          <w:rFonts w:ascii="Aptos" w:hAnsi="Aptos" w:cs="Calibri"/>
          <w:sz w:val="24"/>
          <w:szCs w:val="24"/>
        </w:rPr>
        <w:t xml:space="preserve"> </w:t>
      </w:r>
      <w:r w:rsidR="002B7C61" w:rsidRPr="00702F1A">
        <w:rPr>
          <w:rFonts w:ascii="Aptos" w:hAnsi="Aptos" w:cs="Calibri"/>
          <w:sz w:val="24"/>
          <w:szCs w:val="24"/>
        </w:rPr>
        <w:t>racji, które legły u podstaw podjętej decyzji procesowej.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246899" w:rsidRPr="00702F1A">
        <w:rPr>
          <w:rFonts w:ascii="Aptos" w:hAnsi="Aptos" w:cs="Calibri"/>
          <w:sz w:val="24"/>
          <w:szCs w:val="24"/>
        </w:rPr>
        <w:t>Uzasadnienie decyzji procesowej, zwłaszcza dot</w:t>
      </w:r>
      <w:r w:rsidR="00531B52" w:rsidRPr="00702F1A">
        <w:rPr>
          <w:rFonts w:ascii="Aptos" w:hAnsi="Aptos" w:cs="Calibri"/>
          <w:sz w:val="24"/>
          <w:szCs w:val="24"/>
        </w:rPr>
        <w:t>yczące czynności ingerującej w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531B52" w:rsidRPr="00702F1A">
        <w:rPr>
          <w:rFonts w:ascii="Aptos" w:hAnsi="Aptos" w:cs="Calibri"/>
          <w:sz w:val="24"/>
          <w:szCs w:val="24"/>
        </w:rPr>
        <w:t xml:space="preserve">prawa i wolności jednostki, powinno </w:t>
      </w:r>
      <w:r w:rsidR="00246899" w:rsidRPr="00702F1A">
        <w:rPr>
          <w:rFonts w:ascii="Aptos" w:hAnsi="Aptos" w:cs="Calibri"/>
          <w:sz w:val="24"/>
          <w:szCs w:val="24"/>
        </w:rPr>
        <w:t>m.in. wyjaśniać przyczynę jej podjęcia, w tym podstawę</w:t>
      </w:r>
      <w:r w:rsidR="00531B52" w:rsidRPr="00702F1A">
        <w:rPr>
          <w:rFonts w:ascii="Aptos" w:hAnsi="Aptos" w:cs="Calibri"/>
          <w:sz w:val="24"/>
          <w:szCs w:val="24"/>
        </w:rPr>
        <w:t xml:space="preserve"> </w:t>
      </w:r>
      <w:r w:rsidR="00246899" w:rsidRPr="00702F1A">
        <w:rPr>
          <w:rFonts w:ascii="Aptos" w:hAnsi="Aptos" w:cs="Calibri"/>
          <w:sz w:val="24"/>
          <w:szCs w:val="24"/>
        </w:rPr>
        <w:t>prawną decyzji, a zatem dlaczego podjęto ją na podstawie danego przepisu</w:t>
      </w:r>
      <w:r w:rsidR="00531B52" w:rsidRPr="00702F1A">
        <w:rPr>
          <w:rFonts w:ascii="Aptos" w:hAnsi="Aptos" w:cs="Calibri"/>
          <w:sz w:val="24"/>
          <w:szCs w:val="24"/>
        </w:rPr>
        <w:t xml:space="preserve"> </w:t>
      </w:r>
      <w:r w:rsidR="00246899" w:rsidRPr="00702F1A">
        <w:rPr>
          <w:rFonts w:ascii="Aptos" w:hAnsi="Aptos" w:cs="Calibri"/>
          <w:sz w:val="24"/>
          <w:szCs w:val="24"/>
        </w:rPr>
        <w:t>prawa, oraz wskazywać argumenty przemawiające za jej wydaniem</w:t>
      </w:r>
      <w:r w:rsidR="00531B52" w:rsidRPr="00702F1A">
        <w:rPr>
          <w:rFonts w:ascii="Aptos" w:hAnsi="Aptos" w:cs="Calibri"/>
          <w:sz w:val="24"/>
          <w:szCs w:val="24"/>
        </w:rPr>
        <w:t>.</w:t>
      </w:r>
      <w:r w:rsidR="0053724E" w:rsidRPr="00702F1A">
        <w:rPr>
          <w:rFonts w:ascii="Aptos" w:hAnsi="Aptos" w:cs="Calibri"/>
          <w:sz w:val="24"/>
          <w:szCs w:val="24"/>
        </w:rPr>
        <w:t xml:space="preserve"> </w:t>
      </w:r>
      <w:r w:rsidR="00B72A68" w:rsidRPr="00702F1A">
        <w:rPr>
          <w:rFonts w:ascii="Aptos" w:hAnsi="Aptos" w:cs="Calibri"/>
          <w:sz w:val="24"/>
          <w:szCs w:val="24"/>
        </w:rPr>
        <w:t xml:space="preserve">W przypadku postanowienia o zatwierdzeniu przeszukania mieszkania elementem koniecznym jest także </w:t>
      </w:r>
      <w:r w:rsidR="0006522F" w:rsidRPr="00702F1A">
        <w:rPr>
          <w:rFonts w:ascii="Aptos" w:hAnsi="Aptos" w:cs="Calibri"/>
          <w:sz w:val="24"/>
          <w:szCs w:val="24"/>
        </w:rPr>
        <w:t>odpowiedzenie na pytanie</w:t>
      </w:r>
      <w:r w:rsidR="00B72A68" w:rsidRPr="00702F1A">
        <w:rPr>
          <w:rFonts w:ascii="Aptos" w:hAnsi="Aptos" w:cs="Calibri"/>
          <w:sz w:val="24"/>
          <w:szCs w:val="24"/>
        </w:rPr>
        <w:t>,</w:t>
      </w:r>
      <w:r w:rsidR="0006522F" w:rsidRPr="00702F1A">
        <w:rPr>
          <w:rFonts w:ascii="Aptos" w:hAnsi="Aptos" w:cs="Calibri"/>
          <w:sz w:val="24"/>
          <w:szCs w:val="24"/>
        </w:rPr>
        <w:t xml:space="preserve"> czy</w:t>
      </w:r>
      <w:r w:rsidR="00333509" w:rsidRPr="00702F1A">
        <w:rPr>
          <w:rFonts w:ascii="Aptos" w:hAnsi="Aptos" w:cs="Calibri"/>
          <w:sz w:val="24"/>
          <w:szCs w:val="24"/>
        </w:rPr>
        <w:t xml:space="preserve"> przeszukanie było uzasadnione ze względu na niecierpiący zwłoki charakter sprawy</w:t>
      </w:r>
      <w:r w:rsidR="0006522F" w:rsidRPr="00702F1A">
        <w:rPr>
          <w:rFonts w:ascii="Aptos" w:hAnsi="Aptos" w:cs="Calibri"/>
          <w:sz w:val="24"/>
          <w:szCs w:val="24"/>
        </w:rPr>
        <w:t xml:space="preserve">. </w:t>
      </w:r>
      <w:r w:rsidR="004B576A" w:rsidRPr="00702F1A">
        <w:rPr>
          <w:rFonts w:ascii="Aptos" w:hAnsi="Aptos" w:cs="Calibri"/>
          <w:sz w:val="24"/>
          <w:szCs w:val="24"/>
        </w:rPr>
        <w:t xml:space="preserve">Tylko w </w:t>
      </w:r>
      <w:r w:rsidR="00333509" w:rsidRPr="00702F1A">
        <w:rPr>
          <w:rFonts w:ascii="Aptos" w:hAnsi="Aptos" w:cs="Calibri"/>
          <w:sz w:val="24"/>
          <w:szCs w:val="24"/>
        </w:rPr>
        <w:t>ten</w:t>
      </w:r>
      <w:r w:rsidR="004B576A" w:rsidRPr="00702F1A">
        <w:rPr>
          <w:rFonts w:ascii="Aptos" w:hAnsi="Aptos" w:cs="Calibri"/>
          <w:sz w:val="24"/>
          <w:szCs w:val="24"/>
        </w:rPr>
        <w:t xml:space="preserve"> </w:t>
      </w:r>
      <w:r w:rsidR="002E6B00" w:rsidRPr="00702F1A">
        <w:rPr>
          <w:rFonts w:ascii="Aptos" w:hAnsi="Aptos" w:cs="Calibri"/>
          <w:sz w:val="24"/>
          <w:szCs w:val="24"/>
        </w:rPr>
        <w:t xml:space="preserve">sposób możliwym jest poznanie </w:t>
      </w:r>
      <w:r w:rsidR="004B576A" w:rsidRPr="00702F1A">
        <w:rPr>
          <w:rFonts w:ascii="Aptos" w:hAnsi="Aptos" w:cs="Calibri"/>
          <w:sz w:val="24"/>
          <w:szCs w:val="24"/>
        </w:rPr>
        <w:t>materiałów stanowiących podstawę jej wydania oraz przebieg rozumowania organu,</w:t>
      </w:r>
      <w:r w:rsidR="002E6B00" w:rsidRPr="00702F1A">
        <w:rPr>
          <w:rFonts w:ascii="Aptos" w:hAnsi="Aptos" w:cs="Calibri"/>
          <w:sz w:val="24"/>
          <w:szCs w:val="24"/>
        </w:rPr>
        <w:t xml:space="preserve"> </w:t>
      </w:r>
      <w:r w:rsidR="004B576A" w:rsidRPr="00702F1A">
        <w:rPr>
          <w:rFonts w:ascii="Aptos" w:hAnsi="Aptos" w:cs="Calibri"/>
          <w:sz w:val="24"/>
          <w:szCs w:val="24"/>
        </w:rPr>
        <w:t>którego ostatecznym rezultatem jest określone rozstrzygnięcie</w:t>
      </w:r>
      <w:r w:rsidR="002164BB" w:rsidRPr="00702F1A">
        <w:rPr>
          <w:rFonts w:ascii="Aptos" w:hAnsi="Aptos" w:cs="Calibri"/>
          <w:sz w:val="24"/>
          <w:szCs w:val="24"/>
        </w:rPr>
        <w:t>.</w:t>
      </w:r>
      <w:r w:rsidR="0024543B">
        <w:rPr>
          <w:rFonts w:ascii="Aptos" w:hAnsi="Aptos" w:cs="Calibri"/>
          <w:sz w:val="24"/>
          <w:szCs w:val="24"/>
        </w:rPr>
        <w:t xml:space="preserve"> </w:t>
      </w:r>
    </w:p>
    <w:p w14:paraId="2C82C3EF" w14:textId="1DD5FD0F" w:rsidR="00415226" w:rsidRPr="00702F1A" w:rsidRDefault="00FE39B9" w:rsidP="00B34437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W doktrynie i orzecznictwie wielokrotnie zwracano uwagę na konieczność zachowania właściwego poziomu merytorycznego uzasadnień</w:t>
      </w:r>
      <w:r w:rsidR="00085911" w:rsidRPr="00702F1A">
        <w:rPr>
          <w:rStyle w:val="Odwoanieprzypisudolnego"/>
          <w:rFonts w:ascii="Aptos" w:hAnsi="Aptos" w:cs="Calibri"/>
          <w:sz w:val="24"/>
          <w:szCs w:val="24"/>
        </w:rPr>
        <w:footnoteReference w:id="5"/>
      </w:r>
      <w:r w:rsidRPr="00702F1A">
        <w:rPr>
          <w:rFonts w:ascii="Aptos" w:hAnsi="Aptos" w:cs="Calibri"/>
          <w:sz w:val="24"/>
          <w:szCs w:val="24"/>
        </w:rPr>
        <w:t xml:space="preserve">. Twierdzono m.in., że uzasadnienie postanowienia powinno – podobnie jak uzasadnienie wyroku – spełniać </w:t>
      </w:r>
      <w:r w:rsidRPr="00702F1A">
        <w:rPr>
          <w:rFonts w:ascii="Aptos" w:hAnsi="Aptos" w:cs="Calibri"/>
          <w:sz w:val="24"/>
          <w:szCs w:val="24"/>
        </w:rPr>
        <w:lastRenderedPageBreak/>
        <w:t xml:space="preserve">funkcję perswazyjną, to jest </w:t>
      </w:r>
      <w:r w:rsidR="00017365" w:rsidRPr="00702F1A">
        <w:rPr>
          <w:rFonts w:ascii="Aptos" w:hAnsi="Aptos" w:cs="Calibri"/>
          <w:sz w:val="24"/>
          <w:szCs w:val="24"/>
        </w:rPr>
        <w:t>wskazywać</w:t>
      </w:r>
      <w:r w:rsidRPr="00702F1A">
        <w:rPr>
          <w:rFonts w:ascii="Aptos" w:hAnsi="Aptos" w:cs="Calibri"/>
          <w:sz w:val="24"/>
          <w:szCs w:val="24"/>
        </w:rPr>
        <w:t xml:space="preserve"> powody podjęcia decyzji, by strony mogły przekonać się o jej słuszności</w:t>
      </w:r>
      <w:r w:rsidR="00855126">
        <w:rPr>
          <w:rFonts w:ascii="Aptos" w:hAnsi="Aptos" w:cs="Calibri"/>
          <w:sz w:val="24"/>
          <w:szCs w:val="24"/>
        </w:rPr>
        <w:t>,</w:t>
      </w:r>
      <w:r w:rsidRPr="00702F1A">
        <w:rPr>
          <w:rFonts w:ascii="Aptos" w:hAnsi="Aptos" w:cs="Calibri"/>
          <w:sz w:val="24"/>
          <w:szCs w:val="24"/>
        </w:rPr>
        <w:t xml:space="preserve"> i funkcję kontrolną, to jest przedstawiać podstawy do sprawdzenia tej słuszności</w:t>
      </w:r>
      <w:r w:rsidRPr="00702F1A">
        <w:rPr>
          <w:rStyle w:val="Odwoanieprzypisudolnego"/>
          <w:rFonts w:ascii="Aptos" w:hAnsi="Aptos" w:cs="Calibri"/>
          <w:sz w:val="24"/>
          <w:szCs w:val="24"/>
        </w:rPr>
        <w:footnoteReference w:id="6"/>
      </w:r>
      <w:r w:rsidR="00855126">
        <w:rPr>
          <w:rFonts w:ascii="Aptos" w:hAnsi="Aptos" w:cs="Calibri"/>
          <w:sz w:val="24"/>
          <w:szCs w:val="24"/>
        </w:rPr>
        <w:t>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461F13" w:rsidRPr="00702F1A">
        <w:rPr>
          <w:rFonts w:ascii="Aptos" w:hAnsi="Aptos" w:cs="Calibri"/>
          <w:sz w:val="24"/>
          <w:szCs w:val="24"/>
        </w:rPr>
        <w:t>Wskazywano również, że uzasadnienie nie może być lakoniczne i ogólnikowe w tym sensie, iż uzasadniając postanowienie nie można poprzestawać na zdawkowych, arbitralnych wzmiankach pozorujących uzasadnienie</w:t>
      </w:r>
      <w:r w:rsidR="00461F13" w:rsidRPr="00702F1A">
        <w:rPr>
          <w:rStyle w:val="Odwoanieprzypisudolnego"/>
          <w:rFonts w:ascii="Aptos" w:hAnsi="Aptos" w:cs="Calibri"/>
          <w:sz w:val="24"/>
          <w:szCs w:val="24"/>
        </w:rPr>
        <w:footnoteReference w:id="7"/>
      </w:r>
      <w:r w:rsidR="00F83493" w:rsidRPr="00702F1A">
        <w:rPr>
          <w:rFonts w:ascii="Aptos" w:hAnsi="Aptos" w:cs="Calibri"/>
          <w:sz w:val="24"/>
          <w:szCs w:val="24"/>
        </w:rPr>
        <w:t>.</w:t>
      </w:r>
      <w:r w:rsidR="00D37BFC" w:rsidRPr="00702F1A">
        <w:rPr>
          <w:rFonts w:ascii="Aptos" w:hAnsi="Aptos" w:cs="Calibri"/>
          <w:sz w:val="24"/>
          <w:szCs w:val="24"/>
        </w:rPr>
        <w:t xml:space="preserve"> Także </w:t>
      </w:r>
      <w:r w:rsidR="00232AB4" w:rsidRPr="00702F1A">
        <w:rPr>
          <w:rFonts w:ascii="Aptos" w:hAnsi="Aptos" w:cs="Calibri"/>
          <w:sz w:val="24"/>
          <w:szCs w:val="24"/>
        </w:rPr>
        <w:t xml:space="preserve">z </w:t>
      </w:r>
      <w:r w:rsidR="00D37BFC" w:rsidRPr="00702F1A">
        <w:rPr>
          <w:rFonts w:ascii="Aptos" w:hAnsi="Aptos" w:cs="Calibri"/>
          <w:sz w:val="24"/>
          <w:szCs w:val="24"/>
        </w:rPr>
        <w:t>orzecznictwa sądów polskich wynika, że uzasadnienie postanowienia nie może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D37BFC" w:rsidRPr="00702F1A">
        <w:rPr>
          <w:rFonts w:ascii="Aptos" w:hAnsi="Aptos" w:cs="Calibri"/>
          <w:sz w:val="24"/>
          <w:szCs w:val="24"/>
        </w:rPr>
        <w:t>ograniczać się jedynie do przytoczenia treści przepisów prawnych stanowiących podstawę postanowienia</w:t>
      </w:r>
      <w:r w:rsidR="00E2570E" w:rsidRPr="00702F1A">
        <w:rPr>
          <w:rFonts w:ascii="Aptos" w:hAnsi="Aptos" w:cs="Calibri"/>
          <w:sz w:val="24"/>
          <w:szCs w:val="24"/>
        </w:rPr>
        <w:t>.</w:t>
      </w:r>
    </w:p>
    <w:p w14:paraId="425D04BB" w14:textId="6D747394" w:rsidR="00302F5E" w:rsidRPr="00702F1A" w:rsidRDefault="002E0FC9" w:rsidP="00B34437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W jednym postanowień SN stwierdzono, że „b</w:t>
      </w:r>
      <w:r w:rsidR="00E2570E" w:rsidRPr="00702F1A">
        <w:rPr>
          <w:rFonts w:ascii="Aptos" w:hAnsi="Aptos" w:cs="Calibri"/>
          <w:sz w:val="24"/>
          <w:szCs w:val="24"/>
        </w:rPr>
        <w:t>ez wskazania na konkretne dowody, jakie zostały w sprawie zebrane i w świetle których zarzut popełnienia przez podejrzanego (czy też oskarżonego) przestępstwa został istotnie w stopniu dostatecznym uprawdopodobniony, nie może być uznane za przekonywujące uzasadnienie orzeczenia sądu w przedmiocie tak zastosowania, jak i przedłużenia tymczasowego aresztowania</w:t>
      </w:r>
      <w:r w:rsidRPr="00702F1A">
        <w:rPr>
          <w:rFonts w:ascii="Aptos" w:hAnsi="Aptos" w:cs="Calibri"/>
          <w:sz w:val="24"/>
          <w:szCs w:val="24"/>
        </w:rPr>
        <w:t>”</w:t>
      </w:r>
      <w:r w:rsidR="006E5136" w:rsidRPr="00702F1A">
        <w:rPr>
          <w:rStyle w:val="Odwoanieprzypisudolnego"/>
          <w:rFonts w:ascii="Aptos" w:hAnsi="Aptos" w:cs="Calibri"/>
          <w:sz w:val="24"/>
          <w:szCs w:val="24"/>
        </w:rPr>
        <w:footnoteReference w:id="8"/>
      </w:r>
      <w:r w:rsidR="00E2570E" w:rsidRPr="00702F1A">
        <w:rPr>
          <w:rFonts w:ascii="Aptos" w:hAnsi="Aptos" w:cs="Calibri"/>
          <w:sz w:val="24"/>
          <w:szCs w:val="24"/>
        </w:rPr>
        <w:t>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5953C6" w:rsidRPr="00702F1A">
        <w:rPr>
          <w:rFonts w:ascii="Aptos" w:hAnsi="Aptos" w:cs="Calibri"/>
          <w:sz w:val="24"/>
          <w:szCs w:val="24"/>
        </w:rPr>
        <w:t>Wprawdzie a</w:t>
      </w:r>
      <w:r w:rsidR="00E929F8" w:rsidRPr="00702F1A">
        <w:rPr>
          <w:rFonts w:ascii="Aptos" w:hAnsi="Aptos" w:cs="Calibri"/>
          <w:sz w:val="24"/>
          <w:szCs w:val="24"/>
        </w:rPr>
        <w:t xml:space="preserve">rt. 94 § 1 pkt 5 k.p.k. i art. 98 § 1 k.p.k. nie określają precyzyjnie warunków, którym powinno odpowiadać uzasadnienie postanowienia, tym niemniej w orzecznictwie ugruntowany został pogląd, iż z istoty uzasadnienia wynika to, że powinno ono wskazywać wszystkie istotne przesłanki, którymi kierował się organ wydający postanowienie, a w konsekwencji powinno wyczerpująco wyjaśniać przede wszystkim podstawę faktyczną postanowienia, a w miarę potrzeby wskazywać także przesłanki prawne. </w:t>
      </w:r>
      <w:r w:rsidR="005953C6" w:rsidRPr="00702F1A">
        <w:rPr>
          <w:rFonts w:ascii="Aptos" w:hAnsi="Aptos" w:cs="Calibri"/>
          <w:sz w:val="24"/>
          <w:szCs w:val="24"/>
        </w:rPr>
        <w:t xml:space="preserve">Należy zatem przyjąć, że </w:t>
      </w:r>
      <w:r w:rsidR="00E929F8" w:rsidRPr="00702F1A">
        <w:rPr>
          <w:rFonts w:ascii="Aptos" w:hAnsi="Aptos" w:cs="Calibri"/>
          <w:sz w:val="24"/>
          <w:szCs w:val="24"/>
        </w:rPr>
        <w:t xml:space="preserve">uzasadnienie </w:t>
      </w:r>
      <w:r w:rsidR="005953C6" w:rsidRPr="00702F1A">
        <w:rPr>
          <w:rFonts w:ascii="Aptos" w:hAnsi="Aptos" w:cs="Calibri"/>
          <w:sz w:val="24"/>
          <w:szCs w:val="24"/>
        </w:rPr>
        <w:t xml:space="preserve">postanowienia </w:t>
      </w:r>
      <w:r w:rsidR="00E929F8" w:rsidRPr="00702F1A">
        <w:rPr>
          <w:rFonts w:ascii="Aptos" w:hAnsi="Aptos" w:cs="Calibri"/>
          <w:sz w:val="24"/>
          <w:szCs w:val="24"/>
        </w:rPr>
        <w:t>powinno, co do zasady, zawierać elementy określone w przepisie art. 424 § 1 pkt 1 i 2 k.p.k., chociaż unormowanie to dotyczy bezpośrednio jedynie uzasadnienia orzeczenia zapadającego w formie wyroku</w:t>
      </w:r>
      <w:r w:rsidR="005953C6" w:rsidRPr="00702F1A">
        <w:rPr>
          <w:rStyle w:val="Odwoanieprzypisudolnego"/>
          <w:rFonts w:ascii="Aptos" w:hAnsi="Aptos" w:cs="Calibri"/>
          <w:sz w:val="24"/>
          <w:szCs w:val="24"/>
        </w:rPr>
        <w:footnoteReference w:id="9"/>
      </w:r>
      <w:r w:rsidR="00E929F8" w:rsidRPr="00702F1A">
        <w:rPr>
          <w:rFonts w:ascii="Aptos" w:hAnsi="Aptos" w:cs="Calibri"/>
          <w:sz w:val="24"/>
          <w:szCs w:val="24"/>
        </w:rPr>
        <w:t>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302F5E" w:rsidRPr="00702F1A">
        <w:rPr>
          <w:rFonts w:ascii="Aptos" w:hAnsi="Aptos" w:cs="Calibri"/>
          <w:sz w:val="24"/>
          <w:szCs w:val="24"/>
        </w:rPr>
        <w:t>Uwagi te odnoszą się także</w:t>
      </w:r>
      <w:r w:rsidR="00DE7D2D" w:rsidRPr="00702F1A">
        <w:rPr>
          <w:rFonts w:ascii="Aptos" w:hAnsi="Aptos" w:cs="Calibri"/>
          <w:sz w:val="24"/>
          <w:szCs w:val="24"/>
        </w:rPr>
        <w:t xml:space="preserve"> </w:t>
      </w:r>
      <w:r w:rsidR="00302F5E" w:rsidRPr="00702F1A">
        <w:rPr>
          <w:rFonts w:ascii="Aptos" w:hAnsi="Aptos" w:cs="Calibri"/>
          <w:sz w:val="24"/>
          <w:szCs w:val="24"/>
        </w:rPr>
        <w:t xml:space="preserve">do </w:t>
      </w:r>
      <w:r w:rsidR="00DE7D2D" w:rsidRPr="00702F1A">
        <w:rPr>
          <w:rFonts w:ascii="Aptos" w:hAnsi="Aptos" w:cs="Calibri"/>
          <w:sz w:val="24"/>
          <w:szCs w:val="24"/>
        </w:rPr>
        <w:t>postanowienia w przedmiocie przeszukania</w:t>
      </w:r>
      <w:r w:rsidR="00302F5E" w:rsidRPr="00702F1A">
        <w:rPr>
          <w:rFonts w:ascii="Aptos" w:hAnsi="Aptos" w:cs="Calibri"/>
          <w:sz w:val="24"/>
          <w:szCs w:val="24"/>
        </w:rPr>
        <w:t xml:space="preserve">. </w:t>
      </w:r>
      <w:r w:rsidR="0039502C" w:rsidRPr="00702F1A">
        <w:rPr>
          <w:rFonts w:ascii="Aptos" w:hAnsi="Aptos" w:cs="Calibri"/>
          <w:sz w:val="24"/>
          <w:szCs w:val="24"/>
        </w:rPr>
        <w:t>Oceniając</w:t>
      </w:r>
      <w:r w:rsidR="00CD2743" w:rsidRPr="00702F1A">
        <w:rPr>
          <w:rFonts w:ascii="Aptos" w:hAnsi="Aptos" w:cs="Calibri"/>
          <w:sz w:val="24"/>
          <w:szCs w:val="24"/>
        </w:rPr>
        <w:t xml:space="preserve"> </w:t>
      </w:r>
      <w:r w:rsidR="00B34B63" w:rsidRPr="00702F1A">
        <w:rPr>
          <w:rFonts w:ascii="Aptos" w:hAnsi="Aptos" w:cs="Calibri"/>
          <w:sz w:val="24"/>
          <w:szCs w:val="24"/>
        </w:rPr>
        <w:t>spełnienie warunków przeprowadzenia przeszukania, o jakich mowa w art. 219</w:t>
      </w:r>
      <w:r w:rsidR="00DE2832" w:rsidRPr="00702F1A">
        <w:rPr>
          <w:rFonts w:ascii="Aptos" w:hAnsi="Aptos" w:cs="Calibri"/>
          <w:sz w:val="24"/>
          <w:szCs w:val="24"/>
        </w:rPr>
        <w:t xml:space="preserve"> §</w:t>
      </w:r>
      <w:r w:rsidR="00DE2832" w:rsidRPr="00702F1A">
        <w:rPr>
          <w:rFonts w:ascii="Aptos" w:hAnsi="Aptos"/>
          <w:sz w:val="24"/>
          <w:szCs w:val="24"/>
        </w:rPr>
        <w:t xml:space="preserve"> 1 </w:t>
      </w:r>
      <w:r w:rsidR="00855126">
        <w:rPr>
          <w:rFonts w:ascii="Aptos" w:hAnsi="Aptos"/>
          <w:sz w:val="24"/>
          <w:szCs w:val="24"/>
        </w:rPr>
        <w:t xml:space="preserve">k.p.k. </w:t>
      </w:r>
      <w:r w:rsidR="00DE2832" w:rsidRPr="00702F1A">
        <w:rPr>
          <w:rFonts w:ascii="Aptos" w:hAnsi="Aptos"/>
          <w:sz w:val="24"/>
          <w:szCs w:val="24"/>
        </w:rPr>
        <w:t>oraz</w:t>
      </w:r>
      <w:r w:rsidR="0024543B">
        <w:rPr>
          <w:rFonts w:ascii="Aptos" w:hAnsi="Aptos"/>
          <w:sz w:val="24"/>
          <w:szCs w:val="24"/>
        </w:rPr>
        <w:t xml:space="preserve"> </w:t>
      </w:r>
      <w:r w:rsidR="00DE2832" w:rsidRPr="00702F1A">
        <w:rPr>
          <w:rFonts w:ascii="Aptos" w:hAnsi="Aptos" w:cs="Calibri"/>
          <w:sz w:val="24"/>
          <w:szCs w:val="24"/>
        </w:rPr>
        <w:t>220 § 3</w:t>
      </w:r>
      <w:r w:rsidR="00B34B63" w:rsidRPr="00702F1A">
        <w:rPr>
          <w:rFonts w:ascii="Aptos" w:hAnsi="Aptos" w:cs="Calibri"/>
          <w:sz w:val="24"/>
          <w:szCs w:val="24"/>
        </w:rPr>
        <w:t xml:space="preserve"> k.p.k.</w:t>
      </w:r>
      <w:r w:rsidR="00855126">
        <w:rPr>
          <w:rFonts w:ascii="Aptos" w:hAnsi="Aptos" w:cs="Calibri"/>
          <w:sz w:val="24"/>
          <w:szCs w:val="24"/>
        </w:rPr>
        <w:t>,</w:t>
      </w:r>
      <w:r w:rsidR="00B34B63" w:rsidRPr="00702F1A">
        <w:rPr>
          <w:rFonts w:ascii="Aptos" w:hAnsi="Aptos" w:cs="Calibri"/>
          <w:sz w:val="24"/>
          <w:szCs w:val="24"/>
        </w:rPr>
        <w:t xml:space="preserve"> </w:t>
      </w:r>
      <w:r w:rsidR="00DE2832" w:rsidRPr="00702F1A">
        <w:rPr>
          <w:rFonts w:ascii="Aptos" w:hAnsi="Aptos" w:cs="Calibri"/>
          <w:sz w:val="24"/>
          <w:szCs w:val="24"/>
        </w:rPr>
        <w:t xml:space="preserve">obowiązkiem sądu jest także ustalenie, czy </w:t>
      </w:r>
      <w:r w:rsidR="0001763A" w:rsidRPr="00702F1A">
        <w:rPr>
          <w:rFonts w:ascii="Aptos" w:hAnsi="Aptos" w:cs="Calibri"/>
          <w:sz w:val="24"/>
          <w:szCs w:val="24"/>
        </w:rPr>
        <w:t>dokonując</w:t>
      </w:r>
      <w:r w:rsidR="0001234B" w:rsidRPr="00702F1A">
        <w:rPr>
          <w:rFonts w:ascii="Aptos" w:hAnsi="Aptos" w:cs="Calibri"/>
          <w:sz w:val="24"/>
          <w:szCs w:val="24"/>
        </w:rPr>
        <w:t xml:space="preserve"> tej czynności zachowano właściwą równowagę pomiędzy istotnymi</w:t>
      </w:r>
      <w:r w:rsidR="0001763A" w:rsidRPr="00702F1A">
        <w:rPr>
          <w:rFonts w:ascii="Aptos" w:hAnsi="Aptos" w:cs="Calibri"/>
          <w:sz w:val="24"/>
          <w:szCs w:val="24"/>
        </w:rPr>
        <w:t xml:space="preserve"> </w:t>
      </w:r>
      <w:r w:rsidR="0001234B" w:rsidRPr="00702F1A">
        <w:rPr>
          <w:rFonts w:ascii="Aptos" w:hAnsi="Aptos" w:cs="Calibri"/>
          <w:sz w:val="24"/>
          <w:szCs w:val="24"/>
        </w:rPr>
        <w:t xml:space="preserve">dobrami, mianowicie prawem do </w:t>
      </w:r>
      <w:r w:rsidR="0001234B" w:rsidRPr="00702F1A">
        <w:rPr>
          <w:rFonts w:ascii="Aptos" w:hAnsi="Aptos" w:cs="Calibri"/>
          <w:sz w:val="24"/>
          <w:szCs w:val="24"/>
        </w:rPr>
        <w:lastRenderedPageBreak/>
        <w:t>poszanowania domu z jednej strony, a zapobieganiem nieporządkowi i przestępczości oraz ochroną praw i wolności</w:t>
      </w:r>
      <w:r w:rsidR="0001763A" w:rsidRPr="00702F1A">
        <w:rPr>
          <w:rFonts w:ascii="Aptos" w:hAnsi="Aptos" w:cs="Calibri"/>
          <w:sz w:val="24"/>
          <w:szCs w:val="24"/>
        </w:rPr>
        <w:t xml:space="preserve"> </w:t>
      </w:r>
      <w:r w:rsidR="0001234B" w:rsidRPr="00702F1A">
        <w:rPr>
          <w:rFonts w:ascii="Aptos" w:hAnsi="Aptos" w:cs="Calibri"/>
          <w:sz w:val="24"/>
          <w:szCs w:val="24"/>
        </w:rPr>
        <w:t>innych osób</w:t>
      </w:r>
      <w:r w:rsidR="00855126">
        <w:rPr>
          <w:rFonts w:ascii="Aptos" w:hAnsi="Aptos" w:cs="Calibri"/>
          <w:sz w:val="24"/>
          <w:szCs w:val="24"/>
        </w:rPr>
        <w:t xml:space="preserve"> </w:t>
      </w:r>
      <w:r w:rsidR="0001234B" w:rsidRPr="00702F1A">
        <w:rPr>
          <w:rFonts w:ascii="Aptos" w:hAnsi="Aptos" w:cs="Calibri"/>
          <w:sz w:val="24"/>
          <w:szCs w:val="24"/>
        </w:rPr>
        <w:t>z drugiej stro</w:t>
      </w:r>
      <w:r w:rsidR="0001763A" w:rsidRPr="00702F1A">
        <w:rPr>
          <w:rFonts w:ascii="Aptos" w:hAnsi="Aptos" w:cs="Calibri"/>
          <w:sz w:val="24"/>
          <w:szCs w:val="24"/>
        </w:rPr>
        <w:t>ny</w:t>
      </w:r>
      <w:r w:rsidR="0001763A" w:rsidRPr="00702F1A">
        <w:rPr>
          <w:rStyle w:val="Odwoanieprzypisudolnego"/>
          <w:rFonts w:ascii="Aptos" w:hAnsi="Aptos" w:cs="Calibri"/>
          <w:sz w:val="24"/>
          <w:szCs w:val="24"/>
        </w:rPr>
        <w:footnoteReference w:id="10"/>
      </w:r>
      <w:r w:rsidR="0001763A" w:rsidRPr="00702F1A">
        <w:rPr>
          <w:rFonts w:ascii="Aptos" w:hAnsi="Aptos" w:cs="Calibri"/>
          <w:sz w:val="24"/>
          <w:szCs w:val="24"/>
        </w:rPr>
        <w:t>.</w:t>
      </w:r>
    </w:p>
    <w:p w14:paraId="62E518F2" w14:textId="7D66665B" w:rsidR="0001763A" w:rsidRPr="00702F1A" w:rsidRDefault="0001763A" w:rsidP="00B34437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4.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Pr="00702F1A">
        <w:rPr>
          <w:rFonts w:ascii="Aptos" w:hAnsi="Aptos" w:cs="Calibri"/>
          <w:sz w:val="24"/>
          <w:szCs w:val="24"/>
        </w:rPr>
        <w:t>Reasumując, Komisja Kodyfikacyjna Prawa Karnego nie uznaje za zasadne wprowadzenie zmian legislacyjnych w treści art. 220 § 3 k.p.k.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FF7DBA" w:rsidRPr="00702F1A">
        <w:rPr>
          <w:rFonts w:ascii="Aptos" w:hAnsi="Aptos" w:cs="Calibri"/>
          <w:sz w:val="24"/>
          <w:szCs w:val="24"/>
        </w:rPr>
        <w:t>Wyrok</w:t>
      </w:r>
      <w:r w:rsidR="0024543B">
        <w:rPr>
          <w:rFonts w:ascii="Aptos" w:hAnsi="Aptos" w:cs="Calibri"/>
          <w:sz w:val="24"/>
          <w:szCs w:val="24"/>
        </w:rPr>
        <w:t xml:space="preserve"> </w:t>
      </w:r>
      <w:proofErr w:type="spellStart"/>
      <w:r w:rsidR="00FF7DBA" w:rsidRPr="00702F1A">
        <w:rPr>
          <w:rFonts w:ascii="Aptos" w:hAnsi="Aptos" w:cs="Calibri"/>
          <w:sz w:val="24"/>
          <w:szCs w:val="24"/>
        </w:rPr>
        <w:t>ETPCz</w:t>
      </w:r>
      <w:proofErr w:type="spellEnd"/>
      <w:r w:rsidR="00FF7DBA" w:rsidRPr="00702F1A">
        <w:rPr>
          <w:rFonts w:ascii="Aptos" w:hAnsi="Aptos" w:cs="Calibri"/>
          <w:sz w:val="24"/>
          <w:szCs w:val="24"/>
        </w:rPr>
        <w:t xml:space="preserve"> z dnia 8 czerwca 2023 r. w sprawie </w:t>
      </w:r>
      <w:r w:rsidR="00FF7DBA" w:rsidRPr="00702F1A">
        <w:rPr>
          <w:rFonts w:ascii="Aptos" w:hAnsi="Aptos" w:cs="Calibri"/>
          <w:i/>
          <w:iCs/>
          <w:sz w:val="24"/>
          <w:szCs w:val="24"/>
        </w:rPr>
        <w:t>Mazowiecki przeciwko Polsce</w:t>
      </w:r>
      <w:r w:rsidR="00FF7DBA" w:rsidRPr="00702F1A">
        <w:rPr>
          <w:rFonts w:ascii="Aptos" w:hAnsi="Aptos" w:cs="Calibri"/>
          <w:sz w:val="24"/>
          <w:szCs w:val="24"/>
        </w:rPr>
        <w:t xml:space="preserve"> (skarga nr 34734/13) jest wynikiem wadliwej praktyki</w:t>
      </w:r>
      <w:r w:rsidR="0024543B">
        <w:rPr>
          <w:rFonts w:ascii="Aptos" w:hAnsi="Aptos" w:cs="Calibri"/>
          <w:sz w:val="24"/>
          <w:szCs w:val="24"/>
        </w:rPr>
        <w:t xml:space="preserve"> </w:t>
      </w:r>
      <w:r w:rsidR="00FF7DBA" w:rsidRPr="00702F1A">
        <w:rPr>
          <w:rFonts w:ascii="Aptos" w:hAnsi="Aptos" w:cs="Calibri"/>
          <w:sz w:val="24"/>
          <w:szCs w:val="24"/>
        </w:rPr>
        <w:t xml:space="preserve">w </w:t>
      </w:r>
      <w:r w:rsidR="00452AF7" w:rsidRPr="00702F1A">
        <w:rPr>
          <w:rFonts w:ascii="Aptos" w:hAnsi="Aptos" w:cs="Calibri"/>
          <w:sz w:val="24"/>
          <w:szCs w:val="24"/>
        </w:rPr>
        <w:t xml:space="preserve">zakresie sporządzenia uzasadnienia postanowienia </w:t>
      </w:r>
      <w:r w:rsidR="0060659F" w:rsidRPr="00702F1A">
        <w:rPr>
          <w:rFonts w:ascii="Aptos" w:hAnsi="Aptos" w:cs="Calibri"/>
          <w:sz w:val="24"/>
          <w:szCs w:val="24"/>
        </w:rPr>
        <w:t xml:space="preserve">dotyczącego </w:t>
      </w:r>
      <w:r w:rsidR="00BB3210" w:rsidRPr="00702F1A">
        <w:rPr>
          <w:rFonts w:ascii="Aptos" w:hAnsi="Aptos" w:cs="Calibri"/>
          <w:sz w:val="24"/>
          <w:szCs w:val="24"/>
        </w:rPr>
        <w:t xml:space="preserve">przeszukania, nie zaś </w:t>
      </w:r>
      <w:r w:rsidR="00702F1A" w:rsidRPr="00702F1A">
        <w:rPr>
          <w:rFonts w:ascii="Aptos" w:hAnsi="Aptos" w:cs="Calibri"/>
          <w:sz w:val="24"/>
          <w:szCs w:val="24"/>
        </w:rPr>
        <w:t>wadliwego stanu prawnego.</w:t>
      </w:r>
      <w:r w:rsidR="00EA7CD3" w:rsidRPr="00EA7CD3">
        <w:rPr>
          <w:rFonts w:ascii="Aptos" w:hAnsi="Aptos" w:cs="Calibri"/>
          <w:sz w:val="24"/>
          <w:szCs w:val="24"/>
        </w:rPr>
        <w:t xml:space="preserve"> Dostrzegając jednak wagę i znaczenie jakości uzasadnień ww. postanowień, Komisja Kodyfikacyjna Prawa Karnego postuluj</w:t>
      </w:r>
      <w:r w:rsidR="00F61511">
        <w:rPr>
          <w:rFonts w:ascii="Aptos" w:hAnsi="Aptos" w:cs="Calibri"/>
          <w:sz w:val="24"/>
          <w:szCs w:val="24"/>
        </w:rPr>
        <w:t>e</w:t>
      </w:r>
      <w:r w:rsidR="00EA7CD3" w:rsidRPr="00EA7CD3">
        <w:rPr>
          <w:rFonts w:ascii="Aptos" w:hAnsi="Aptos" w:cs="Calibri"/>
          <w:sz w:val="24"/>
          <w:szCs w:val="24"/>
        </w:rPr>
        <w:t xml:space="preserve"> objęcie zakresem szkoleń prowadzonych przez Krajową Szkołę Sądownictwa i Prokuratury orzecznictw</w:t>
      </w:r>
      <w:r w:rsidR="00F61511">
        <w:rPr>
          <w:rFonts w:ascii="Aptos" w:hAnsi="Aptos" w:cs="Calibri"/>
          <w:sz w:val="24"/>
          <w:szCs w:val="24"/>
        </w:rPr>
        <w:t>a</w:t>
      </w:r>
      <w:r w:rsidR="00EA7CD3" w:rsidRPr="00EA7CD3">
        <w:rPr>
          <w:rFonts w:ascii="Aptos" w:hAnsi="Aptos" w:cs="Calibri"/>
          <w:sz w:val="24"/>
          <w:szCs w:val="24"/>
        </w:rPr>
        <w:t xml:space="preserve"> Europejskiego Trybunału Praw Człowieka dotyczące</w:t>
      </w:r>
      <w:r w:rsidR="00F61511">
        <w:rPr>
          <w:rFonts w:ascii="Aptos" w:hAnsi="Aptos" w:cs="Calibri"/>
          <w:sz w:val="24"/>
          <w:szCs w:val="24"/>
        </w:rPr>
        <w:t>go</w:t>
      </w:r>
      <w:r w:rsidR="00EA7CD3" w:rsidRPr="00EA7CD3">
        <w:rPr>
          <w:rFonts w:ascii="Aptos" w:hAnsi="Aptos" w:cs="Calibri"/>
          <w:sz w:val="24"/>
          <w:szCs w:val="24"/>
        </w:rPr>
        <w:t xml:space="preserve"> przeszukania.</w:t>
      </w:r>
    </w:p>
    <w:p w14:paraId="1FC69A9F" w14:textId="77777777" w:rsidR="00702F1A" w:rsidRPr="00702F1A" w:rsidRDefault="00702F1A" w:rsidP="009069C8">
      <w:pPr>
        <w:spacing w:line="360" w:lineRule="auto"/>
        <w:jc w:val="both"/>
        <w:rPr>
          <w:rFonts w:ascii="Aptos" w:hAnsi="Aptos" w:cs="Calibri"/>
          <w:sz w:val="24"/>
          <w:szCs w:val="24"/>
        </w:rPr>
      </w:pPr>
    </w:p>
    <w:p w14:paraId="4C5ABD94" w14:textId="7E460999" w:rsidR="00705D2A" w:rsidRPr="00702F1A" w:rsidRDefault="00702F1A" w:rsidP="00702F1A">
      <w:pPr>
        <w:spacing w:line="360" w:lineRule="auto"/>
        <w:ind w:firstLine="360"/>
        <w:jc w:val="both"/>
        <w:rPr>
          <w:rFonts w:ascii="Aptos" w:hAnsi="Aptos" w:cs="Calibri"/>
          <w:i/>
          <w:iCs/>
          <w:sz w:val="24"/>
          <w:szCs w:val="24"/>
        </w:rPr>
      </w:pPr>
      <w:r w:rsidRPr="00702F1A">
        <w:rPr>
          <w:rFonts w:ascii="Aptos" w:hAnsi="Aptos" w:cs="Calibri"/>
          <w:sz w:val="24"/>
          <w:szCs w:val="24"/>
        </w:rPr>
        <w:t>Opracował: Andrzej Sakowicz</w:t>
      </w:r>
    </w:p>
    <w:sectPr w:rsidR="00705D2A" w:rsidRPr="00702F1A" w:rsidSect="00B36C72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1375" w14:textId="77777777" w:rsidR="00E64DB3" w:rsidRDefault="00E64DB3" w:rsidP="00691D67">
      <w:pPr>
        <w:spacing w:after="0" w:line="240" w:lineRule="auto"/>
      </w:pPr>
      <w:r>
        <w:separator/>
      </w:r>
    </w:p>
  </w:endnote>
  <w:endnote w:type="continuationSeparator" w:id="0">
    <w:p w14:paraId="34DDFFC6" w14:textId="77777777" w:rsidR="00E64DB3" w:rsidRDefault="00E64DB3" w:rsidP="006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14853518"/>
      <w:docPartObj>
        <w:docPartGallery w:val="Page Numbers (Bottom of Page)"/>
        <w:docPartUnique/>
      </w:docPartObj>
    </w:sdtPr>
    <w:sdtContent>
      <w:p w14:paraId="65AACE33" w14:textId="1BC8A7F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5C019CD" w14:textId="77777777" w:rsidR="00691D67" w:rsidRDefault="00691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33605753"/>
      <w:docPartObj>
        <w:docPartGallery w:val="Page Numbers (Bottom of Page)"/>
        <w:docPartUnique/>
      </w:docPartObj>
    </w:sdtPr>
    <w:sdtContent>
      <w:p w14:paraId="78A8062D" w14:textId="0C9D630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0ED3F74" w14:textId="77777777" w:rsidR="00691D67" w:rsidRDefault="00691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9574" w14:textId="77777777" w:rsidR="00E64DB3" w:rsidRDefault="00E64DB3" w:rsidP="00691D67">
      <w:pPr>
        <w:spacing w:after="0" w:line="240" w:lineRule="auto"/>
      </w:pPr>
      <w:r>
        <w:separator/>
      </w:r>
    </w:p>
  </w:footnote>
  <w:footnote w:type="continuationSeparator" w:id="0">
    <w:p w14:paraId="01444FF1" w14:textId="77777777" w:rsidR="00E64DB3" w:rsidRDefault="00E64DB3" w:rsidP="00691D67">
      <w:pPr>
        <w:spacing w:after="0" w:line="240" w:lineRule="auto"/>
      </w:pPr>
      <w:r>
        <w:continuationSeparator/>
      </w:r>
    </w:p>
  </w:footnote>
  <w:footnote w:id="1">
    <w:p w14:paraId="3A5EBC25" w14:textId="10B293DE" w:rsidR="006E1D67" w:rsidRPr="0001763A" w:rsidRDefault="006E1D67" w:rsidP="0001763A">
      <w:pPr>
        <w:pStyle w:val="Bezodstpw"/>
        <w:jc w:val="both"/>
        <w:rPr>
          <w:sz w:val="20"/>
          <w:szCs w:val="20"/>
        </w:rPr>
      </w:pPr>
      <w:r w:rsidRPr="0001763A">
        <w:rPr>
          <w:rStyle w:val="Odwoanieprzypisudolnego"/>
          <w:rFonts w:ascii="Aptos" w:hAnsi="Aptos"/>
          <w:sz w:val="20"/>
          <w:szCs w:val="20"/>
        </w:rPr>
        <w:footnoteRef/>
      </w:r>
      <w:r w:rsidRPr="0001763A">
        <w:rPr>
          <w:sz w:val="20"/>
          <w:szCs w:val="20"/>
        </w:rPr>
        <w:t xml:space="preserve"> </w:t>
      </w:r>
      <w:r w:rsidR="002979A5" w:rsidRPr="0001763A">
        <w:rPr>
          <w:sz w:val="20"/>
          <w:szCs w:val="20"/>
        </w:rPr>
        <w:t>Zob. wyrok</w:t>
      </w:r>
      <w:r w:rsidR="0024543B">
        <w:rPr>
          <w:sz w:val="20"/>
          <w:szCs w:val="20"/>
        </w:rPr>
        <w:t>i</w:t>
      </w:r>
      <w:r w:rsidR="002979A5" w:rsidRPr="0001763A">
        <w:rPr>
          <w:sz w:val="20"/>
          <w:szCs w:val="20"/>
        </w:rPr>
        <w:t xml:space="preserve"> </w:t>
      </w:r>
      <w:proofErr w:type="spellStart"/>
      <w:r w:rsidR="002979A5" w:rsidRPr="0001763A">
        <w:rPr>
          <w:sz w:val="20"/>
          <w:szCs w:val="20"/>
        </w:rPr>
        <w:t>ETPCz</w:t>
      </w:r>
      <w:proofErr w:type="spellEnd"/>
      <w:r w:rsidR="002979A5" w:rsidRPr="0001763A">
        <w:rPr>
          <w:sz w:val="20"/>
          <w:szCs w:val="20"/>
        </w:rPr>
        <w:t xml:space="preserve"> z dnia 4 maja 2000 r. w sprawie </w:t>
      </w:r>
      <w:proofErr w:type="spellStart"/>
      <w:r w:rsidR="002979A5" w:rsidRPr="0001763A">
        <w:rPr>
          <w:i/>
          <w:iCs/>
          <w:sz w:val="20"/>
          <w:szCs w:val="20"/>
        </w:rPr>
        <w:t>Rotaru</w:t>
      </w:r>
      <w:proofErr w:type="spellEnd"/>
      <w:r w:rsidR="002979A5" w:rsidRPr="0001763A">
        <w:rPr>
          <w:i/>
          <w:iCs/>
          <w:sz w:val="20"/>
          <w:szCs w:val="20"/>
        </w:rPr>
        <w:t xml:space="preserve"> przeciwko Rumunii</w:t>
      </w:r>
      <w:r w:rsidR="002979A5" w:rsidRPr="0001763A">
        <w:rPr>
          <w:sz w:val="20"/>
          <w:szCs w:val="20"/>
        </w:rPr>
        <w:t xml:space="preserve">, skarga nr 28341/95, pkt 52, ETPC 2000–V; z dnia 15 lutego 2011 r. w sprawie </w:t>
      </w:r>
      <w:proofErr w:type="spellStart"/>
      <w:r w:rsidR="002979A5" w:rsidRPr="0001763A">
        <w:rPr>
          <w:i/>
          <w:iCs/>
          <w:sz w:val="20"/>
          <w:szCs w:val="20"/>
        </w:rPr>
        <w:t>Heino</w:t>
      </w:r>
      <w:proofErr w:type="spellEnd"/>
      <w:r w:rsidR="002979A5" w:rsidRPr="0001763A">
        <w:rPr>
          <w:i/>
          <w:iCs/>
          <w:sz w:val="20"/>
          <w:szCs w:val="20"/>
        </w:rPr>
        <w:t xml:space="preserve"> przeciwko Finlandii</w:t>
      </w:r>
      <w:r w:rsidR="002979A5" w:rsidRPr="0001763A">
        <w:rPr>
          <w:sz w:val="20"/>
          <w:szCs w:val="20"/>
        </w:rPr>
        <w:t xml:space="preserve">, skarga nr 56720/09, pkt 36; z dnia 15 października 2013 r. w sprawie </w:t>
      </w:r>
      <w:proofErr w:type="spellStart"/>
      <w:r w:rsidR="002979A5" w:rsidRPr="0001763A">
        <w:rPr>
          <w:i/>
          <w:iCs/>
          <w:sz w:val="20"/>
          <w:szCs w:val="20"/>
        </w:rPr>
        <w:t>Gutsanovi</w:t>
      </w:r>
      <w:proofErr w:type="spellEnd"/>
      <w:r w:rsidR="002979A5" w:rsidRPr="0001763A">
        <w:rPr>
          <w:i/>
          <w:iCs/>
          <w:sz w:val="20"/>
          <w:szCs w:val="20"/>
        </w:rPr>
        <w:t xml:space="preserve"> przeciwko Bułgarii</w:t>
      </w:r>
      <w:r w:rsidR="002979A5" w:rsidRPr="0001763A">
        <w:rPr>
          <w:sz w:val="20"/>
          <w:szCs w:val="20"/>
        </w:rPr>
        <w:t xml:space="preserve">, skarga nr 34529/10, pkt 220; z dnia 16 lutego 2016 r. w sprawie </w:t>
      </w:r>
      <w:proofErr w:type="spellStart"/>
      <w:r w:rsidR="002979A5" w:rsidRPr="0001763A">
        <w:rPr>
          <w:i/>
          <w:iCs/>
          <w:sz w:val="20"/>
          <w:szCs w:val="20"/>
        </w:rPr>
        <w:t>Govedarski</w:t>
      </w:r>
      <w:proofErr w:type="spellEnd"/>
      <w:r w:rsidR="002979A5" w:rsidRPr="0001763A">
        <w:rPr>
          <w:i/>
          <w:iCs/>
          <w:sz w:val="20"/>
          <w:szCs w:val="20"/>
        </w:rPr>
        <w:t xml:space="preserve"> przeciwko Bułgarii</w:t>
      </w:r>
      <w:r w:rsidR="002979A5" w:rsidRPr="0001763A">
        <w:rPr>
          <w:sz w:val="20"/>
          <w:szCs w:val="20"/>
        </w:rPr>
        <w:t xml:space="preserve">, skarga nr 34957/12, pkt. 79, 81; z dnia 31 marca 2016 r. w sprawie </w:t>
      </w:r>
      <w:proofErr w:type="spellStart"/>
      <w:r w:rsidR="002979A5" w:rsidRPr="0001763A">
        <w:rPr>
          <w:i/>
          <w:iCs/>
          <w:sz w:val="20"/>
          <w:szCs w:val="20"/>
        </w:rPr>
        <w:t>Stoyanov</w:t>
      </w:r>
      <w:proofErr w:type="spellEnd"/>
      <w:r w:rsidR="002979A5" w:rsidRPr="0001763A">
        <w:rPr>
          <w:i/>
          <w:iCs/>
          <w:sz w:val="20"/>
          <w:szCs w:val="20"/>
        </w:rPr>
        <w:t xml:space="preserve"> i </w:t>
      </w:r>
      <w:r w:rsidR="00EA1C0F" w:rsidRPr="0001763A">
        <w:rPr>
          <w:i/>
          <w:iCs/>
          <w:sz w:val="20"/>
          <w:szCs w:val="20"/>
        </w:rPr>
        <w:t>i</w:t>
      </w:r>
      <w:r w:rsidR="002979A5" w:rsidRPr="0001763A">
        <w:rPr>
          <w:i/>
          <w:iCs/>
          <w:sz w:val="20"/>
          <w:szCs w:val="20"/>
        </w:rPr>
        <w:t>nni przeciwko Bułgarii</w:t>
      </w:r>
      <w:r w:rsidR="002979A5" w:rsidRPr="0001763A">
        <w:rPr>
          <w:sz w:val="20"/>
          <w:szCs w:val="20"/>
        </w:rPr>
        <w:t>, skarga nr 55388/10, pkt 124.</w:t>
      </w:r>
    </w:p>
  </w:footnote>
  <w:footnote w:id="2">
    <w:p w14:paraId="3D519FA8" w14:textId="2018AD26" w:rsidR="0002331E" w:rsidRPr="0001763A" w:rsidRDefault="0002331E" w:rsidP="00B34437">
      <w:pPr>
        <w:pStyle w:val="Bezodstpw"/>
        <w:jc w:val="both"/>
        <w:rPr>
          <w:sz w:val="20"/>
          <w:szCs w:val="20"/>
        </w:rPr>
      </w:pPr>
      <w:r w:rsidRPr="0001763A">
        <w:rPr>
          <w:rStyle w:val="Odwoanieprzypisudolnego"/>
          <w:rFonts w:ascii="Aptos" w:hAnsi="Aptos"/>
          <w:sz w:val="20"/>
          <w:szCs w:val="20"/>
        </w:rPr>
        <w:footnoteRef/>
      </w:r>
      <w:r w:rsidRPr="0001763A">
        <w:rPr>
          <w:sz w:val="20"/>
          <w:szCs w:val="20"/>
        </w:rPr>
        <w:t xml:space="preserve"> Wyrok </w:t>
      </w:r>
      <w:proofErr w:type="spellStart"/>
      <w:r w:rsidRPr="0001763A">
        <w:rPr>
          <w:sz w:val="20"/>
          <w:szCs w:val="20"/>
        </w:rPr>
        <w:t>ETPCz</w:t>
      </w:r>
      <w:proofErr w:type="spellEnd"/>
      <w:r w:rsidRPr="0001763A">
        <w:rPr>
          <w:sz w:val="20"/>
          <w:szCs w:val="20"/>
        </w:rPr>
        <w:t xml:space="preserve"> z dnia 15 lutego 2011 r. w sprawie </w:t>
      </w:r>
      <w:proofErr w:type="spellStart"/>
      <w:r w:rsidRPr="0001763A">
        <w:rPr>
          <w:i/>
          <w:iCs/>
          <w:sz w:val="20"/>
          <w:szCs w:val="20"/>
        </w:rPr>
        <w:t>Heino</w:t>
      </w:r>
      <w:proofErr w:type="spellEnd"/>
      <w:r w:rsidRPr="0001763A">
        <w:rPr>
          <w:i/>
          <w:iCs/>
          <w:sz w:val="20"/>
          <w:szCs w:val="20"/>
        </w:rPr>
        <w:t xml:space="preserve"> przeciwko Finlandii</w:t>
      </w:r>
      <w:r w:rsidRPr="0001763A">
        <w:rPr>
          <w:sz w:val="20"/>
          <w:szCs w:val="20"/>
        </w:rPr>
        <w:t>, skarga nr 56720/09, pkt 45.</w:t>
      </w:r>
    </w:p>
  </w:footnote>
  <w:footnote w:id="3">
    <w:p w14:paraId="35CF2C0A" w14:textId="12A7AB5F" w:rsidR="0002331E" w:rsidRPr="0001763A" w:rsidRDefault="0002331E" w:rsidP="00B34437">
      <w:pPr>
        <w:pStyle w:val="Bezodstpw"/>
        <w:jc w:val="both"/>
        <w:rPr>
          <w:sz w:val="20"/>
          <w:szCs w:val="20"/>
        </w:rPr>
      </w:pPr>
      <w:r w:rsidRPr="0001763A">
        <w:rPr>
          <w:rStyle w:val="Odwoanieprzypisudolnego"/>
          <w:rFonts w:ascii="Aptos" w:hAnsi="Aptos"/>
          <w:sz w:val="20"/>
          <w:szCs w:val="20"/>
        </w:rPr>
        <w:footnoteRef/>
      </w:r>
      <w:r w:rsidRPr="0001763A">
        <w:rPr>
          <w:sz w:val="20"/>
          <w:szCs w:val="20"/>
        </w:rPr>
        <w:t xml:space="preserve"> Wyrok </w:t>
      </w:r>
      <w:proofErr w:type="spellStart"/>
      <w:r w:rsidRPr="0001763A">
        <w:rPr>
          <w:sz w:val="20"/>
          <w:szCs w:val="20"/>
        </w:rPr>
        <w:t>ETPCz</w:t>
      </w:r>
      <w:proofErr w:type="spellEnd"/>
      <w:r w:rsidRPr="0001763A">
        <w:rPr>
          <w:sz w:val="20"/>
          <w:szCs w:val="20"/>
        </w:rPr>
        <w:t xml:space="preserve"> z dnia 16 lutego 2016 r. w sprawie </w:t>
      </w:r>
      <w:proofErr w:type="spellStart"/>
      <w:r w:rsidRPr="0001763A">
        <w:rPr>
          <w:i/>
          <w:iCs/>
          <w:sz w:val="20"/>
          <w:szCs w:val="20"/>
        </w:rPr>
        <w:t>Govedarski</w:t>
      </w:r>
      <w:proofErr w:type="spellEnd"/>
      <w:r w:rsidRPr="0001763A">
        <w:rPr>
          <w:i/>
          <w:iCs/>
          <w:sz w:val="20"/>
          <w:szCs w:val="20"/>
        </w:rPr>
        <w:t xml:space="preserve"> przeciwko Bułgarii</w:t>
      </w:r>
      <w:r w:rsidRPr="0001763A">
        <w:rPr>
          <w:sz w:val="20"/>
          <w:szCs w:val="20"/>
        </w:rPr>
        <w:t>, skarga nr 34957/12, pkt. 222;</w:t>
      </w:r>
      <w:r w:rsidR="0024543B">
        <w:rPr>
          <w:sz w:val="20"/>
          <w:szCs w:val="20"/>
        </w:rPr>
        <w:t xml:space="preserve"> </w:t>
      </w:r>
      <w:r w:rsidR="00982780" w:rsidRPr="0001763A">
        <w:rPr>
          <w:sz w:val="20"/>
          <w:szCs w:val="20"/>
        </w:rPr>
        <w:t xml:space="preserve">wyrok </w:t>
      </w:r>
      <w:proofErr w:type="spellStart"/>
      <w:r w:rsidR="00982780" w:rsidRPr="0001763A">
        <w:rPr>
          <w:sz w:val="20"/>
          <w:szCs w:val="20"/>
        </w:rPr>
        <w:t>ETPCz</w:t>
      </w:r>
      <w:proofErr w:type="spellEnd"/>
      <w:r w:rsidR="00982780" w:rsidRPr="0001763A">
        <w:rPr>
          <w:sz w:val="20"/>
          <w:szCs w:val="20"/>
        </w:rPr>
        <w:t xml:space="preserve"> z dnia </w:t>
      </w:r>
      <w:r w:rsidR="00E80C89" w:rsidRPr="0001763A">
        <w:rPr>
          <w:sz w:val="20"/>
          <w:szCs w:val="20"/>
        </w:rPr>
        <w:t xml:space="preserve">7 czerwca 2007 r. w sprawie </w:t>
      </w:r>
      <w:proofErr w:type="spellStart"/>
      <w:r w:rsidRPr="0001763A">
        <w:rPr>
          <w:rFonts w:cs="Calibri"/>
          <w:i/>
          <w:iCs/>
          <w:sz w:val="20"/>
          <w:szCs w:val="20"/>
        </w:rPr>
        <w:t>Smirnov</w:t>
      </w:r>
      <w:proofErr w:type="spellEnd"/>
      <w:r w:rsidRPr="0001763A">
        <w:rPr>
          <w:rFonts w:cs="Calibri"/>
          <w:i/>
          <w:iCs/>
          <w:sz w:val="20"/>
          <w:szCs w:val="20"/>
        </w:rPr>
        <w:t xml:space="preserve"> </w:t>
      </w:r>
      <w:r w:rsidR="00EA1C0F" w:rsidRPr="0001763A">
        <w:rPr>
          <w:i/>
          <w:iCs/>
          <w:sz w:val="20"/>
          <w:szCs w:val="20"/>
        </w:rPr>
        <w:t>przeciwko</w:t>
      </w:r>
      <w:r w:rsidRPr="0001763A">
        <w:rPr>
          <w:rFonts w:cs="Calibri"/>
          <w:i/>
          <w:iCs/>
          <w:sz w:val="20"/>
          <w:szCs w:val="20"/>
        </w:rPr>
        <w:t xml:space="preserve"> Rosji</w:t>
      </w:r>
      <w:r w:rsidRPr="0001763A">
        <w:rPr>
          <w:rFonts w:cs="Calibri"/>
          <w:sz w:val="20"/>
          <w:szCs w:val="20"/>
        </w:rPr>
        <w:t>, nr 71362/01, pkt 45</w:t>
      </w:r>
      <w:r w:rsidR="00EA1C0F" w:rsidRPr="0001763A">
        <w:rPr>
          <w:rFonts w:cs="Calibri"/>
          <w:sz w:val="20"/>
          <w:szCs w:val="20"/>
        </w:rPr>
        <w:t>.</w:t>
      </w:r>
    </w:p>
  </w:footnote>
  <w:footnote w:id="4">
    <w:p w14:paraId="5F72253A" w14:textId="268F3BF6" w:rsidR="0091505B" w:rsidRPr="0001763A" w:rsidRDefault="0091505B" w:rsidP="00B34437">
      <w:pPr>
        <w:pStyle w:val="Bezodstpw"/>
        <w:jc w:val="both"/>
        <w:rPr>
          <w:sz w:val="20"/>
          <w:szCs w:val="20"/>
        </w:rPr>
      </w:pPr>
      <w:r w:rsidRPr="0001763A">
        <w:rPr>
          <w:rStyle w:val="Odwoanieprzypisudolnego"/>
          <w:rFonts w:ascii="Aptos" w:hAnsi="Aptos"/>
          <w:sz w:val="20"/>
          <w:szCs w:val="20"/>
        </w:rPr>
        <w:footnoteRef/>
      </w:r>
      <w:r w:rsidRPr="0001763A">
        <w:rPr>
          <w:sz w:val="20"/>
          <w:szCs w:val="20"/>
        </w:rPr>
        <w:t xml:space="preserve"> Wyrok </w:t>
      </w:r>
      <w:proofErr w:type="spellStart"/>
      <w:r w:rsidRPr="0001763A">
        <w:rPr>
          <w:sz w:val="20"/>
          <w:szCs w:val="20"/>
        </w:rPr>
        <w:t>ETPCz</w:t>
      </w:r>
      <w:proofErr w:type="spellEnd"/>
      <w:r w:rsidRPr="0001763A">
        <w:rPr>
          <w:sz w:val="20"/>
          <w:szCs w:val="20"/>
        </w:rPr>
        <w:t xml:space="preserve"> z dnia 16 lutego 2016 r. w sprawie </w:t>
      </w:r>
      <w:proofErr w:type="spellStart"/>
      <w:r w:rsidRPr="0001763A">
        <w:rPr>
          <w:i/>
          <w:iCs/>
          <w:sz w:val="20"/>
          <w:szCs w:val="20"/>
        </w:rPr>
        <w:t>Govedarski</w:t>
      </w:r>
      <w:proofErr w:type="spellEnd"/>
      <w:r w:rsidRPr="0001763A">
        <w:rPr>
          <w:i/>
          <w:iCs/>
          <w:sz w:val="20"/>
          <w:szCs w:val="20"/>
        </w:rPr>
        <w:t xml:space="preserve"> przeciwko Bułgarii</w:t>
      </w:r>
      <w:r w:rsidRPr="0001763A">
        <w:rPr>
          <w:sz w:val="20"/>
          <w:szCs w:val="20"/>
        </w:rPr>
        <w:t xml:space="preserve">, skarga nr 34957/12, pkt. 85; wyrok </w:t>
      </w:r>
      <w:proofErr w:type="spellStart"/>
      <w:r w:rsidRPr="0001763A">
        <w:rPr>
          <w:sz w:val="20"/>
          <w:szCs w:val="20"/>
        </w:rPr>
        <w:t>ETPCz</w:t>
      </w:r>
      <w:proofErr w:type="spellEnd"/>
      <w:r w:rsidRPr="0001763A">
        <w:rPr>
          <w:sz w:val="20"/>
          <w:szCs w:val="20"/>
        </w:rPr>
        <w:t xml:space="preserve"> z dnia 31 marca 2016 r. w sprawie </w:t>
      </w:r>
      <w:proofErr w:type="spellStart"/>
      <w:r w:rsidRPr="0001763A">
        <w:rPr>
          <w:i/>
          <w:iCs/>
          <w:sz w:val="20"/>
          <w:szCs w:val="20"/>
        </w:rPr>
        <w:t>Stoyanov</w:t>
      </w:r>
      <w:proofErr w:type="spellEnd"/>
      <w:r w:rsidRPr="0001763A">
        <w:rPr>
          <w:i/>
          <w:iCs/>
          <w:sz w:val="20"/>
          <w:szCs w:val="20"/>
        </w:rPr>
        <w:t xml:space="preserve"> i inni przeciwko Bułgarii</w:t>
      </w:r>
      <w:r w:rsidRPr="0001763A">
        <w:rPr>
          <w:sz w:val="20"/>
          <w:szCs w:val="20"/>
        </w:rPr>
        <w:t>, skarga nr 55388/10, pkt 130.</w:t>
      </w:r>
    </w:p>
  </w:footnote>
  <w:footnote w:id="5">
    <w:p w14:paraId="6CB0C999" w14:textId="043ECE5F" w:rsidR="00085911" w:rsidRPr="0001763A" w:rsidRDefault="00085911" w:rsidP="0001763A">
      <w:pPr>
        <w:pStyle w:val="Bezodstpw"/>
        <w:jc w:val="both"/>
        <w:rPr>
          <w:sz w:val="20"/>
          <w:szCs w:val="20"/>
        </w:rPr>
      </w:pPr>
      <w:r w:rsidRPr="0001763A">
        <w:rPr>
          <w:rStyle w:val="Odwoanieprzypisudolnego"/>
          <w:sz w:val="20"/>
          <w:szCs w:val="20"/>
        </w:rPr>
        <w:footnoteRef/>
      </w:r>
      <w:r w:rsidRPr="0001763A">
        <w:rPr>
          <w:sz w:val="20"/>
          <w:szCs w:val="20"/>
        </w:rPr>
        <w:t xml:space="preserve"> </w:t>
      </w:r>
      <w:r w:rsidR="00224C20" w:rsidRPr="0001763A">
        <w:rPr>
          <w:sz w:val="20"/>
          <w:szCs w:val="20"/>
        </w:rPr>
        <w:t xml:space="preserve">Zob. </w:t>
      </w:r>
      <w:r w:rsidR="00DD4D4F" w:rsidRPr="0001763A">
        <w:rPr>
          <w:sz w:val="20"/>
          <w:szCs w:val="20"/>
        </w:rPr>
        <w:t xml:space="preserve">J. Wróblewski, Uzasadnienie i wyjaśnienie decyzji sądowej, SPE 1976, nr 16, s. 7; </w:t>
      </w:r>
      <w:r w:rsidR="00224C20" w:rsidRPr="0001763A">
        <w:rPr>
          <w:rFonts w:cs="Calibri"/>
          <w:sz w:val="20"/>
          <w:szCs w:val="20"/>
        </w:rPr>
        <w:t>R. Broniecka, Uzasadnienie wyroku w polskim postępowaniu karnym, Warszawa 2014, s. 46 i n.; R. Starzyńska, Uzasadnienie orzeczenia jako realizacja funkcji orzekania. Zagadnienia wybrane, [w:] Z problematyki funkcji procesu karnego, (red.) T. Grzegorczyk, J. Izydorczyk, R. Olszewski, Warszawa 2013, s. 671 i n.;</w:t>
      </w:r>
      <w:r w:rsidR="0024543B">
        <w:rPr>
          <w:rFonts w:cs="Calibri"/>
          <w:sz w:val="20"/>
          <w:szCs w:val="20"/>
        </w:rPr>
        <w:t xml:space="preserve"> </w:t>
      </w:r>
      <w:r w:rsidR="00DD4D4F" w:rsidRPr="0001763A">
        <w:rPr>
          <w:sz w:val="20"/>
          <w:szCs w:val="20"/>
        </w:rPr>
        <w:t>W. Grzeszczyk, Uzasadnienie postanowienia w sprawach karnych, Prok. i Pr. 2001, nr 5, s. 159–163;</w:t>
      </w:r>
      <w:r w:rsidR="0024543B">
        <w:rPr>
          <w:sz w:val="20"/>
          <w:szCs w:val="20"/>
        </w:rPr>
        <w:t xml:space="preserve"> </w:t>
      </w:r>
      <w:r w:rsidR="00224C20" w:rsidRPr="0001763A">
        <w:rPr>
          <w:rFonts w:cs="Calibri"/>
          <w:sz w:val="20"/>
          <w:szCs w:val="20"/>
        </w:rPr>
        <w:t xml:space="preserve">M. Kościelniak-Marszał, Charakter uzasadnienia wyroku karnego sądu i instancji, OSAP 2008, nr V, s. 225 i n.; E. </w:t>
      </w:r>
      <w:proofErr w:type="spellStart"/>
      <w:r w:rsidR="00224C20" w:rsidRPr="0001763A">
        <w:rPr>
          <w:rFonts w:cs="Calibri"/>
          <w:sz w:val="20"/>
          <w:szCs w:val="20"/>
        </w:rPr>
        <w:t>Skrętowicz</w:t>
      </w:r>
      <w:proofErr w:type="spellEnd"/>
      <w:r w:rsidR="00224C20" w:rsidRPr="0001763A">
        <w:rPr>
          <w:rFonts w:cs="Calibri"/>
          <w:sz w:val="20"/>
          <w:szCs w:val="20"/>
        </w:rPr>
        <w:t xml:space="preserve">, Istota i znaczenie uzasadnienia wyroku sądu karnego po nowelizacji z 2003 roku, [w:] W kręgu teorii i praktyki prawa karnego. Księga poświęcona pamięci prof. A. Wąska, (red.) L. Leszczyński, E. </w:t>
      </w:r>
      <w:proofErr w:type="spellStart"/>
      <w:r w:rsidR="00224C20" w:rsidRPr="0001763A">
        <w:rPr>
          <w:rFonts w:cs="Calibri"/>
          <w:sz w:val="20"/>
          <w:szCs w:val="20"/>
        </w:rPr>
        <w:t>Skrętowicz</w:t>
      </w:r>
      <w:proofErr w:type="spellEnd"/>
      <w:r w:rsidR="00224C20" w:rsidRPr="0001763A">
        <w:rPr>
          <w:rFonts w:cs="Calibri"/>
          <w:sz w:val="20"/>
          <w:szCs w:val="20"/>
        </w:rPr>
        <w:t xml:space="preserve">, Z. Hołda, Lublin 2005, s. 679 i n.; E. </w:t>
      </w:r>
      <w:proofErr w:type="spellStart"/>
      <w:r w:rsidR="00224C20" w:rsidRPr="0001763A">
        <w:rPr>
          <w:rFonts w:cs="Calibri"/>
          <w:sz w:val="20"/>
          <w:szCs w:val="20"/>
        </w:rPr>
        <w:t>Trybuchowska</w:t>
      </w:r>
      <w:proofErr w:type="spellEnd"/>
      <w:r w:rsidR="00224C20" w:rsidRPr="0001763A">
        <w:rPr>
          <w:rFonts w:cs="Calibri"/>
          <w:sz w:val="20"/>
          <w:szCs w:val="20"/>
        </w:rPr>
        <w:t>, Uzasadnienie wyroku w świetle przepisów k.p.k., doktryny i planowanych zmian, [w:] Nowa kodyfikacja</w:t>
      </w:r>
      <w:r w:rsidR="00556D3E" w:rsidRPr="0001763A">
        <w:rPr>
          <w:rFonts w:cs="Calibri"/>
          <w:sz w:val="20"/>
          <w:szCs w:val="20"/>
        </w:rPr>
        <w:t xml:space="preserve"> </w:t>
      </w:r>
      <w:r w:rsidR="00556D3E" w:rsidRPr="0001763A">
        <w:rPr>
          <w:rFonts w:cs="Calibri"/>
          <w:i/>
          <w:iCs/>
          <w:sz w:val="20"/>
          <w:szCs w:val="20"/>
        </w:rPr>
        <w:t>prawa karnego</w:t>
      </w:r>
      <w:r w:rsidR="00556D3E" w:rsidRPr="0001763A">
        <w:rPr>
          <w:rFonts w:cs="Calibri"/>
          <w:sz w:val="20"/>
          <w:szCs w:val="20"/>
        </w:rPr>
        <w:t xml:space="preserve">, (red.) L. Bogunia, tom VIII, Wrocław 2001, s. 281 i n.; </w:t>
      </w:r>
      <w:r w:rsidR="00B867C6" w:rsidRPr="0001763A">
        <w:rPr>
          <w:rFonts w:cs="Calibri"/>
          <w:sz w:val="20"/>
          <w:szCs w:val="20"/>
        </w:rPr>
        <w:t xml:space="preserve">J. Kosonoga, </w:t>
      </w:r>
      <w:r w:rsidR="00B867C6" w:rsidRPr="00B867C6">
        <w:rPr>
          <w:rFonts w:cs="Calibri"/>
          <w:sz w:val="20"/>
          <w:szCs w:val="20"/>
        </w:rPr>
        <w:t>Sądowa kontrola przeszukania</w:t>
      </w:r>
      <w:r w:rsidR="00B867C6" w:rsidRPr="0001763A">
        <w:rPr>
          <w:rFonts w:cs="Calibri"/>
          <w:sz w:val="20"/>
          <w:szCs w:val="20"/>
        </w:rPr>
        <w:t xml:space="preserve">. </w:t>
      </w:r>
      <w:r w:rsidR="00B867C6" w:rsidRPr="00B867C6">
        <w:rPr>
          <w:rFonts w:cs="Calibri"/>
          <w:i/>
          <w:iCs/>
          <w:sz w:val="20"/>
          <w:szCs w:val="20"/>
        </w:rPr>
        <w:t>Mazowiecki przeciwko Polsce</w:t>
      </w:r>
      <w:r w:rsidR="00B867C6" w:rsidRPr="00B867C6">
        <w:rPr>
          <w:rFonts w:cs="Calibri"/>
          <w:sz w:val="20"/>
          <w:szCs w:val="20"/>
        </w:rPr>
        <w:t>, skarga nr 34734/13,</w:t>
      </w:r>
      <w:r w:rsidR="00556D3E" w:rsidRPr="0001763A">
        <w:rPr>
          <w:rFonts w:cs="Calibri"/>
          <w:sz w:val="20"/>
          <w:szCs w:val="20"/>
        </w:rPr>
        <w:t xml:space="preserve"> </w:t>
      </w:r>
      <w:r w:rsidR="00B867C6" w:rsidRPr="0001763A">
        <w:rPr>
          <w:rFonts w:cs="Calibri"/>
          <w:sz w:val="20"/>
          <w:szCs w:val="20"/>
        </w:rPr>
        <w:t>wyrok z dnia 8 czerwca 2023 r., (w:)</w:t>
      </w:r>
      <w:r w:rsidR="00507234" w:rsidRPr="0001763A">
        <w:rPr>
          <w:rFonts w:cs="Calibri"/>
          <w:sz w:val="20"/>
          <w:szCs w:val="20"/>
        </w:rPr>
        <w:t xml:space="preserve"> J. Kosonoga (red). Europejska Konwencja o Ochronie Praw Człowieka i Podstawowych Wolności. Komentarz Orzeczniczy za rok 2023 , Warszawa 2024, s.</w:t>
      </w:r>
      <w:r w:rsidR="00B867C6" w:rsidRPr="0001763A">
        <w:rPr>
          <w:rFonts w:cs="Calibri"/>
          <w:sz w:val="20"/>
          <w:szCs w:val="20"/>
        </w:rPr>
        <w:t xml:space="preserve"> 250-</w:t>
      </w:r>
      <w:r w:rsidR="00507234" w:rsidRPr="0001763A">
        <w:rPr>
          <w:rFonts w:cs="Calibri"/>
          <w:sz w:val="20"/>
          <w:szCs w:val="20"/>
        </w:rPr>
        <w:t xml:space="preserve">259; </w:t>
      </w:r>
      <w:r w:rsidR="00556D3E" w:rsidRPr="0001763A">
        <w:rPr>
          <w:rFonts w:cs="Calibri"/>
          <w:sz w:val="20"/>
          <w:szCs w:val="20"/>
        </w:rPr>
        <w:t>p</w:t>
      </w:r>
      <w:r w:rsidR="00DD4D4F" w:rsidRPr="0001763A">
        <w:rPr>
          <w:sz w:val="20"/>
          <w:szCs w:val="20"/>
        </w:rPr>
        <w:t>ostanowienie TK z dnia 11 kwietnia 2005 r., SK 48/04, OTK–A 2005, nr 4, poz. 45; wyrok TK z dnia 16 stycznia 2006 r., SK 30/05, OTK–A 2006, nr 1, poz. 2</w:t>
      </w:r>
      <w:r w:rsidR="00224C20" w:rsidRPr="0001763A">
        <w:rPr>
          <w:sz w:val="20"/>
          <w:szCs w:val="20"/>
        </w:rPr>
        <w:t>.</w:t>
      </w:r>
    </w:p>
  </w:footnote>
  <w:footnote w:id="6">
    <w:p w14:paraId="0BF1A87A" w14:textId="233E76AF" w:rsidR="00FE39B9" w:rsidRPr="0001763A" w:rsidRDefault="00FE39B9" w:rsidP="0001763A">
      <w:pPr>
        <w:pStyle w:val="Bezodstpw"/>
        <w:jc w:val="both"/>
        <w:rPr>
          <w:sz w:val="20"/>
          <w:szCs w:val="20"/>
        </w:rPr>
      </w:pPr>
      <w:r w:rsidRPr="0001763A">
        <w:rPr>
          <w:rStyle w:val="Odwoanieprzypisudolnego"/>
          <w:sz w:val="20"/>
          <w:szCs w:val="20"/>
        </w:rPr>
        <w:footnoteRef/>
      </w:r>
      <w:r w:rsidRPr="0001763A">
        <w:rPr>
          <w:sz w:val="20"/>
          <w:szCs w:val="20"/>
        </w:rPr>
        <w:t xml:space="preserve"> Postanowienie SA w Krakowie z dnia 21 czerwca 2000 r., II </w:t>
      </w:r>
      <w:proofErr w:type="spellStart"/>
      <w:r w:rsidRPr="0001763A">
        <w:rPr>
          <w:sz w:val="20"/>
          <w:szCs w:val="20"/>
        </w:rPr>
        <w:t>AKz</w:t>
      </w:r>
      <w:proofErr w:type="spellEnd"/>
      <w:r w:rsidRPr="0001763A">
        <w:rPr>
          <w:sz w:val="20"/>
          <w:szCs w:val="20"/>
        </w:rPr>
        <w:t xml:space="preserve"> 219/00, KZS 2000, nr 6,</w:t>
      </w:r>
      <w:r w:rsidR="00017365" w:rsidRPr="0001763A">
        <w:rPr>
          <w:sz w:val="20"/>
          <w:szCs w:val="20"/>
        </w:rPr>
        <w:t xml:space="preserve"> </w:t>
      </w:r>
      <w:r w:rsidRPr="0001763A">
        <w:rPr>
          <w:sz w:val="20"/>
          <w:szCs w:val="20"/>
        </w:rPr>
        <w:t xml:space="preserve">poz. 17; podobnie: postanowienie SA w Krakowie z dnia 3 lipca 2002 r., II </w:t>
      </w:r>
      <w:proofErr w:type="spellStart"/>
      <w:r w:rsidRPr="0001763A">
        <w:rPr>
          <w:sz w:val="20"/>
          <w:szCs w:val="20"/>
        </w:rPr>
        <w:t>AKz</w:t>
      </w:r>
      <w:proofErr w:type="spellEnd"/>
      <w:r w:rsidRPr="0001763A">
        <w:rPr>
          <w:sz w:val="20"/>
          <w:szCs w:val="20"/>
        </w:rPr>
        <w:t xml:space="preserve"> 245/02, KZS</w:t>
      </w:r>
      <w:r w:rsidR="00702F1A">
        <w:rPr>
          <w:sz w:val="20"/>
          <w:szCs w:val="20"/>
        </w:rPr>
        <w:t xml:space="preserve"> </w:t>
      </w:r>
      <w:r w:rsidRPr="0001763A">
        <w:rPr>
          <w:sz w:val="20"/>
          <w:szCs w:val="20"/>
        </w:rPr>
        <w:t>2002, nr 7–8, poz. 48</w:t>
      </w:r>
    </w:p>
  </w:footnote>
  <w:footnote w:id="7">
    <w:p w14:paraId="15935891" w14:textId="27F8A718" w:rsidR="00461F13" w:rsidRPr="0001763A" w:rsidRDefault="00461F13" w:rsidP="0001763A">
      <w:pPr>
        <w:pStyle w:val="Bezodstpw"/>
        <w:jc w:val="both"/>
        <w:rPr>
          <w:sz w:val="20"/>
          <w:szCs w:val="20"/>
        </w:rPr>
      </w:pPr>
      <w:r w:rsidRPr="0001763A">
        <w:rPr>
          <w:rStyle w:val="Odwoanieprzypisudolnego"/>
          <w:sz w:val="20"/>
          <w:szCs w:val="20"/>
        </w:rPr>
        <w:footnoteRef/>
      </w:r>
      <w:r w:rsidRPr="0001763A">
        <w:rPr>
          <w:sz w:val="20"/>
          <w:szCs w:val="20"/>
        </w:rPr>
        <w:t xml:space="preserve"> </w:t>
      </w:r>
      <w:r w:rsidR="00085911" w:rsidRPr="0001763A">
        <w:rPr>
          <w:sz w:val="20"/>
          <w:szCs w:val="20"/>
        </w:rPr>
        <w:t xml:space="preserve">Postanowienie SA w Krakowie z dnia 3 lipca 2002 r., II </w:t>
      </w:r>
      <w:proofErr w:type="spellStart"/>
      <w:r w:rsidR="00085911" w:rsidRPr="0001763A">
        <w:rPr>
          <w:sz w:val="20"/>
          <w:szCs w:val="20"/>
        </w:rPr>
        <w:t>AKz</w:t>
      </w:r>
      <w:proofErr w:type="spellEnd"/>
      <w:r w:rsidR="00085911" w:rsidRPr="0001763A">
        <w:rPr>
          <w:sz w:val="20"/>
          <w:szCs w:val="20"/>
        </w:rPr>
        <w:t xml:space="preserve"> 245/02, KZS 2002, nr 7–8, poz. 48.</w:t>
      </w:r>
    </w:p>
  </w:footnote>
  <w:footnote w:id="8">
    <w:p w14:paraId="0973C252" w14:textId="3BEDBBAF" w:rsidR="006E5136" w:rsidRPr="0001763A" w:rsidRDefault="006E5136" w:rsidP="0001763A">
      <w:pPr>
        <w:pStyle w:val="Tekstprzypisudolnego"/>
        <w:jc w:val="both"/>
      </w:pPr>
      <w:r w:rsidRPr="0001763A">
        <w:rPr>
          <w:rStyle w:val="Odwoanieprzypisudolnego"/>
        </w:rPr>
        <w:footnoteRef/>
      </w:r>
      <w:r w:rsidRPr="0001763A">
        <w:t xml:space="preserve"> Postanowienie SN z dnia 15 października 1996 r., II KZ 78/96, OSNKW 1996, nr 11–12, poz. 84, z glosą T. Grzegorczyka, Pal. 1997, nr 7–8, s. 202 i n.</w:t>
      </w:r>
    </w:p>
  </w:footnote>
  <w:footnote w:id="9">
    <w:p w14:paraId="231BA827" w14:textId="52FDC8C7" w:rsidR="005953C6" w:rsidRPr="0001763A" w:rsidRDefault="005953C6" w:rsidP="0001763A">
      <w:pPr>
        <w:pStyle w:val="Tekstprzypisudolnego"/>
        <w:jc w:val="both"/>
      </w:pPr>
      <w:r w:rsidRPr="0001763A">
        <w:rPr>
          <w:rStyle w:val="Odwoanieprzypisudolnego"/>
        </w:rPr>
        <w:footnoteRef/>
      </w:r>
      <w:r w:rsidRPr="0001763A">
        <w:t xml:space="preserve"> </w:t>
      </w:r>
      <w:r w:rsidR="00855126">
        <w:rPr>
          <w:rFonts w:ascii="Aptos" w:hAnsi="Aptos" w:cs="Calibri"/>
        </w:rPr>
        <w:t>P</w:t>
      </w:r>
      <w:r w:rsidRPr="0001763A">
        <w:rPr>
          <w:rFonts w:ascii="Aptos" w:hAnsi="Aptos" w:cs="Calibri"/>
        </w:rPr>
        <w:t xml:space="preserve">or. postanowienie SN z dnia 15 lutego 2001 roku - III KKN 595/00, OSNPK 7-8/01 poz. 5, postanowienie SA Kraków z dnia 21 czerwca 2000 roku - II </w:t>
      </w:r>
      <w:proofErr w:type="spellStart"/>
      <w:r w:rsidRPr="0001763A">
        <w:rPr>
          <w:rFonts w:ascii="Aptos" w:hAnsi="Aptos" w:cs="Calibri"/>
        </w:rPr>
        <w:t>AKz</w:t>
      </w:r>
      <w:proofErr w:type="spellEnd"/>
      <w:r w:rsidRPr="0001763A">
        <w:rPr>
          <w:rFonts w:ascii="Aptos" w:hAnsi="Aptos" w:cs="Calibri"/>
        </w:rPr>
        <w:t xml:space="preserve"> 219/00, KZS 6/01 poz. 17</w:t>
      </w:r>
      <w:r w:rsidR="00DE7D2D" w:rsidRPr="0001763A">
        <w:rPr>
          <w:rFonts w:ascii="Aptos" w:hAnsi="Aptos" w:cs="Calibri"/>
        </w:rPr>
        <w:t>.</w:t>
      </w:r>
    </w:p>
  </w:footnote>
  <w:footnote w:id="10">
    <w:p w14:paraId="13D33B2F" w14:textId="296DB291" w:rsidR="0001763A" w:rsidRPr="0001763A" w:rsidRDefault="0001763A" w:rsidP="0001763A">
      <w:pPr>
        <w:pStyle w:val="Tekstprzypisudolnego"/>
        <w:jc w:val="both"/>
      </w:pPr>
      <w:r w:rsidRPr="0001763A">
        <w:rPr>
          <w:rStyle w:val="Odwoanieprzypisudolnego"/>
        </w:rPr>
        <w:footnoteRef/>
      </w:r>
      <w:r w:rsidRPr="0001763A">
        <w:t xml:space="preserve"> Zob. wyroki ETPC: z dnia 23 września 1998 r. w sprawie </w:t>
      </w:r>
      <w:proofErr w:type="spellStart"/>
      <w:r w:rsidRPr="0001763A">
        <w:rPr>
          <w:i/>
          <w:iCs/>
        </w:rPr>
        <w:t>McLeod</w:t>
      </w:r>
      <w:proofErr w:type="spellEnd"/>
      <w:r w:rsidRPr="0001763A">
        <w:rPr>
          <w:i/>
          <w:iCs/>
        </w:rPr>
        <w:t xml:space="preserve"> przeciwko Zjednoczonemu Królestwu</w:t>
      </w:r>
      <w:r w:rsidRPr="0001763A">
        <w:t xml:space="preserve">, skarga nr 24755/94, § 53, Zbiór wyroków i decyzji 1998–VII; z dnia 18 stycznia 2018 r. w sprawie </w:t>
      </w:r>
      <w:proofErr w:type="spellStart"/>
      <w:r w:rsidRPr="0001763A">
        <w:rPr>
          <w:i/>
          <w:iCs/>
        </w:rPr>
        <w:t>National</w:t>
      </w:r>
      <w:proofErr w:type="spellEnd"/>
      <w:r w:rsidRPr="0001763A">
        <w:rPr>
          <w:i/>
          <w:iCs/>
        </w:rPr>
        <w:t xml:space="preserve"> </w:t>
      </w:r>
      <w:proofErr w:type="spellStart"/>
      <w:r w:rsidRPr="0001763A">
        <w:rPr>
          <w:i/>
          <w:iCs/>
        </w:rPr>
        <w:t>Federation</w:t>
      </w:r>
      <w:proofErr w:type="spellEnd"/>
      <w:r w:rsidRPr="0001763A">
        <w:rPr>
          <w:i/>
          <w:iCs/>
        </w:rPr>
        <w:t xml:space="preserve"> of </w:t>
      </w:r>
      <w:proofErr w:type="spellStart"/>
      <w:r w:rsidRPr="0001763A">
        <w:rPr>
          <w:i/>
          <w:iCs/>
        </w:rPr>
        <w:t>Sportspersons</w:t>
      </w:r>
      <w:proofErr w:type="spellEnd"/>
      <w:r w:rsidRPr="0001763A">
        <w:rPr>
          <w:i/>
          <w:iCs/>
        </w:rPr>
        <w:t xml:space="preserve">’ </w:t>
      </w:r>
      <w:proofErr w:type="spellStart"/>
      <w:r w:rsidRPr="0001763A">
        <w:rPr>
          <w:i/>
          <w:iCs/>
        </w:rPr>
        <w:t>Associations</w:t>
      </w:r>
      <w:proofErr w:type="spellEnd"/>
      <w:r w:rsidRPr="0001763A">
        <w:rPr>
          <w:i/>
          <w:iCs/>
        </w:rPr>
        <w:t xml:space="preserve"> and </w:t>
      </w:r>
      <w:proofErr w:type="spellStart"/>
      <w:r w:rsidRPr="0001763A">
        <w:rPr>
          <w:i/>
          <w:iCs/>
        </w:rPr>
        <w:t>Unions</w:t>
      </w:r>
      <w:proofErr w:type="spellEnd"/>
      <w:r w:rsidRPr="0001763A">
        <w:rPr>
          <w:i/>
          <w:iCs/>
        </w:rPr>
        <w:t xml:space="preserve"> (FNASS) and </w:t>
      </w:r>
      <w:proofErr w:type="spellStart"/>
      <w:r w:rsidRPr="0001763A">
        <w:rPr>
          <w:i/>
          <w:iCs/>
        </w:rPr>
        <w:t>Others</w:t>
      </w:r>
      <w:proofErr w:type="spellEnd"/>
      <w:r w:rsidRPr="0001763A">
        <w:rPr>
          <w:i/>
          <w:iCs/>
        </w:rPr>
        <w:t xml:space="preserve"> przeciwko Francji</w:t>
      </w:r>
      <w:r w:rsidRPr="0001763A">
        <w:t>, skargi nr 48151/11 i 77769/13, § 166, 170; J. Kosonoga, Sądowa kontrola przeszukania. Mazowiecki przeciwko Polsce, skarga nr 34734/13, wyrok z dnia 8 czerwca 2023 r., (w:) J. Kosonoga (red). Europejska Konwencja o Ochronie Praw Człowieka i Podstawowych Wolności. Komentarz Orzeczniczy za rok 2023 , Warszawa 2024, s. 258.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9E0"/>
    <w:multiLevelType w:val="hybridMultilevel"/>
    <w:tmpl w:val="8A16EA32"/>
    <w:lvl w:ilvl="0" w:tplc="17A2E15E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770887"/>
    <w:multiLevelType w:val="hybridMultilevel"/>
    <w:tmpl w:val="BFF6EC9A"/>
    <w:lvl w:ilvl="0" w:tplc="799E1F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945789">
    <w:abstractNumId w:val="1"/>
  </w:num>
  <w:num w:numId="2" w16cid:durableId="136506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1234B"/>
    <w:rsid w:val="00013328"/>
    <w:rsid w:val="00017365"/>
    <w:rsid w:val="0001763A"/>
    <w:rsid w:val="00017EA2"/>
    <w:rsid w:val="0002331E"/>
    <w:rsid w:val="00034E7E"/>
    <w:rsid w:val="00040DC3"/>
    <w:rsid w:val="000427F5"/>
    <w:rsid w:val="00042F05"/>
    <w:rsid w:val="00044E15"/>
    <w:rsid w:val="000506F1"/>
    <w:rsid w:val="00052933"/>
    <w:rsid w:val="0005299D"/>
    <w:rsid w:val="0006522F"/>
    <w:rsid w:val="00085911"/>
    <w:rsid w:val="00091724"/>
    <w:rsid w:val="000963E9"/>
    <w:rsid w:val="000C7AF8"/>
    <w:rsid w:val="000D2B39"/>
    <w:rsid w:val="000E1F96"/>
    <w:rsid w:val="000E5024"/>
    <w:rsid w:val="000F7A26"/>
    <w:rsid w:val="00107FAA"/>
    <w:rsid w:val="0012034F"/>
    <w:rsid w:val="00125113"/>
    <w:rsid w:val="00145A7B"/>
    <w:rsid w:val="00187785"/>
    <w:rsid w:val="001B0A40"/>
    <w:rsid w:val="001C628F"/>
    <w:rsid w:val="001D1F13"/>
    <w:rsid w:val="001D2CAE"/>
    <w:rsid w:val="001D4A99"/>
    <w:rsid w:val="002031F6"/>
    <w:rsid w:val="002164BB"/>
    <w:rsid w:val="00222560"/>
    <w:rsid w:val="00224C20"/>
    <w:rsid w:val="00232AB4"/>
    <w:rsid w:val="002341F2"/>
    <w:rsid w:val="0024543B"/>
    <w:rsid w:val="00246899"/>
    <w:rsid w:val="0029392B"/>
    <w:rsid w:val="00294459"/>
    <w:rsid w:val="002979A5"/>
    <w:rsid w:val="002A7E9D"/>
    <w:rsid w:val="002B69B6"/>
    <w:rsid w:val="002B7C61"/>
    <w:rsid w:val="002C17C8"/>
    <w:rsid w:val="002D4BD7"/>
    <w:rsid w:val="002E0FC9"/>
    <w:rsid w:val="002E2AFE"/>
    <w:rsid w:val="002E305E"/>
    <w:rsid w:val="002E6B00"/>
    <w:rsid w:val="00302F5E"/>
    <w:rsid w:val="00314FA0"/>
    <w:rsid w:val="00333509"/>
    <w:rsid w:val="003375BB"/>
    <w:rsid w:val="00390BFB"/>
    <w:rsid w:val="0039502C"/>
    <w:rsid w:val="003B24B9"/>
    <w:rsid w:val="003C6ECC"/>
    <w:rsid w:val="003F7395"/>
    <w:rsid w:val="00415226"/>
    <w:rsid w:val="004311EE"/>
    <w:rsid w:val="004447B9"/>
    <w:rsid w:val="00452AF7"/>
    <w:rsid w:val="00455547"/>
    <w:rsid w:val="00461F13"/>
    <w:rsid w:val="004949BA"/>
    <w:rsid w:val="004B576A"/>
    <w:rsid w:val="004F28FC"/>
    <w:rsid w:val="004F4C23"/>
    <w:rsid w:val="004F630C"/>
    <w:rsid w:val="00501113"/>
    <w:rsid w:val="00507234"/>
    <w:rsid w:val="00531B52"/>
    <w:rsid w:val="0053724E"/>
    <w:rsid w:val="005477C7"/>
    <w:rsid w:val="00556D3E"/>
    <w:rsid w:val="005610E0"/>
    <w:rsid w:val="00562944"/>
    <w:rsid w:val="00565E78"/>
    <w:rsid w:val="00582B1D"/>
    <w:rsid w:val="005866EE"/>
    <w:rsid w:val="005874B6"/>
    <w:rsid w:val="005953C6"/>
    <w:rsid w:val="005A49F8"/>
    <w:rsid w:val="005B1062"/>
    <w:rsid w:val="005F06F1"/>
    <w:rsid w:val="005F2087"/>
    <w:rsid w:val="00603BBA"/>
    <w:rsid w:val="0060515F"/>
    <w:rsid w:val="0060659F"/>
    <w:rsid w:val="00613240"/>
    <w:rsid w:val="0062735D"/>
    <w:rsid w:val="00634548"/>
    <w:rsid w:val="00641139"/>
    <w:rsid w:val="006557AB"/>
    <w:rsid w:val="006729D5"/>
    <w:rsid w:val="00677BBD"/>
    <w:rsid w:val="00691D67"/>
    <w:rsid w:val="006B3D40"/>
    <w:rsid w:val="006C4D29"/>
    <w:rsid w:val="006E1D67"/>
    <w:rsid w:val="006E5136"/>
    <w:rsid w:val="006F1B50"/>
    <w:rsid w:val="00702F1A"/>
    <w:rsid w:val="007049E4"/>
    <w:rsid w:val="00705D2A"/>
    <w:rsid w:val="0071348A"/>
    <w:rsid w:val="00722032"/>
    <w:rsid w:val="0072334F"/>
    <w:rsid w:val="00723AFB"/>
    <w:rsid w:val="00746C73"/>
    <w:rsid w:val="00770B2D"/>
    <w:rsid w:val="007766E3"/>
    <w:rsid w:val="0078454A"/>
    <w:rsid w:val="007A44C7"/>
    <w:rsid w:val="007B5AB9"/>
    <w:rsid w:val="007C7B26"/>
    <w:rsid w:val="007F2309"/>
    <w:rsid w:val="007F791E"/>
    <w:rsid w:val="00800787"/>
    <w:rsid w:val="00805993"/>
    <w:rsid w:val="008212DD"/>
    <w:rsid w:val="00822AC9"/>
    <w:rsid w:val="00845E04"/>
    <w:rsid w:val="00850A6C"/>
    <w:rsid w:val="00855126"/>
    <w:rsid w:val="00863A21"/>
    <w:rsid w:val="0089208E"/>
    <w:rsid w:val="008D2638"/>
    <w:rsid w:val="008F1157"/>
    <w:rsid w:val="008F32B4"/>
    <w:rsid w:val="0090097F"/>
    <w:rsid w:val="009069C8"/>
    <w:rsid w:val="0091505B"/>
    <w:rsid w:val="00921271"/>
    <w:rsid w:val="009245A7"/>
    <w:rsid w:val="00931C94"/>
    <w:rsid w:val="00934E36"/>
    <w:rsid w:val="00955389"/>
    <w:rsid w:val="00971A6C"/>
    <w:rsid w:val="0098118B"/>
    <w:rsid w:val="00982780"/>
    <w:rsid w:val="009B5C62"/>
    <w:rsid w:val="009C3DA1"/>
    <w:rsid w:val="009C6ADE"/>
    <w:rsid w:val="009E3BC5"/>
    <w:rsid w:val="00A059CE"/>
    <w:rsid w:val="00A0756C"/>
    <w:rsid w:val="00A154A0"/>
    <w:rsid w:val="00A41DC8"/>
    <w:rsid w:val="00A47BDA"/>
    <w:rsid w:val="00A56111"/>
    <w:rsid w:val="00A57853"/>
    <w:rsid w:val="00A65137"/>
    <w:rsid w:val="00A67DAB"/>
    <w:rsid w:val="00A700D8"/>
    <w:rsid w:val="00AA677B"/>
    <w:rsid w:val="00AB0C0C"/>
    <w:rsid w:val="00AB1DA7"/>
    <w:rsid w:val="00AB34B1"/>
    <w:rsid w:val="00AC14C1"/>
    <w:rsid w:val="00AC6D43"/>
    <w:rsid w:val="00AE6512"/>
    <w:rsid w:val="00B00BF3"/>
    <w:rsid w:val="00B03F1C"/>
    <w:rsid w:val="00B107DD"/>
    <w:rsid w:val="00B12E56"/>
    <w:rsid w:val="00B20E85"/>
    <w:rsid w:val="00B34437"/>
    <w:rsid w:val="00B34B63"/>
    <w:rsid w:val="00B36C72"/>
    <w:rsid w:val="00B53598"/>
    <w:rsid w:val="00B609B8"/>
    <w:rsid w:val="00B70444"/>
    <w:rsid w:val="00B72A68"/>
    <w:rsid w:val="00B770E6"/>
    <w:rsid w:val="00B837B5"/>
    <w:rsid w:val="00B867C6"/>
    <w:rsid w:val="00BB3210"/>
    <w:rsid w:val="00BD4C23"/>
    <w:rsid w:val="00BD6DED"/>
    <w:rsid w:val="00BE7C5E"/>
    <w:rsid w:val="00C1311C"/>
    <w:rsid w:val="00C14179"/>
    <w:rsid w:val="00C159D5"/>
    <w:rsid w:val="00C27702"/>
    <w:rsid w:val="00C404BA"/>
    <w:rsid w:val="00C55BDD"/>
    <w:rsid w:val="00C65856"/>
    <w:rsid w:val="00C66CF3"/>
    <w:rsid w:val="00C66D2B"/>
    <w:rsid w:val="00C75F30"/>
    <w:rsid w:val="00CB0070"/>
    <w:rsid w:val="00CB347B"/>
    <w:rsid w:val="00CD2743"/>
    <w:rsid w:val="00D13312"/>
    <w:rsid w:val="00D166DF"/>
    <w:rsid w:val="00D2658D"/>
    <w:rsid w:val="00D37A48"/>
    <w:rsid w:val="00D37BFC"/>
    <w:rsid w:val="00D51F53"/>
    <w:rsid w:val="00D9308E"/>
    <w:rsid w:val="00D931E0"/>
    <w:rsid w:val="00D9339B"/>
    <w:rsid w:val="00D96F3D"/>
    <w:rsid w:val="00DA34DC"/>
    <w:rsid w:val="00DD4AF1"/>
    <w:rsid w:val="00DD4D4F"/>
    <w:rsid w:val="00DD5348"/>
    <w:rsid w:val="00DE2832"/>
    <w:rsid w:val="00DE7D2D"/>
    <w:rsid w:val="00DF230F"/>
    <w:rsid w:val="00E2570E"/>
    <w:rsid w:val="00E64DB3"/>
    <w:rsid w:val="00E70C67"/>
    <w:rsid w:val="00E80C89"/>
    <w:rsid w:val="00E929F8"/>
    <w:rsid w:val="00EA1C0F"/>
    <w:rsid w:val="00EA7CD3"/>
    <w:rsid w:val="00EB5362"/>
    <w:rsid w:val="00EC03FA"/>
    <w:rsid w:val="00EE654D"/>
    <w:rsid w:val="00EF6CC3"/>
    <w:rsid w:val="00F1374D"/>
    <w:rsid w:val="00F14BA9"/>
    <w:rsid w:val="00F61511"/>
    <w:rsid w:val="00F83493"/>
    <w:rsid w:val="00FA1E96"/>
    <w:rsid w:val="00FB7F8C"/>
    <w:rsid w:val="00FC51A9"/>
    <w:rsid w:val="00FC7D31"/>
    <w:rsid w:val="00FD7DA7"/>
    <w:rsid w:val="00FE39B9"/>
    <w:rsid w:val="00FF04E3"/>
    <w:rsid w:val="00FF2F07"/>
    <w:rsid w:val="00FF45BB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8D7"/>
  <w15:chartTrackingRefBased/>
  <w15:docId w15:val="{27124B51-81DC-F14D-9ED2-CCC87324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color w:val="000000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E15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92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92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92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9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9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92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92B"/>
    <w:pPr>
      <w:spacing w:before="160" w:line="240" w:lineRule="auto"/>
      <w:jc w:val="center"/>
    </w:pPr>
    <w:rPr>
      <w:rFonts w:ascii="Cambria" w:hAnsi="Cambria" w:cs="Times New Roman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293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92B"/>
    <w:pPr>
      <w:spacing w:after="0" w:line="240" w:lineRule="auto"/>
      <w:ind w:left="720"/>
      <w:contextualSpacing/>
    </w:pPr>
    <w:rPr>
      <w:rFonts w:ascii="Cambria" w:hAnsi="Cambria" w:cs="Times New Roman"/>
      <w:color w:val="000000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939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mbria" w:hAnsi="Cambria" w:cs="Times New Roman"/>
      <w:i/>
      <w:iCs/>
      <w:color w:val="0F4761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9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92B"/>
    <w:rPr>
      <w:b/>
      <w:bCs/>
      <w:smallCaps/>
      <w:color w:val="0F4761" w:themeColor="accent1" w:themeShade="BF"/>
      <w:spacing w:val="5"/>
    </w:rPr>
  </w:style>
  <w:style w:type="character" w:customStyle="1" w:styleId="IGindeksgrny">
    <w:name w:val="_IG_ – indeks górny"/>
    <w:basedOn w:val="Domylnaczcionkaakapitu"/>
    <w:uiPriority w:val="2"/>
    <w:qFormat/>
    <w:rsid w:val="0029392B"/>
    <w:rPr>
      <w:b w:val="0"/>
      <w:i w:val="0"/>
      <w:vanish w:val="0"/>
      <w:spacing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9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D67"/>
    <w:rPr>
      <w:rFonts w:asciiTheme="minorHAnsi" w:hAnsiTheme="minorHAnsi" w:cstheme="minorBidi"/>
      <w:color w:val="auto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691D67"/>
  </w:style>
  <w:style w:type="character" w:styleId="Hipercze">
    <w:name w:val="Hyperlink"/>
    <w:basedOn w:val="Domylnaczcionkaakapitu"/>
    <w:uiPriority w:val="99"/>
    <w:unhideWhenUsed/>
    <w:rsid w:val="008212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2D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D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D67"/>
    <w:rPr>
      <w:rFonts w:asciiTheme="minorHAnsi" w:hAnsiTheme="minorHAnsi" w:cstheme="minorBidi"/>
      <w:color w:val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D6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6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2944"/>
    <w:rPr>
      <w:rFonts w:asciiTheme="minorHAnsi" w:hAnsiTheme="minorHAnsi" w:cstheme="minorBidi"/>
      <w:color w:val="auto"/>
      <w:sz w:val="22"/>
      <w:szCs w:val="22"/>
    </w:rPr>
  </w:style>
  <w:style w:type="paragraph" w:styleId="Bezodstpw">
    <w:name w:val="No Spacing"/>
    <w:uiPriority w:val="1"/>
    <w:qFormat/>
    <w:rsid w:val="00224C20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9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7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Steinborn</dc:creator>
  <cp:keywords/>
  <dc:description/>
  <cp:lastModifiedBy>Wiraszka-Bereza Beata  (DPK)</cp:lastModifiedBy>
  <cp:revision>2</cp:revision>
  <dcterms:created xsi:type="dcterms:W3CDTF">2025-11-24T10:14:00Z</dcterms:created>
  <dcterms:modified xsi:type="dcterms:W3CDTF">2025-11-24T10:14:00Z</dcterms:modified>
</cp:coreProperties>
</file>