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1.11.0 -->
  <w:body>
    <w:p w:rsidR="00A77B3E">
      <w:pPr>
        <w:spacing w:line="240" w:lineRule="auto"/>
        <w:ind w:left="0"/>
        <w:jc w:val="center"/>
        <w:rPr>
          <w:rFonts w:ascii="Times New Roman" w:eastAsia="Times New Roman" w:hAnsi="Times New Roman" w:cs="Times New Roman"/>
          <w:b/>
          <w:caps/>
          <w:sz w:val="24"/>
        </w:rPr>
      </w:pPr>
      <w:r>
        <w:rPr>
          <w:rFonts w:ascii="Times New Roman" w:eastAsia="Times New Roman" w:hAnsi="Times New Roman" w:cs="Times New Roman"/>
          <w:b/>
          <w:caps/>
          <w:sz w:val="24"/>
        </w:rPr>
        <w:t>Zarządzenie</w:t>
      </w:r>
      <w:r>
        <w:rPr>
          <w:rFonts w:ascii="Times New Roman" w:eastAsia="Times New Roman" w:hAnsi="Times New Roman" w:cs="Times New Roman"/>
          <w:b/>
          <w:caps/>
          <w:sz w:val="24"/>
        </w:rPr>
        <w:br/>
      </w:r>
      <w:r>
        <w:rPr>
          <w:rFonts w:ascii="Times New Roman" w:eastAsia="Times New Roman" w:hAnsi="Times New Roman" w:cs="Times New Roman"/>
          <w:b/>
          <w:caps/>
          <w:sz w:val="24"/>
        </w:rPr>
        <w:t>Regionalnego Dyrektora Ochrony Środowiska w Bydgoszczy</w:t>
      </w:r>
    </w:p>
    <w:p w:rsidR="00A77B3E">
      <w:pPr>
        <w:spacing w:before="280" w:after="280" w:line="240" w:lineRule="auto"/>
        <w:ind w:left="0"/>
        <w:jc w:val="center"/>
        <w:rPr>
          <w:rFonts w:ascii="Times New Roman" w:eastAsia="Times New Roman" w:hAnsi="Times New Roman" w:cs="Times New Roman"/>
          <w:b/>
          <w:caps/>
          <w:sz w:val="24"/>
        </w:rPr>
      </w:pPr>
      <w:r>
        <w:rPr>
          <w:rFonts w:ascii="Times New Roman" w:eastAsia="Times New Roman" w:hAnsi="Times New Roman" w:cs="Times New Roman"/>
          <w:b w:val="0"/>
          <w:caps w:val="0"/>
          <w:sz w:val="24"/>
        </w:rPr>
        <w:t>z dnia 12 września 2022 r.</w:t>
      </w:r>
    </w:p>
    <w:p w:rsidR="00A77B3E">
      <w:pPr>
        <w:spacing w:before="280" w:after="280" w:line="240" w:lineRule="auto"/>
        <w:ind w:left="0"/>
        <w:jc w:val="center"/>
        <w:rPr>
          <w:rFonts w:ascii="Times New Roman" w:eastAsia="Times New Roman" w:hAnsi="Times New Roman" w:cs="Times New Roman"/>
          <w:b w:val="0"/>
          <w:caps w:val="0"/>
          <w:sz w:val="22"/>
        </w:rPr>
      </w:pPr>
    </w:p>
    <w:p w:rsidR="00A77B3E">
      <w:pPr>
        <w:keepNext/>
        <w:spacing w:before="0" w:after="480" w:line="240" w:lineRule="auto"/>
        <w:ind w:left="0" w:right="0" w:firstLine="0"/>
        <w:jc w:val="center"/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</w:pPr>
      <w:r>
        <w:rPr>
          <w:rFonts w:ascii="Times New Roman" w:eastAsia="Times New Roman" w:hAnsi="Times New Roman" w:cs="Times New Roman"/>
          <w:b/>
          <w:caps w:val="0"/>
          <w:sz w:val="24"/>
        </w:rPr>
        <w:t>zmieniające zarządzenie w sprawie ustanowienia planu ochrony dla rezerwatu przyrody „Dziki Ostrów”</w:t>
      </w:r>
    </w:p>
    <w:p w:rsidR="00A77B3E">
      <w:pPr>
        <w:keepNext w:val="0"/>
        <w:keepLines/>
        <w:spacing w:before="120" w:after="120" w:line="240" w:lineRule="auto"/>
        <w:ind w:left="0" w:right="0" w:firstLine="227"/>
        <w:jc w:val="both"/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</w:pP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Na podstawie art.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19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ust.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6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ustawy z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dnia 16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kwietnia 2004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roku o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ochronie przyrody (Dz. U. z 2022, poz. 916 i 1726) zarządza się, co następuje:</w:t>
      </w:r>
    </w:p>
    <w:p w:rsidR="00A77B3E">
      <w:pPr>
        <w:keepNext w:val="0"/>
        <w:keepLines/>
        <w:spacing w:before="120" w:after="120" w:line="240" w:lineRule="auto"/>
        <w:ind w:left="0" w:right="0" w:firstLine="340"/>
        <w:jc w:val="both"/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</w:pPr>
      <w:r>
        <w:rPr>
          <w:rFonts w:ascii="Times New Roman" w:eastAsia="Times New Roman" w:hAnsi="Times New Roman" w:cs="Times New Roman"/>
          <w:b/>
          <w:sz w:val="24"/>
        </w:rPr>
        <w:t>§ 1. 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W zarządzeniu nr 3/0210/2011 Regionalnego Dyrektora Ochrony Środowiska w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Bydgoszczy z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dnia 5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grudnia 2011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r. w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sprawie ustanowienia planu ochrony dla rezerwatu przyrody „Dziki Ostrów”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(Dz. Urz. Woj. Kuj-Pom. nr 312, poz.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3397) wprowadza się następujące zmiany:</w:t>
      </w:r>
    </w:p>
    <w:p w:rsidR="00A77B3E">
      <w:pPr>
        <w:keepNext w:val="0"/>
        <w:keepLines/>
        <w:spacing w:before="120" w:after="120" w:line="240" w:lineRule="auto"/>
        <w:ind w:left="0" w:right="0" w:firstLine="340"/>
        <w:jc w:val="both"/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</w:pPr>
      <w:r>
        <w:rPr>
          <w:rFonts w:ascii="Times New Roman" w:eastAsia="Times New Roman" w:hAnsi="Times New Roman" w:cs="Times New Roman"/>
          <w:sz w:val="24"/>
        </w:rPr>
        <w:t>1. 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po § 1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dodaje się § 1a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w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brzmieniu: „§ 1a. Rezerwat położony jest na terenie obszaru Natura 2000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Dziki Ostrów PLH040045”;</w:t>
      </w:r>
    </w:p>
    <w:p w:rsidR="00A77B3E">
      <w:pPr>
        <w:keepNext w:val="0"/>
        <w:keepLines/>
        <w:spacing w:before="120" w:after="120" w:line="240" w:lineRule="auto"/>
        <w:ind w:left="0" w:right="0" w:firstLine="340"/>
        <w:jc w:val="both"/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</w:pPr>
      <w:r>
        <w:rPr>
          <w:rFonts w:ascii="Times New Roman" w:eastAsia="Times New Roman" w:hAnsi="Times New Roman" w:cs="Times New Roman"/>
          <w:sz w:val="24"/>
        </w:rPr>
        <w:t>2. 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po § 5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dodaje się:</w:t>
      </w:r>
    </w:p>
    <w:p w:rsidR="00A77B3E">
      <w:pPr>
        <w:keepNext w:val="0"/>
        <w:keepLines w:val="0"/>
        <w:spacing w:before="120" w:after="120" w:line="240" w:lineRule="auto"/>
        <w:ind w:left="340" w:right="0" w:hanging="227"/>
        <w:jc w:val="both"/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</w:pPr>
      <w:r>
        <w:rPr>
          <w:rFonts w:ascii="Times New Roman" w:eastAsia="Times New Roman" w:hAnsi="Times New Roman" w:cs="Times New Roman"/>
          <w:sz w:val="24"/>
        </w:rPr>
        <w:t>1) 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§ 5a w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brzmieniu:  „§ 5a. Opis granic obszaru Natura 2000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Dziki Ostrów PLH040045 w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części pokrywającej się z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rezerwatem, w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postaci współrzędnych punktów ich załamania w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układzie współrzędnych płaskich prostokątnych PL-1992, stanowi załącznik nr 3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do zarządzenia”;</w:t>
      </w:r>
    </w:p>
    <w:p w:rsidR="00A77B3E">
      <w:pPr>
        <w:keepNext w:val="0"/>
        <w:keepLines w:val="0"/>
        <w:spacing w:before="120" w:after="120" w:line="240" w:lineRule="auto"/>
        <w:ind w:left="340" w:right="0" w:hanging="227"/>
        <w:jc w:val="both"/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</w:pPr>
      <w:r>
        <w:rPr>
          <w:rFonts w:ascii="Times New Roman" w:eastAsia="Times New Roman" w:hAnsi="Times New Roman" w:cs="Times New Roman"/>
          <w:sz w:val="24"/>
        </w:rPr>
        <w:t>2) 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§ 5b w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brzmieniu:  „§ 5b. Mapa obszaru Natura 2000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Dziki Ostrów PLH040045 wraz z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leżącym w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jego granicach rezerwatem przyrody Dziki Ostrów, stanowi załącznik nr 4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do zarządzenia”;</w:t>
      </w:r>
    </w:p>
    <w:p w:rsidR="00A77B3E">
      <w:pPr>
        <w:keepNext w:val="0"/>
        <w:keepLines w:val="0"/>
        <w:spacing w:before="120" w:after="120" w:line="240" w:lineRule="auto"/>
        <w:ind w:left="340" w:right="0" w:hanging="227"/>
        <w:jc w:val="both"/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</w:pPr>
      <w:r>
        <w:rPr>
          <w:rFonts w:ascii="Times New Roman" w:eastAsia="Times New Roman" w:hAnsi="Times New Roman" w:cs="Times New Roman"/>
          <w:sz w:val="24"/>
        </w:rPr>
        <w:t>3) 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§ 5c w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brzmieniu:  „§ 5c. Identyfikację istniejących i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potencjalnych zagrożeń dla zachowania właściwego stanu ochrony siedlisk przyrodniczych oraz gatunków roślin i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zwierząt i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ich siedlisk będących przedmiotami ochrony obszaru Natura 2000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w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granicach rezerwatu przyrody przedstawia tabela stanowiąca załącznik nr 5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do zarządzenia”;</w:t>
      </w:r>
    </w:p>
    <w:p w:rsidR="00A77B3E">
      <w:pPr>
        <w:keepNext w:val="0"/>
        <w:keepLines w:val="0"/>
        <w:spacing w:before="120" w:after="120" w:line="240" w:lineRule="auto"/>
        <w:ind w:left="340" w:right="0" w:hanging="227"/>
        <w:jc w:val="both"/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</w:pPr>
      <w:r>
        <w:rPr>
          <w:rFonts w:ascii="Times New Roman" w:eastAsia="Times New Roman" w:hAnsi="Times New Roman" w:cs="Times New Roman"/>
          <w:sz w:val="24"/>
        </w:rPr>
        <w:t>4) 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§ 5d w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brzmieniu:  „§ 5d. Cele działań ochronnych na obszarze Natura 2000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w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części pokrywającej się z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rezerwatem przedstawia tabela stanowiąca załącznik nr 6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do zarządzenia”;</w:t>
      </w:r>
    </w:p>
    <w:p w:rsidR="00A77B3E">
      <w:pPr>
        <w:keepNext w:val="0"/>
        <w:keepLines w:val="0"/>
        <w:spacing w:before="120" w:after="120" w:line="240" w:lineRule="auto"/>
        <w:ind w:left="340" w:right="0" w:hanging="227"/>
        <w:jc w:val="both"/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</w:pPr>
      <w:r>
        <w:rPr>
          <w:rFonts w:ascii="Times New Roman" w:eastAsia="Times New Roman" w:hAnsi="Times New Roman" w:cs="Times New Roman"/>
          <w:sz w:val="24"/>
        </w:rPr>
        <w:t>5) 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§ 5e w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brzmieniu:  „§ 5e. Działania ochronne na obszarze Natura 2000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w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części pokrywającej się z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rezerwatem za wskazaniem podmiotów odpowiedzialnych za ich wykonanie i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obszarów ich wdrażania przedstawia tabela stanowiąca załącznik nr 7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do zarządzenia”;</w:t>
      </w:r>
    </w:p>
    <w:p w:rsidR="00A77B3E">
      <w:pPr>
        <w:keepNext w:val="0"/>
        <w:keepLines/>
        <w:spacing w:before="120" w:after="120" w:line="240" w:lineRule="auto"/>
        <w:ind w:left="0" w:right="0" w:firstLine="340"/>
        <w:jc w:val="both"/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</w:pPr>
      <w:r>
        <w:rPr>
          <w:rFonts w:ascii="Times New Roman" w:eastAsia="Times New Roman" w:hAnsi="Times New Roman" w:cs="Times New Roman"/>
          <w:sz w:val="24"/>
        </w:rPr>
        <w:t>3. 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uchyla się  § 6 i § 7;</w:t>
      </w:r>
    </w:p>
    <w:p w:rsidR="00A77B3E">
      <w:pPr>
        <w:keepNext w:val="0"/>
        <w:keepLines/>
        <w:spacing w:before="120" w:after="120" w:line="240" w:lineRule="auto"/>
        <w:ind w:left="0" w:right="0" w:firstLine="340"/>
        <w:jc w:val="both"/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</w:pPr>
      <w:r>
        <w:rPr>
          <w:rFonts w:ascii="Times New Roman" w:eastAsia="Times New Roman" w:hAnsi="Times New Roman" w:cs="Times New Roman"/>
          <w:sz w:val="24"/>
        </w:rPr>
        <w:t>4. 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załącznik nr 1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otrzymuje brzmienie określone w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załączniku nr 1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do niniejszego zarządzenia;</w:t>
      </w:r>
    </w:p>
    <w:p w:rsidR="00A77B3E">
      <w:pPr>
        <w:keepNext w:val="0"/>
        <w:keepLines/>
        <w:spacing w:before="120" w:after="120" w:line="240" w:lineRule="auto"/>
        <w:ind w:left="0" w:right="0" w:firstLine="340"/>
        <w:jc w:val="both"/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</w:pPr>
      <w:r>
        <w:rPr>
          <w:rFonts w:ascii="Times New Roman" w:eastAsia="Times New Roman" w:hAnsi="Times New Roman" w:cs="Times New Roman"/>
          <w:sz w:val="24"/>
        </w:rPr>
        <w:t>5. 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załącznik nr 2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otrzymuje brzmienie określone w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załączniku nr 2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do niniejszego zarządzenia;</w:t>
      </w:r>
    </w:p>
    <w:p w:rsidR="00A77B3E">
      <w:pPr>
        <w:keepNext w:val="0"/>
        <w:keepLines/>
        <w:spacing w:before="120" w:after="120" w:line="240" w:lineRule="auto"/>
        <w:ind w:left="0" w:right="0" w:firstLine="340"/>
        <w:jc w:val="both"/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</w:pPr>
      <w:r>
        <w:rPr>
          <w:rFonts w:ascii="Times New Roman" w:eastAsia="Times New Roman" w:hAnsi="Times New Roman" w:cs="Times New Roman"/>
          <w:sz w:val="24"/>
        </w:rPr>
        <w:t>6. 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załącznik nr 3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otrzymuje brzmienie określone w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załączniku nr 3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do niniejszego zarządzenia;</w:t>
      </w:r>
    </w:p>
    <w:p w:rsidR="00A77B3E">
      <w:pPr>
        <w:keepNext w:val="0"/>
        <w:keepLines/>
        <w:spacing w:before="120" w:after="120" w:line="240" w:lineRule="auto"/>
        <w:ind w:left="0" w:right="0" w:firstLine="340"/>
        <w:jc w:val="both"/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</w:pPr>
      <w:r>
        <w:rPr>
          <w:rFonts w:ascii="Times New Roman" w:eastAsia="Times New Roman" w:hAnsi="Times New Roman" w:cs="Times New Roman"/>
          <w:sz w:val="24"/>
        </w:rPr>
        <w:t>7. 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dodaje się załącznik nr 4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w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brzmieniu określonym w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załączniku nr 4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do niniejszego zarządzenia;</w:t>
      </w:r>
    </w:p>
    <w:p w:rsidR="00A77B3E">
      <w:pPr>
        <w:keepNext w:val="0"/>
        <w:keepLines/>
        <w:spacing w:before="120" w:after="120" w:line="240" w:lineRule="auto"/>
        <w:ind w:left="0" w:right="0" w:firstLine="340"/>
        <w:jc w:val="both"/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</w:pPr>
      <w:r>
        <w:rPr>
          <w:rFonts w:ascii="Times New Roman" w:eastAsia="Times New Roman" w:hAnsi="Times New Roman" w:cs="Times New Roman"/>
          <w:sz w:val="24"/>
        </w:rPr>
        <w:t>8. 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dodaje się załącznik nr 5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w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brzmieniu określonym w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załączniku nr 5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do niniejszego zarządzenia;</w:t>
      </w:r>
    </w:p>
    <w:p w:rsidR="00A77B3E">
      <w:pPr>
        <w:keepNext w:val="0"/>
        <w:keepLines/>
        <w:spacing w:before="120" w:after="120" w:line="240" w:lineRule="auto"/>
        <w:ind w:left="0" w:right="0" w:firstLine="340"/>
        <w:jc w:val="both"/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</w:pPr>
      <w:r>
        <w:rPr>
          <w:rFonts w:ascii="Times New Roman" w:eastAsia="Times New Roman" w:hAnsi="Times New Roman" w:cs="Times New Roman"/>
          <w:sz w:val="24"/>
        </w:rPr>
        <w:t>9. 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dodaje się załącznik nr 6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w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brzmieniu określonym w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załączniku nr 6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do niniejszego zarządzenia;</w:t>
      </w:r>
    </w:p>
    <w:p w:rsidR="00A77B3E">
      <w:pPr>
        <w:keepNext w:val="0"/>
        <w:keepLines/>
        <w:spacing w:before="120" w:after="120" w:line="240" w:lineRule="auto"/>
        <w:ind w:left="0" w:right="0" w:firstLine="340"/>
        <w:jc w:val="both"/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</w:pPr>
      <w:r>
        <w:rPr>
          <w:rFonts w:ascii="Times New Roman" w:eastAsia="Times New Roman" w:hAnsi="Times New Roman" w:cs="Times New Roman"/>
          <w:sz w:val="24"/>
        </w:rPr>
        <w:t>10. 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dodaje się załącznik nr 7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w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brzmieniu określonym w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załączniku nr 7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do niniejszego zarządzenia.</w:t>
      </w:r>
    </w:p>
    <w:p w:rsidR="00A77B3E">
      <w:pPr>
        <w:keepNext/>
        <w:keepLines/>
        <w:spacing w:before="120" w:after="120" w:line="240" w:lineRule="auto"/>
        <w:ind w:left="0" w:right="0" w:firstLine="340"/>
        <w:jc w:val="both"/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</w:pPr>
      <w:r>
        <w:rPr>
          <w:rFonts w:ascii="Times New Roman" w:eastAsia="Times New Roman" w:hAnsi="Times New Roman" w:cs="Times New Roman"/>
          <w:b/>
          <w:sz w:val="24"/>
        </w:rPr>
        <w:t>§ 2. 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Zarządzenie wchodzi w życie po upływie 14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dni od dnia ogłoszenia.</w:t>
      </w:r>
    </w:p>
    <w:p w:rsidR="00A77B3E">
      <w:pPr>
        <w:keepNext/>
        <w:keepLines/>
        <w:spacing w:before="120" w:after="120" w:line="240" w:lineRule="auto"/>
        <w:ind w:left="0" w:right="0" w:firstLine="340"/>
        <w:jc w:val="both"/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</w:pPr>
    </w:p>
    <w:p w:rsidR="00A77B3E">
      <w:pPr>
        <w:keepNext/>
        <w:spacing w:before="0" w:after="0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4"/>
          <w:u w:val="none"/>
          <w:vertAlign w:val="baseline"/>
        </w:rPr>
      </w:pPr>
      <w:r>
        <w:rPr>
          <w:b w:val="0"/>
          <w:i w:val="0"/>
          <w:color w:val="000000"/>
          <w:u w:val="none"/>
          <w:vertAlign w:val="baseline"/>
        </w:rPr>
        <w:t> </w:t>
      </w:r>
    </w:p>
    <w:tbl>
      <w:tblPr>
        <w:tblW w:w="5000" w:type="pct"/>
        <w:tblCellMar>
          <w:top w:w="0" w:type="dxa"/>
          <w:left w:w="0" w:type="dxa"/>
          <w:bottom w:w="0" w:type="dxa"/>
          <w:right w:w="0" w:type="dxa"/>
        </w:tblCellMar>
      </w:tblPr>
      <w:tblGrid>
        <w:gridCol w:w="4933"/>
        <w:gridCol w:w="4933"/>
      </w:tblGrid>
      <w:tr>
        <w:tblPrEx>
          <w:tblW w:w="5000" w:type="pct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0" w:type="pct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hideMark/>
          </w:tcPr>
          <w:p>
            <w:pPr>
              <w:keepNext/>
              <w:keepLines/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</w:pPr>
          </w:p>
        </w:tc>
        <w:tc>
          <w:tcPr>
            <w:tcW w:w="2500" w:type="pct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hideMark/>
          </w:tcPr>
          <w:p>
            <w:pPr>
              <w:keepNext/>
              <w:keepLines/>
              <w:spacing w:before="560" w:after="560"/>
              <w:ind w:left="1134" w:right="1134" w:firstLine="0"/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t>Regionalny Dyrektor  Ochrony Środowiska w Bydgoszczy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br/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br/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br/>
            </w:r>
            <w:r>
              <w:rPr>
                <w:b/>
                <w:i w:val="0"/>
              </w:rPr>
              <w:t>Szymon Kosmalski</w:t>
            </w:r>
          </w:p>
        </w:tc>
      </w:tr>
    </w:tbl>
    <w:p w:rsidR="00A77B3E">
      <w:pPr>
        <w:keepNext/>
        <w:spacing w:before="0" w:after="0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sectPr>
          <w:footerReference w:type="default" r:id="rId5"/>
          <w:endnotePr>
            <w:numFmt w:val="decimal"/>
          </w:endnotePr>
          <w:pgSz w:w="11906" w:h="16838"/>
          <w:pgMar w:top="992" w:right="1020" w:bottom="992" w:left="1020" w:header="708" w:footer="708" w:gutter="0"/>
          <w:cols w:space="708"/>
          <w:docGrid w:linePitch="360"/>
        </w:sectPr>
      </w:pPr>
    </w:p>
    <w:p w:rsidR="00A77B3E">
      <w:pPr>
        <w:keepNext/>
        <w:spacing w:before="120" w:after="120" w:line="360" w:lineRule="auto"/>
        <w:ind w:left="3634" w:right="0" w:firstLine="0"/>
        <w:jc w:val="left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</w:pP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fldChar w:fldCharType="begin"/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fldChar w:fldCharType="separate"/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fldChar w:fldCharType="end"/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  <w:t>Załącznik Nr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  <w:t>1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  <w:t>do zarządzenia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  <w:br/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  <w:t>Regionalnego Dyrektora Ochrony Środowiska w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  <w:t>Bydgoszczy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  <w:br/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  <w:t>z dnia 12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  <w:t>września 2022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  <w:t>r.</w:t>
      </w:r>
    </w:p>
    <w:p w:rsidR="00A77B3E">
      <w:pPr>
        <w:keepNext/>
        <w:spacing w:before="0" w:after="480" w:line="240" w:lineRule="auto"/>
        <w:ind w:left="0" w:right="0" w:firstLine="0"/>
        <w:jc w:val="center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</w:pP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auto"/>
          <w:sz w:val="22"/>
          <w:u w:val="none"/>
          <w:vertAlign w:val="baseline"/>
        </w:rPr>
        <w:t>Identyfikacja oraz określenie sposobów eliminacji lub ograniczania istniejących</w:t>
      </w: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auto"/>
          <w:sz w:val="22"/>
          <w:u w:val="none"/>
          <w:vertAlign w:val="baseline"/>
        </w:rPr>
        <w:br/>
      </w: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auto"/>
          <w:sz w:val="22"/>
          <w:u w:val="none"/>
          <w:vertAlign w:val="baseline"/>
        </w:rPr>
        <w:t>i potencjalnych zagrożeń wewnętrznych i</w:t>
      </w: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auto"/>
          <w:sz w:val="22"/>
          <w:u w:val="none"/>
          <w:vertAlign w:val="baseline"/>
        </w:rPr>
        <w:t> </w:t>
      </w: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auto"/>
          <w:sz w:val="22"/>
          <w:u w:val="none"/>
          <w:vertAlign w:val="baseline"/>
        </w:rPr>
        <w:t>zewnętrznych oraz ich skutków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8" w:type="dxa"/>
          <w:right w:w="108" w:type="dxa"/>
        </w:tblCellMar>
      </w:tblPr>
      <w:tblGrid>
        <w:gridCol w:w="683"/>
        <w:gridCol w:w="2797"/>
        <w:gridCol w:w="6602"/>
      </w:tblGrid>
      <w:tr>
        <w:tblPrEx>
          <w:tblW w:w="5000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108" w:type="dxa"/>
            <w:right w:w="108" w:type="dxa"/>
          </w:tblCellMar>
        </w:tblPrEx>
        <w:trPr>
          <w:trHeight w:hRule="auto" w:val="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b/>
                <w:sz w:val="22"/>
              </w:rPr>
              <w:t xml:space="preserve">Lp. 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b/>
                <w:sz w:val="22"/>
              </w:rPr>
              <w:t>Identyfikacja zagrożeń istniejących i potencjalnych</w:t>
            </w:r>
          </w:p>
          <w:p>
            <w:pPr>
              <w:jc w:val="left"/>
            </w:pPr>
            <w:r>
              <w:rPr>
                <w:b/>
                <w:sz w:val="22"/>
              </w:rPr>
              <w:t xml:space="preserve">zagrożeń </w:t>
            </w:r>
          </w:p>
          <w:p>
            <w:pPr>
              <w:jc w:val="left"/>
            </w:pPr>
            <w:r>
              <w:rPr>
                <w:b/>
                <w:sz w:val="22"/>
              </w:rPr>
              <w:t xml:space="preserve">wewnętrznych </w:t>
            </w:r>
          </w:p>
          <w:p>
            <w:pPr>
              <w:jc w:val="left"/>
            </w:pPr>
            <w:r>
              <w:rPr>
                <w:b/>
                <w:sz w:val="22"/>
              </w:rPr>
              <w:t xml:space="preserve">i zewnętrznych </w:t>
            </w:r>
          </w:p>
        </w:tc>
        <w:tc>
          <w:tcPr>
            <w:tcW w:w="6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b/>
                <w:sz w:val="22"/>
              </w:rPr>
              <w:t xml:space="preserve">Sposoby  eliminacji  lub  ograniczania  istniejących  i potencjalnych zagrożeń wewnętrznych i zewnętrznych oraz ich skutków 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hRule="auto" w:val="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1.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 xml:space="preserve">Nadmierne ocienienie </w:t>
            </w:r>
          </w:p>
          <w:p>
            <w:pPr>
              <w:jc w:val="left"/>
            </w:pPr>
            <w:r>
              <w:rPr>
                <w:sz w:val="22"/>
              </w:rPr>
              <w:t xml:space="preserve">runa świetlistej </w:t>
            </w:r>
          </w:p>
          <w:p>
            <w:pPr>
              <w:jc w:val="left"/>
            </w:pPr>
            <w:r>
              <w:rPr>
                <w:sz w:val="22"/>
              </w:rPr>
              <w:t xml:space="preserve">dąbrowy </w:t>
            </w:r>
            <w:r>
              <w:rPr>
                <w:i/>
                <w:sz w:val="22"/>
              </w:rPr>
              <w:t>Potentillo-</w:t>
            </w:r>
          </w:p>
          <w:p>
            <w:pPr>
              <w:jc w:val="left"/>
            </w:pPr>
            <w:r>
              <w:rPr>
                <w:i/>
                <w:sz w:val="22"/>
              </w:rPr>
              <w:t xml:space="preserve">albae-Quercetum </w:t>
            </w:r>
            <w:r>
              <w:rPr>
                <w:sz w:val="22"/>
              </w:rPr>
              <w:t>(zagrożenie wewnętrzne, istniejące)</w:t>
            </w:r>
          </w:p>
        </w:tc>
        <w:tc>
          <w:tcPr>
            <w:tcW w:w="6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 xml:space="preserve">Usuwanie z terenu rezerwatu podszytów m. in. leszczyny pospolitej </w:t>
            </w:r>
            <w:r>
              <w:rPr>
                <w:i/>
                <w:sz w:val="22"/>
              </w:rPr>
              <w:t>Corylus avellana</w:t>
            </w:r>
            <w:r>
              <w:rPr>
                <w:sz w:val="22"/>
              </w:rPr>
              <w:t xml:space="preserve"> i czeremchy amerykańskiej </w:t>
            </w:r>
            <w:r>
              <w:rPr>
                <w:i/>
                <w:sz w:val="22"/>
              </w:rPr>
              <w:t>Padus serotina</w:t>
            </w:r>
            <w:r>
              <w:rPr>
                <w:sz w:val="22"/>
              </w:rPr>
              <w:t xml:space="preserve"> nadmiernie zacieniających i zagrażających stanowiskom gatunków roślin kserotermicznych charakterystycznych dla zbiorowiska świetlistej dąbrowy.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hRule="auto" w:val="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2.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 xml:space="preserve">Ekspansja obcych </w:t>
            </w:r>
          </w:p>
          <w:p>
            <w:pPr>
              <w:jc w:val="left"/>
            </w:pPr>
            <w:r>
              <w:rPr>
                <w:sz w:val="22"/>
              </w:rPr>
              <w:t xml:space="preserve">gatunków roślin, </w:t>
            </w:r>
          </w:p>
          <w:p>
            <w:pPr>
              <w:jc w:val="left"/>
            </w:pPr>
            <w:r>
              <w:rPr>
                <w:sz w:val="22"/>
              </w:rPr>
              <w:t xml:space="preserve">w tym głównie </w:t>
            </w:r>
          </w:p>
          <w:p>
            <w:pPr>
              <w:jc w:val="left"/>
            </w:pPr>
            <w:r>
              <w:rPr>
                <w:sz w:val="22"/>
              </w:rPr>
              <w:t xml:space="preserve">czeremchy </w:t>
            </w:r>
          </w:p>
          <w:p>
            <w:pPr>
              <w:jc w:val="left"/>
            </w:pPr>
            <w:r>
              <w:rPr>
                <w:sz w:val="22"/>
              </w:rPr>
              <w:t xml:space="preserve">amerykańskiej </w:t>
            </w:r>
            <w:r>
              <w:rPr>
                <w:i/>
                <w:sz w:val="22"/>
              </w:rPr>
              <w:t xml:space="preserve">Padus </w:t>
            </w:r>
          </w:p>
          <w:p>
            <w:pPr>
              <w:jc w:val="left"/>
            </w:pPr>
            <w:r>
              <w:rPr>
                <w:i/>
                <w:sz w:val="22"/>
              </w:rPr>
              <w:t xml:space="preserve">serotina </w:t>
            </w:r>
            <w:r>
              <w:rPr>
                <w:sz w:val="22"/>
              </w:rPr>
              <w:t>(zagrożenie wewnętrzne, istniejące)</w:t>
            </w:r>
          </w:p>
        </w:tc>
        <w:tc>
          <w:tcPr>
            <w:tcW w:w="6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Mechaniczne usuwanie z terenu rezerwatu obcych gatunków krzewów oraz ich odrośli. Stosowanie metod chemicznych polegających na naniesieniu bezpośrednio na powierzchnię cięcia przy zastosowaniu pędzla/mazacza preparatu chemicznego na przykład zawierającego glifosat.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hRule="auto" w:val="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3.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 xml:space="preserve">Występowanie </w:t>
            </w:r>
          </w:p>
          <w:p>
            <w:pPr>
              <w:jc w:val="left"/>
            </w:pPr>
            <w:r>
              <w:rPr>
                <w:sz w:val="22"/>
              </w:rPr>
              <w:t xml:space="preserve">zastępczego </w:t>
            </w:r>
          </w:p>
          <w:p>
            <w:pPr>
              <w:jc w:val="left"/>
            </w:pPr>
            <w:r>
              <w:rPr>
                <w:sz w:val="22"/>
              </w:rPr>
              <w:t xml:space="preserve">zbiorowiska roślinnego </w:t>
            </w:r>
          </w:p>
          <w:p>
            <w:pPr>
              <w:jc w:val="left"/>
            </w:pPr>
            <w:r>
              <w:rPr>
                <w:i/>
                <w:sz w:val="22"/>
              </w:rPr>
              <w:t xml:space="preserve">Pinus-Calamagrostis </w:t>
            </w:r>
            <w:r>
              <w:rPr>
                <w:sz w:val="22"/>
              </w:rPr>
              <w:t>(zagrożenie wewnętrzne, istniejące)</w:t>
            </w:r>
          </w:p>
        </w:tc>
        <w:tc>
          <w:tcPr>
            <w:tcW w:w="6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 xml:space="preserve">Regulacja składu gatunkowego dojrzewających drzewostanów pochodzenia sztucznego, na korzyść gatunków właściwych dla fitocenoz świetlistych dąbrów. 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hRule="auto" w:val="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>4.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 xml:space="preserve">Nadmierne </w:t>
            </w:r>
          </w:p>
          <w:p>
            <w:pPr>
              <w:jc w:val="left"/>
            </w:pPr>
            <w:r>
              <w:rPr>
                <w:sz w:val="22"/>
              </w:rPr>
              <w:t xml:space="preserve">uszkodzenia </w:t>
            </w:r>
          </w:p>
          <w:p>
            <w:pPr>
              <w:jc w:val="left"/>
            </w:pPr>
            <w:r>
              <w:rPr>
                <w:sz w:val="22"/>
              </w:rPr>
              <w:t xml:space="preserve">siewek dębów naturalnego pochodzenia powodowane </w:t>
            </w:r>
          </w:p>
          <w:p>
            <w:pPr>
              <w:jc w:val="left"/>
            </w:pPr>
            <w:r>
              <w:rPr>
                <w:sz w:val="22"/>
              </w:rPr>
              <w:t xml:space="preserve">przez zwierzęta </w:t>
            </w:r>
          </w:p>
          <w:p>
            <w:pPr>
              <w:jc w:val="left"/>
            </w:pPr>
            <w:r>
              <w:rPr>
                <w:sz w:val="22"/>
              </w:rPr>
              <w:t>roślinożerne (zagrożenie wewnętrzne, istniejące)</w:t>
            </w:r>
          </w:p>
        </w:tc>
        <w:tc>
          <w:tcPr>
            <w:tcW w:w="6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2"/>
              </w:rPr>
              <w:t xml:space="preserve">Zabezpieczanie siewek dębów naturalnego pochodzenia indywidualnie lub grupowo przed uszkodzeniami mechanicznymi. </w:t>
            </w:r>
          </w:p>
        </w:tc>
      </w:tr>
    </w:tbl>
    <w:p w:rsidR="00A77B3E">
      <w:pPr>
        <w:keepNext/>
        <w:keepLines/>
        <w:spacing w:before="0" w:after="0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</w:pPr>
    </w:p>
    <w:p w:rsidR="00A77B3E">
      <w:pPr>
        <w:keepNext/>
        <w:keepLines/>
        <w:spacing w:before="0" w:after="0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</w:pPr>
    </w:p>
    <w:p w:rsidR="00A77B3E">
      <w:pPr>
        <w:keepNext/>
        <w:spacing w:before="0" w:after="0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</w:pPr>
      <w:r>
        <w:rPr>
          <w:b w:val="0"/>
          <w:i w:val="0"/>
          <w:color w:val="000000"/>
          <w:u w:val="none"/>
          <w:vertAlign w:val="baseline"/>
        </w:rPr>
        <w:t> </w:t>
      </w:r>
    </w:p>
    <w:tbl>
      <w:tblPr>
        <w:tblW w:w="5000" w:type="pct"/>
        <w:tblCellMar>
          <w:top w:w="0" w:type="dxa"/>
          <w:left w:w="0" w:type="dxa"/>
          <w:bottom w:w="0" w:type="dxa"/>
          <w:right w:w="0" w:type="dxa"/>
        </w:tblCellMar>
      </w:tblPr>
      <w:tblGrid>
        <w:gridCol w:w="4933"/>
        <w:gridCol w:w="4933"/>
      </w:tblGrid>
      <w:tr>
        <w:tblPrEx>
          <w:tblW w:w="5000" w:type="pct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0" w:type="pct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hideMark/>
          </w:tcPr>
          <w:p>
            <w:pPr>
              <w:keepNext/>
              <w:keepLines/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</w:pPr>
          </w:p>
        </w:tc>
        <w:tc>
          <w:tcPr>
            <w:tcW w:w="2500" w:type="pct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hideMark/>
          </w:tcPr>
          <w:p>
            <w:pPr>
              <w:keepNext/>
              <w:keepLines/>
              <w:spacing w:before="560" w:after="560"/>
              <w:ind w:left="1134" w:right="1134" w:firstLine="0"/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t>Regionalny Dyrektor Ochrony Środowiska w Bydgoszczy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br/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br/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br/>
            </w:r>
            <w:r>
              <w:rPr>
                <w:b/>
                <w:i w:val="0"/>
              </w:rPr>
              <w:t>Szymon Kosmalski</w:t>
            </w:r>
          </w:p>
        </w:tc>
      </w:tr>
    </w:tbl>
    <w:p w:rsidR="00A77B3E">
      <w:pPr>
        <w:keepNext/>
        <w:spacing w:before="0" w:after="0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  <w:sectPr>
          <w:footerReference w:type="default" r:id="rId6"/>
          <w:endnotePr>
            <w:numFmt w:val="decimal"/>
          </w:endnotePr>
          <w:type w:val="nextPage"/>
          <w:pgSz w:w="11906" w:h="16838"/>
          <w:pgMar w:top="992" w:right="1020" w:bottom="992" w:left="1020" w:header="708" w:footer="708" w:gutter="0"/>
          <w:pgNumType w:start="1"/>
          <w:cols w:space="708"/>
          <w:docGrid w:linePitch="360"/>
        </w:sectPr>
      </w:pPr>
    </w:p>
    <w:p w:rsidR="00A77B3E">
      <w:pPr>
        <w:keepNext/>
        <w:spacing w:before="120" w:after="120" w:line="360" w:lineRule="auto"/>
        <w:ind w:left="3634" w:right="0" w:firstLine="0"/>
        <w:jc w:val="left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</w:pP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  <w:fldChar w:fldCharType="begin"/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  <w:fldChar w:fldCharType="separate"/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  <w:fldChar w:fldCharType="end"/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  <w:t>Załącznik Nr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  <w:t>2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  <w:t>do zarządzenia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  <w:br/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  <w:t>Regionalnego Dyrektora Ochrony Środowiska w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  <w:t>Bydgoszczy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  <w:br/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  <w:t>z dnia 12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  <w:t>września 2022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  <w:t>r.</w:t>
      </w:r>
    </w:p>
    <w:p w:rsidR="00A77B3E">
      <w:pPr>
        <w:keepNext/>
        <w:spacing w:before="0" w:after="480" w:line="240" w:lineRule="auto"/>
        <w:ind w:left="0" w:right="0" w:firstLine="0"/>
        <w:jc w:val="center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</w:pP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auto"/>
          <w:sz w:val="22"/>
          <w:u w:val="none"/>
          <w:vertAlign w:val="baseline"/>
        </w:rPr>
        <w:t>Określenie działań ochronnych na obszarze ochrony czynnej, z</w:t>
      </w: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auto"/>
          <w:sz w:val="22"/>
          <w:u w:val="none"/>
          <w:vertAlign w:val="baseline"/>
        </w:rPr>
        <w:t> </w:t>
      </w: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auto"/>
          <w:sz w:val="22"/>
          <w:u w:val="none"/>
          <w:vertAlign w:val="baseline"/>
        </w:rPr>
        <w:t>podaniem ich rodzaju,</w:t>
      </w: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auto"/>
          <w:sz w:val="22"/>
          <w:u w:val="none"/>
          <w:vertAlign w:val="baseline"/>
        </w:rPr>
        <w:br/>
      </w: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auto"/>
          <w:sz w:val="22"/>
          <w:u w:val="none"/>
          <w:vertAlign w:val="baseline"/>
        </w:rPr>
        <w:t>zakresu i</w:t>
      </w: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auto"/>
          <w:sz w:val="22"/>
          <w:u w:val="none"/>
          <w:vertAlign w:val="baseline"/>
        </w:rPr>
        <w:t> </w:t>
      </w: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auto"/>
          <w:sz w:val="22"/>
          <w:u w:val="none"/>
          <w:vertAlign w:val="baseline"/>
        </w:rPr>
        <w:t>lokalizacji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8" w:type="dxa"/>
          <w:right w:w="108" w:type="dxa"/>
        </w:tblCellMar>
      </w:tblPr>
      <w:tblGrid>
        <w:gridCol w:w="615"/>
        <w:gridCol w:w="2686"/>
        <w:gridCol w:w="4396"/>
        <w:gridCol w:w="2385"/>
      </w:tblGrid>
      <w:tr>
        <w:tblPrEx>
          <w:tblW w:w="5000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108" w:type="dxa"/>
            <w:right w:w="108" w:type="dxa"/>
          </w:tblCellMar>
        </w:tblPrEx>
        <w:trPr>
          <w:trHeight w:hRule="auto" w:val="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b/>
                <w:sz w:val="22"/>
              </w:rPr>
              <w:t>Lp.</w:t>
            </w:r>
          </w:p>
        </w:tc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b/>
                <w:sz w:val="22"/>
              </w:rPr>
              <w:t xml:space="preserve">Rodzaj  działań </w:t>
            </w:r>
          </w:p>
          <w:p>
            <w:pPr>
              <w:jc w:val="left"/>
            </w:pPr>
            <w:r>
              <w:rPr>
                <w:b/>
                <w:sz w:val="22"/>
              </w:rPr>
              <w:t xml:space="preserve">ochronnych 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b/>
                <w:sz w:val="22"/>
              </w:rPr>
              <w:t xml:space="preserve">Zakres działań ochronnych 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rFonts w:ascii="Times New Roman" w:eastAsia="Times New Roman" w:hAnsi="Times New Roman" w:cs="Times New Roman"/>
                <w:b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  <w:t xml:space="preserve">Lokalizacja </w:t>
            </w:r>
          </w:p>
          <w:p w:rsidR="00A77B3E">
            <w:pPr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rFonts w:ascii="Times New Roman" w:eastAsia="Times New Roman" w:hAnsi="Times New Roman" w:cs="Times New Roman"/>
                <w:b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  <w:t xml:space="preserve">działań </w:t>
            </w:r>
          </w:p>
          <w:p w:rsidR="00A77B3E">
            <w:pPr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rFonts w:ascii="Times New Roman" w:eastAsia="Times New Roman" w:hAnsi="Times New Roman" w:cs="Times New Roman"/>
                <w:b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  <w:t>ochronnych</w:t>
            </w:r>
            <w:r>
              <w:rPr>
                <w:rStyle w:val="FootnoteReference"/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superscript"/>
              </w:rPr>
              <w:footnoteReference w:customMarkFollows="1" w:id="2"/>
              <w:t xml:space="preserve">1)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hRule="auto" w:val="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1.</w:t>
            </w:r>
          </w:p>
        </w:tc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 xml:space="preserve">Usuwanie nadmiaru </w:t>
            </w:r>
          </w:p>
          <w:p>
            <w:pPr>
              <w:jc w:val="left"/>
            </w:pPr>
            <w:r>
              <w:rPr>
                <w:sz w:val="22"/>
              </w:rPr>
              <w:t xml:space="preserve">warstwy podszytów </w:t>
            </w:r>
          </w:p>
          <w:p>
            <w:pPr>
              <w:jc w:val="left"/>
            </w:pPr>
            <w:r>
              <w:rPr>
                <w:sz w:val="22"/>
              </w:rPr>
              <w:t xml:space="preserve">zagrażających </w:t>
            </w:r>
          </w:p>
          <w:p>
            <w:pPr>
              <w:jc w:val="left"/>
            </w:pPr>
            <w:r>
              <w:rPr>
                <w:sz w:val="22"/>
              </w:rPr>
              <w:t xml:space="preserve">stanowiskom roślin </w:t>
            </w:r>
          </w:p>
          <w:p>
            <w:pPr>
              <w:jc w:val="left"/>
            </w:pPr>
            <w:r>
              <w:rPr>
                <w:sz w:val="22"/>
              </w:rPr>
              <w:t xml:space="preserve">kserotermicznych </w:t>
            </w:r>
          </w:p>
          <w:p>
            <w:pPr>
              <w:jc w:val="left"/>
            </w:pPr>
            <w:r>
              <w:rPr>
                <w:sz w:val="22"/>
              </w:rPr>
              <w:t xml:space="preserve">charakterystycznych </w:t>
            </w:r>
          </w:p>
          <w:p>
            <w:pPr>
              <w:jc w:val="left"/>
            </w:pPr>
            <w:r>
              <w:rPr>
                <w:sz w:val="22"/>
              </w:rPr>
              <w:t xml:space="preserve">dla świetlistej </w:t>
            </w:r>
          </w:p>
          <w:p>
            <w:pPr>
              <w:jc w:val="left"/>
            </w:pPr>
            <w:r>
              <w:rPr>
                <w:sz w:val="22"/>
              </w:rPr>
              <w:t xml:space="preserve">dąbrowy. 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Redukcja podszytów do maksymalnego ich udziału 20 % w biochorach świetlistej dąbrowy. Prace wykonywać co najmniej raz na 5 lat, w okresie jesienno-zimowym.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oddz. 572 c, d, g, i, j, 573 a, b, c, d, f, g, 576 a, b, 577 c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hRule="auto" w:val="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2.</w:t>
            </w:r>
          </w:p>
        </w:tc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Usuwanie mechaniczne</w:t>
            </w:r>
          </w:p>
          <w:p>
            <w:pPr>
              <w:jc w:val="left"/>
            </w:pPr>
            <w:r>
              <w:rPr>
                <w:sz w:val="22"/>
              </w:rPr>
              <w:t xml:space="preserve">inwazyjnych </w:t>
            </w:r>
          </w:p>
          <w:p>
            <w:pPr>
              <w:jc w:val="left"/>
            </w:pPr>
            <w:r>
              <w:rPr>
                <w:sz w:val="22"/>
              </w:rPr>
              <w:t xml:space="preserve">gatunków roślin oraz </w:t>
            </w:r>
          </w:p>
          <w:p>
            <w:pPr>
              <w:jc w:val="left"/>
            </w:pPr>
            <w:r>
              <w:rPr>
                <w:sz w:val="22"/>
              </w:rPr>
              <w:t xml:space="preserve">ich odrośli m. in. </w:t>
            </w:r>
          </w:p>
          <w:p>
            <w:pPr>
              <w:jc w:val="left"/>
            </w:pPr>
            <w:r>
              <w:rPr>
                <w:sz w:val="22"/>
              </w:rPr>
              <w:t xml:space="preserve">czeremchy </w:t>
            </w:r>
          </w:p>
          <w:p>
            <w:pPr>
              <w:jc w:val="left"/>
            </w:pPr>
            <w:r>
              <w:rPr>
                <w:sz w:val="22"/>
              </w:rPr>
              <w:t xml:space="preserve">amerykańskiej </w:t>
            </w:r>
          </w:p>
          <w:p>
            <w:pPr>
              <w:jc w:val="left"/>
            </w:pPr>
            <w:r>
              <w:rPr>
                <w:i/>
                <w:sz w:val="22"/>
              </w:rPr>
              <w:t>Padus serotina</w:t>
            </w:r>
            <w:r>
              <w:rPr>
                <w:sz w:val="22"/>
              </w:rPr>
              <w:t>.</w:t>
            </w:r>
          </w:p>
          <w:p>
            <w:pPr>
              <w:jc w:val="left"/>
            </w:pPr>
            <w:r>
              <w:rPr>
                <w:sz w:val="22"/>
              </w:rPr>
              <w:t>Stosowanie metod chemicznych polegających na naniesieniu bezpośrednio na powierzchnię cięcia przy zastosowaniu pędzla/mazacza preparatu chemicznego na przykład zawierającego glifosat (bez rozpylania preparatu).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Prace rozpocząć w pierwszych latach kolejnego dziesięciolecia obowiązywania planu ochrony, w okresie jesienno-zimowym, a później wykonywać według potrzeb.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 xml:space="preserve">Fitocenozy leśne </w:t>
            </w:r>
          </w:p>
          <w:p>
            <w:pPr>
              <w:jc w:val="left"/>
            </w:pPr>
            <w:r>
              <w:rPr>
                <w:sz w:val="22"/>
              </w:rPr>
              <w:t xml:space="preserve">zagrożone </w:t>
            </w:r>
          </w:p>
          <w:p>
            <w:pPr>
              <w:jc w:val="left"/>
            </w:pPr>
            <w:r>
              <w:rPr>
                <w:sz w:val="22"/>
              </w:rPr>
              <w:t xml:space="preserve">zniekształceniem </w:t>
            </w:r>
          </w:p>
          <w:p>
            <w:pPr>
              <w:jc w:val="left"/>
            </w:pPr>
            <w:r>
              <w:rPr>
                <w:sz w:val="22"/>
              </w:rPr>
              <w:t xml:space="preserve">na skutek </w:t>
            </w:r>
          </w:p>
          <w:p>
            <w:pPr>
              <w:jc w:val="left"/>
            </w:pPr>
            <w:r>
              <w:rPr>
                <w:sz w:val="22"/>
              </w:rPr>
              <w:t xml:space="preserve">ekspansji obcych </w:t>
            </w:r>
          </w:p>
          <w:p>
            <w:pPr>
              <w:jc w:val="left"/>
            </w:pPr>
            <w:r>
              <w:rPr>
                <w:sz w:val="22"/>
              </w:rPr>
              <w:t xml:space="preserve">gatunków roślin </w:t>
            </w:r>
          </w:p>
          <w:p>
            <w:pPr>
              <w:jc w:val="left"/>
            </w:pPr>
            <w:r>
              <w:rPr>
                <w:sz w:val="22"/>
              </w:rPr>
              <w:t>krzewiastych. Cały obszar rezerwatu przyrody.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hRule="auto" w:val="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3.</w:t>
            </w:r>
          </w:p>
        </w:tc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 xml:space="preserve">Cięcia regulujące </w:t>
            </w:r>
          </w:p>
          <w:p>
            <w:pPr>
              <w:jc w:val="left"/>
            </w:pPr>
            <w:r>
              <w:rPr>
                <w:sz w:val="22"/>
              </w:rPr>
              <w:t xml:space="preserve">skład gatunkowy </w:t>
            </w:r>
          </w:p>
          <w:p>
            <w:pPr>
              <w:jc w:val="left"/>
            </w:pPr>
            <w:r>
              <w:rPr>
                <w:sz w:val="22"/>
              </w:rPr>
              <w:t xml:space="preserve">drzewostanów </w:t>
            </w:r>
          </w:p>
          <w:p>
            <w:pPr>
              <w:jc w:val="left"/>
            </w:pPr>
            <w:r>
              <w:rPr>
                <w:sz w:val="22"/>
              </w:rPr>
              <w:t xml:space="preserve">pochodzenia </w:t>
            </w:r>
          </w:p>
          <w:p>
            <w:pPr>
              <w:jc w:val="left"/>
            </w:pPr>
            <w:r>
              <w:rPr>
                <w:sz w:val="22"/>
              </w:rPr>
              <w:t>sztucznego.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 xml:space="preserve">Regulacja zwarcia koron drzew do 50-70 % i składu gatunkowego drzewostanu na korzyść gatunków optymalnych dla siedliska świetlistej dąbrowy. </w:t>
            </w:r>
          </w:p>
          <w:p>
            <w:pPr>
              <w:jc w:val="left"/>
            </w:pPr>
            <w:r>
              <w:rPr>
                <w:sz w:val="22"/>
              </w:rPr>
              <w:t xml:space="preserve">Stopniowe usuwanie z drzewostanów sosny </w:t>
            </w:r>
          </w:p>
          <w:p>
            <w:pPr>
              <w:jc w:val="left"/>
            </w:pPr>
            <w:r>
              <w:rPr>
                <w:sz w:val="22"/>
              </w:rPr>
              <w:t xml:space="preserve">i modrzewia w okresie jesienno-zimowym co 5 lat. </w:t>
            </w:r>
          </w:p>
          <w:p>
            <w:pPr>
              <w:jc w:val="left"/>
            </w:pPr>
            <w:r>
              <w:rPr>
                <w:sz w:val="22"/>
              </w:rPr>
              <w:t xml:space="preserve">Pozostawienie usuniętej sosny i modrzewia </w:t>
            </w:r>
          </w:p>
          <w:p>
            <w:pPr>
              <w:jc w:val="left"/>
            </w:pPr>
            <w:r>
              <w:rPr>
                <w:sz w:val="22"/>
              </w:rPr>
              <w:t>stanowiącej łącznie ok. 5% zasobności drzewostanów do naturalnego rozpadu.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 xml:space="preserve">oddz. 572 a, b, </w:t>
            </w:r>
          </w:p>
          <w:p>
            <w:pPr>
              <w:jc w:val="left"/>
            </w:pPr>
            <w:r>
              <w:rPr>
                <w:sz w:val="22"/>
              </w:rPr>
              <w:t xml:space="preserve">576 d, f 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hRule="auto" w:val="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4.</w:t>
            </w:r>
          </w:p>
        </w:tc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 xml:space="preserve">Zmniejszenie </w:t>
            </w:r>
          </w:p>
          <w:p>
            <w:pPr>
              <w:jc w:val="left"/>
            </w:pPr>
            <w:r>
              <w:rPr>
                <w:sz w:val="22"/>
              </w:rPr>
              <w:t xml:space="preserve">zwarcia podsadzeń </w:t>
            </w:r>
          </w:p>
          <w:p>
            <w:pPr>
              <w:jc w:val="left"/>
            </w:pPr>
            <w:r>
              <w:rPr>
                <w:sz w:val="22"/>
              </w:rPr>
              <w:t xml:space="preserve">dębowych w celu ich </w:t>
            </w:r>
          </w:p>
          <w:p>
            <w:pPr>
              <w:jc w:val="left"/>
            </w:pPr>
            <w:r>
              <w:rPr>
                <w:sz w:val="22"/>
              </w:rPr>
              <w:t xml:space="preserve">uodpornienia na </w:t>
            </w:r>
          </w:p>
          <w:p>
            <w:pPr>
              <w:jc w:val="left"/>
            </w:pPr>
            <w:r>
              <w:rPr>
                <w:sz w:val="22"/>
              </w:rPr>
              <w:t>czynniki abiotyczne.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Przerzedzanie podsadzeń dębowych w okresie jesienno-zimowym raz na 5 lat.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oddz. 577 a, b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hRule="auto" w:val="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5.</w:t>
            </w:r>
          </w:p>
        </w:tc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 xml:space="preserve">Zabezpieczanie siewek dębów naturalnego pochodzenia indywidualnie lub grupowo przed </w:t>
            </w:r>
          </w:p>
          <w:p>
            <w:pPr>
              <w:jc w:val="left"/>
            </w:pPr>
            <w:r>
              <w:t>uszkodzeniami mechanicznymi (powodowanymi przez zwierzęta roślinożerne).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 xml:space="preserve">Zabezpieczenia </w:t>
            </w:r>
            <w:r>
              <w:t xml:space="preserve">siewek dębów naturalnego pochodzenia indywidualnie lub grupowo przed uszkodzeniami mechanicznymi. 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Cały obszar rezerwatu przyrody, według potrzeb.</w:t>
            </w:r>
          </w:p>
        </w:tc>
      </w:tr>
    </w:tbl>
    <w:p w:rsidR="00A77B3E">
      <w:pPr>
        <w:keepNext/>
        <w:keepLines/>
        <w:spacing w:before="0" w:after="0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</w:pPr>
    </w:p>
    <w:p w:rsidR="00A77B3E">
      <w:pPr>
        <w:keepNext/>
        <w:keepLines/>
        <w:spacing w:before="0" w:after="0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</w:pPr>
    </w:p>
    <w:p w:rsidR="00A77B3E">
      <w:pPr>
        <w:keepNext/>
        <w:spacing w:before="0" w:after="0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</w:pPr>
      <w:r>
        <w:rPr>
          <w:b w:val="0"/>
          <w:i w:val="0"/>
          <w:color w:val="000000"/>
          <w:u w:val="none"/>
          <w:vertAlign w:val="baseline"/>
        </w:rPr>
        <w:t> </w:t>
      </w:r>
    </w:p>
    <w:tbl>
      <w:tblPr>
        <w:tblW w:w="5000" w:type="pct"/>
        <w:tblCellMar>
          <w:top w:w="0" w:type="dxa"/>
          <w:left w:w="0" w:type="dxa"/>
          <w:bottom w:w="0" w:type="dxa"/>
          <w:right w:w="0" w:type="dxa"/>
        </w:tblCellMar>
      </w:tblPr>
      <w:tblGrid>
        <w:gridCol w:w="4933"/>
        <w:gridCol w:w="4933"/>
      </w:tblGrid>
      <w:tr>
        <w:tblPrEx>
          <w:tblW w:w="5000" w:type="pct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0" w:type="pct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hideMark/>
          </w:tcPr>
          <w:p>
            <w:pPr>
              <w:keepNext/>
              <w:keepLines/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</w:pPr>
          </w:p>
        </w:tc>
        <w:tc>
          <w:tcPr>
            <w:tcW w:w="2500" w:type="pct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hideMark/>
          </w:tcPr>
          <w:p>
            <w:pPr>
              <w:keepNext/>
              <w:keepLines/>
              <w:spacing w:before="560" w:after="560"/>
              <w:ind w:left="1134" w:right="1134" w:firstLine="0"/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t>Regionalny Dyrektor Ochrony Środowiska w Bydgoszczy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br/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br/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br/>
            </w:r>
            <w:r>
              <w:rPr>
                <w:b/>
                <w:i w:val="0"/>
              </w:rPr>
              <w:t>Szymon Kosmalski</w:t>
            </w:r>
          </w:p>
        </w:tc>
      </w:tr>
    </w:tbl>
    <w:p w:rsidR="00A77B3E">
      <w:pPr>
        <w:keepNext/>
        <w:spacing w:before="0" w:after="0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  <w:sectPr>
          <w:footerReference w:type="default" r:id="rId7"/>
          <w:endnotePr>
            <w:numFmt w:val="decimal"/>
          </w:endnotePr>
          <w:type w:val="nextPage"/>
          <w:pgSz w:w="11906" w:h="16838"/>
          <w:pgMar w:top="992" w:right="1020" w:bottom="992" w:left="1020" w:header="708" w:footer="708" w:gutter="0"/>
          <w:pgNumType w:start="1"/>
          <w:cols w:space="708"/>
          <w:docGrid w:linePitch="360"/>
        </w:sectPr>
      </w:pPr>
    </w:p>
    <w:p w:rsidR="00A77B3E">
      <w:pPr>
        <w:keepNext/>
        <w:spacing w:before="120" w:after="120" w:line="360" w:lineRule="auto"/>
        <w:ind w:left="3634" w:right="0" w:firstLine="0"/>
        <w:jc w:val="left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</w:pP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  <w:fldChar w:fldCharType="begin"/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  <w:fldChar w:fldCharType="separate"/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  <w:fldChar w:fldCharType="end"/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  <w:t>Załącznik Nr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  <w:t>3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  <w:t>do zarządzenia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  <w:br/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  <w:t>Regionalnego Dyrektora Ochrony Środowiska w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  <w:t>Bydgoszczy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  <w:br/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  <w:t>z dnia 12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  <w:t>września 2022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  <w:t>r.</w:t>
      </w:r>
    </w:p>
    <w:p w:rsidR="00A77B3E">
      <w:pPr>
        <w:keepNext/>
        <w:spacing w:before="0" w:after="480" w:line="240" w:lineRule="auto"/>
        <w:ind w:left="0" w:right="0" w:firstLine="0"/>
        <w:jc w:val="center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</w:pP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auto"/>
          <w:sz w:val="22"/>
          <w:u w:val="none"/>
          <w:vertAlign w:val="baseline"/>
        </w:rPr>
        <w:t>Opis granic obszaru Natura 2000</w:t>
      </w: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auto"/>
          <w:sz w:val="22"/>
          <w:u w:val="none"/>
          <w:vertAlign w:val="baseline"/>
        </w:rPr>
        <w:t> </w:t>
      </w: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auto"/>
          <w:sz w:val="22"/>
          <w:u w:val="none"/>
          <w:vertAlign w:val="baseline"/>
        </w:rPr>
        <w:t>Dziki Ostrów PLH040045 w</w:t>
      </w: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auto"/>
          <w:sz w:val="22"/>
          <w:u w:val="none"/>
          <w:vertAlign w:val="baseline"/>
        </w:rPr>
        <w:t> </w:t>
      </w: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auto"/>
          <w:sz w:val="22"/>
          <w:u w:val="none"/>
          <w:vertAlign w:val="baseline"/>
        </w:rPr>
        <w:t>części pokrywającej się z</w:t>
      </w: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auto"/>
          <w:sz w:val="22"/>
          <w:u w:val="none"/>
          <w:vertAlign w:val="baseline"/>
        </w:rPr>
        <w:t> </w:t>
      </w: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auto"/>
          <w:sz w:val="22"/>
          <w:u w:val="none"/>
          <w:vertAlign w:val="baseline"/>
        </w:rPr>
        <w:t>rezerwatem, w</w:t>
      </w: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auto"/>
          <w:sz w:val="22"/>
          <w:u w:val="none"/>
          <w:vertAlign w:val="baseline"/>
        </w:rPr>
        <w:t> </w:t>
      </w: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auto"/>
          <w:sz w:val="22"/>
          <w:u w:val="none"/>
          <w:vertAlign w:val="baseline"/>
        </w:rPr>
        <w:t>postaci współrzędnych punktów ich załamania w</w:t>
      </w: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auto"/>
          <w:sz w:val="22"/>
          <w:u w:val="none"/>
          <w:vertAlign w:val="baseline"/>
        </w:rPr>
        <w:t> </w:t>
      </w: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auto"/>
          <w:sz w:val="22"/>
          <w:u w:val="none"/>
          <w:vertAlign w:val="baseline"/>
        </w:rPr>
        <w:t>układzie współrzędnych płaskich prostokątnych PL-1992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8" w:type="dxa"/>
          <w:right w:w="108" w:type="dxa"/>
        </w:tblCellMar>
      </w:tblPr>
      <w:tblGrid>
        <w:gridCol w:w="3096"/>
        <w:gridCol w:w="3493"/>
        <w:gridCol w:w="3493"/>
      </w:tblGrid>
      <w:tr>
        <w:tblPrEx>
          <w:tblW w:w="5000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108" w:type="dxa"/>
            <w:right w:w="108" w:type="dxa"/>
          </w:tblCellMar>
        </w:tblPrEx>
        <w:trPr>
          <w:trHeight w:val="276"/>
        </w:trPr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Nr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y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76"/>
        </w:trPr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573060,72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434093,11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76"/>
        </w:trPr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573046,26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434110,71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76"/>
        </w:trPr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573046,27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434132,70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76"/>
        </w:trPr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573046,29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434175,66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76"/>
        </w:trPr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573036,89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434225,01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76"/>
        </w:trPr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573035,53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434232,14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76"/>
        </w:trPr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573025,74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434250,29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76"/>
        </w:trPr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573029,21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434272,22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76"/>
        </w:trPr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9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573023,33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434272,81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76"/>
        </w:trPr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573018,87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434314,40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76"/>
        </w:trPr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11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573004,31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434327,12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76"/>
        </w:trPr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12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572965,25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434334,10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76"/>
        </w:trPr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13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572948,75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434328,79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76"/>
        </w:trPr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14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572877,51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434337,14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76"/>
        </w:trPr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15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572823,98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434370,08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76"/>
        </w:trPr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16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572811,64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434360,17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76"/>
        </w:trPr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17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572800,73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434342,59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76"/>
        </w:trPr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18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572780,33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434333,55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76"/>
        </w:trPr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19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572764,96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434330,57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76"/>
        </w:trPr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20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572757,22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434334,55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76"/>
        </w:trPr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21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572715,42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434343,85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76"/>
        </w:trPr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22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572712,49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434344,50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76"/>
        </w:trPr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23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572711,19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434344,79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76"/>
        </w:trPr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24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572694,43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434341,15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76"/>
        </w:trPr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25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572658,45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434346,41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76"/>
        </w:trPr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26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572638,53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434345,29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76"/>
        </w:trPr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27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572630,00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434348,83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76"/>
        </w:trPr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28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572583,58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434347,23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76"/>
        </w:trPr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29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572578,59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434343,62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76"/>
        </w:trPr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30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572571,43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434343,84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76"/>
        </w:trPr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31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572564,88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434346,49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76"/>
        </w:trPr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32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572561,69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434358,60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76"/>
        </w:trPr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33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572560,08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434362,49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76"/>
        </w:trPr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34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572529,10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434362,11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76"/>
        </w:trPr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35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572490,13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434357,73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76"/>
        </w:trPr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36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572474,47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434367,77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76"/>
        </w:trPr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37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572444,26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434377,64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76"/>
        </w:trPr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38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572407,52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434388,76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76"/>
        </w:trPr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39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572387,62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434384,62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76"/>
        </w:trPr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40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572381,28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434383,72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76"/>
        </w:trPr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41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572376,48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434385,38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76"/>
        </w:trPr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42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572370,65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434385,33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76"/>
        </w:trPr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43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572364,46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434386,65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76"/>
        </w:trPr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44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572360,01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434386,94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76"/>
        </w:trPr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45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572350,37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434399,33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76"/>
        </w:trPr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46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572339,81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434422,00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76"/>
        </w:trPr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47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572307,99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434427,41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76"/>
        </w:trPr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48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572275,26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434457,28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76"/>
        </w:trPr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49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572271,78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434495,16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76"/>
        </w:trPr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50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572271,39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434499,38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76"/>
        </w:trPr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51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572282,13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434525,12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76"/>
        </w:trPr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52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572281,10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434544,43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76"/>
        </w:trPr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53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572270,46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434564,79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76"/>
        </w:trPr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54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572242,08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434599,94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76"/>
        </w:trPr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55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572230,40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434602,79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76"/>
        </w:trPr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56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572218,81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434606,14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76"/>
        </w:trPr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57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572210,38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434609,88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76"/>
        </w:trPr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58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572205,47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434605,76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76"/>
        </w:trPr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59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572206,01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434613,11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76"/>
        </w:trPr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60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572204,20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434627,11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76"/>
        </w:trPr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61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572204,32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434632,32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76"/>
        </w:trPr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62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572205,40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434647,11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76"/>
        </w:trPr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63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572210,21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434656,93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76"/>
        </w:trPr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64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572213,86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434662,57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76"/>
        </w:trPr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65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572223,07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434652,89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76"/>
        </w:trPr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66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572231,42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434668,28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76"/>
        </w:trPr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67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572241,99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434684,86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76"/>
        </w:trPr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68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572240,03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434686,80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76"/>
        </w:trPr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69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572238,21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434688,59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76"/>
        </w:trPr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70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572222,08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434707,18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76"/>
        </w:trPr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71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572213,80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434712,96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76"/>
        </w:trPr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72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572194,61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434722,20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76"/>
        </w:trPr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73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572164,16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434724,76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76"/>
        </w:trPr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74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572144,48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434721,02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76"/>
        </w:trPr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75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572120,67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434713,77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76"/>
        </w:trPr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76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572140,08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434654,68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76"/>
        </w:trPr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77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572140,40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434652,69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76"/>
        </w:trPr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78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572145,19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434622,52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76"/>
        </w:trPr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79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572131,65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434577,81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76"/>
        </w:trPr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80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572140,29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434571,67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76"/>
        </w:trPr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81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572167,54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434576,02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76"/>
        </w:trPr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82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572194,35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434543,88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76"/>
        </w:trPr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83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572197,14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434540,54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76"/>
        </w:trPr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84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572194,25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434470,80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76"/>
        </w:trPr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85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572183,07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434409,82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76"/>
        </w:trPr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86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572188,58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434251,38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76"/>
        </w:trPr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87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572188,57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434249,56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76"/>
        </w:trPr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88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572188,33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434190,51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76"/>
        </w:trPr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89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572187,53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434075,31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76"/>
        </w:trPr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90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572187,52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434073,25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76"/>
        </w:trPr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91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572187,30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434042,37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76"/>
        </w:trPr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92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572183,45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434034,57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76"/>
        </w:trPr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93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572185,01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434020,05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76"/>
        </w:trPr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94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572178,17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433991,03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76"/>
        </w:trPr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95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572168,65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433987,15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76"/>
        </w:trPr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96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572147,21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433984,28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76"/>
        </w:trPr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97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572136,07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433999,55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76"/>
        </w:trPr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98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572121,67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434029,77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76"/>
        </w:trPr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99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572106,33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434010,94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76"/>
        </w:trPr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572089,46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434000,78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76"/>
        </w:trPr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101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572089,27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433989,07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76"/>
        </w:trPr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102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572094,11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433981,00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76"/>
        </w:trPr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103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572104,81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433962,13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76"/>
        </w:trPr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104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572109,06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433941,29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76"/>
        </w:trPr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105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572114,52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433914,52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76"/>
        </w:trPr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106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572130,38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433885,21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76"/>
        </w:trPr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107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572147,86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433852,92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76"/>
        </w:trPr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108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572162,93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433797,66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76"/>
        </w:trPr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109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572195,87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433707,17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76"/>
        </w:trPr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110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572205,17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433654,68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76"/>
        </w:trPr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111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572209,98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433627,61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76"/>
        </w:trPr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112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572231,33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433558,24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76"/>
        </w:trPr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113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572255,99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433504,73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76"/>
        </w:trPr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114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572257,23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433494,23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76"/>
        </w:trPr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115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572259,75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433472,89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76"/>
        </w:trPr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116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572270,34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433441,05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76"/>
        </w:trPr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117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572278,34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433445,76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76"/>
        </w:trPr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118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572290,73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433453,06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76"/>
        </w:trPr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119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572302,40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433482,64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76"/>
        </w:trPr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120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572304,77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433509,18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76"/>
        </w:trPr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121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572314,36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433527,38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76"/>
        </w:trPr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122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572332,68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433543,16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76"/>
        </w:trPr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123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572348,47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433554,83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76"/>
        </w:trPr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124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572393,05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433555,80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76"/>
        </w:trPr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125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572417,25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433556,34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76"/>
        </w:trPr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126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572437,00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433550,31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76"/>
        </w:trPr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127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572437,14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433547,83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76"/>
        </w:trPr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128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572494,44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433528,69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76"/>
        </w:trPr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129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572546,02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433511,46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76"/>
        </w:trPr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130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572597,04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433472,00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76"/>
        </w:trPr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131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572628,67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433465,66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76"/>
        </w:trPr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132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572742,56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433500,51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76"/>
        </w:trPr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133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572765,03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433512,51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76"/>
        </w:trPr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134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572799,60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433530,99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76"/>
        </w:trPr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135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572846,80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433565,13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76"/>
        </w:trPr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136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572935,57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433641,95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76"/>
        </w:trPr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137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572938,16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433645,85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76"/>
        </w:trPr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138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572940,30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433649,08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76"/>
        </w:trPr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139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572995,67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433708,44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76"/>
        </w:trPr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140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573005,07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433728,66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76"/>
        </w:trPr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141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573007,88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433734,70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76"/>
        </w:trPr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142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573014,35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433753,92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76"/>
        </w:trPr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143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573021,49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433775,16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76"/>
        </w:trPr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144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573054,66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433831,79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76"/>
        </w:trPr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145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573056,78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433847,24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76"/>
        </w:trPr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146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573057,05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433849,24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76"/>
        </w:trPr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147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573059,53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433867,37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76"/>
        </w:trPr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148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573079,14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433919,28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76"/>
        </w:trPr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149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573098,56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433950,05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76"/>
        </w:trPr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150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573130,35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433987,66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76"/>
        </w:trPr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151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573140,83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434006,96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76"/>
        </w:trPr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152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573160,66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434043,46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76"/>
        </w:trPr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153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573066,71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434085,82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76"/>
        </w:trPr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154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573060,72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bottom"/>
            <w:hideMark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434093,11</w:t>
            </w:r>
          </w:p>
        </w:tc>
      </w:tr>
    </w:tbl>
    <w:p w:rsidR="00A77B3E">
      <w:pPr>
        <w:keepNext/>
        <w:keepLines/>
        <w:spacing w:before="0" w:after="0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</w:pPr>
    </w:p>
    <w:p w:rsidR="00A77B3E">
      <w:pPr>
        <w:keepNext/>
        <w:keepLines/>
        <w:spacing w:before="0" w:after="0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</w:pPr>
    </w:p>
    <w:p w:rsidR="00A77B3E">
      <w:pPr>
        <w:keepNext/>
        <w:spacing w:before="0" w:after="0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</w:pPr>
      <w:r>
        <w:rPr>
          <w:b w:val="0"/>
          <w:i w:val="0"/>
          <w:color w:val="000000"/>
          <w:u w:val="none"/>
          <w:vertAlign w:val="baseline"/>
        </w:rPr>
        <w:t> </w:t>
      </w:r>
    </w:p>
    <w:tbl>
      <w:tblPr>
        <w:tblW w:w="5000" w:type="pct"/>
        <w:tblCellMar>
          <w:top w:w="0" w:type="dxa"/>
          <w:left w:w="0" w:type="dxa"/>
          <w:bottom w:w="0" w:type="dxa"/>
          <w:right w:w="0" w:type="dxa"/>
        </w:tblCellMar>
      </w:tblPr>
      <w:tblGrid>
        <w:gridCol w:w="4933"/>
        <w:gridCol w:w="4933"/>
      </w:tblGrid>
      <w:tr>
        <w:tblPrEx>
          <w:tblW w:w="5000" w:type="pct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0" w:type="pct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hideMark/>
          </w:tcPr>
          <w:p>
            <w:pPr>
              <w:keepNext/>
              <w:keepLines/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</w:pPr>
          </w:p>
        </w:tc>
        <w:tc>
          <w:tcPr>
            <w:tcW w:w="2500" w:type="pct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hideMark/>
          </w:tcPr>
          <w:p>
            <w:pPr>
              <w:keepNext/>
              <w:keepLines/>
              <w:spacing w:before="560" w:after="560"/>
              <w:ind w:left="1134" w:right="1134" w:firstLine="0"/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t>Regionalny Dyrektor Ochrony Środowiska w Bydgoszczy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br/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br/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br/>
            </w:r>
            <w:r>
              <w:rPr>
                <w:b/>
                <w:i w:val="0"/>
              </w:rPr>
              <w:t>Szymon Kosmalski</w:t>
            </w:r>
          </w:p>
        </w:tc>
      </w:tr>
    </w:tbl>
    <w:p w:rsidR="00A77B3E">
      <w:pPr>
        <w:keepNext/>
        <w:spacing w:before="0" w:after="0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  <w:sectPr>
          <w:footerReference w:type="default" r:id="rId8"/>
          <w:endnotePr>
            <w:numFmt w:val="decimal"/>
          </w:endnotePr>
          <w:type w:val="nextPage"/>
          <w:pgSz w:w="11906" w:h="16838"/>
          <w:pgMar w:top="992" w:right="1020" w:bottom="992" w:left="1020" w:header="708" w:footer="708" w:gutter="0"/>
          <w:pgNumType w:start="1"/>
          <w:cols w:space="708"/>
          <w:docGrid w:linePitch="360"/>
        </w:sectPr>
      </w:pPr>
    </w:p>
    <w:p w:rsidR="00A77B3E">
      <w:pPr>
        <w:keepNext/>
        <w:spacing w:before="120" w:after="120" w:line="360" w:lineRule="auto"/>
        <w:ind w:left="3634" w:right="0" w:firstLine="0"/>
        <w:jc w:val="left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</w:pP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  <w:fldChar w:fldCharType="begin"/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  <w:fldChar w:fldCharType="separate"/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  <w:fldChar w:fldCharType="end"/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  <w:t>Załącznik Nr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  <w:t>4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  <w:t>do zarządzenia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  <w:br/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  <w:t>Regionalnego Dyrektora Ochrony Środowiska w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  <w:t>Bydgoszczy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  <w:br/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  <w:t>z dnia 12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  <w:t>września 2022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  <w:t>r.</w:t>
      </w:r>
    </w:p>
    <w:p w:rsidR="00A77B3E">
      <w:pPr>
        <w:keepNext/>
        <w:spacing w:before="0" w:after="480" w:line="240" w:lineRule="auto"/>
        <w:ind w:left="0" w:right="0" w:firstLine="0"/>
        <w:jc w:val="center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</w:pP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auto"/>
          <w:sz w:val="22"/>
          <w:u w:val="none"/>
          <w:vertAlign w:val="baseline"/>
        </w:rPr>
        <w:t>Mapa obszaru Natura 2000</w:t>
      </w: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auto"/>
          <w:sz w:val="22"/>
          <w:u w:val="none"/>
          <w:vertAlign w:val="baseline"/>
        </w:rPr>
        <w:t> </w:t>
      </w: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auto"/>
          <w:sz w:val="22"/>
          <w:u w:val="none"/>
          <w:vertAlign w:val="baseline"/>
        </w:rPr>
        <w:t>Dziki Ostrów PLH040045 wraz z</w:t>
      </w: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auto"/>
          <w:sz w:val="22"/>
          <w:u w:val="none"/>
          <w:vertAlign w:val="baseline"/>
        </w:rPr>
        <w:t> </w:t>
      </w: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auto"/>
          <w:sz w:val="22"/>
          <w:u w:val="none"/>
          <w:vertAlign w:val="baseline"/>
        </w:rPr>
        <w:t>leżącym w</w:t>
      </w: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auto"/>
          <w:sz w:val="22"/>
          <w:u w:val="none"/>
          <w:vertAlign w:val="baseline"/>
        </w:rPr>
        <w:t> </w:t>
      </w: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auto"/>
          <w:sz w:val="22"/>
          <w:u w:val="none"/>
          <w:vertAlign w:val="baseline"/>
        </w:rPr>
        <w:t>jego granicach rezerwatem przyrody Dziki Ostrów</w:t>
      </w:r>
    </w:p>
    <w:p w:rsidR="00A77B3E">
      <w:pPr>
        <w:keepNext/>
        <w:keepLines w:val="0"/>
        <w:spacing w:before="120" w:after="120" w:line="240" w:lineRule="auto"/>
        <w:ind w:left="283" w:right="0" w:firstLine="227"/>
        <w:jc w:val="center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</w:pP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  <w:drawing>
          <wp:inline>
            <wp:extent cx="6269320" cy="7719101"/>
            <wp:docPr id="10000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" r:link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269320" cy="77191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77B3E">
      <w:pPr>
        <w:keepNext/>
        <w:keepLines/>
        <w:spacing w:before="120" w:after="120" w:line="240" w:lineRule="auto"/>
        <w:ind w:left="283" w:right="0" w:firstLine="227"/>
        <w:jc w:val="center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</w:pPr>
    </w:p>
    <w:p w:rsidR="00A77B3E">
      <w:pPr>
        <w:keepNext/>
        <w:spacing w:before="0" w:after="0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</w:pPr>
      <w:r>
        <w:rPr>
          <w:b w:val="0"/>
          <w:i w:val="0"/>
          <w:color w:val="000000"/>
          <w:u w:val="none"/>
          <w:vertAlign w:val="baseline"/>
        </w:rPr>
        <w:t> </w:t>
      </w:r>
    </w:p>
    <w:tbl>
      <w:tblPr>
        <w:tblW w:w="5000" w:type="pct"/>
        <w:tblCellMar>
          <w:top w:w="0" w:type="dxa"/>
          <w:left w:w="0" w:type="dxa"/>
          <w:bottom w:w="0" w:type="dxa"/>
          <w:right w:w="0" w:type="dxa"/>
        </w:tblCellMar>
      </w:tblPr>
      <w:tblGrid>
        <w:gridCol w:w="4933"/>
        <w:gridCol w:w="4933"/>
      </w:tblGrid>
      <w:tr>
        <w:tblPrEx>
          <w:tblW w:w="5000" w:type="pct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0" w:type="pct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hideMark/>
          </w:tcPr>
          <w:p>
            <w:pPr>
              <w:keepNext/>
              <w:keepLines/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</w:pPr>
          </w:p>
        </w:tc>
        <w:tc>
          <w:tcPr>
            <w:tcW w:w="2500" w:type="pct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hideMark/>
          </w:tcPr>
          <w:p>
            <w:pPr>
              <w:keepNext/>
              <w:keepLines/>
              <w:spacing w:before="560" w:after="560"/>
              <w:ind w:left="1134" w:right="1134" w:firstLine="0"/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t>Regionalny Dyrektor Ochrony Środowiska w Bydgoszczy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br/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br/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br/>
            </w:r>
            <w:r>
              <w:rPr>
                <w:b/>
                <w:i w:val="0"/>
              </w:rPr>
              <w:t>Szymon Kosmalski</w:t>
            </w:r>
          </w:p>
        </w:tc>
      </w:tr>
    </w:tbl>
    <w:p w:rsidR="00A77B3E">
      <w:pPr>
        <w:keepNext/>
        <w:spacing w:before="0" w:after="0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  <w:sectPr>
          <w:footerReference w:type="default" r:id="rId11"/>
          <w:endnotePr>
            <w:numFmt w:val="decimal"/>
          </w:endnotePr>
          <w:type w:val="nextPage"/>
          <w:pgSz w:w="11906" w:h="16838"/>
          <w:pgMar w:top="992" w:right="1020" w:bottom="992" w:left="1020" w:header="708" w:footer="708" w:gutter="0"/>
          <w:pgNumType w:start="1"/>
          <w:cols w:space="708"/>
          <w:docGrid w:linePitch="360"/>
        </w:sectPr>
      </w:pPr>
    </w:p>
    <w:p w:rsidR="00A77B3E">
      <w:pPr>
        <w:keepNext/>
        <w:spacing w:before="120" w:after="120" w:line="360" w:lineRule="auto"/>
        <w:ind w:left="3634" w:right="0" w:firstLine="0"/>
        <w:jc w:val="left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</w:pP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  <w:fldChar w:fldCharType="begin"/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  <w:fldChar w:fldCharType="separate"/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  <w:fldChar w:fldCharType="end"/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  <w:t>Załącznik Nr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  <w:t>5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  <w:t>do zarządzenia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  <w:br/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  <w:t>Regionalnego Dyrektora Ochrony Środowiska w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  <w:t>Bydgoszczy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  <w:br/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  <w:t>z dnia 12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  <w:t>września 2022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  <w:t>r.</w:t>
      </w:r>
    </w:p>
    <w:p w:rsidR="00A77B3E">
      <w:pPr>
        <w:keepNext/>
        <w:spacing w:before="0" w:after="480" w:line="240" w:lineRule="auto"/>
        <w:ind w:left="0" w:right="0" w:firstLine="0"/>
        <w:jc w:val="center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</w:pP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auto"/>
          <w:sz w:val="22"/>
          <w:u w:val="none"/>
          <w:vertAlign w:val="baseline"/>
        </w:rPr>
        <w:t>Identyfikacja istniejących i</w:t>
      </w: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auto"/>
          <w:sz w:val="22"/>
          <w:u w:val="none"/>
          <w:vertAlign w:val="baseline"/>
        </w:rPr>
        <w:t> </w:t>
      </w: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auto"/>
          <w:sz w:val="22"/>
          <w:u w:val="none"/>
          <w:vertAlign w:val="baseline"/>
        </w:rPr>
        <w:t>potencjalnych zagrożeń dla zachowania właściwego stanu ochrony siedlisk przyrodniczych oraz gatunków roślin i</w:t>
      </w: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auto"/>
          <w:sz w:val="22"/>
          <w:u w:val="none"/>
          <w:vertAlign w:val="baseline"/>
        </w:rPr>
        <w:t> </w:t>
      </w: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auto"/>
          <w:sz w:val="22"/>
          <w:u w:val="none"/>
          <w:vertAlign w:val="baseline"/>
        </w:rPr>
        <w:t>zwierząt i</w:t>
      </w: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auto"/>
          <w:sz w:val="22"/>
          <w:u w:val="none"/>
          <w:vertAlign w:val="baseline"/>
        </w:rPr>
        <w:t> </w:t>
      </w: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auto"/>
          <w:sz w:val="22"/>
          <w:u w:val="none"/>
          <w:vertAlign w:val="baseline"/>
        </w:rPr>
        <w:t>ich siedlisk będących przedmiotami ochrony obszaru Natura 2000</w:t>
      </w: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auto"/>
          <w:sz w:val="22"/>
          <w:u w:val="none"/>
          <w:vertAlign w:val="baseline"/>
        </w:rPr>
        <w:t> </w:t>
      </w: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auto"/>
          <w:sz w:val="22"/>
          <w:u w:val="none"/>
          <w:vertAlign w:val="baseline"/>
        </w:rPr>
        <w:t>w</w:t>
      </w: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auto"/>
          <w:sz w:val="22"/>
          <w:u w:val="none"/>
          <w:vertAlign w:val="baseline"/>
        </w:rPr>
        <w:t> </w:t>
      </w: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auto"/>
          <w:sz w:val="22"/>
          <w:u w:val="none"/>
          <w:vertAlign w:val="baseline"/>
        </w:rPr>
        <w:t>granicach rezerwatu przyrody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8" w:type="dxa"/>
          <w:right w:w="108" w:type="dxa"/>
        </w:tblCellMar>
      </w:tblPr>
      <w:tblGrid>
        <w:gridCol w:w="632"/>
        <w:gridCol w:w="1459"/>
        <w:gridCol w:w="2077"/>
        <w:gridCol w:w="1505"/>
        <w:gridCol w:w="4409"/>
      </w:tblGrid>
      <w:tr>
        <w:tblPrEx>
          <w:tblW w:w="5000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108" w:type="dxa"/>
            <w:right w:w="108" w:type="dxa"/>
          </w:tblCellMar>
        </w:tblPrEx>
        <w:trPr>
          <w:trHeight w:hRule="auto" w:val="0"/>
        </w:trPr>
        <w:tc>
          <w:tcPr>
            <w:tcW w:w="6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b/>
              </w:rPr>
              <w:t>Lp.</w:t>
            </w:r>
          </w:p>
        </w:tc>
        <w:tc>
          <w:tcPr>
            <w:tcW w:w="14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b/>
              </w:rPr>
              <w:t>Przedmiot ochrony</w:t>
            </w:r>
          </w:p>
        </w:tc>
        <w:tc>
          <w:tcPr>
            <w:tcW w:w="3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b/>
              </w:rPr>
              <w:t>Rodzaj zagrożenia</w:t>
            </w:r>
          </w:p>
        </w:tc>
        <w:tc>
          <w:tcPr>
            <w:tcW w:w="43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b/>
              </w:rPr>
              <w:t>Opis zagrożenia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hRule="auto" w:val="0"/>
        </w:trPr>
        <w:tc>
          <w:tcPr>
            <w:tcW w:w="6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</w:p>
        </w:tc>
        <w:tc>
          <w:tcPr>
            <w:tcW w:w="14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b/>
              </w:rPr>
              <w:t>istniejące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b/>
              </w:rPr>
              <w:t>potencjalne</w:t>
            </w:r>
          </w:p>
        </w:tc>
        <w:tc>
          <w:tcPr>
            <w:tcW w:w="43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hRule="auto" w:val="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t>1.</w:t>
            </w:r>
          </w:p>
        </w:tc>
        <w:tc>
          <w:tcPr>
            <w:tcW w:w="14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t>*91I0 Ciepłolubne dąbrowy                 (</w:t>
            </w:r>
            <w:r>
              <w:rPr>
                <w:i/>
              </w:rPr>
              <w:t>Quercetalia pubescenti- petraeae</w:t>
            </w:r>
            <w:r>
              <w:t>)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t xml:space="preserve">I01 Obce gatunki inwazyjne 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t>-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spacing w:before="0" w:after="0"/>
              <w:jc w:val="both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t>Ekspansja obcych gatunków roślin, w tym głównie czeremchy amerykańskiej, która poprzez bujny rozwój powoduje zacienienie runa oraz wypiera rodzime gatunki.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hRule="auto" w:val="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t>2.</w:t>
            </w:r>
          </w:p>
        </w:tc>
        <w:tc>
          <w:tcPr>
            <w:tcW w:w="14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t>-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t>K04.03 Zawleczenie choroby (patogeny mikrobowe).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spacing w:before="0" w:after="0"/>
              <w:jc w:val="both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t xml:space="preserve">Zagrożeniem jest zjawisko tak zwanego masowego zamierania dębów. W ostatnich dekadach dochodziło do zamierania wiązów i jesionu. W wielu rejonach sygnalizowane jest zamieranie olszy i brzozy oraz zasychanie drzewostanów dębowych. We wszystkich przypadkach za proces ten nie odpowiada jeden zidentyfikowany czynnik, lecz jest to zbiór różnych nakładających się w tym samym miejscu i czasie zjawisk powodujących osłabienie, a następnie obumieranie drzew. W praktyce nie ma środków i możliwości przeciwdziałających zjawisku masowego obumierania dębu jeśli już takie wystąpi. Wystąpienie gradacji patogenów (grzybów, szkodników wtórnych) należy monitorować i podjąć stosowne działania jeśli sytuacja będzie tego wymagała.     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hRule="auto" w:val="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t>3.</w:t>
            </w:r>
          </w:p>
        </w:tc>
        <w:tc>
          <w:tcPr>
            <w:tcW w:w="14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t xml:space="preserve">K02 Ewolucja biocenotyczna (sukcesja) 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t>-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spacing w:before="0" w:after="0"/>
              <w:jc w:val="both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t>Ciepłolubne dąbrowy są zbiorowiskami, które na terenie kraju mają przede wszystkim charakter antropogeniczny. Powstały one w wyniku specyficznej, nieistniejącej współcześnie, działalności człowieka, zwłaszcza wypasu i grabienia liści głownie w grądach. Brak oddziaływania człowieka uruchomił naturalny proces regeneracji roślinności grądowej (grądowienie) i stopniowe przekształcanie się płatów dąbrów w grądy.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hRule="auto" w:val="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t>4.</w:t>
            </w:r>
          </w:p>
        </w:tc>
        <w:tc>
          <w:tcPr>
            <w:tcW w:w="14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t>K06 Inne lub mieszane formy międzygatunkowej konkurencji roślin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t>-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spacing w:before="0" w:after="0"/>
              <w:jc w:val="both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t xml:space="preserve">Nadmierne ocienienie runa świetlistej dąbrowy </w:t>
            </w:r>
            <w:r>
              <w:rPr>
                <w:i/>
              </w:rPr>
              <w:t xml:space="preserve">Potentillo albae-Quercetum </w:t>
            </w:r>
            <w:r>
              <w:t>W wyniku dużego zwarcia lub bujnego rozwoju podszytu następuje stopniowe zwiększanie zacienienia dolnych warstw lasu (konkurencja). Efektem jest zmniejszenie pod względem ilościowym i jakościowym występujących w runie gatunków światło- i ciepłolubnych.</w:t>
            </w:r>
          </w:p>
        </w:tc>
      </w:tr>
    </w:tbl>
    <w:p w:rsidR="00A77B3E">
      <w:pPr>
        <w:keepNext/>
        <w:keepLines/>
        <w:spacing w:before="0" w:after="0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</w:pPr>
    </w:p>
    <w:p w:rsidR="00A77B3E">
      <w:pPr>
        <w:keepNext/>
        <w:keepLines/>
        <w:spacing w:before="0" w:after="0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</w:pPr>
    </w:p>
    <w:p w:rsidR="00A77B3E">
      <w:pPr>
        <w:keepNext/>
        <w:spacing w:before="0" w:after="0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</w:pPr>
      <w:r>
        <w:rPr>
          <w:b w:val="0"/>
          <w:i w:val="0"/>
          <w:color w:val="000000"/>
          <w:u w:val="none"/>
          <w:vertAlign w:val="baseline"/>
        </w:rPr>
        <w:t> </w:t>
      </w:r>
    </w:p>
    <w:tbl>
      <w:tblPr>
        <w:tblW w:w="5000" w:type="pct"/>
        <w:tblCellMar>
          <w:top w:w="0" w:type="dxa"/>
          <w:left w:w="0" w:type="dxa"/>
          <w:bottom w:w="0" w:type="dxa"/>
          <w:right w:w="0" w:type="dxa"/>
        </w:tblCellMar>
      </w:tblPr>
      <w:tblGrid>
        <w:gridCol w:w="4933"/>
        <w:gridCol w:w="4933"/>
      </w:tblGrid>
      <w:tr>
        <w:tblPrEx>
          <w:tblW w:w="5000" w:type="pct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0" w:type="pct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hideMark/>
          </w:tcPr>
          <w:p>
            <w:pPr>
              <w:keepNext/>
              <w:keepLines/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</w:pPr>
          </w:p>
        </w:tc>
        <w:tc>
          <w:tcPr>
            <w:tcW w:w="2500" w:type="pct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hideMark/>
          </w:tcPr>
          <w:p>
            <w:pPr>
              <w:keepNext/>
              <w:keepLines/>
              <w:spacing w:before="560" w:after="560"/>
              <w:ind w:left="1134" w:right="1134" w:firstLine="0"/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t>Regionalny Dyrektor Ochrony Środowiska w Bydgoszczy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br/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br/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br/>
            </w:r>
            <w:r>
              <w:rPr>
                <w:b/>
                <w:i w:val="0"/>
              </w:rPr>
              <w:t>Szymon Kosmalski</w:t>
            </w:r>
          </w:p>
        </w:tc>
      </w:tr>
    </w:tbl>
    <w:p w:rsidR="00A77B3E">
      <w:pPr>
        <w:keepNext/>
        <w:spacing w:before="0" w:after="0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  <w:sectPr>
          <w:footerReference w:type="default" r:id="rId12"/>
          <w:endnotePr>
            <w:numFmt w:val="decimal"/>
          </w:endnotePr>
          <w:type w:val="nextPage"/>
          <w:pgSz w:w="11906" w:h="16838"/>
          <w:pgMar w:top="992" w:right="1020" w:bottom="992" w:left="1020" w:header="708" w:footer="708" w:gutter="0"/>
          <w:pgNumType w:start="1"/>
          <w:cols w:space="708"/>
          <w:docGrid w:linePitch="360"/>
        </w:sectPr>
      </w:pPr>
    </w:p>
    <w:p w:rsidR="00A77B3E">
      <w:pPr>
        <w:keepNext/>
        <w:spacing w:before="120" w:after="120" w:line="360" w:lineRule="auto"/>
        <w:ind w:left="3634" w:right="0" w:firstLine="0"/>
        <w:jc w:val="left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</w:pP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  <w:fldChar w:fldCharType="begin"/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  <w:fldChar w:fldCharType="separate"/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  <w:fldChar w:fldCharType="end"/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  <w:t>Załącznik Nr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  <w:t>6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  <w:t>do zarządzenia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  <w:br/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  <w:t>Regionalnego Dyrektora Ochrony Środowiska w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  <w:t>Bydgoszczy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  <w:br/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  <w:t>z dnia 12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  <w:t>września 2022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  <w:t>r.</w:t>
      </w:r>
    </w:p>
    <w:p w:rsidR="00A77B3E">
      <w:pPr>
        <w:keepNext/>
        <w:spacing w:before="0" w:after="480" w:line="240" w:lineRule="auto"/>
        <w:ind w:left="0" w:right="0" w:firstLine="0"/>
        <w:jc w:val="center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</w:pP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auto"/>
          <w:sz w:val="22"/>
          <w:u w:val="none"/>
          <w:vertAlign w:val="baseline"/>
        </w:rPr>
        <w:t>Cele działań ochronnych na obszarze Natura 2000</w:t>
      </w: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auto"/>
          <w:sz w:val="22"/>
          <w:u w:val="none"/>
          <w:vertAlign w:val="baseline"/>
        </w:rPr>
        <w:t> </w:t>
      </w: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auto"/>
          <w:sz w:val="22"/>
          <w:u w:val="none"/>
          <w:vertAlign w:val="baseline"/>
        </w:rPr>
        <w:t>w</w:t>
      </w: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auto"/>
          <w:sz w:val="22"/>
          <w:u w:val="none"/>
          <w:vertAlign w:val="baseline"/>
        </w:rPr>
        <w:t> </w:t>
      </w: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auto"/>
          <w:sz w:val="22"/>
          <w:u w:val="none"/>
          <w:vertAlign w:val="baseline"/>
        </w:rPr>
        <w:t>części pokrywającej się z</w:t>
      </w: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auto"/>
          <w:sz w:val="22"/>
          <w:u w:val="none"/>
          <w:vertAlign w:val="baseline"/>
        </w:rPr>
        <w:t> </w:t>
      </w: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auto"/>
          <w:sz w:val="22"/>
          <w:u w:val="none"/>
          <w:vertAlign w:val="baseline"/>
        </w:rPr>
        <w:t>rezerwatem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8" w:type="dxa"/>
          <w:right w:w="108" w:type="dxa"/>
        </w:tblCellMar>
      </w:tblPr>
      <w:tblGrid>
        <w:gridCol w:w="571"/>
        <w:gridCol w:w="1725"/>
        <w:gridCol w:w="2250"/>
        <w:gridCol w:w="3526"/>
        <w:gridCol w:w="2010"/>
      </w:tblGrid>
      <w:tr>
        <w:tblPrEx>
          <w:tblW w:w="5000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108" w:type="dxa"/>
            <w:right w:w="108" w:type="dxa"/>
          </w:tblCellMar>
        </w:tblPrEx>
        <w:trPr>
          <w:trHeight w:hRule="auto" w:val="0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b/>
                <w:sz w:val="22"/>
              </w:rPr>
              <w:t>Lp.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b/>
                <w:sz w:val="22"/>
              </w:rPr>
              <w:t>Siedlisko przyrodnicze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jc w:val="center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rFonts w:ascii="Times New Roman" w:eastAsia="Times New Roman" w:hAnsi="Times New Roman" w:cs="Times New Roman"/>
                <w:b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  <w:t>Parametr/wskaźnik stanu ochrony</w:t>
            </w:r>
            <w:r>
              <w:rPr>
                <w:rStyle w:val="FootnoteReference"/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superscript"/>
              </w:rPr>
              <w:footnoteReference w:customMarkFollows="1" w:id="3"/>
              <w:t xml:space="preserve">1)</w:t>
            </w:r>
          </w:p>
        </w:tc>
        <w:tc>
          <w:tcPr>
            <w:tcW w:w="3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jc w:val="center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rFonts w:ascii="Times New Roman" w:eastAsia="Times New Roman" w:hAnsi="Times New Roman" w:cs="Times New Roman"/>
                <w:b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  <w:t>Cel ochrony</w:t>
            </w:r>
            <w:r>
              <w:rPr>
                <w:rStyle w:val="FootnoteReference"/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superscript"/>
              </w:rPr>
              <w:footnoteReference w:customMarkFollows="1" w:id="4"/>
              <w:t xml:space="preserve">2)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jc w:val="center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/>
                <w:sz w:val="22"/>
              </w:rPr>
              <w:t>Uwagi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hRule="auto" w:val="0"/>
        </w:trPr>
        <w:tc>
          <w:tcPr>
            <w:tcW w:w="5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jc w:val="center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1.</w:t>
            </w:r>
          </w:p>
        </w:tc>
        <w:tc>
          <w:tcPr>
            <w:tcW w:w="17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jc w:val="center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*91I0 Ciepłolubne dąbrowy (</w:t>
            </w:r>
            <w:r>
              <w:rPr>
                <w:i/>
                <w:sz w:val="22"/>
              </w:rPr>
              <w:t>Quercetalia pubescenti-petraeae</w:t>
            </w:r>
            <w:r>
              <w:rPr>
                <w:sz w:val="22"/>
              </w:rPr>
              <w:t>)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jc w:val="center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Powierzchnia siedliska</w:t>
            </w:r>
          </w:p>
        </w:tc>
        <w:tc>
          <w:tcPr>
            <w:tcW w:w="3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jc w:val="center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Utrzymanie stabilnej powierzchni co najmniej 44 ha siedliska z uwzględnieniem naturalnych procesów</w:t>
            </w:r>
          </w:p>
        </w:tc>
        <w:tc>
          <w:tcPr>
            <w:tcW w:w="20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jc w:val="center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 xml:space="preserve">Zgodnie z opisem metodyki dla siedliska *91I0 (2010) i „Inwentaryzacją przyrodniczą rezerwatu przyrody Dziki Ostrów z zakresu siedliska przyrodniczego *91I0 Ciepłolubne dąbrowy </w:t>
            </w:r>
            <w:r>
              <w:rPr>
                <w:i/>
                <w:sz w:val="22"/>
              </w:rPr>
              <w:t>Quercetalia pubescenti-petraeae</w:t>
            </w:r>
            <w:r>
              <w:rPr>
                <w:sz w:val="22"/>
              </w:rPr>
              <w:t>” (2018)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hRule="auto" w:val="0"/>
        </w:trPr>
        <w:tc>
          <w:tcPr>
            <w:tcW w:w="5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jc w:val="center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17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jc w:val="center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jc w:val="center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Udział procentowy siedliska na transekcie</w:t>
            </w:r>
          </w:p>
        </w:tc>
        <w:tc>
          <w:tcPr>
            <w:tcW w:w="3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jc w:val="center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 xml:space="preserve">Utrzymanie wskaźnika FV. </w:t>
            </w:r>
          </w:p>
          <w:p>
            <w:pPr>
              <w:jc w:val="center"/>
            </w:pPr>
            <w:r>
              <w:rPr>
                <w:sz w:val="22"/>
              </w:rPr>
              <w:t>Zachowanie udziału procentowego siedliska na transekcie 80-100%</w:t>
            </w:r>
          </w:p>
        </w:tc>
        <w:tc>
          <w:tcPr>
            <w:tcW w:w="20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jc w:val="center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hRule="auto" w:val="0"/>
        </w:trPr>
        <w:tc>
          <w:tcPr>
            <w:tcW w:w="5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jc w:val="center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17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jc w:val="center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jc w:val="center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Gatunki charakterystyczne</w:t>
            </w:r>
          </w:p>
        </w:tc>
        <w:tc>
          <w:tcPr>
            <w:tcW w:w="3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jc w:val="center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Utrzymanie wskaźnika FV. Utrzymanie obecności gatunków charakterystycznych na co najmniej 10% transektu</w:t>
            </w:r>
          </w:p>
        </w:tc>
        <w:tc>
          <w:tcPr>
            <w:tcW w:w="20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jc w:val="center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hRule="auto" w:val="0"/>
        </w:trPr>
        <w:tc>
          <w:tcPr>
            <w:tcW w:w="5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jc w:val="center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17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jc w:val="center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jc w:val="center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Gatunki ciepłolubne</w:t>
            </w:r>
          </w:p>
        </w:tc>
        <w:tc>
          <w:tcPr>
            <w:tcW w:w="3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jc w:val="center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 xml:space="preserve">Utrzymanie wskaźnika FV. </w:t>
            </w:r>
          </w:p>
          <w:p>
            <w:pPr>
              <w:jc w:val="center"/>
            </w:pPr>
            <w:r>
              <w:rPr>
                <w:sz w:val="22"/>
              </w:rPr>
              <w:t>Utrzymanie obecności gatunków ciepłolubnych powyżej 20% transektu</w:t>
            </w:r>
          </w:p>
        </w:tc>
        <w:tc>
          <w:tcPr>
            <w:tcW w:w="20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jc w:val="center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hRule="auto" w:val="0"/>
        </w:trPr>
        <w:tc>
          <w:tcPr>
            <w:tcW w:w="5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jc w:val="center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17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jc w:val="center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jc w:val="center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Zwarcie podszytu</w:t>
            </w:r>
          </w:p>
        </w:tc>
        <w:tc>
          <w:tcPr>
            <w:tcW w:w="3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jc w:val="center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 xml:space="preserve">Utrzymanie wskaźnika FV. </w:t>
            </w:r>
          </w:p>
          <w:p>
            <w:pPr>
              <w:jc w:val="center"/>
            </w:pPr>
            <w:r>
              <w:rPr>
                <w:sz w:val="22"/>
              </w:rPr>
              <w:t>Utrzymanie zwarcia podszytu do 20%</w:t>
            </w:r>
          </w:p>
        </w:tc>
        <w:tc>
          <w:tcPr>
            <w:tcW w:w="20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jc w:val="center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hRule="auto" w:val="0"/>
        </w:trPr>
        <w:tc>
          <w:tcPr>
            <w:tcW w:w="5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jc w:val="center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17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jc w:val="center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jc w:val="center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Zwarcie koron drzew</w:t>
            </w:r>
          </w:p>
        </w:tc>
        <w:tc>
          <w:tcPr>
            <w:tcW w:w="3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jc w:val="center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 xml:space="preserve">Utrzymanie wskaźnika FV. </w:t>
            </w:r>
          </w:p>
          <w:p>
            <w:pPr>
              <w:jc w:val="center"/>
            </w:pPr>
            <w:r>
              <w:rPr>
                <w:sz w:val="22"/>
              </w:rPr>
              <w:t>Utrzymanie zwarcia koron drzew 50-70%</w:t>
            </w:r>
          </w:p>
        </w:tc>
        <w:tc>
          <w:tcPr>
            <w:tcW w:w="20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jc w:val="center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hRule="auto" w:val="0"/>
        </w:trPr>
        <w:tc>
          <w:tcPr>
            <w:tcW w:w="5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jc w:val="center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17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jc w:val="center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jc w:val="center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Obce gatunki inwazyjne w runie i podszycie</w:t>
            </w:r>
          </w:p>
        </w:tc>
        <w:tc>
          <w:tcPr>
            <w:tcW w:w="3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jc w:val="center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 xml:space="preserve">Utrzymanie wskaźnika U1. </w:t>
            </w:r>
          </w:p>
          <w:p>
            <w:pPr>
              <w:jc w:val="center"/>
            </w:pPr>
            <w:r>
              <w:rPr>
                <w:sz w:val="22"/>
              </w:rPr>
              <w:t>Brak lub obecność &lt;5% gatunków obcych na transekcie</w:t>
            </w:r>
          </w:p>
        </w:tc>
        <w:tc>
          <w:tcPr>
            <w:tcW w:w="20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jc w:val="center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hRule="auto" w:val="0"/>
        </w:trPr>
        <w:tc>
          <w:tcPr>
            <w:tcW w:w="5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jc w:val="center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17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jc w:val="center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jc w:val="center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Leżące martwe drewno (leżanina)</w:t>
            </w:r>
          </w:p>
        </w:tc>
        <w:tc>
          <w:tcPr>
            <w:tcW w:w="3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jc w:val="center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Utrzymanie wskaźnika FV.</w:t>
            </w:r>
          </w:p>
          <w:p>
            <w:pPr>
              <w:jc w:val="center"/>
            </w:pPr>
            <w:r>
              <w:rPr>
                <w:sz w:val="22"/>
              </w:rPr>
              <w:t>Utrzymanie do 5% zasobności drzewostaniu na transekcie.</w:t>
            </w:r>
          </w:p>
        </w:tc>
        <w:tc>
          <w:tcPr>
            <w:tcW w:w="20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jc w:val="center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</w:tr>
    </w:tbl>
    <w:p w:rsidR="00A77B3E">
      <w:pPr>
        <w:keepNext/>
        <w:keepLines/>
        <w:spacing w:before="0" w:after="0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</w:pPr>
    </w:p>
    <w:p w:rsidR="00A77B3E">
      <w:pPr>
        <w:keepNext/>
        <w:keepLines/>
        <w:spacing w:before="0" w:after="0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</w:pPr>
    </w:p>
    <w:p w:rsidR="00A77B3E">
      <w:pPr>
        <w:keepNext/>
        <w:spacing w:before="0" w:after="0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</w:pPr>
      <w:r>
        <w:rPr>
          <w:b w:val="0"/>
          <w:i w:val="0"/>
          <w:color w:val="000000"/>
          <w:u w:val="none"/>
          <w:vertAlign w:val="baseline"/>
        </w:rPr>
        <w:t> </w:t>
      </w:r>
    </w:p>
    <w:tbl>
      <w:tblPr>
        <w:tblW w:w="5000" w:type="pct"/>
        <w:tblCellMar>
          <w:top w:w="0" w:type="dxa"/>
          <w:left w:w="0" w:type="dxa"/>
          <w:bottom w:w="0" w:type="dxa"/>
          <w:right w:w="0" w:type="dxa"/>
        </w:tblCellMar>
      </w:tblPr>
      <w:tblGrid>
        <w:gridCol w:w="4933"/>
        <w:gridCol w:w="4933"/>
      </w:tblGrid>
      <w:tr>
        <w:tblPrEx>
          <w:tblW w:w="5000" w:type="pct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0" w:type="pct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hideMark/>
          </w:tcPr>
          <w:p>
            <w:pPr>
              <w:keepNext/>
              <w:keepLines/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</w:pPr>
          </w:p>
        </w:tc>
        <w:tc>
          <w:tcPr>
            <w:tcW w:w="2500" w:type="pct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hideMark/>
          </w:tcPr>
          <w:p>
            <w:pPr>
              <w:keepNext/>
              <w:keepLines/>
              <w:spacing w:before="560" w:after="560"/>
              <w:ind w:left="1134" w:right="1134" w:firstLine="0"/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t>Regionalny Dyrektor Ochrony Środowiska w Bydgoszczy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br/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br/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br/>
            </w:r>
            <w:r>
              <w:rPr>
                <w:b/>
                <w:i w:val="0"/>
              </w:rPr>
              <w:t>Szymon Kosmalski</w:t>
            </w:r>
          </w:p>
        </w:tc>
      </w:tr>
    </w:tbl>
    <w:p w:rsidR="00A77B3E">
      <w:pPr>
        <w:keepNext/>
        <w:spacing w:before="0" w:after="0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  <w:sectPr>
          <w:footerReference w:type="default" r:id="rId13"/>
          <w:endnotePr>
            <w:numFmt w:val="decimal"/>
          </w:endnotePr>
          <w:type w:val="nextPage"/>
          <w:pgSz w:w="11906" w:h="16838"/>
          <w:pgMar w:top="992" w:right="1020" w:bottom="992" w:left="1020" w:header="708" w:footer="708" w:gutter="0"/>
          <w:pgNumType w:start="1"/>
          <w:cols w:space="708"/>
          <w:docGrid w:linePitch="360"/>
        </w:sectPr>
      </w:pPr>
    </w:p>
    <w:p w:rsidR="00A77B3E">
      <w:pPr>
        <w:keepNext/>
        <w:spacing w:before="120" w:after="120" w:line="360" w:lineRule="auto"/>
        <w:ind w:left="3634" w:right="0" w:firstLine="0"/>
        <w:jc w:val="left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</w:pP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  <w:fldChar w:fldCharType="begin"/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  <w:fldChar w:fldCharType="separate"/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  <w:fldChar w:fldCharType="end"/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  <w:t>Załącznik Nr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  <w:t>7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  <w:t>do zarządzenia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  <w:br/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  <w:t>Regionalnego Dyrektora Ochrony Środowiska w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  <w:t>Bydgoszczy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  <w:br/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  <w:t>z dnia 12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  <w:t>września 2022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  <w:t>r.</w:t>
      </w:r>
    </w:p>
    <w:p w:rsidR="00A77B3E">
      <w:pPr>
        <w:keepNext/>
        <w:spacing w:before="0" w:after="480" w:line="240" w:lineRule="auto"/>
        <w:ind w:left="0" w:right="0" w:firstLine="0"/>
        <w:jc w:val="center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</w:pP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auto"/>
          <w:sz w:val="22"/>
          <w:u w:val="none"/>
          <w:vertAlign w:val="baseline"/>
        </w:rPr>
        <w:t>Działania ochronne na obszarze Natura 2000</w:t>
      </w: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auto"/>
          <w:sz w:val="22"/>
          <w:u w:val="none"/>
          <w:vertAlign w:val="baseline"/>
        </w:rPr>
        <w:t> </w:t>
      </w: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auto"/>
          <w:sz w:val="22"/>
          <w:u w:val="none"/>
          <w:vertAlign w:val="baseline"/>
        </w:rPr>
        <w:t>w</w:t>
      </w: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auto"/>
          <w:sz w:val="22"/>
          <w:u w:val="none"/>
          <w:vertAlign w:val="baseline"/>
        </w:rPr>
        <w:t> </w:t>
      </w: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auto"/>
          <w:sz w:val="22"/>
          <w:u w:val="none"/>
          <w:vertAlign w:val="baseline"/>
        </w:rPr>
        <w:t>części pokrywającej się z</w:t>
      </w: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auto"/>
          <w:sz w:val="22"/>
          <w:u w:val="none"/>
          <w:vertAlign w:val="baseline"/>
        </w:rPr>
        <w:t> </w:t>
      </w: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auto"/>
          <w:sz w:val="22"/>
          <w:u w:val="none"/>
          <w:vertAlign w:val="baseline"/>
        </w:rPr>
        <w:t>rezerwatem za wskazaniem podmiotów odpowiedzialnych za ich wykonanie i</w:t>
      </w: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auto"/>
          <w:sz w:val="22"/>
          <w:u w:val="none"/>
          <w:vertAlign w:val="baseline"/>
        </w:rPr>
        <w:t> </w:t>
      </w: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auto"/>
          <w:sz w:val="22"/>
          <w:u w:val="none"/>
          <w:vertAlign w:val="baseline"/>
        </w:rPr>
        <w:t>obszarów ich wdrażania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8" w:type="dxa"/>
          <w:right w:w="108" w:type="dxa"/>
        </w:tblCellMar>
      </w:tblPr>
      <w:tblGrid>
        <w:gridCol w:w="600"/>
        <w:gridCol w:w="1475"/>
        <w:gridCol w:w="4211"/>
        <w:gridCol w:w="1952"/>
        <w:gridCol w:w="1844"/>
      </w:tblGrid>
      <w:tr>
        <w:tblPrEx>
          <w:tblW w:w="5000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108" w:type="dxa"/>
            <w:right w:w="108" w:type="dxa"/>
          </w:tblCellMar>
        </w:tblPrEx>
        <w:trPr>
          <w:trHeight w:hRule="auto" w:val="0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b/>
                <w:sz w:val="22"/>
              </w:rPr>
              <w:t>Lp.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b/>
                <w:sz w:val="22"/>
              </w:rPr>
              <w:t>Przedmiot ochrony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b/>
                <w:sz w:val="22"/>
              </w:rPr>
              <w:t>Działania ochronne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spacing w:before="12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rFonts w:ascii="Times New Roman" w:eastAsia="Times New Roman" w:hAnsi="Times New Roman" w:cs="Times New Roman"/>
                <w:b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  <w:t>Obszar wdrażania</w:t>
            </w:r>
            <w:r>
              <w:rPr>
                <w:rStyle w:val="FootnoteReference"/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superscript"/>
              </w:rPr>
              <w:footnoteReference w:customMarkFollows="1" w:id="5"/>
              <w:t xml:space="preserve">1)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spacing w:before="12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/>
                <w:sz w:val="22"/>
              </w:rPr>
              <w:t>Podmiot odpowiedzialny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hRule="auto" w:val="0"/>
        </w:trPr>
        <w:tc>
          <w:tcPr>
            <w:tcW w:w="98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spacing w:before="12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Działania dotyczące ochrony czynnej siedlisk przyrodniczych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hRule="auto" w:val="0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spacing w:before="12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1.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spacing w:before="12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*91I0 Ciepłolubne dąbrowy                 (</w:t>
            </w:r>
            <w:r>
              <w:rPr>
                <w:i/>
                <w:sz w:val="22"/>
              </w:rPr>
              <w:t>Quercetalia pubescenti- petraeae</w:t>
            </w:r>
            <w:r>
              <w:rPr>
                <w:sz w:val="22"/>
              </w:rPr>
              <w:t>)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spacing w:before="12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 xml:space="preserve">Usuwanie nadmiaru warstwy podszytów zagrażających stanowiskom roślin kserotermicznych charakterystycznych dla ciepłolubnej dąbrowy. </w:t>
            </w:r>
          </w:p>
          <w:p>
            <w:pPr>
              <w:jc w:val="left"/>
            </w:pPr>
            <w:r>
              <w:rPr>
                <w:sz w:val="22"/>
              </w:rPr>
              <w:t>Działanie polega na redukcji podszytów do maksymalnego ich udziału 20% w biochorach świetlistej dąbrowy. Prace wykonywać co najmniej raz na 5 lat, w okresie jesienno-zimowym.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spacing w:before="12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oddz.: 572 c, d, g, i, j, 573 a, b, c, d, f, g, 576 a, b, 577 c</w:t>
            </w:r>
          </w:p>
        </w:tc>
        <w:tc>
          <w:tcPr>
            <w:tcW w:w="1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spacing w:before="12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Nadleśnictwo Bydgoszcz na podstawie porozumienia zawartego z Wojskowym Zarządem Infrastruktury w Poznaniu.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hRule="auto" w:val="0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spacing w:before="12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2.</w:t>
            </w: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spacing w:before="12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spacing w:before="12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 xml:space="preserve">Usuwanie mechaniczne inwazyjnych  gatunków roślin oraz ich odrośli m. in. czeremchy amerykańskiej </w:t>
            </w:r>
            <w:r>
              <w:rPr>
                <w:i/>
                <w:sz w:val="22"/>
              </w:rPr>
              <w:t>Padus serotina</w:t>
            </w:r>
            <w:r>
              <w:rPr>
                <w:sz w:val="22"/>
              </w:rPr>
              <w:t xml:space="preserve">. Stosowanie metod chemicznych polegających na naniesieniu bezpośrednio na powierzchnię cięcia przy zastosowaniu pędzla/mazacza preparatu chemicznego na przykład zawierającego glifosat (bez rozpylania preparatu). </w:t>
            </w:r>
          </w:p>
          <w:p>
            <w:pPr>
              <w:jc w:val="left"/>
            </w:pPr>
            <w:r>
              <w:rPr>
                <w:sz w:val="22"/>
              </w:rPr>
              <w:t>Prace rozpocząć w pierwszych latach kolejnego dziesięciolecia obowiązywania planu ochrony, w okresie jesienno -zimowym, a później wykonywać według potrzeb.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spacing w:before="12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 xml:space="preserve">Fitocenozy leśne </w:t>
            </w:r>
          </w:p>
          <w:p>
            <w:pPr>
              <w:jc w:val="center"/>
            </w:pPr>
            <w:r>
              <w:rPr>
                <w:sz w:val="22"/>
              </w:rPr>
              <w:t xml:space="preserve">zagrożone </w:t>
            </w:r>
          </w:p>
          <w:p>
            <w:pPr>
              <w:jc w:val="center"/>
            </w:pPr>
            <w:r>
              <w:rPr>
                <w:sz w:val="22"/>
              </w:rPr>
              <w:t xml:space="preserve">zniekształceniem </w:t>
            </w:r>
          </w:p>
          <w:p>
            <w:pPr>
              <w:jc w:val="center"/>
            </w:pPr>
            <w:r>
              <w:rPr>
                <w:sz w:val="22"/>
              </w:rPr>
              <w:t xml:space="preserve">na skutek </w:t>
            </w:r>
          </w:p>
          <w:p>
            <w:pPr>
              <w:jc w:val="center"/>
            </w:pPr>
            <w:r>
              <w:rPr>
                <w:sz w:val="22"/>
              </w:rPr>
              <w:t xml:space="preserve">ekspansji obcych </w:t>
            </w:r>
          </w:p>
          <w:p>
            <w:pPr>
              <w:jc w:val="center"/>
            </w:pPr>
            <w:r>
              <w:rPr>
                <w:sz w:val="22"/>
              </w:rPr>
              <w:t>gatunków roślin krzewiastych. Cały obszar rezerwatu przyrody</w:t>
            </w:r>
          </w:p>
        </w:tc>
        <w:tc>
          <w:tcPr>
            <w:tcW w:w="1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spacing w:before="12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hRule="auto" w:val="0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spacing w:before="12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3.</w:t>
            </w: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spacing w:before="12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spacing w:before="12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Zmniejszenie zwarcia podsadzeń dębowych w celu ich uodpornienia na czynniki abiotyczne.</w:t>
            </w:r>
          </w:p>
          <w:p>
            <w:pPr>
              <w:jc w:val="left"/>
            </w:pPr>
            <w:r>
              <w:rPr>
                <w:sz w:val="22"/>
              </w:rPr>
              <w:t>Przerzedzanie podsadzeń dębowych należy wykonać w okresie jesienno-zimowym raz na 5 lat.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spacing w:before="12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oddz.: 577 a, b</w:t>
            </w:r>
          </w:p>
        </w:tc>
        <w:tc>
          <w:tcPr>
            <w:tcW w:w="1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spacing w:before="12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hRule="auto" w:val="0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spacing w:before="12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4.</w:t>
            </w: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spacing w:before="12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spacing w:before="12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Zabezpieczanie siewek dębów naturalnego pochodzenia indywidualnie lub grupowo przed uszkodzeniami mechanicznymi (powodowanymi przez zwierzęta roślinożerne).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spacing w:before="12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Cały obszar rezerwatu przyrody, według potrzeb.</w:t>
            </w:r>
          </w:p>
        </w:tc>
        <w:tc>
          <w:tcPr>
            <w:tcW w:w="1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spacing w:before="12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hRule="auto" w:val="0"/>
        </w:trPr>
        <w:tc>
          <w:tcPr>
            <w:tcW w:w="98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spacing w:before="12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Działania dotyczące monitoringu stanu przedmiotów ochrony oraz monitoringu realizacji celów działań ochronnych.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hRule="auto" w:val="0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spacing w:before="12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spacing w:before="12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*91I0 Ciepłolubne dąbrowy                 (</w:t>
            </w:r>
            <w:r>
              <w:rPr>
                <w:i/>
                <w:sz w:val="22"/>
              </w:rPr>
              <w:t>Quercetalia pubescenti- petraeae</w:t>
            </w:r>
            <w:r>
              <w:rPr>
                <w:sz w:val="22"/>
              </w:rPr>
              <w:t>)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spacing w:before="12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Monitoring stanu siedliska przyrodniczego i realizacji celów działań ochronnych należy prowadzić minimum raz na 5 lat w oparciu o metodykę PMŚ GIOŚ.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spacing w:before="12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oddz.: 572 c, d, g, i, j, 573 a, b, c, d, f, g, 576 a, b, 577 a, b, c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spacing w:before="12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Regionalny Dyrektor Ochrony Środowiska w Bydgoszczy.</w:t>
            </w:r>
          </w:p>
        </w:tc>
      </w:tr>
    </w:tbl>
    <w:p w:rsidR="00A77B3E">
      <w:pPr>
        <w:keepNext/>
        <w:keepLines/>
        <w:spacing w:before="0" w:after="0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</w:pPr>
    </w:p>
    <w:p w:rsidR="00A77B3E">
      <w:pPr>
        <w:keepNext/>
        <w:keepLines/>
        <w:spacing w:before="0" w:after="0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</w:pPr>
    </w:p>
    <w:p w:rsidR="00A77B3E">
      <w:pPr>
        <w:keepNext/>
        <w:spacing w:before="0" w:after="0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</w:pPr>
      <w:r>
        <w:rPr>
          <w:b w:val="0"/>
          <w:i w:val="0"/>
          <w:color w:val="000000"/>
          <w:u w:val="none"/>
          <w:vertAlign w:val="baseline"/>
        </w:rPr>
        <w:t> </w:t>
      </w:r>
    </w:p>
    <w:tbl>
      <w:tblPr>
        <w:tblW w:w="5000" w:type="pct"/>
        <w:tblCellMar>
          <w:top w:w="0" w:type="dxa"/>
          <w:left w:w="0" w:type="dxa"/>
          <w:bottom w:w="0" w:type="dxa"/>
          <w:right w:w="0" w:type="dxa"/>
        </w:tblCellMar>
      </w:tblPr>
      <w:tblGrid>
        <w:gridCol w:w="4933"/>
        <w:gridCol w:w="4933"/>
      </w:tblGrid>
      <w:tr>
        <w:tblPrEx>
          <w:tblW w:w="5000" w:type="pct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0" w:type="pct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hideMark/>
          </w:tcPr>
          <w:p>
            <w:pPr>
              <w:keepNext/>
              <w:keepLines/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</w:pPr>
          </w:p>
        </w:tc>
        <w:tc>
          <w:tcPr>
            <w:tcW w:w="2500" w:type="pct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hideMark/>
          </w:tcPr>
          <w:p>
            <w:pPr>
              <w:keepNext/>
              <w:keepLines/>
              <w:spacing w:before="560" w:after="560"/>
              <w:ind w:left="1134" w:right="1134" w:firstLine="0"/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t>Regionalny Dyrektor Ochrony Środowiska w Bydgoszczy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br/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br/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br/>
            </w:r>
            <w:r>
              <w:rPr>
                <w:b/>
                <w:i w:val="0"/>
              </w:rPr>
              <w:t>Szymon Kosmalski</w:t>
            </w:r>
          </w:p>
        </w:tc>
      </w:tr>
    </w:tbl>
    <w:p w:rsidR="00A77B3E">
      <w:pPr>
        <w:keepNext/>
        <w:spacing w:before="0" w:after="0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  <w:sectPr>
          <w:footerReference w:type="default" r:id="rId14"/>
          <w:endnotePr>
            <w:numFmt w:val="decimal"/>
          </w:endnotePr>
          <w:type w:val="nextPage"/>
          <w:pgSz w:w="11906" w:h="16838"/>
          <w:pgMar w:top="992" w:right="1020" w:bottom="992" w:left="1020" w:header="708" w:footer="708" w:gutter="0"/>
          <w:pgNumType w:start="1"/>
          <w:cols w:space="708"/>
          <w:docGrid w:linePitch="360"/>
        </w:sectPr>
      </w:pP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contextualSpacing w:val="0"/>
        <w:jc w:val="left"/>
        <w:rPr>
          <w:color w:val="000000"/>
          <w:sz w:val="22"/>
          <w:szCs w:val="20"/>
          <w:shd w:val="clear" w:color="auto" w:fill="FFFFFF"/>
          <w:lang w:val="x-none" w:eastAsia="en-US" w:bidi="ar-SA"/>
        </w:rPr>
      </w:pP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360" w:lineRule="auto"/>
        <w:ind w:left="0" w:right="0" w:firstLine="0"/>
        <w:contextualSpacing w:val="0"/>
        <w:jc w:val="center"/>
        <w:rPr>
          <w:b/>
          <w:caps/>
          <w:color w:val="000000"/>
          <w:szCs w:val="20"/>
          <w:shd w:val="clear" w:color="auto" w:fill="FFFFFF"/>
          <w:lang w:val="x-none" w:eastAsia="en-US" w:bidi="ar-SA"/>
        </w:rPr>
      </w:pPr>
      <w:r>
        <w:rPr>
          <w:b/>
          <w:caps/>
          <w:color w:val="000000"/>
          <w:szCs w:val="20"/>
          <w:shd w:val="clear" w:color="auto" w:fill="FFFFFF"/>
          <w:lang w:val="x-none" w:eastAsia="en-US" w:bidi="ar-SA"/>
        </w:rPr>
        <w:t>uzasadnienie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360" w:lineRule="auto"/>
        <w:ind w:left="0" w:right="0" w:firstLine="0"/>
        <w:contextualSpacing w:val="0"/>
        <w:jc w:val="left"/>
        <w:rPr>
          <w:color w:val="000000"/>
          <w:szCs w:val="20"/>
          <w:shd w:val="clear" w:color="auto" w:fill="FFFFFF"/>
          <w:lang w:val="x-none" w:eastAsia="en-US" w:bidi="ar-SA"/>
        </w:rPr>
      </w:pP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360" w:lineRule="auto"/>
        <w:ind w:left="0" w:right="0" w:firstLine="708"/>
        <w:contextualSpacing w:val="0"/>
        <w:rPr>
          <w:color w:val="000000"/>
          <w:szCs w:val="20"/>
          <w:shd w:val="clear" w:color="auto" w:fill="FFFFFF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>Plan ochrony dla rezerwatu przyrody „</w:t>
      </w:r>
      <w:r>
        <w:rPr>
          <w:color w:val="000000"/>
          <w:szCs w:val="20"/>
          <w:shd w:val="clear" w:color="auto" w:fill="FFFFFF"/>
        </w:rPr>
        <w:t>Dziki Ostrów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” </w:t>
      </w:r>
      <w:r>
        <w:rPr>
          <w:color w:val="000000"/>
          <w:szCs w:val="20"/>
          <w:shd w:val="clear" w:color="auto" w:fill="FFFFFF"/>
        </w:rPr>
        <w:t xml:space="preserve">został ustanowiony zarządzeniem </w:t>
      </w:r>
      <w:r>
        <w:rPr>
          <w:color w:val="000000"/>
          <w:szCs w:val="20"/>
          <w:shd w:val="clear" w:color="auto" w:fill="FFFFFF"/>
        </w:rPr>
        <w:t xml:space="preserve">nr 3/0210/2011 Regionalnego Dyrektora Ochrony Środowiska w Bydgoszczy z dnia 5 grudnia 2011 r. w sprawie ustanowienia planu ochrony dla rezerwatu przyrody </w:t>
      </w:r>
      <w:r>
        <w:rPr>
          <w:color w:val="000000"/>
          <w:szCs w:val="20"/>
          <w:shd w:val="clear" w:color="auto" w:fill="FFFFFF"/>
          <w:lang w:val="x-none" w:eastAsia="en-US" w:bidi="ar-SA"/>
        </w:rPr>
        <w:t>„</w:t>
      </w:r>
      <w:r>
        <w:rPr>
          <w:color w:val="000000"/>
          <w:szCs w:val="20"/>
          <w:shd w:val="clear" w:color="auto" w:fill="FFFFFF"/>
        </w:rPr>
        <w:t>Dziki Ostrów</w:t>
      </w:r>
      <w:r>
        <w:rPr>
          <w:color w:val="000000"/>
          <w:szCs w:val="20"/>
          <w:shd w:val="clear" w:color="auto" w:fill="FFFFFF"/>
          <w:lang w:val="x-none" w:eastAsia="en-US" w:bidi="ar-SA"/>
        </w:rPr>
        <w:t>”</w:t>
      </w:r>
      <w:r>
        <w:rPr>
          <w:color w:val="000000"/>
          <w:szCs w:val="20"/>
          <w:shd w:val="clear" w:color="auto" w:fill="FFFFFF"/>
        </w:rPr>
        <w:t xml:space="preserve"> </w:t>
      </w:r>
      <w:r>
        <w:rPr>
          <w:color w:val="000000"/>
          <w:szCs w:val="20"/>
          <w:shd w:val="clear" w:color="auto" w:fill="FFFFFF"/>
          <w:lang w:val="x-none" w:eastAsia="en-US" w:bidi="ar-SA"/>
        </w:rPr>
        <w:t> (Dz. Urz. Woj. Kuj-Pom. nr 312, poz. 3397)</w:t>
      </w:r>
      <w:r>
        <w:rPr>
          <w:color w:val="000000"/>
          <w:szCs w:val="20"/>
          <w:shd w:val="clear" w:color="auto" w:fill="FFFFFF"/>
        </w:rPr>
        <w:t xml:space="preserve">. </w:t>
      </w:r>
    </w:p>
    <w:p>
      <w:pPr>
        <w:keepNext w:val="0"/>
        <w:keepLines w:val="0"/>
        <w:widowControl/>
        <w:suppressLineNumbers w:val="0"/>
        <w:shd w:val="clear" w:color="auto" w:fill="auto"/>
        <w:tabs>
          <w:tab w:val="left" w:pos="680"/>
          <w:tab w:val="left" w:pos="709"/>
        </w:tabs>
        <w:suppressAutoHyphens w:val="0"/>
        <w:spacing w:before="0" w:beforeAutospacing="0" w:after="0" w:afterAutospacing="0" w:line="360" w:lineRule="auto"/>
        <w:ind w:left="0" w:right="0" w:firstLine="0"/>
        <w:contextualSpacing w:val="0"/>
        <w:rPr>
          <w:color w:val="000000"/>
          <w:szCs w:val="20"/>
          <w:shd w:val="clear" w:color="auto" w:fill="FFFFFF"/>
        </w:rPr>
      </w:pPr>
      <w:r>
        <w:rPr>
          <w:color w:val="000000"/>
          <w:szCs w:val="20"/>
          <w:shd w:val="clear" w:color="auto" w:fill="FFFFFF"/>
        </w:rPr>
        <w:tab/>
      </w:r>
      <w:r>
        <w:rPr>
          <w:color w:val="000000"/>
          <w:szCs w:val="20"/>
          <w:shd w:val="clear" w:color="auto" w:fill="FFFFFF"/>
        </w:rPr>
        <w:t xml:space="preserve">Obszar powyższego rezerwatu przyrody pokrywa się z obszarem </w:t>
      </w:r>
      <w:r>
        <w:rPr>
          <w:color w:val="000000"/>
          <w:szCs w:val="20"/>
          <w:shd w:val="clear" w:color="auto" w:fill="FFFFFF"/>
        </w:rPr>
        <w:t>Natura 2000 Dziki Ostrów PLH040045</w:t>
      </w:r>
      <w:r>
        <w:rPr>
          <w:color w:val="000000"/>
          <w:szCs w:val="20"/>
          <w:shd w:val="clear" w:color="auto" w:fill="FFFFFF"/>
        </w:rPr>
        <w:t xml:space="preserve">, zatwierdzonym decyzją wykonawczą Komisji Europejskiej </w:t>
      </w:r>
      <w:r>
        <w:rPr>
          <w:color w:val="000000"/>
          <w:szCs w:val="20"/>
          <w:shd w:val="clear" w:color="auto" w:fill="FFFFFF"/>
          <w:lang w:val="x-none" w:eastAsia="en-US" w:bidi="ar-SA"/>
        </w:rPr>
        <w:t>(UE) 2021/161</w:t>
      </w:r>
      <w:r>
        <w:rPr>
          <w:color w:val="000000"/>
          <w:szCs w:val="20"/>
          <w:shd w:val="clear" w:color="auto" w:fill="FFFFFF"/>
        </w:rPr>
        <w:t xml:space="preserve"> z dnia 21 stycznia 2021 r. w sprawie przyjęcia czternastego zaktualizowanego wykazu terenów mających znaczenie dla Wspólnoty składających się na kontynentalny region biogeograficzny </w:t>
      </w:r>
      <w:r>
        <w:rPr>
          <w:color w:val="000000"/>
          <w:szCs w:val="20"/>
          <w:shd w:val="clear" w:color="auto" w:fill="FFFFFF"/>
          <w:lang w:val="x-none" w:eastAsia="en-US" w:bidi="ar-SA"/>
        </w:rPr>
        <w:t>(notyfikowan</w:t>
      </w:r>
      <w:r>
        <w:rPr>
          <w:color w:val="000000"/>
          <w:szCs w:val="20"/>
          <w:shd w:val="clear" w:color="auto" w:fill="FFFFFF"/>
        </w:rPr>
        <w:t>ą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jako dokument nr C(2021) 21)</w:t>
      </w:r>
      <w:r>
        <w:rPr>
          <w:color w:val="000000"/>
          <w:szCs w:val="20"/>
          <w:shd w:val="clear" w:color="auto" w:fill="FFFFFF"/>
        </w:rPr>
        <w:t>; (</w:t>
      </w:r>
      <w:r>
        <w:rPr>
          <w:color w:val="000000"/>
          <w:szCs w:val="20"/>
          <w:shd w:val="clear" w:color="auto" w:fill="FFFFFF"/>
        </w:rPr>
        <w:t>Dz. U. UE L 51/330 z dnia 15 lutego 2021 r.).</w:t>
      </w:r>
    </w:p>
    <w:p>
      <w:pPr>
        <w:keepNext w:val="0"/>
        <w:keepLines w:val="0"/>
        <w:widowControl/>
        <w:suppressLineNumbers w:val="0"/>
        <w:shd w:val="clear" w:color="auto" w:fill="auto"/>
        <w:tabs>
          <w:tab w:val="left" w:pos="680"/>
          <w:tab w:val="left" w:pos="709"/>
        </w:tabs>
        <w:suppressAutoHyphens w:val="0"/>
        <w:spacing w:before="0" w:beforeAutospacing="0" w:after="0" w:afterAutospacing="0" w:line="360" w:lineRule="auto"/>
        <w:ind w:left="0" w:right="0" w:firstLine="0"/>
        <w:contextualSpacing w:val="0"/>
        <w:rPr>
          <w:color w:val="000000"/>
          <w:szCs w:val="20"/>
          <w:shd w:val="clear" w:color="auto" w:fill="FFFFFF"/>
        </w:rPr>
      </w:pPr>
      <w:r>
        <w:rPr>
          <w:color w:val="000000"/>
          <w:szCs w:val="20"/>
        </w:rPr>
        <w:tab/>
        <w:t xml:space="preserve">Plan ochrony dla rezerwatu przyrody </w:t>
      </w:r>
      <w:r>
        <w:rPr>
          <w:color w:val="000000"/>
          <w:szCs w:val="20"/>
          <w:shd w:val="clear" w:color="auto" w:fill="FFFFFF"/>
          <w:lang w:val="x-none" w:eastAsia="en-US" w:bidi="ar-SA"/>
        </w:rPr>
        <w:t>„</w:t>
      </w:r>
      <w:r>
        <w:rPr>
          <w:color w:val="000000"/>
          <w:szCs w:val="20"/>
          <w:shd w:val="clear" w:color="auto" w:fill="FFFFFF"/>
        </w:rPr>
        <w:t>Dziki Ostrów</w:t>
      </w:r>
      <w:r>
        <w:rPr>
          <w:color w:val="000000"/>
          <w:szCs w:val="20"/>
          <w:shd w:val="clear" w:color="auto" w:fill="FFFFFF"/>
          <w:lang w:val="x-none" w:eastAsia="en-US" w:bidi="ar-SA"/>
        </w:rPr>
        <w:t>”</w:t>
      </w:r>
      <w:r>
        <w:rPr>
          <w:color w:val="000000"/>
          <w:szCs w:val="20"/>
        </w:rPr>
        <w:t xml:space="preserve"> jest zgodny z celami ochrony obszaru Natura 2000 </w:t>
      </w:r>
      <w:r>
        <w:rPr>
          <w:color w:val="000000"/>
          <w:szCs w:val="20"/>
          <w:shd w:val="clear" w:color="auto" w:fill="FFFFFF"/>
        </w:rPr>
        <w:t>Dziki Ostrów PLH040045 i w niniejszym zarządzeniu zmieniającym plan ochrony uwzględniono zakres planu zadań ochronnych dla obszaru Natura 2000 określony w art. 28 ustawy o ochronie przyrody.</w:t>
      </w:r>
    </w:p>
    <w:p>
      <w:pPr>
        <w:keepNext w:val="0"/>
        <w:keepLines w:val="0"/>
        <w:widowControl/>
        <w:suppressLineNumbers w:val="0"/>
        <w:shd w:val="clear" w:color="auto" w:fill="auto"/>
        <w:tabs>
          <w:tab w:val="left" w:pos="680"/>
          <w:tab w:val="left" w:pos="709"/>
        </w:tabs>
        <w:suppressAutoHyphens w:val="0"/>
        <w:spacing w:before="0" w:beforeAutospacing="0" w:after="0" w:afterAutospacing="0" w:line="360" w:lineRule="auto"/>
        <w:ind w:left="0" w:right="0" w:firstLine="0"/>
        <w:contextualSpacing w:val="0"/>
        <w:rPr>
          <w:color w:val="000000"/>
          <w:szCs w:val="20"/>
          <w:shd w:val="clear" w:color="auto" w:fill="FFFFFF"/>
        </w:rPr>
      </w:pPr>
      <w:r>
        <w:rPr>
          <w:color w:val="000000"/>
          <w:szCs w:val="20"/>
          <w:shd w:val="clear" w:color="auto" w:fill="FFFFFF"/>
        </w:rPr>
        <w:t xml:space="preserve">Celem ochrony obszaru Natura 2000 na terenie rezerwatu jest zachowanie siedliska przyrodniczego, dla którego ochrony wyznaczono obszar Natura 2000, tj. </w:t>
      </w:r>
      <w:r>
        <w:rPr>
          <w:color w:val="000000"/>
          <w:szCs w:val="20"/>
          <w:shd w:val="clear" w:color="auto" w:fill="FFFFFF"/>
          <w:lang w:val="x-none" w:eastAsia="en-US" w:bidi="ar-SA"/>
        </w:rPr>
        <w:t>*91I0 Ciepłolubne dąbrowy</w:t>
      </w:r>
      <w:r>
        <w:rPr>
          <w:color w:val="000000"/>
          <w:szCs w:val="20"/>
          <w:shd w:val="clear" w:color="auto" w:fill="FFFFFF"/>
        </w:rPr>
        <w:t xml:space="preserve"> </w:t>
      </w:r>
      <w:r>
        <w:rPr>
          <w:i/>
          <w:color w:val="000000"/>
          <w:szCs w:val="20"/>
          <w:shd w:val="clear" w:color="auto" w:fill="FFFFFF"/>
          <w:lang w:val="x-none" w:eastAsia="en-US" w:bidi="ar-SA"/>
        </w:rPr>
        <w:t>Quercetalia pubescenti</w:t>
      </w:r>
      <w:r>
        <w:rPr>
          <w:i/>
          <w:color w:val="000000"/>
          <w:szCs w:val="20"/>
          <w:shd w:val="clear" w:color="auto" w:fill="FFFFFF"/>
        </w:rPr>
        <w:t>-</w:t>
      </w:r>
      <w:r>
        <w:rPr>
          <w:i/>
          <w:color w:val="000000"/>
          <w:szCs w:val="20"/>
          <w:shd w:val="clear" w:color="auto" w:fill="FFFFFF"/>
          <w:lang w:val="x-none" w:eastAsia="en-US" w:bidi="ar-SA"/>
        </w:rPr>
        <w:t>petraeae</w:t>
      </w:r>
      <w:r>
        <w:rPr>
          <w:color w:val="000000"/>
          <w:szCs w:val="20"/>
          <w:shd w:val="clear" w:color="auto" w:fill="FFFFFF"/>
        </w:rPr>
        <w:t>, na powierzchni 44 ha oraz utrzymanie jego wskaźników na odpowiednim poziomie.</w:t>
      </w:r>
    </w:p>
    <w:p>
      <w:pPr>
        <w:keepNext w:val="0"/>
        <w:keepLines w:val="0"/>
        <w:widowControl/>
        <w:suppressLineNumbers w:val="0"/>
        <w:shd w:val="clear" w:color="auto" w:fill="auto"/>
        <w:tabs>
          <w:tab w:val="left" w:pos="680"/>
          <w:tab w:val="left" w:pos="709"/>
        </w:tabs>
        <w:suppressAutoHyphens w:val="0"/>
        <w:spacing w:before="0" w:beforeAutospacing="0" w:after="0" w:afterAutospacing="0" w:line="360" w:lineRule="auto"/>
        <w:ind w:left="0" w:right="0" w:firstLine="0"/>
        <w:contextualSpacing w:val="0"/>
        <w:rPr>
          <w:color w:val="000000"/>
          <w:szCs w:val="20"/>
          <w:shd w:val="clear" w:color="auto" w:fill="FFFFFF"/>
        </w:rPr>
      </w:pPr>
      <w:r>
        <w:rPr>
          <w:color w:val="000000"/>
          <w:szCs w:val="20"/>
          <w:shd w:val="clear" w:color="auto" w:fill="FFFFFF"/>
        </w:rPr>
        <w:tab/>
      </w:r>
      <w:r>
        <w:rPr>
          <w:color w:val="000000"/>
          <w:szCs w:val="20"/>
          <w:shd w:val="clear" w:color="auto" w:fill="FFFFFF"/>
        </w:rPr>
        <w:t xml:space="preserve">Działania dotyczące ochrony czynnej siedliska przyrodniczego 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*91I0 Ciepłolubne dąbrowy </w:t>
      </w:r>
      <w:r>
        <w:rPr>
          <w:i/>
          <w:color w:val="000000"/>
          <w:szCs w:val="20"/>
          <w:shd w:val="clear" w:color="auto" w:fill="FFFFFF"/>
          <w:lang w:val="x-none" w:eastAsia="en-US" w:bidi="ar-SA"/>
        </w:rPr>
        <w:t>Quercetalia pubescenti</w:t>
      </w:r>
      <w:r>
        <w:rPr>
          <w:i/>
          <w:color w:val="000000"/>
          <w:szCs w:val="20"/>
          <w:shd w:val="clear" w:color="auto" w:fill="FFFFFF"/>
        </w:rPr>
        <w:t>-</w:t>
      </w:r>
      <w:r>
        <w:rPr>
          <w:i/>
          <w:color w:val="000000"/>
          <w:szCs w:val="20"/>
          <w:shd w:val="clear" w:color="auto" w:fill="FFFFFF"/>
          <w:lang w:val="x-none" w:eastAsia="en-US" w:bidi="ar-SA"/>
        </w:rPr>
        <w:t>petraeae</w:t>
      </w:r>
      <w:r>
        <w:rPr>
          <w:color w:val="000000"/>
          <w:szCs w:val="20"/>
          <w:shd w:val="clear" w:color="auto" w:fill="FFFFFF"/>
        </w:rPr>
        <w:t>,</w:t>
      </w:r>
      <w:r>
        <w:rPr>
          <w:i/>
          <w:color w:val="000000"/>
          <w:szCs w:val="20"/>
          <w:shd w:val="clear" w:color="auto" w:fill="FFFFFF"/>
        </w:rPr>
        <w:t xml:space="preserve"> </w:t>
      </w:r>
      <w:r>
        <w:rPr>
          <w:color w:val="000000"/>
          <w:szCs w:val="20"/>
          <w:shd w:val="clear" w:color="auto" w:fill="FFFFFF"/>
          <w:lang w:val="x-none" w:eastAsia="en-US" w:bidi="ar-SA"/>
        </w:rPr>
        <w:t>na obszarze Natura 2000 w części pokrywającej się z rezerwatem</w:t>
      </w:r>
      <w:r>
        <w:rPr>
          <w:color w:val="000000"/>
          <w:szCs w:val="20"/>
          <w:shd w:val="clear" w:color="auto" w:fill="FFFFFF"/>
        </w:rPr>
        <w:t>,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</w:t>
      </w:r>
      <w:r>
        <w:rPr>
          <w:color w:val="000000"/>
          <w:szCs w:val="20"/>
          <w:shd w:val="clear" w:color="auto" w:fill="FFFFFF"/>
        </w:rPr>
        <w:t>polegać będą na:</w:t>
      </w:r>
    </w:p>
    <w:p>
      <w:pPr>
        <w:keepNext w:val="0"/>
        <w:keepLines w:val="0"/>
        <w:widowControl/>
        <w:suppressLineNumbers w:val="0"/>
        <w:shd w:val="clear" w:color="auto" w:fill="auto"/>
        <w:tabs>
          <w:tab w:val="left" w:pos="680"/>
          <w:tab w:val="left" w:pos="709"/>
        </w:tabs>
        <w:suppressAutoHyphens w:val="0"/>
        <w:spacing w:before="0" w:beforeAutospacing="0" w:after="0" w:afterAutospacing="0" w:line="360" w:lineRule="auto"/>
        <w:ind w:left="0" w:right="0" w:firstLine="0"/>
        <w:contextualSpacing w:val="0"/>
        <w:rPr>
          <w:color w:val="000000"/>
          <w:szCs w:val="20"/>
          <w:shd w:val="clear" w:color="auto" w:fill="FFFFFF"/>
        </w:rPr>
      </w:pPr>
      <w:r>
        <w:rPr>
          <w:color w:val="000000"/>
          <w:szCs w:val="20"/>
          <w:shd w:val="clear" w:color="auto" w:fill="FFFFFF"/>
        </w:rPr>
        <w:t>1) usuwaniu nadmiaru warstwy podszytów zagrażających stanowiskom roślin kserotermicznych charakterystycznych dla ciepłolubnej dąbrowy;</w:t>
      </w:r>
    </w:p>
    <w:p>
      <w:pPr>
        <w:keepNext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360" w:lineRule="auto"/>
        <w:ind w:left="0" w:right="0" w:firstLine="0"/>
        <w:contextualSpacing w:val="0"/>
        <w:rPr>
          <w:color w:val="000000"/>
          <w:szCs w:val="20"/>
          <w:shd w:val="clear" w:color="auto" w:fill="FFFFFF"/>
        </w:rPr>
      </w:pPr>
      <w:r>
        <w:rPr>
          <w:color w:val="000000"/>
          <w:szCs w:val="20"/>
          <w:shd w:val="clear" w:color="auto" w:fill="FFFFFF"/>
        </w:rPr>
        <w:t>2) u</w:t>
      </w:r>
      <w:r>
        <w:rPr>
          <w:szCs w:val="20"/>
          <w:shd w:val="clear" w:color="auto" w:fill="FFFFFF"/>
          <w:lang w:val="x-none" w:eastAsia="en-US" w:bidi="ar-SA"/>
        </w:rPr>
        <w:t>suwani</w:t>
      </w:r>
      <w:r>
        <w:rPr>
          <w:szCs w:val="20"/>
          <w:shd w:val="clear" w:color="auto" w:fill="FFFFFF"/>
        </w:rPr>
        <w:t>u</w:t>
      </w:r>
      <w:r>
        <w:rPr>
          <w:szCs w:val="20"/>
          <w:shd w:val="clear" w:color="auto" w:fill="FFFFFF"/>
          <w:lang w:val="x-none" w:eastAsia="en-US" w:bidi="ar-SA"/>
        </w:rPr>
        <w:t xml:space="preserve"> </w:t>
      </w:r>
      <w:r>
        <w:rPr>
          <w:szCs w:val="20"/>
          <w:shd w:val="clear" w:color="auto" w:fill="FFFFFF"/>
        </w:rPr>
        <w:t xml:space="preserve">mechanicznym </w:t>
      </w:r>
      <w:r>
        <w:rPr>
          <w:szCs w:val="20"/>
          <w:shd w:val="clear" w:color="auto" w:fill="FFFFFF"/>
          <w:lang w:val="x-none" w:eastAsia="en-US" w:bidi="ar-SA"/>
        </w:rPr>
        <w:t xml:space="preserve">inwazyjnych </w:t>
      </w:r>
      <w:r>
        <w:rPr>
          <w:szCs w:val="20"/>
          <w:shd w:val="clear" w:color="auto" w:fill="FFFFFF"/>
        </w:rPr>
        <w:t xml:space="preserve"> </w:t>
      </w:r>
      <w:r>
        <w:rPr>
          <w:szCs w:val="20"/>
          <w:shd w:val="clear" w:color="auto" w:fill="FFFFFF"/>
          <w:lang w:val="x-none" w:eastAsia="en-US" w:bidi="ar-SA"/>
        </w:rPr>
        <w:t xml:space="preserve">gatunków roślin oraz ich odrośli m. in. czeremchy amerykańskiej </w:t>
      </w:r>
      <w:r>
        <w:rPr>
          <w:i/>
          <w:szCs w:val="20"/>
          <w:shd w:val="clear" w:color="auto" w:fill="FFFFFF"/>
          <w:lang w:val="x-none" w:eastAsia="en-US" w:bidi="ar-SA"/>
        </w:rPr>
        <w:t>Padus serotina</w:t>
      </w:r>
      <w:r>
        <w:rPr>
          <w:szCs w:val="20"/>
          <w:shd w:val="clear" w:color="auto" w:fill="FFFFFF"/>
        </w:rPr>
        <w:t>, s</w:t>
      </w:r>
      <w:r>
        <w:rPr>
          <w:color w:val="000000"/>
          <w:szCs w:val="20"/>
          <w:shd w:val="clear" w:color="auto" w:fill="FFFFFF"/>
        </w:rPr>
        <w:t>tosowaniu metod chemicznych polegających na naniesieniu bezpośrednio na powierzchnię cięcia przy zastosowaniu pędzla/mazacza preparatu chemicznego na przykład zawierającego glifosat (bez rozpylania preparatu);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360" w:lineRule="auto"/>
        <w:ind w:left="0" w:right="0" w:firstLine="0"/>
        <w:contextualSpacing w:val="0"/>
        <w:rPr>
          <w:color w:val="000000"/>
          <w:szCs w:val="20"/>
          <w:shd w:val="clear" w:color="auto" w:fill="FFFFFF"/>
        </w:rPr>
      </w:pPr>
      <w:r>
        <w:rPr>
          <w:color w:val="000000"/>
          <w:szCs w:val="20"/>
          <w:shd w:val="clear" w:color="auto" w:fill="FFFFFF"/>
        </w:rPr>
        <w:t>3) zmniejszaniu zwarcia podsadzeń dębowych w celu ich uodpornienia na czynniki abiotyczne;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360" w:lineRule="auto"/>
        <w:ind w:left="0" w:right="0" w:firstLine="0"/>
        <w:contextualSpacing w:val="0"/>
        <w:rPr>
          <w:color w:val="000000"/>
          <w:szCs w:val="20"/>
          <w:shd w:val="clear" w:color="auto" w:fill="FFFFFF"/>
        </w:rPr>
      </w:pPr>
      <w:r>
        <w:rPr>
          <w:color w:val="000000"/>
          <w:szCs w:val="20"/>
          <w:shd w:val="clear" w:color="auto" w:fill="FFFFFF"/>
        </w:rPr>
        <w:t>4) z</w:t>
      </w:r>
      <w:r>
        <w:rPr>
          <w:color w:val="000000"/>
          <w:szCs w:val="20"/>
          <w:shd w:val="clear" w:color="auto" w:fill="FFFFFF"/>
          <w:lang w:val="x-none" w:eastAsia="en-US" w:bidi="ar-SA"/>
        </w:rPr>
        <w:t>abezpieczani</w:t>
      </w:r>
      <w:r>
        <w:rPr>
          <w:color w:val="000000"/>
          <w:szCs w:val="20"/>
          <w:shd w:val="clear" w:color="auto" w:fill="FFFFFF"/>
        </w:rPr>
        <w:t>u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</w:t>
      </w:r>
      <w:r>
        <w:rPr>
          <w:color w:val="000000"/>
          <w:szCs w:val="20"/>
          <w:shd w:val="clear" w:color="auto" w:fill="FFFFFF"/>
        </w:rPr>
        <w:t>siewek dębów naturalnego pochodzenia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indywidualnie lub grupowo przed uszkodzeniami mechanicznymi</w:t>
      </w:r>
      <w:r>
        <w:rPr>
          <w:color w:val="000000"/>
          <w:szCs w:val="20"/>
          <w:shd w:val="clear" w:color="auto" w:fill="FFFFFF"/>
        </w:rPr>
        <w:t xml:space="preserve"> (powodowanymi przez zwierzęta roślinożerne).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360" w:lineRule="auto"/>
        <w:ind w:left="0" w:right="0" w:firstLine="0"/>
        <w:contextualSpacing w:val="0"/>
        <w:rPr>
          <w:color w:val="000000"/>
          <w:szCs w:val="20"/>
          <w:shd w:val="clear" w:color="auto" w:fill="FFFFFF"/>
        </w:rPr>
      </w:pPr>
      <w:r>
        <w:rPr>
          <w:color w:val="000000"/>
          <w:szCs w:val="20"/>
          <w:shd w:val="clear" w:color="auto" w:fill="FFFFFF"/>
        </w:rPr>
        <w:t xml:space="preserve">Podmiotem odpowiedzialnym za realizację powyższych działań jest </w:t>
      </w:r>
      <w:r>
        <w:rPr>
          <w:color w:val="000000"/>
          <w:szCs w:val="20"/>
          <w:shd w:val="clear" w:color="auto" w:fill="FFFFFF"/>
          <w:lang w:val="x-none" w:eastAsia="en-US" w:bidi="ar-SA"/>
        </w:rPr>
        <w:t>Nadleśnictwo Bydgoszcz na podstawie porozumienia zawartego z Wojskowym Zarządem Infrastruktury w Poznaniu</w:t>
      </w:r>
      <w:r>
        <w:rPr>
          <w:color w:val="000000"/>
          <w:szCs w:val="20"/>
          <w:shd w:val="clear" w:color="auto" w:fill="FFFFFF"/>
        </w:rPr>
        <w:t xml:space="preserve">. Jednocześnie zaplanowane zostało działanie polegające na monitoringu stanu siedliska przyrodniczego 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*91I0 Ciepłolubne dąbrowy </w:t>
      </w:r>
      <w:r>
        <w:rPr>
          <w:i/>
          <w:color w:val="000000"/>
          <w:szCs w:val="20"/>
          <w:shd w:val="clear" w:color="auto" w:fill="FFFFFF"/>
          <w:lang w:val="x-none" w:eastAsia="en-US" w:bidi="ar-SA"/>
        </w:rPr>
        <w:t>Quercetalia pubescenti</w:t>
      </w:r>
      <w:r>
        <w:rPr>
          <w:i/>
          <w:color w:val="000000"/>
          <w:szCs w:val="20"/>
          <w:shd w:val="clear" w:color="auto" w:fill="FFFFFF"/>
        </w:rPr>
        <w:t>-</w:t>
      </w:r>
      <w:r>
        <w:rPr>
          <w:i/>
          <w:color w:val="000000"/>
          <w:szCs w:val="20"/>
          <w:shd w:val="clear" w:color="auto" w:fill="FFFFFF"/>
          <w:lang w:val="x-none" w:eastAsia="en-US" w:bidi="ar-SA"/>
        </w:rPr>
        <w:t>petraeae</w:t>
      </w:r>
      <w:r>
        <w:rPr>
          <w:i/>
          <w:color w:val="000000"/>
          <w:szCs w:val="20"/>
          <w:shd w:val="clear" w:color="auto" w:fill="FFFFFF"/>
        </w:rPr>
        <w:t xml:space="preserve"> </w:t>
      </w:r>
      <w:r>
        <w:rPr>
          <w:color w:val="000000"/>
          <w:szCs w:val="20"/>
          <w:shd w:val="clear" w:color="auto" w:fill="FFFFFF"/>
        </w:rPr>
        <w:t>oraz monitoringu realizacji celów działań ochronnych,</w:t>
      </w:r>
      <w:r>
        <w:rPr>
          <w:color w:val="000000"/>
          <w:szCs w:val="20"/>
          <w:shd w:val="clear" w:color="auto" w:fill="FFFFFF"/>
        </w:rPr>
        <w:t xml:space="preserve"> które należy prowadzić minimum raz na 5 lat w oparciu o metodykę PMŚ GIOŚ. Podmiotem odpowiedzialnym za realizację tego działania jest Regionalny Dyrektor Ochrony Środowiska w Bydgoszczy.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360" w:lineRule="auto"/>
        <w:ind w:left="0" w:right="0" w:firstLine="720"/>
        <w:contextualSpacing w:val="0"/>
        <w:rPr>
          <w:color w:val="000000"/>
          <w:szCs w:val="20"/>
          <w:shd w:val="clear" w:color="auto" w:fill="FFFFFF"/>
        </w:rPr>
      </w:pPr>
      <w:r>
        <w:rPr>
          <w:color w:val="000000"/>
          <w:szCs w:val="20"/>
          <w:shd w:val="clear" w:color="auto" w:fill="FFFFFF"/>
        </w:rPr>
        <w:t xml:space="preserve">Obszar wdrażania działań ochronnych został określony na podstawie wyników „Inwentaryzacji przyrodniczej rezerwatu przyrody Dziki Ostrów z zakresu siedliska przyrodniczego 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*91I0 Ciepłolubne dąbrowy </w:t>
      </w:r>
      <w:r>
        <w:rPr>
          <w:i/>
          <w:color w:val="000000"/>
          <w:szCs w:val="20"/>
          <w:shd w:val="clear" w:color="auto" w:fill="FFFFFF"/>
          <w:lang w:val="x-none" w:eastAsia="en-US" w:bidi="ar-SA"/>
        </w:rPr>
        <w:t>Quercetalia pubescenti</w:t>
      </w:r>
      <w:r>
        <w:rPr>
          <w:i/>
          <w:color w:val="000000"/>
          <w:szCs w:val="20"/>
          <w:shd w:val="clear" w:color="auto" w:fill="FFFFFF"/>
        </w:rPr>
        <w:t>-</w:t>
      </w:r>
      <w:r>
        <w:rPr>
          <w:i/>
          <w:color w:val="000000"/>
          <w:szCs w:val="20"/>
          <w:shd w:val="clear" w:color="auto" w:fill="FFFFFF"/>
          <w:lang w:val="x-none" w:eastAsia="en-US" w:bidi="ar-SA"/>
        </w:rPr>
        <w:t>petraeae</w:t>
      </w:r>
      <w:r>
        <w:rPr>
          <w:color w:val="000000"/>
          <w:szCs w:val="20"/>
          <w:shd w:val="clear" w:color="auto" w:fill="FFFFFF"/>
          <w:lang w:val="x-none" w:eastAsia="en-US" w:bidi="ar-SA"/>
        </w:rPr>
        <w:t>”</w:t>
      </w:r>
      <w:r>
        <w:rPr>
          <w:color w:val="000000"/>
          <w:szCs w:val="20"/>
          <w:shd w:val="clear" w:color="auto" w:fill="FFFFFF"/>
        </w:rPr>
        <w:t xml:space="preserve"> wykonanej przez Biuro Badań, Monitoringu i Ochrony Przyrody „EcoFalk” Michał Falkowski, 2018 r. Powyższa dokumentacja powstała w związku z wykonaniem kompensacji przyrodniczej w ramach inwestycji pn. „APS - Wojskowy Kompleks Magazynowy i Naprawczy wraz z bocznicą kolejową i infrastrukturą towarzysząca w 33 Bazie Lotnictwa transportowego w Powidzu” mogącej znacząco negatywnie oddziaływać na cele ochrony obszaru Natura 2000 Pojezierze Gnieźnieńskie PLH300026, zgodnie z decyzją Regionalnego Dyrektora Ochrony Środowiska w Poznaniu z dnia 22 sierpnia 2018 r., znak: WPN-I.6332.1.2018.JD.5.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360" w:lineRule="auto"/>
        <w:ind w:left="0" w:right="0" w:firstLine="720"/>
        <w:contextualSpacing w:val="0"/>
        <w:rPr>
          <w:color w:val="000000"/>
          <w:szCs w:val="20"/>
          <w:shd w:val="clear" w:color="auto" w:fill="FFFFFF"/>
        </w:rPr>
      </w:pPr>
      <w:r>
        <w:rPr>
          <w:color w:val="000000"/>
          <w:szCs w:val="20"/>
          <w:shd w:val="clear" w:color="auto" w:fill="FFFFFF"/>
        </w:rPr>
        <w:t xml:space="preserve">Mając na względzie wyniki powyższej dokumentacji poprawiono również obszar wdrażania działań ochronnych na terenie rezerwatu przyrody, to znaczy w załączniku nr 2 niniejszego zarządzenia zweryfikowano oddziały, na których planowane są działania ochronne na siedlisku przyrodniczym 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*91I0 Ciepłolubne dąbrowy </w:t>
      </w:r>
      <w:r>
        <w:rPr>
          <w:i/>
          <w:color w:val="000000"/>
          <w:szCs w:val="20"/>
          <w:shd w:val="clear" w:color="auto" w:fill="FFFFFF"/>
          <w:lang w:val="x-none" w:eastAsia="en-US" w:bidi="ar-SA"/>
        </w:rPr>
        <w:t>Quercetalia pubescenti</w:t>
      </w:r>
      <w:r>
        <w:rPr>
          <w:i/>
          <w:color w:val="000000"/>
          <w:szCs w:val="20"/>
          <w:shd w:val="clear" w:color="auto" w:fill="FFFFFF"/>
        </w:rPr>
        <w:t>-</w:t>
      </w:r>
      <w:r>
        <w:rPr>
          <w:i/>
          <w:color w:val="000000"/>
          <w:szCs w:val="20"/>
          <w:shd w:val="clear" w:color="auto" w:fill="FFFFFF"/>
          <w:lang w:val="x-none" w:eastAsia="en-US" w:bidi="ar-SA"/>
        </w:rPr>
        <w:t>petraeae</w:t>
      </w:r>
      <w:r>
        <w:rPr>
          <w:color w:val="000000"/>
          <w:szCs w:val="20"/>
          <w:shd w:val="clear" w:color="auto" w:fill="FFFFFF"/>
        </w:rPr>
        <w:t xml:space="preserve">. Ponadto w załącznikach nr 1, 2, 7 niniejszego zarządzenia na wniosek Nadleśnictwa Bydgoszcz z dnia 18 listopada 2021 r., znak ZG.7212.7.2021, dopuszczono możliwość stosowania metod chemicznych usuwania </w:t>
      </w:r>
      <w:r>
        <w:rPr>
          <w:szCs w:val="20"/>
          <w:shd w:val="clear" w:color="auto" w:fill="FFFFFF"/>
          <w:lang w:val="x-none" w:eastAsia="en-US" w:bidi="ar-SA"/>
        </w:rPr>
        <w:t xml:space="preserve">czeremchy amerykańskiej </w:t>
      </w:r>
      <w:r>
        <w:rPr>
          <w:i/>
          <w:szCs w:val="20"/>
          <w:shd w:val="clear" w:color="auto" w:fill="FFFFFF"/>
          <w:lang w:val="x-none" w:eastAsia="en-US" w:bidi="ar-SA"/>
        </w:rPr>
        <w:t>Padus serotina</w:t>
      </w:r>
      <w:r>
        <w:rPr>
          <w:i/>
          <w:szCs w:val="20"/>
          <w:shd w:val="clear" w:color="auto" w:fill="FFFFFF"/>
        </w:rPr>
        <w:t xml:space="preserve"> </w:t>
      </w:r>
      <w:r>
        <w:rPr>
          <w:color w:val="000000"/>
          <w:szCs w:val="20"/>
          <w:shd w:val="clear" w:color="auto" w:fill="FFFFFF"/>
        </w:rPr>
        <w:t xml:space="preserve">polegających na naniesieniu bezpośrednio na powierzchnię cięcia przy zastosowaniu pędzla/mazacza preparatu chemicznego na przykład zawierającego glifosat, ze względu na małą skuteczność metod mechanicznych oraz wskazano  potrzebę osłony siewek dębów naturalnego pochodzenia  przed </w:t>
      </w:r>
      <w:r>
        <w:rPr>
          <w:color w:val="000000"/>
          <w:szCs w:val="20"/>
          <w:shd w:val="clear" w:color="auto" w:fill="FFFFFF"/>
          <w:lang w:val="x-none" w:eastAsia="en-US" w:bidi="ar-SA"/>
        </w:rPr>
        <w:t>uszkodzeniami mechanicznymi</w:t>
      </w:r>
      <w:r>
        <w:rPr>
          <w:color w:val="000000"/>
          <w:szCs w:val="20"/>
          <w:shd w:val="clear" w:color="auto" w:fill="FFFFFF"/>
        </w:rPr>
        <w:t xml:space="preserve"> (powodowanymi przez zwierzęta roślinożerne).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360" w:lineRule="auto"/>
        <w:ind w:left="0" w:right="0" w:firstLine="709"/>
        <w:contextualSpacing w:val="0"/>
        <w:rPr>
          <w:color w:val="000000"/>
          <w:szCs w:val="20"/>
          <w:shd w:val="clear" w:color="auto" w:fill="FFFFFF"/>
        </w:rPr>
      </w:pPr>
      <w:r>
        <w:rPr>
          <w:color w:val="000000"/>
          <w:szCs w:val="20"/>
          <w:shd w:val="clear" w:color="auto" w:fill="FFFFFF"/>
        </w:rPr>
        <w:t>U</w:t>
      </w:r>
      <w:r>
        <w:rPr>
          <w:color w:val="000000"/>
          <w:szCs w:val="20"/>
          <w:shd w:val="clear" w:color="auto" w:fill="FFFFFF"/>
          <w:lang w:val="x-none" w:eastAsia="en-US" w:bidi="ar-SA"/>
        </w:rPr>
        <w:t>dostępnienie rezerwatu przyrody dla celów edukacyjnych i turystycznych może nastąpić jedynie w formie odrębnego zarządzenia na podstawie ar. 15 ust. 1 pkt 15 ustawy z dnia 16 kwietnia 2004 r. o ochronie przyrody, a nie zarządzeniem w sprawie ustanowienia planu ochrony rezerwatu. W związku z powyższym, niniejszym zarządzeniem</w:t>
      </w:r>
      <w:r>
        <w:rPr>
          <w:color w:val="000000"/>
          <w:szCs w:val="20"/>
          <w:shd w:val="clear" w:color="auto" w:fill="FFFFFF"/>
        </w:rPr>
        <w:t xml:space="preserve"> zmieniającym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usunięte zostały zapisy określające sposób udostępnienia rezerwatu dla celów edukacyjnych, turystyczny</w:t>
      </w:r>
      <w:r>
        <w:rPr>
          <w:color w:val="000000"/>
          <w:szCs w:val="20"/>
          <w:shd w:val="clear" w:color="auto" w:fill="FFFFFF"/>
        </w:rPr>
        <w:t>ch.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360" w:lineRule="auto"/>
        <w:ind w:left="0" w:right="0" w:firstLine="709"/>
        <w:contextualSpacing w:val="0"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en-US" w:eastAsia="en-US" w:bidi="en-US"/>
        </w:rPr>
        <w:t xml:space="preserve">Obwieszczeniem znak </w:t>
      </w:r>
      <w:r>
        <w:rPr>
          <w:color w:val="000000"/>
          <w:szCs w:val="20"/>
          <w:shd w:val="clear" w:color="auto" w:fill="FFFFFF"/>
        </w:rPr>
        <w:t>WOP.6202.13.2021.KLD.3</w:t>
      </w:r>
      <w:r>
        <w:rPr>
          <w:color w:val="000000"/>
          <w:szCs w:val="20"/>
          <w:shd w:val="clear" w:color="auto" w:fill="FFFFFF"/>
          <w:lang w:val="en-US" w:eastAsia="en-US" w:bidi="en-US"/>
        </w:rPr>
        <w:t xml:space="preserve">, z dnia </w:t>
      </w:r>
      <w:r>
        <w:rPr>
          <w:color w:val="000000"/>
          <w:szCs w:val="20"/>
          <w:shd w:val="clear" w:color="auto" w:fill="FFFFFF"/>
        </w:rPr>
        <w:t>29 marca 2022 r.</w:t>
      </w:r>
      <w:r>
        <w:rPr>
          <w:color w:val="000000"/>
          <w:szCs w:val="20"/>
          <w:shd w:val="clear" w:color="auto" w:fill="FFFFFF"/>
          <w:lang w:val="en-US" w:eastAsia="en-US" w:bidi="en-US"/>
        </w:rPr>
        <w:t>, Regionalny Dyrektor Ochrony Środowiska w</w:t>
      </w:r>
      <w:r>
        <w:rPr>
          <w:color w:val="000000"/>
          <w:szCs w:val="20"/>
          <w:shd w:val="clear" w:color="auto" w:fill="FFFFFF"/>
        </w:rPr>
        <w:t xml:space="preserve"> </w:t>
      </w:r>
      <w:r>
        <w:rPr>
          <w:color w:val="000000"/>
          <w:szCs w:val="20"/>
          <w:shd w:val="clear" w:color="auto" w:fill="FFFFFF"/>
          <w:lang w:val="en-US" w:eastAsia="en-US" w:bidi="en-US"/>
        </w:rPr>
        <w:t>Bydgoszczy zawiadomił o</w:t>
      </w:r>
      <w:r>
        <w:rPr>
          <w:color w:val="000000"/>
          <w:szCs w:val="20"/>
          <w:shd w:val="clear" w:color="auto" w:fill="FFFFFF"/>
        </w:rPr>
        <w:t xml:space="preserve"> </w:t>
      </w:r>
      <w:r>
        <w:rPr>
          <w:color w:val="000000"/>
          <w:szCs w:val="20"/>
          <w:shd w:val="clear" w:color="auto" w:fill="FFFFFF"/>
          <w:lang w:val="en-US" w:eastAsia="en-US" w:bidi="en-US"/>
        </w:rPr>
        <w:t>możliwości udziału społeczeństwa w postępowaniu poprzez zapoznanie się z projektem zmiany planu ochrony dla rezerwatu przyrody „</w:t>
      </w:r>
      <w:r>
        <w:rPr>
          <w:color w:val="000000"/>
          <w:szCs w:val="20"/>
          <w:shd w:val="clear" w:color="auto" w:fill="FFFFFF"/>
        </w:rPr>
        <w:t>Dziki Ostrów</w:t>
      </w:r>
      <w:r>
        <w:rPr>
          <w:color w:val="000000"/>
          <w:szCs w:val="20"/>
          <w:shd w:val="clear" w:color="auto" w:fill="FFFFFF"/>
          <w:lang w:val="en-US" w:eastAsia="en-US" w:bidi="en-US"/>
        </w:rPr>
        <w:t xml:space="preserve">” i możliwości </w:t>
      </w:r>
      <w:r>
        <w:rPr>
          <w:color w:val="000000"/>
          <w:szCs w:val="20"/>
          <w:shd w:val="clear" w:color="auto" w:fill="FFFFFF"/>
          <w:lang w:val="en-US" w:eastAsia="en-US" w:bidi="en-US"/>
        </w:rPr>
        <w:t>składania uwag i wniosków.</w:t>
      </w:r>
      <w:r>
        <w:rPr>
          <w:color w:val="000000"/>
          <w:szCs w:val="20"/>
          <w:shd w:val="clear" w:color="auto" w:fill="FFFFFF"/>
        </w:rPr>
        <w:t xml:space="preserve"> </w:t>
      </w:r>
      <w:r>
        <w:rPr>
          <w:color w:val="000000"/>
          <w:szCs w:val="20"/>
          <w:shd w:val="clear" w:color="auto" w:fill="FFFFFF"/>
          <w:lang w:val="x-none" w:eastAsia="en-US" w:bidi="ar-SA"/>
        </w:rPr>
        <w:t>Informacja została podana do publicznej wiadomości zgodnie z</w:t>
      </w:r>
      <w:r>
        <w:rPr>
          <w:color w:val="000000"/>
          <w:szCs w:val="20"/>
          <w:shd w:val="clear" w:color="auto" w:fill="FFFFFF"/>
        </w:rPr>
        <w:t xml:space="preserve"> art. 19 ust. 1a 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i 3 oraz art. 28 ust. 3 i 4  </w:t>
      </w:r>
      <w:r>
        <w:rPr>
          <w:color w:val="000000"/>
          <w:szCs w:val="20"/>
          <w:shd w:val="clear" w:color="auto" w:fill="FFFFFF"/>
        </w:rPr>
        <w:t xml:space="preserve"> 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ustawy z dnia 16 kwietnia 2004 roku o ochronie przyrody </w:t>
      </w:r>
      <w:r>
        <w:rPr>
          <w:color w:val="000000"/>
          <w:szCs w:val="20"/>
          <w:shd w:val="clear" w:color="auto" w:fill="FFFFFF"/>
          <w:lang w:val="x-none" w:eastAsia="en-US" w:bidi="ar-SA"/>
        </w:rPr>
        <w:t>(Dz. U. z 2022, poz. 916</w:t>
      </w:r>
      <w:r>
        <w:rPr>
          <w:color w:val="000000"/>
          <w:szCs w:val="20"/>
          <w:shd w:val="clear" w:color="auto" w:fill="FFFFFF"/>
        </w:rPr>
        <w:t xml:space="preserve"> ze zm.</w:t>
      </w:r>
      <w:r>
        <w:rPr>
          <w:color w:val="000000"/>
          <w:szCs w:val="20"/>
          <w:shd w:val="clear" w:color="auto" w:fill="FFFFFF"/>
          <w:lang w:val="x-none" w:eastAsia="en-US" w:bidi="ar-SA"/>
        </w:rPr>
        <w:t>)</w:t>
      </w:r>
      <w:r>
        <w:rPr>
          <w:color w:val="000000"/>
          <w:szCs w:val="20"/>
          <w:shd w:val="clear" w:color="auto" w:fill="FFFFFF"/>
        </w:rPr>
        <w:t>,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art. 3 ust. 1 pkt 11, art. 39 ustawy z dnia 3 października 2008 roku o udostępnieniu informacji o środowisku i jego ochronie, udziale społeczeństwa w ochronie środowiska oraz o ocenach oddziaływania na środowisko (Dz. U. z 202</w:t>
      </w:r>
      <w:r>
        <w:rPr>
          <w:color w:val="000000"/>
          <w:szCs w:val="20"/>
          <w:shd w:val="clear" w:color="auto" w:fill="FFFFFF"/>
        </w:rPr>
        <w:t>2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 r., poz. </w:t>
      </w:r>
      <w:r>
        <w:rPr>
          <w:color w:val="000000"/>
          <w:szCs w:val="20"/>
          <w:shd w:val="clear" w:color="auto" w:fill="FFFFFF"/>
        </w:rPr>
        <w:t>1029</w:t>
      </w:r>
      <w:r>
        <w:rPr>
          <w:color w:val="000000"/>
          <w:szCs w:val="20"/>
          <w:shd w:val="clear" w:color="auto" w:fill="FFFFFF"/>
          <w:lang w:val="x-none" w:eastAsia="en-US" w:bidi="ar-SA"/>
        </w:rPr>
        <w:t>, ze zm.) i rozporządzeniem Ministra Środowiska z dnia 12 maja 2005 r. w sprawie sporządzenia projektu planu ochrony dla parku narodowego, rezerwatu przyrody i parku krajobrazowego, dokonania zmian w tym planie oraz ochrony zasobów, tworów i składników przyrody (Dz. U. Nr 94, poz. 794)</w:t>
      </w:r>
      <w:r>
        <w:rPr>
          <w:color w:val="000000"/>
          <w:szCs w:val="20"/>
          <w:shd w:val="clear" w:color="auto" w:fill="FFFFFF"/>
        </w:rPr>
        <w:t xml:space="preserve"> oraz art. 49 ustawy z dnia 14 czerwca 1960 r. Kodeks postępowania administracyjnego (Dz. U. z 2021 r., poz. 735, ze zm.)</w:t>
      </w:r>
      <w:r>
        <w:rPr>
          <w:color w:val="000000"/>
          <w:szCs w:val="20"/>
          <w:shd w:val="clear" w:color="auto" w:fill="FFFFFF"/>
          <w:lang w:val="x-none" w:eastAsia="en-US" w:bidi="ar-SA"/>
        </w:rPr>
        <w:t>.</w:t>
      </w:r>
      <w:r>
        <w:rPr>
          <w:color w:val="000000"/>
          <w:szCs w:val="20"/>
          <w:shd w:val="clear" w:color="auto" w:fill="FFFFFF"/>
        </w:rPr>
        <w:t xml:space="preserve"> Projekt zarządzenia </w:t>
      </w:r>
      <w:r>
        <w:rPr>
          <w:color w:val="000000"/>
          <w:szCs w:val="20"/>
          <w:shd w:val="clear" w:color="auto" w:fill="FFFFFF"/>
          <w:lang w:val="x-none" w:eastAsia="en-US" w:bidi="ar-SA"/>
        </w:rPr>
        <w:t>był podan</w:t>
      </w:r>
      <w:r>
        <w:rPr>
          <w:color w:val="000000"/>
          <w:szCs w:val="20"/>
          <w:shd w:val="clear" w:color="auto" w:fill="FFFFFF"/>
        </w:rPr>
        <w:t>y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do publicznej wiadomości również poprzez ogłoszenie w prasie o odpowiednim do rodzaju dokumentu zasięgu</w:t>
      </w:r>
      <w:r>
        <w:rPr>
          <w:color w:val="000000"/>
          <w:szCs w:val="20"/>
          <w:shd w:val="clear" w:color="auto" w:fill="FFFFFF"/>
        </w:rPr>
        <w:t>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360" w:lineRule="auto"/>
        <w:ind w:left="0" w:right="0" w:firstLine="708"/>
        <w:contextualSpacing w:val="0"/>
        <w:rPr>
          <w:color w:val="000000"/>
          <w:szCs w:val="20"/>
          <w:shd w:val="clear" w:color="auto" w:fill="FFFFFF"/>
        </w:rPr>
      </w:pPr>
      <w:r>
        <w:rPr>
          <w:color w:val="000000"/>
          <w:szCs w:val="20"/>
          <w:shd w:val="clear" w:color="auto" w:fill="FFFFFF"/>
        </w:rPr>
        <w:t>Projekt zmiany planu ochrony zamieszczono również w publicznie dostępnym wykazie danych na Ekoportalu (nr karty 223/2022).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360" w:lineRule="auto"/>
        <w:ind w:left="0" w:right="0" w:firstLine="708"/>
        <w:contextualSpacing w:val="0"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</w:rPr>
        <w:t>W trakcie przeprowadzonych konsultacji społecznych nie wpłynęły do tut. Urzędu uwagi do przedmiotowego projektu planu ochrony.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360" w:lineRule="auto"/>
        <w:ind w:left="0" w:right="0" w:firstLine="708"/>
        <w:contextualSpacing w:val="0"/>
        <w:rPr>
          <w:color w:val="000000"/>
          <w:szCs w:val="20"/>
          <w:shd w:val="clear" w:color="auto" w:fill="FFFFFF"/>
        </w:rPr>
      </w:pPr>
      <w:r>
        <w:rPr>
          <w:color w:val="000000"/>
          <w:szCs w:val="20"/>
          <w:shd w:val="clear" w:color="auto" w:fill="FFFFFF"/>
          <w:lang w:val="ar-SA" w:eastAsia="ar-SA" w:bidi="ar-SA"/>
        </w:rPr>
        <w:t>P</w:t>
      </w:r>
      <w:r>
        <w:rPr>
          <w:color w:val="000000"/>
          <w:szCs w:val="20"/>
          <w:shd w:val="clear" w:color="auto" w:fill="FFFFFF"/>
        </w:rPr>
        <w:t>rojekt zmiany planu ochrony</w:t>
      </w:r>
      <w:r>
        <w:rPr>
          <w:color w:val="000000"/>
          <w:szCs w:val="20"/>
          <w:shd w:val="clear" w:color="auto" w:fill="FFFFFF"/>
          <w:lang w:val="ar-SA" w:eastAsia="ar-SA" w:bidi="ar-SA"/>
        </w:rPr>
        <w:t xml:space="preserve"> dla rezerwatu przyrody „</w:t>
      </w:r>
      <w:r>
        <w:rPr>
          <w:color w:val="000000"/>
          <w:szCs w:val="20"/>
          <w:shd w:val="clear" w:color="auto" w:fill="FFFFFF"/>
        </w:rPr>
        <w:t>Dziki Ostrów</w:t>
      </w:r>
      <w:r>
        <w:rPr>
          <w:color w:val="000000"/>
          <w:szCs w:val="20"/>
          <w:shd w:val="clear" w:color="auto" w:fill="FFFFFF"/>
          <w:lang w:val="ar-SA" w:eastAsia="ar-SA" w:bidi="ar-SA"/>
        </w:rPr>
        <w:t>” został zaopiniowan</w:t>
      </w:r>
      <w:r>
        <w:rPr>
          <w:color w:val="000000"/>
          <w:szCs w:val="20"/>
          <w:shd w:val="clear" w:color="auto" w:fill="FFFFFF"/>
        </w:rPr>
        <w:t xml:space="preserve">y pozytywnie </w:t>
      </w:r>
      <w:r>
        <w:rPr>
          <w:color w:val="000000"/>
          <w:szCs w:val="20"/>
          <w:shd w:val="clear" w:color="auto" w:fill="FFFFFF"/>
          <w:lang w:val="ar-SA" w:eastAsia="ar-SA" w:bidi="ar-SA"/>
        </w:rPr>
        <w:t xml:space="preserve">przez zarządcę terenu </w:t>
      </w:r>
      <w:r>
        <w:rPr>
          <w:color w:val="000000"/>
          <w:szCs w:val="20"/>
          <w:shd w:val="clear" w:color="auto" w:fill="FFFFFF"/>
        </w:rPr>
        <w:t xml:space="preserve">rezerwatu </w:t>
      </w:r>
      <w:r>
        <w:rPr>
          <w:color w:val="000000"/>
          <w:szCs w:val="20"/>
          <w:shd w:val="clear" w:color="auto" w:fill="FFFFFF"/>
          <w:lang w:val="ar-SA" w:eastAsia="ar-SA" w:bidi="ar-SA"/>
        </w:rPr>
        <w:t xml:space="preserve">Nadleśnictwo </w:t>
      </w:r>
      <w:r>
        <w:rPr>
          <w:color w:val="000000"/>
          <w:szCs w:val="20"/>
          <w:shd w:val="clear" w:color="auto" w:fill="FFFFFF"/>
        </w:rPr>
        <w:t>Bydgoszcz pismem z dnia 25 stycznia 2022 r., znak ZG.7212.1.2022.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360" w:lineRule="auto"/>
        <w:ind w:left="0" w:right="0" w:firstLine="708"/>
        <w:contextualSpacing w:val="0"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Projekt zarządzenia </w:t>
      </w:r>
      <w:r>
        <w:rPr>
          <w:color w:val="000000"/>
          <w:szCs w:val="20"/>
          <w:shd w:val="clear" w:color="auto" w:fill="FFFFFF"/>
        </w:rPr>
        <w:t xml:space="preserve">zmieniającego </w:t>
      </w:r>
      <w:r>
        <w:rPr>
          <w:color w:val="000000"/>
          <w:szCs w:val="20"/>
          <w:shd w:val="clear" w:color="auto" w:fill="FFFFFF"/>
          <w:lang w:val="x-none" w:eastAsia="en-US" w:bidi="ar-SA"/>
        </w:rPr>
        <w:t>w sprawie ustanowienia planu ochrony dla rezerwatu przyrody „</w:t>
      </w:r>
      <w:r>
        <w:rPr>
          <w:color w:val="000000"/>
          <w:szCs w:val="20"/>
          <w:shd w:val="clear" w:color="auto" w:fill="FFFFFF"/>
        </w:rPr>
        <w:t>Dziki Ostrów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” został zaopiniowany </w:t>
      </w:r>
      <w:r>
        <w:rPr>
          <w:color w:val="000000"/>
          <w:szCs w:val="20"/>
          <w:shd w:val="clear" w:color="auto" w:fill="FFFFFF"/>
        </w:rPr>
        <w:t xml:space="preserve">pozytywnie 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przez Radę Gminy </w:t>
      </w:r>
      <w:r>
        <w:rPr>
          <w:color w:val="000000"/>
          <w:szCs w:val="20"/>
          <w:shd w:val="clear" w:color="auto" w:fill="FFFFFF"/>
        </w:rPr>
        <w:t>Nowa Wieś Wielka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</w:t>
      </w:r>
      <w:r>
        <w:rPr>
          <w:color w:val="000000"/>
          <w:szCs w:val="20"/>
          <w:shd w:val="clear" w:color="auto" w:fill="FFFFFF"/>
        </w:rPr>
        <w:t>uchwałą nr XXXVI/356/22,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z dni</w:t>
      </w:r>
      <w:r>
        <w:rPr>
          <w:color w:val="000000"/>
          <w:szCs w:val="20"/>
          <w:shd w:val="clear" w:color="auto" w:fill="FFFFFF"/>
        </w:rPr>
        <w:t>a 26 kwietnia 2022 r.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i </w:t>
      </w:r>
      <w:r>
        <w:rPr>
          <w:color w:val="000000"/>
          <w:szCs w:val="20"/>
          <w:shd w:val="clear" w:color="auto" w:fill="FFFFFF"/>
        </w:rPr>
        <w:t xml:space="preserve">pozytywnie 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przez Regionalną Radę Ochrony Przyrody w Bydgoszczy uchwałą </w:t>
      </w:r>
      <w:r>
        <w:rPr>
          <w:color w:val="000000"/>
          <w:szCs w:val="20"/>
          <w:shd w:val="clear" w:color="auto" w:fill="FFFFFF"/>
        </w:rPr>
        <w:t>n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r </w:t>
      </w:r>
      <w:r>
        <w:rPr>
          <w:color w:val="000000"/>
          <w:szCs w:val="20"/>
          <w:shd w:val="clear" w:color="auto" w:fill="FFFFFF"/>
        </w:rPr>
        <w:t>9/2022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, z dnia </w:t>
      </w:r>
      <w:r>
        <w:rPr>
          <w:color w:val="000000"/>
          <w:szCs w:val="20"/>
          <w:shd w:val="clear" w:color="auto" w:fill="FFFFFF"/>
        </w:rPr>
        <w:t>10 sierpnia 2022 r.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360" w:lineRule="auto"/>
        <w:ind w:left="0" w:right="0" w:firstLine="708"/>
        <w:contextualSpacing w:val="0"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en-US" w:eastAsia="en-US" w:bidi="en-US"/>
        </w:rPr>
        <w:t xml:space="preserve">Na podstawie art. 59 ust. 2 ustawy z dnia 23 stycznia 2009 r. o wojewodzie i administracji rządowej w województwie </w:t>
      </w:r>
      <w:r>
        <w:rPr>
          <w:color w:val="000000"/>
          <w:szCs w:val="20"/>
          <w:shd w:val="clear" w:color="auto" w:fill="FFFFFF"/>
          <w:lang w:val="x-none" w:eastAsia="en-US" w:bidi="ar-SA"/>
        </w:rPr>
        <w:t>(Dz. U. z 20</w:t>
      </w:r>
      <w:r>
        <w:rPr>
          <w:color w:val="000000"/>
          <w:szCs w:val="20"/>
          <w:shd w:val="clear" w:color="auto" w:fill="FFFFFF"/>
        </w:rPr>
        <w:t>22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r. poz. </w:t>
      </w:r>
      <w:r>
        <w:rPr>
          <w:color w:val="000000"/>
          <w:szCs w:val="20"/>
          <w:shd w:val="clear" w:color="auto" w:fill="FFFFFF"/>
        </w:rPr>
        <w:t>135 ze zm.</w:t>
      </w:r>
      <w:r>
        <w:rPr>
          <w:color w:val="000000"/>
          <w:szCs w:val="20"/>
          <w:shd w:val="clear" w:color="auto" w:fill="FFFFFF"/>
          <w:lang w:val="x-none" w:eastAsia="en-US" w:bidi="ar-SA"/>
        </w:rPr>
        <w:t>)</w:t>
      </w:r>
      <w:r>
        <w:rPr>
          <w:color w:val="000000"/>
          <w:szCs w:val="20"/>
          <w:shd w:val="clear" w:color="auto" w:fill="FFFFFF"/>
          <w:lang w:val="en-US" w:eastAsia="en-US" w:bidi="en-US"/>
        </w:rPr>
        <w:t xml:space="preserve">, </w:t>
      </w:r>
      <w:r>
        <w:rPr>
          <w:color w:val="000000"/>
          <w:szCs w:val="20"/>
          <w:shd w:val="clear" w:color="auto" w:fill="FFFFFF"/>
        </w:rPr>
        <w:t xml:space="preserve">projekt zarządzenia </w:t>
      </w:r>
      <w:r>
        <w:rPr>
          <w:color w:val="000000"/>
          <w:szCs w:val="20"/>
          <w:shd w:val="clear" w:color="auto" w:fill="FFFFFF"/>
          <w:lang w:val="en-US" w:eastAsia="en-US" w:bidi="en-US"/>
        </w:rPr>
        <w:t xml:space="preserve">został uzgodniony przez Wojewodę Kujawsko-Pomorskiego 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pismem znak: </w:t>
      </w:r>
      <w:r>
        <w:rPr>
          <w:color w:val="000000"/>
          <w:szCs w:val="20"/>
          <w:shd w:val="clear" w:color="auto" w:fill="FFFFFF"/>
        </w:rPr>
        <w:t>WIR.IX.710.46.2022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, z dnia </w:t>
      </w:r>
      <w:r>
        <w:rPr>
          <w:color w:val="000000"/>
          <w:szCs w:val="20"/>
          <w:shd w:val="clear" w:color="auto" w:fill="FFFFFF"/>
        </w:rPr>
        <w:t xml:space="preserve">8 września 2022 r. </w:t>
      </w:r>
    </w:p>
    <w:tbl>
      <w:tblPr>
        <w:tblStyle w:val="TableSimple1"/>
        <w:tblW w:w="8640" w:type="dxa"/>
        <w:tblInd w:w="93" w:type="dxa"/>
        <w:tblBorders>
          <w:top w:val="nil"/>
          <w:left w:val="nil"/>
          <w:bottom w:val="nil"/>
          <w:right w:val="nil"/>
        </w:tblBorders>
        <w:tblLook w:val="04A0"/>
      </w:tblPr>
      <w:tblGrid>
        <w:gridCol w:w="5081"/>
        <w:gridCol w:w="3559"/>
      </w:tblGrid>
      <w:tr>
        <w:tblPrEx>
          <w:tblW w:w="8640" w:type="dxa"/>
          <w:tblInd w:w="93" w:type="dxa"/>
          <w:tblBorders>
            <w:top w:val="nil"/>
            <w:left w:val="nil"/>
            <w:bottom w:val="nil"/>
            <w:right w:val="nil"/>
          </w:tblBorders>
          <w:tblLook w:val="04A0"/>
        </w:tblPrEx>
        <w:tc>
          <w:tcPr>
            <w:tcW w:w="5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120" w:afterAutospacing="0" w:line="240" w:lineRule="auto"/>
              <w:ind w:left="0" w:right="0" w:firstLine="0"/>
              <w:contextualSpacing w:val="0"/>
              <w:jc w:val="left"/>
              <w:rPr>
                <w:szCs w:val="20"/>
              </w:rPr>
            </w:pPr>
          </w:p>
        </w:tc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szCs w:val="20"/>
              </w:rPr>
            </w:pPr>
            <w:r>
              <w:rPr>
                <w:szCs w:val="20"/>
                <w:u w:color="000000"/>
              </w:rPr>
              <w:fldChar w:fldCharType="begin"/>
            </w:r>
            <w:r>
              <w:rPr>
                <w:szCs w:val="20"/>
                <w:u w:color="000000"/>
              </w:rPr>
              <w:instrText>SIGNATURE_0_1_FUNCTION</w:instrText>
            </w:r>
            <w:r>
              <w:rPr>
                <w:szCs w:val="20"/>
                <w:u w:color="000000"/>
              </w:rPr>
              <w:fldChar w:fldCharType="separate"/>
            </w:r>
            <w:r>
              <w:rPr>
                <w:szCs w:val="20"/>
                <w:u w:color="000000"/>
              </w:rPr>
              <w:t xml:space="preserve">Regionalny Dyrektor </w:t>
            </w:r>
          </w:p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szCs w:val="20"/>
              </w:rPr>
            </w:pPr>
            <w:r>
              <w:rPr>
                <w:szCs w:val="20"/>
                <w:u w:color="000000"/>
              </w:rPr>
              <w:t xml:space="preserve">Ochrony Środowiska </w:t>
            </w:r>
          </w:p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szCs w:val="20"/>
              </w:rPr>
            </w:pPr>
            <w:r>
              <w:rPr>
                <w:szCs w:val="20"/>
                <w:u w:color="000000"/>
              </w:rPr>
              <w:t>w Bydgoszczy</w:t>
            </w:r>
            <w:r>
              <w:rPr>
                <w:szCs w:val="20"/>
                <w:u w:color="000000"/>
              </w:rPr>
              <w:fldChar w:fldCharType="end"/>
            </w:r>
          </w:p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szCs w:val="20"/>
              </w:rPr>
            </w:pPr>
          </w:p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szCs w:val="20"/>
              </w:rPr>
            </w:pPr>
            <w:r>
              <w:rPr>
                <w:szCs w:val="20"/>
                <w:u w:color="000000"/>
              </w:rPr>
              <w:t xml:space="preserve"> </w:t>
            </w:r>
          </w:p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szCs w:val="20"/>
              </w:rPr>
            </w:pPr>
            <w:r>
              <w:rPr>
                <w:szCs w:val="20"/>
                <w:u w:color="000000"/>
              </w:rPr>
              <w:fldChar w:fldCharType="begin"/>
            </w:r>
            <w:r>
              <w:rPr>
                <w:szCs w:val="20"/>
                <w:u w:color="000000"/>
              </w:rPr>
              <w:instrText>SIGNATURE_0_1_FIRSTNAME</w:instrText>
            </w:r>
            <w:r>
              <w:rPr>
                <w:szCs w:val="20"/>
                <w:u w:color="000000"/>
              </w:rPr>
              <w:fldChar w:fldCharType="separate"/>
            </w:r>
            <w:r>
              <w:rPr>
                <w:b/>
                <w:szCs w:val="20"/>
                <w:u w:color="000000"/>
              </w:rPr>
              <w:t xml:space="preserve">Szymon </w:t>
            </w:r>
            <w:r>
              <w:rPr>
                <w:szCs w:val="20"/>
                <w:u w:color="000000"/>
              </w:rPr>
              <w:fldChar w:fldCharType="end"/>
            </w:r>
            <w:r>
              <w:rPr>
                <w:szCs w:val="20"/>
                <w:u w:color="000000"/>
              </w:rPr>
              <w:fldChar w:fldCharType="begin"/>
            </w:r>
            <w:r>
              <w:rPr>
                <w:szCs w:val="20"/>
                <w:u w:color="000000"/>
              </w:rPr>
              <w:instrText>SIGNATURE_0_1_LASTNAME</w:instrText>
            </w:r>
            <w:r>
              <w:rPr>
                <w:szCs w:val="20"/>
                <w:u w:color="000000"/>
              </w:rPr>
              <w:fldChar w:fldCharType="separate"/>
            </w:r>
            <w:r>
              <w:rPr>
                <w:b/>
                <w:szCs w:val="20"/>
                <w:u w:color="000000"/>
              </w:rPr>
              <w:t>Kosmalski</w:t>
            </w:r>
            <w:r>
              <w:rPr>
                <w:szCs w:val="20"/>
                <w:u w:color="000000"/>
              </w:rPr>
              <w:fldChar w:fldCharType="end"/>
            </w:r>
          </w:p>
        </w:tc>
      </w:tr>
    </w:tbl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360" w:lineRule="auto"/>
        <w:ind w:left="0" w:right="0" w:firstLine="0"/>
        <w:contextualSpacing w:val="0"/>
        <w:rPr>
          <w:color w:val="000000"/>
          <w:szCs w:val="20"/>
          <w:shd w:val="clear" w:color="auto" w:fill="FFFFFF"/>
          <w:lang w:val="en-US" w:eastAsia="en-US" w:bidi="en-US"/>
        </w:rPr>
      </w:pP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360" w:lineRule="auto"/>
        <w:ind w:left="0" w:right="0" w:firstLine="708"/>
        <w:contextualSpacing w:val="0"/>
        <w:rPr>
          <w:color w:val="000000"/>
          <w:szCs w:val="20"/>
          <w:shd w:val="clear" w:color="auto" w:fill="FFFFFF"/>
          <w:lang w:val="x-none" w:eastAsia="en-US" w:bidi="ar-SA"/>
        </w:rPr>
      </w:pP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360" w:lineRule="auto"/>
        <w:ind w:left="0" w:right="0" w:firstLine="708"/>
        <w:contextualSpacing w:val="0"/>
        <w:rPr>
          <w:color w:val="000000"/>
          <w:szCs w:val="20"/>
          <w:shd w:val="clear" w:color="auto" w:fill="FFFFFF"/>
          <w:lang w:val="x-none" w:eastAsia="en-US" w:bidi="ar-SA"/>
        </w:rPr>
      </w:pP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360" w:lineRule="auto"/>
        <w:ind w:left="0" w:right="0" w:firstLine="708"/>
        <w:contextualSpacing w:val="0"/>
        <w:rPr>
          <w:color w:val="000000"/>
          <w:szCs w:val="20"/>
          <w:shd w:val="clear" w:color="auto" w:fill="FFFFFF"/>
          <w:lang w:val="x-none" w:eastAsia="en-US" w:bidi="ar-SA"/>
        </w:rPr>
      </w:pP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360" w:lineRule="auto"/>
        <w:ind w:left="0" w:right="0" w:firstLine="708"/>
        <w:contextualSpacing w:val="0"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</w:t>
      </w:r>
    </w:p>
    <w:sectPr>
      <w:footerReference w:type="default" r:id="rId15"/>
      <w:type w:val="nextPage"/>
      <w:pgSz w:w="11907" w:h="16839" w:code="9"/>
      <w:pgMar w:top="1440" w:right="862" w:bottom="1440" w:left="1440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8" w:type="dxa"/>
        <w:right w:w="108" w:type="dxa"/>
      </w:tblCellMar>
    </w:tblPr>
    <w:tblGrid>
      <w:gridCol w:w="6577"/>
      <w:gridCol w:w="3289"/>
    </w:tblGrid>
    <w:tr>
      <w:tblPrEx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Ex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left"/>
            <w:rPr>
              <w:rFonts w:ascii="Times New Roman" w:eastAsia="Times New Roman" w:hAnsi="Times New Roman" w:cs="Times New Roman"/>
              <w:b w:val="0"/>
              <w:sz w:val="18"/>
            </w:rPr>
          </w:pPr>
          <w:r>
            <w:rPr>
              <w:rFonts w:ascii="Times New Roman" w:eastAsia="Times New Roman" w:hAnsi="Times New Roman" w:cs="Times New Roman"/>
              <w:b w:val="0"/>
              <w:sz w:val="18"/>
            </w:rPr>
            <w:t>Id: 56C8EDB8-FF46-470B-88A3-EA3C05D06ED7. Uchwalony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right"/>
            <w:rPr>
              <w:rFonts w:ascii="Times New Roman" w:eastAsia="Times New Roman" w:hAnsi="Times New Roman" w:cs="Times New Roman"/>
              <w:b w:val="0"/>
              <w:sz w:val="18"/>
            </w:rPr>
          </w:pPr>
          <w:r>
            <w:rPr>
              <w:rFonts w:ascii="Times New Roman" w:eastAsia="Times New Roman" w:hAnsi="Times New Roman" w:cs="Times New Roman"/>
              <w:b w:val="0"/>
              <w:sz w:val="18"/>
            </w:rPr>
            <w:t xml:space="preserve">Strona </w:t>
          </w:r>
          <w:r>
            <w:rPr>
              <w:rFonts w:ascii="Times New Roman" w:eastAsia="Times New Roman" w:hAnsi="Times New Roman" w:cs="Times New Roman"/>
              <w:b w:val="0"/>
              <w:sz w:val="18"/>
            </w:rPr>
            <w:fldChar w:fldCharType="begin"/>
          </w:r>
          <w:r>
            <w:rPr>
              <w:rFonts w:ascii="Times New Roman" w:eastAsia="Times New Roman" w:hAnsi="Times New Roman" w:cs="Times New Roman"/>
              <w:b w:val="0"/>
              <w:sz w:val="18"/>
            </w:rPr>
            <w:instrText>PAGE</w:instrText>
          </w:r>
          <w:r>
            <w:rPr>
              <w:rFonts w:ascii="Times New Roman" w:eastAsia="Times New Roman" w:hAnsi="Times New Roman" w:cs="Times New Roman"/>
              <w:b w:val="0"/>
              <w:sz w:val="18"/>
            </w:rPr>
            <w:fldChar w:fldCharType="separate"/>
          </w:r>
          <w:r>
            <w:rPr>
              <w:rFonts w:ascii="Times New Roman" w:eastAsia="Times New Roman" w:hAnsi="Times New Roman" w:cs="Times New Roman"/>
              <w:b w:val="0"/>
              <w:sz w:val="18"/>
            </w:rPr>
            <w:fldChar w:fldCharType="end"/>
          </w:r>
        </w:p>
      </w:tc>
    </w:tr>
  </w:tbl>
  <w:p>
    <w:pPr>
      <w:rPr>
        <w:rFonts w:ascii="Times New Roman" w:eastAsia="Times New Roman" w:hAnsi="Times New Roman" w:cs="Times New Roman"/>
        <w:b w:val="0"/>
        <w:sz w:val="18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8" w:type="dxa"/>
        <w:right w:w="108" w:type="dxa"/>
      </w:tblCellMar>
    </w:tblPr>
    <w:tblGrid>
      <w:gridCol w:w="6577"/>
      <w:gridCol w:w="3289"/>
    </w:tblGrid>
    <w:tr>
      <w:tblPrEx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Ex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left"/>
            <w:rPr>
              <w:rFonts w:ascii="Times New Roman" w:eastAsia="Times New Roman" w:hAnsi="Times New Roman" w:cs="Times New Roman"/>
              <w:b w:val="0"/>
              <w:sz w:val="18"/>
            </w:rPr>
          </w:pPr>
          <w:r>
            <w:rPr>
              <w:rFonts w:ascii="Times New Roman" w:eastAsia="Times New Roman" w:hAnsi="Times New Roman" w:cs="Times New Roman"/>
              <w:b w:val="0"/>
              <w:sz w:val="18"/>
            </w:rPr>
            <w:t>Id: 56C8EDB8-FF46-470B-88A3-EA3C05D06ED7. Uchwalony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right"/>
            <w:rPr>
              <w:rFonts w:ascii="Times New Roman" w:eastAsia="Times New Roman" w:hAnsi="Times New Roman" w:cs="Times New Roman"/>
              <w:b w:val="0"/>
              <w:sz w:val="18"/>
            </w:rPr>
          </w:pPr>
          <w:r>
            <w:rPr>
              <w:rFonts w:ascii="Times New Roman" w:eastAsia="Times New Roman" w:hAnsi="Times New Roman" w:cs="Times New Roman"/>
              <w:b w:val="0"/>
              <w:sz w:val="18"/>
            </w:rPr>
            <w:t xml:space="preserve">Strona </w:t>
          </w:r>
          <w:r>
            <w:rPr>
              <w:rFonts w:ascii="Times New Roman" w:eastAsia="Times New Roman" w:hAnsi="Times New Roman" w:cs="Times New Roman"/>
              <w:b w:val="0"/>
              <w:sz w:val="18"/>
            </w:rPr>
            <w:fldChar w:fldCharType="begin"/>
          </w:r>
          <w:r>
            <w:rPr>
              <w:rFonts w:ascii="Times New Roman" w:eastAsia="Times New Roman" w:hAnsi="Times New Roman" w:cs="Times New Roman"/>
              <w:b w:val="0"/>
              <w:sz w:val="18"/>
            </w:rPr>
            <w:instrText>PAGE</w:instrText>
          </w:r>
          <w:r>
            <w:rPr>
              <w:rFonts w:ascii="Times New Roman" w:eastAsia="Times New Roman" w:hAnsi="Times New Roman" w:cs="Times New Roman"/>
              <w:b w:val="0"/>
              <w:sz w:val="18"/>
            </w:rPr>
            <w:fldChar w:fldCharType="separate"/>
          </w:r>
          <w:r>
            <w:rPr>
              <w:rFonts w:ascii="Times New Roman" w:eastAsia="Times New Roman" w:hAnsi="Times New Roman" w:cs="Times New Roman"/>
              <w:b w:val="0"/>
              <w:sz w:val="18"/>
            </w:rPr>
            <w:fldChar w:fldCharType="end"/>
          </w:r>
        </w:p>
      </w:tc>
    </w:tr>
  </w:tbl>
  <w:p>
    <w:pPr>
      <w:rPr>
        <w:rFonts w:ascii="Times New Roman" w:eastAsia="Times New Roman" w:hAnsi="Times New Roman" w:cs="Times New Roman"/>
        <w:b w:val="0"/>
        <w:sz w:val="18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8" w:type="dxa"/>
        <w:right w:w="108" w:type="dxa"/>
      </w:tblCellMar>
    </w:tblPr>
    <w:tblGrid>
      <w:gridCol w:w="6577"/>
      <w:gridCol w:w="3289"/>
    </w:tblGrid>
    <w:tr>
      <w:tblPrEx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Ex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left"/>
            <w:rPr>
              <w:rFonts w:ascii="Times New Roman" w:eastAsia="Times New Roman" w:hAnsi="Times New Roman" w:cs="Times New Roman"/>
              <w:b w:val="0"/>
              <w:sz w:val="18"/>
            </w:rPr>
          </w:pPr>
          <w:r>
            <w:rPr>
              <w:rFonts w:ascii="Times New Roman" w:eastAsia="Times New Roman" w:hAnsi="Times New Roman" w:cs="Times New Roman"/>
              <w:b w:val="0"/>
              <w:sz w:val="18"/>
            </w:rPr>
            <w:t>Id: 56C8EDB8-FF46-470B-88A3-EA3C05D06ED7. Uchwalony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right"/>
            <w:rPr>
              <w:rFonts w:ascii="Times New Roman" w:eastAsia="Times New Roman" w:hAnsi="Times New Roman" w:cs="Times New Roman"/>
              <w:b w:val="0"/>
              <w:sz w:val="18"/>
            </w:rPr>
          </w:pPr>
          <w:r>
            <w:rPr>
              <w:rFonts w:ascii="Times New Roman" w:eastAsia="Times New Roman" w:hAnsi="Times New Roman" w:cs="Times New Roman"/>
              <w:b w:val="0"/>
              <w:sz w:val="18"/>
            </w:rPr>
            <w:t xml:space="preserve">Strona </w:t>
          </w:r>
          <w:r>
            <w:rPr>
              <w:rFonts w:ascii="Times New Roman" w:eastAsia="Times New Roman" w:hAnsi="Times New Roman" w:cs="Times New Roman"/>
              <w:b w:val="0"/>
              <w:sz w:val="18"/>
            </w:rPr>
            <w:fldChar w:fldCharType="begin"/>
          </w:r>
          <w:r>
            <w:rPr>
              <w:rFonts w:ascii="Times New Roman" w:eastAsia="Times New Roman" w:hAnsi="Times New Roman" w:cs="Times New Roman"/>
              <w:b w:val="0"/>
              <w:sz w:val="18"/>
            </w:rPr>
            <w:instrText>PAGE</w:instrText>
          </w:r>
          <w:r>
            <w:rPr>
              <w:rFonts w:ascii="Times New Roman" w:eastAsia="Times New Roman" w:hAnsi="Times New Roman" w:cs="Times New Roman"/>
              <w:b w:val="0"/>
              <w:sz w:val="18"/>
            </w:rPr>
            <w:fldChar w:fldCharType="separate"/>
          </w:r>
          <w:r>
            <w:rPr>
              <w:rFonts w:ascii="Times New Roman" w:eastAsia="Times New Roman" w:hAnsi="Times New Roman" w:cs="Times New Roman"/>
              <w:b w:val="0"/>
              <w:sz w:val="18"/>
            </w:rPr>
            <w:fldChar w:fldCharType="end"/>
          </w:r>
        </w:p>
      </w:tc>
    </w:tr>
  </w:tbl>
  <w:p>
    <w:pPr>
      <w:rPr>
        <w:rFonts w:ascii="Times New Roman" w:eastAsia="Times New Roman" w:hAnsi="Times New Roman" w:cs="Times New Roman"/>
        <w:b w:val="0"/>
        <w:sz w:val="18"/>
      </w:rPr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8" w:type="dxa"/>
        <w:right w:w="108" w:type="dxa"/>
      </w:tblCellMar>
    </w:tblPr>
    <w:tblGrid>
      <w:gridCol w:w="6577"/>
      <w:gridCol w:w="3289"/>
    </w:tblGrid>
    <w:tr>
      <w:tblPrEx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Ex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left"/>
            <w:rPr>
              <w:rFonts w:ascii="Times New Roman" w:eastAsia="Times New Roman" w:hAnsi="Times New Roman" w:cs="Times New Roman"/>
              <w:b w:val="0"/>
              <w:sz w:val="18"/>
            </w:rPr>
          </w:pPr>
          <w:r>
            <w:rPr>
              <w:rFonts w:ascii="Times New Roman" w:eastAsia="Times New Roman" w:hAnsi="Times New Roman" w:cs="Times New Roman"/>
              <w:b w:val="0"/>
              <w:sz w:val="18"/>
            </w:rPr>
            <w:t>Id: 56C8EDB8-FF46-470B-88A3-EA3C05D06ED7. Uchwalony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right"/>
            <w:rPr>
              <w:rFonts w:ascii="Times New Roman" w:eastAsia="Times New Roman" w:hAnsi="Times New Roman" w:cs="Times New Roman"/>
              <w:b w:val="0"/>
              <w:sz w:val="18"/>
            </w:rPr>
          </w:pPr>
          <w:r>
            <w:rPr>
              <w:rFonts w:ascii="Times New Roman" w:eastAsia="Times New Roman" w:hAnsi="Times New Roman" w:cs="Times New Roman"/>
              <w:b w:val="0"/>
              <w:sz w:val="18"/>
            </w:rPr>
            <w:t xml:space="preserve">Strona </w:t>
          </w:r>
          <w:r>
            <w:rPr>
              <w:rFonts w:ascii="Times New Roman" w:eastAsia="Times New Roman" w:hAnsi="Times New Roman" w:cs="Times New Roman"/>
              <w:b w:val="0"/>
              <w:sz w:val="18"/>
            </w:rPr>
            <w:fldChar w:fldCharType="begin"/>
          </w:r>
          <w:r>
            <w:rPr>
              <w:rFonts w:ascii="Times New Roman" w:eastAsia="Times New Roman" w:hAnsi="Times New Roman" w:cs="Times New Roman"/>
              <w:b w:val="0"/>
              <w:sz w:val="18"/>
            </w:rPr>
            <w:instrText>PAGE</w:instrText>
          </w:r>
          <w:r>
            <w:rPr>
              <w:rFonts w:ascii="Times New Roman" w:eastAsia="Times New Roman" w:hAnsi="Times New Roman" w:cs="Times New Roman"/>
              <w:b w:val="0"/>
              <w:sz w:val="18"/>
            </w:rPr>
            <w:fldChar w:fldCharType="separate"/>
          </w:r>
          <w:r>
            <w:rPr>
              <w:rFonts w:ascii="Times New Roman" w:eastAsia="Times New Roman" w:hAnsi="Times New Roman" w:cs="Times New Roman"/>
              <w:b w:val="0"/>
              <w:sz w:val="18"/>
            </w:rPr>
            <w:fldChar w:fldCharType="end"/>
          </w:r>
        </w:p>
      </w:tc>
    </w:tr>
  </w:tbl>
  <w:p>
    <w:pPr>
      <w:rPr>
        <w:rFonts w:ascii="Times New Roman" w:eastAsia="Times New Roman" w:hAnsi="Times New Roman" w:cs="Times New Roman"/>
        <w:b w:val="0"/>
        <w:sz w:val="18"/>
      </w:rP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8" w:type="dxa"/>
        <w:right w:w="108" w:type="dxa"/>
      </w:tblCellMar>
    </w:tblPr>
    <w:tblGrid>
      <w:gridCol w:w="6577"/>
      <w:gridCol w:w="3289"/>
    </w:tblGrid>
    <w:tr>
      <w:tblPrEx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Ex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left"/>
            <w:rPr>
              <w:rFonts w:ascii="Times New Roman" w:eastAsia="Times New Roman" w:hAnsi="Times New Roman" w:cs="Times New Roman"/>
              <w:b w:val="0"/>
              <w:sz w:val="18"/>
            </w:rPr>
          </w:pPr>
          <w:r>
            <w:rPr>
              <w:rFonts w:ascii="Times New Roman" w:eastAsia="Times New Roman" w:hAnsi="Times New Roman" w:cs="Times New Roman"/>
              <w:b w:val="0"/>
              <w:sz w:val="18"/>
            </w:rPr>
            <w:t>Id: 56C8EDB8-FF46-470B-88A3-EA3C05D06ED7. Uchwalony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right"/>
            <w:rPr>
              <w:rFonts w:ascii="Times New Roman" w:eastAsia="Times New Roman" w:hAnsi="Times New Roman" w:cs="Times New Roman"/>
              <w:b w:val="0"/>
              <w:sz w:val="18"/>
            </w:rPr>
          </w:pPr>
          <w:r>
            <w:rPr>
              <w:rFonts w:ascii="Times New Roman" w:eastAsia="Times New Roman" w:hAnsi="Times New Roman" w:cs="Times New Roman"/>
              <w:b w:val="0"/>
              <w:sz w:val="18"/>
            </w:rPr>
            <w:t xml:space="preserve">Strona </w:t>
          </w:r>
          <w:r>
            <w:rPr>
              <w:rFonts w:ascii="Times New Roman" w:eastAsia="Times New Roman" w:hAnsi="Times New Roman" w:cs="Times New Roman"/>
              <w:b w:val="0"/>
              <w:sz w:val="18"/>
            </w:rPr>
            <w:fldChar w:fldCharType="begin"/>
          </w:r>
          <w:r>
            <w:rPr>
              <w:rFonts w:ascii="Times New Roman" w:eastAsia="Times New Roman" w:hAnsi="Times New Roman" w:cs="Times New Roman"/>
              <w:b w:val="0"/>
              <w:sz w:val="18"/>
            </w:rPr>
            <w:instrText>PAGE</w:instrText>
          </w:r>
          <w:r>
            <w:rPr>
              <w:rFonts w:ascii="Times New Roman" w:eastAsia="Times New Roman" w:hAnsi="Times New Roman" w:cs="Times New Roman"/>
              <w:b w:val="0"/>
              <w:sz w:val="18"/>
            </w:rPr>
            <w:fldChar w:fldCharType="separate"/>
          </w:r>
          <w:r>
            <w:rPr>
              <w:rFonts w:ascii="Times New Roman" w:eastAsia="Times New Roman" w:hAnsi="Times New Roman" w:cs="Times New Roman"/>
              <w:b w:val="0"/>
              <w:sz w:val="18"/>
            </w:rPr>
            <w:fldChar w:fldCharType="end"/>
          </w:r>
        </w:p>
      </w:tc>
    </w:tr>
  </w:tbl>
  <w:p>
    <w:pPr>
      <w:rPr>
        <w:rFonts w:ascii="Times New Roman" w:eastAsia="Times New Roman" w:hAnsi="Times New Roman" w:cs="Times New Roman"/>
        <w:b w:val="0"/>
        <w:sz w:val="18"/>
      </w:rPr>
    </w:pPr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8" w:type="dxa"/>
        <w:right w:w="108" w:type="dxa"/>
      </w:tblCellMar>
    </w:tblPr>
    <w:tblGrid>
      <w:gridCol w:w="6577"/>
      <w:gridCol w:w="3289"/>
    </w:tblGrid>
    <w:tr>
      <w:tblPrEx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Ex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left"/>
            <w:rPr>
              <w:rFonts w:ascii="Times New Roman" w:eastAsia="Times New Roman" w:hAnsi="Times New Roman" w:cs="Times New Roman"/>
              <w:b w:val="0"/>
              <w:sz w:val="18"/>
            </w:rPr>
          </w:pPr>
          <w:r>
            <w:rPr>
              <w:rFonts w:ascii="Times New Roman" w:eastAsia="Times New Roman" w:hAnsi="Times New Roman" w:cs="Times New Roman"/>
              <w:b w:val="0"/>
              <w:sz w:val="18"/>
            </w:rPr>
            <w:t>Id: 56C8EDB8-FF46-470B-88A3-EA3C05D06ED7. Uchwalony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right"/>
            <w:rPr>
              <w:rFonts w:ascii="Times New Roman" w:eastAsia="Times New Roman" w:hAnsi="Times New Roman" w:cs="Times New Roman"/>
              <w:b w:val="0"/>
              <w:sz w:val="18"/>
            </w:rPr>
          </w:pPr>
          <w:r>
            <w:rPr>
              <w:rFonts w:ascii="Times New Roman" w:eastAsia="Times New Roman" w:hAnsi="Times New Roman" w:cs="Times New Roman"/>
              <w:b w:val="0"/>
              <w:sz w:val="18"/>
            </w:rPr>
            <w:t xml:space="preserve">Strona </w:t>
          </w:r>
          <w:r>
            <w:rPr>
              <w:rFonts w:ascii="Times New Roman" w:eastAsia="Times New Roman" w:hAnsi="Times New Roman" w:cs="Times New Roman"/>
              <w:b w:val="0"/>
              <w:sz w:val="18"/>
            </w:rPr>
            <w:fldChar w:fldCharType="begin"/>
          </w:r>
          <w:r>
            <w:rPr>
              <w:rFonts w:ascii="Times New Roman" w:eastAsia="Times New Roman" w:hAnsi="Times New Roman" w:cs="Times New Roman"/>
              <w:b w:val="0"/>
              <w:sz w:val="18"/>
            </w:rPr>
            <w:instrText>PAGE</w:instrText>
          </w:r>
          <w:r>
            <w:rPr>
              <w:rFonts w:ascii="Times New Roman" w:eastAsia="Times New Roman" w:hAnsi="Times New Roman" w:cs="Times New Roman"/>
              <w:b w:val="0"/>
              <w:sz w:val="18"/>
            </w:rPr>
            <w:fldChar w:fldCharType="separate"/>
          </w:r>
          <w:r>
            <w:rPr>
              <w:rFonts w:ascii="Times New Roman" w:eastAsia="Times New Roman" w:hAnsi="Times New Roman" w:cs="Times New Roman"/>
              <w:b w:val="0"/>
              <w:sz w:val="18"/>
            </w:rPr>
            <w:fldChar w:fldCharType="end"/>
          </w:r>
        </w:p>
      </w:tc>
    </w:tr>
  </w:tbl>
  <w:p>
    <w:pPr>
      <w:rPr>
        <w:rFonts w:ascii="Times New Roman" w:eastAsia="Times New Roman" w:hAnsi="Times New Roman" w:cs="Times New Roman"/>
        <w:b w:val="0"/>
        <w:sz w:val="18"/>
      </w:rPr>
    </w:pP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8" w:type="dxa"/>
        <w:right w:w="108" w:type="dxa"/>
      </w:tblCellMar>
    </w:tblPr>
    <w:tblGrid>
      <w:gridCol w:w="6577"/>
      <w:gridCol w:w="3289"/>
    </w:tblGrid>
    <w:tr>
      <w:tblPrEx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Ex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left"/>
            <w:rPr>
              <w:rFonts w:ascii="Times New Roman" w:eastAsia="Times New Roman" w:hAnsi="Times New Roman" w:cs="Times New Roman"/>
              <w:b w:val="0"/>
              <w:sz w:val="18"/>
            </w:rPr>
          </w:pPr>
          <w:r>
            <w:rPr>
              <w:rFonts w:ascii="Times New Roman" w:eastAsia="Times New Roman" w:hAnsi="Times New Roman" w:cs="Times New Roman"/>
              <w:b w:val="0"/>
              <w:sz w:val="18"/>
            </w:rPr>
            <w:t>Id: 56C8EDB8-FF46-470B-88A3-EA3C05D06ED7. Uchwalony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right"/>
            <w:rPr>
              <w:rFonts w:ascii="Times New Roman" w:eastAsia="Times New Roman" w:hAnsi="Times New Roman" w:cs="Times New Roman"/>
              <w:b w:val="0"/>
              <w:sz w:val="18"/>
            </w:rPr>
          </w:pPr>
          <w:r>
            <w:rPr>
              <w:rFonts w:ascii="Times New Roman" w:eastAsia="Times New Roman" w:hAnsi="Times New Roman" w:cs="Times New Roman"/>
              <w:b w:val="0"/>
              <w:sz w:val="18"/>
            </w:rPr>
            <w:t xml:space="preserve">Strona </w:t>
          </w:r>
          <w:r>
            <w:rPr>
              <w:rFonts w:ascii="Times New Roman" w:eastAsia="Times New Roman" w:hAnsi="Times New Roman" w:cs="Times New Roman"/>
              <w:b w:val="0"/>
              <w:sz w:val="18"/>
            </w:rPr>
            <w:fldChar w:fldCharType="begin"/>
          </w:r>
          <w:r>
            <w:rPr>
              <w:rFonts w:ascii="Times New Roman" w:eastAsia="Times New Roman" w:hAnsi="Times New Roman" w:cs="Times New Roman"/>
              <w:b w:val="0"/>
              <w:sz w:val="18"/>
            </w:rPr>
            <w:instrText>PAGE</w:instrText>
          </w:r>
          <w:r>
            <w:rPr>
              <w:rFonts w:ascii="Times New Roman" w:eastAsia="Times New Roman" w:hAnsi="Times New Roman" w:cs="Times New Roman"/>
              <w:b w:val="0"/>
              <w:sz w:val="18"/>
            </w:rPr>
            <w:fldChar w:fldCharType="separate"/>
          </w:r>
          <w:r>
            <w:rPr>
              <w:rFonts w:ascii="Times New Roman" w:eastAsia="Times New Roman" w:hAnsi="Times New Roman" w:cs="Times New Roman"/>
              <w:b w:val="0"/>
              <w:sz w:val="18"/>
            </w:rPr>
            <w:fldChar w:fldCharType="end"/>
          </w:r>
        </w:p>
      </w:tc>
    </w:tr>
  </w:tbl>
  <w:p>
    <w:pPr>
      <w:rPr>
        <w:rFonts w:ascii="Times New Roman" w:eastAsia="Times New Roman" w:hAnsi="Times New Roman" w:cs="Times New Roman"/>
        <w:b w:val="0"/>
        <w:sz w:val="18"/>
      </w:rPr>
    </w:pPr>
  </w:p>
</w:ftr>
</file>

<file path=word/footer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8" w:type="dxa"/>
        <w:right w:w="108" w:type="dxa"/>
      </w:tblCellMar>
    </w:tblPr>
    <w:tblGrid>
      <w:gridCol w:w="6577"/>
      <w:gridCol w:w="3289"/>
    </w:tblGrid>
    <w:tr>
      <w:tblPrEx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Ex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left"/>
            <w:rPr>
              <w:rFonts w:ascii="Times New Roman" w:eastAsia="Times New Roman" w:hAnsi="Times New Roman" w:cs="Times New Roman"/>
              <w:b w:val="0"/>
              <w:sz w:val="18"/>
            </w:rPr>
          </w:pPr>
          <w:r>
            <w:rPr>
              <w:rFonts w:ascii="Times New Roman" w:eastAsia="Times New Roman" w:hAnsi="Times New Roman" w:cs="Times New Roman"/>
              <w:b w:val="0"/>
              <w:sz w:val="18"/>
            </w:rPr>
            <w:t>Id: 56C8EDB8-FF46-470B-88A3-EA3C05D06ED7. Uchwalony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right"/>
            <w:rPr>
              <w:rFonts w:ascii="Times New Roman" w:eastAsia="Times New Roman" w:hAnsi="Times New Roman" w:cs="Times New Roman"/>
              <w:b w:val="0"/>
              <w:sz w:val="18"/>
            </w:rPr>
          </w:pPr>
          <w:r>
            <w:rPr>
              <w:rFonts w:ascii="Times New Roman" w:eastAsia="Times New Roman" w:hAnsi="Times New Roman" w:cs="Times New Roman"/>
              <w:b w:val="0"/>
              <w:sz w:val="18"/>
            </w:rPr>
            <w:t xml:space="preserve">Strona </w:t>
          </w:r>
          <w:r>
            <w:rPr>
              <w:rFonts w:ascii="Times New Roman" w:eastAsia="Times New Roman" w:hAnsi="Times New Roman" w:cs="Times New Roman"/>
              <w:b w:val="0"/>
              <w:sz w:val="18"/>
            </w:rPr>
            <w:fldChar w:fldCharType="begin"/>
          </w:r>
          <w:r>
            <w:rPr>
              <w:rFonts w:ascii="Times New Roman" w:eastAsia="Times New Roman" w:hAnsi="Times New Roman" w:cs="Times New Roman"/>
              <w:b w:val="0"/>
              <w:sz w:val="18"/>
            </w:rPr>
            <w:instrText>PAGE</w:instrText>
          </w:r>
          <w:r>
            <w:rPr>
              <w:rFonts w:ascii="Times New Roman" w:eastAsia="Times New Roman" w:hAnsi="Times New Roman" w:cs="Times New Roman"/>
              <w:b w:val="0"/>
              <w:sz w:val="18"/>
            </w:rPr>
            <w:fldChar w:fldCharType="separate"/>
          </w:r>
          <w:r>
            <w:rPr>
              <w:rFonts w:ascii="Times New Roman" w:eastAsia="Times New Roman" w:hAnsi="Times New Roman" w:cs="Times New Roman"/>
              <w:b w:val="0"/>
              <w:sz w:val="18"/>
            </w:rPr>
            <w:fldChar w:fldCharType="end"/>
          </w:r>
        </w:p>
      </w:tc>
    </w:tr>
  </w:tbl>
  <w:p>
    <w:pPr>
      <w:rPr>
        <w:rFonts w:ascii="Times New Roman" w:eastAsia="Times New Roman" w:hAnsi="Times New Roman" w:cs="Times New Roman"/>
        <w:b w:val="0"/>
        <w:sz w:val="18"/>
      </w:rPr>
    </w:pPr>
  </w:p>
</w:ftr>
</file>

<file path=word/footer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8" w:type="dxa"/>
        <w:right w:w="108" w:type="dxa"/>
      </w:tblCellMar>
    </w:tblPr>
    <w:tblGrid>
      <w:gridCol w:w="6403"/>
      <w:gridCol w:w="3202"/>
    </w:tblGrid>
    <w:tr>
      <w:tblPrEx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Ex>
      <w:tc>
        <w:tcPr>
          <w:tcW w:w="6403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left"/>
            <w:rPr>
              <w:rFonts w:ascii="Times New Roman" w:eastAsia="Times New Roman" w:hAnsi="Times New Roman" w:cs="Times New Roman"/>
              <w:b w:val="0"/>
              <w:sz w:val="18"/>
            </w:rPr>
          </w:pPr>
          <w:r>
            <w:rPr>
              <w:rFonts w:ascii="Times New Roman" w:eastAsia="Times New Roman" w:hAnsi="Times New Roman" w:cs="Times New Roman"/>
              <w:b w:val="0"/>
              <w:sz w:val="18"/>
            </w:rPr>
            <w:t>Id: 56C8EDB8-FF46-470B-88A3-EA3C05D06ED7. Uchwalony</w:t>
          </w:r>
        </w:p>
      </w:tc>
      <w:tc>
        <w:tcPr>
          <w:tcW w:w="3202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right"/>
            <w:rPr>
              <w:rFonts w:ascii="Times New Roman" w:eastAsia="Times New Roman" w:hAnsi="Times New Roman" w:cs="Times New Roman"/>
              <w:b w:val="0"/>
              <w:sz w:val="18"/>
            </w:rPr>
          </w:pPr>
          <w:r>
            <w:rPr>
              <w:rFonts w:ascii="Times New Roman" w:eastAsia="Times New Roman" w:hAnsi="Times New Roman" w:cs="Times New Roman"/>
              <w:b w:val="0"/>
              <w:sz w:val="18"/>
            </w:rPr>
            <w:t xml:space="preserve">Strona </w:t>
          </w:r>
          <w:r>
            <w:rPr>
              <w:rFonts w:ascii="Times New Roman" w:eastAsia="Times New Roman" w:hAnsi="Times New Roman" w:cs="Times New Roman"/>
              <w:b w:val="0"/>
              <w:sz w:val="18"/>
            </w:rPr>
            <w:fldChar w:fldCharType="begin"/>
          </w:r>
          <w:r>
            <w:rPr>
              <w:rFonts w:ascii="Times New Roman" w:eastAsia="Times New Roman" w:hAnsi="Times New Roman" w:cs="Times New Roman"/>
              <w:b w:val="0"/>
              <w:sz w:val="18"/>
            </w:rPr>
            <w:instrText>PAGE</w:instrText>
          </w:r>
          <w:r>
            <w:rPr>
              <w:rFonts w:ascii="Times New Roman" w:eastAsia="Times New Roman" w:hAnsi="Times New Roman" w:cs="Times New Roman"/>
              <w:b w:val="0"/>
              <w:sz w:val="18"/>
            </w:rPr>
            <w:fldChar w:fldCharType="separate"/>
          </w:r>
          <w:r>
            <w:rPr>
              <w:rFonts w:ascii="Times New Roman" w:eastAsia="Times New Roman" w:hAnsi="Times New Roman" w:cs="Times New Roman"/>
              <w:b w:val="0"/>
              <w:sz w:val="18"/>
            </w:rPr>
            <w:fldChar w:fldCharType="end"/>
          </w:r>
        </w:p>
      </w:tc>
    </w:tr>
  </w:tbl>
  <w:p>
    <w:pPr>
      <w:rPr>
        <w:rFonts w:ascii="Times New Roman" w:eastAsia="Times New Roman" w:hAnsi="Times New Roman" w:cs="Times New Roman"/>
        <w:b w:val="0"/>
        <w:sz w:val="18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>
      <w:pPr>
        <w:spacing w:after="0" w:line="240" w:lineRule="auto"/>
      </w:pPr>
      <w:r>
        <w:separator/>
      </w:r>
    </w:p>
  </w:footnote>
  <w:footnote w:type="continuationSeparator" w:id="1">
    <w:p>
      <w:pPr>
        <w:spacing w:after="0" w:line="240" w:lineRule="auto"/>
      </w:pPr>
      <w:r>
        <w:continuationSeparator/>
      </w:r>
    </w:p>
  </w:footnote>
  <w:footnote w:id="2">
    <w:p>
      <w:pPr>
        <w:pStyle w:val="FootnoteText"/>
        <w:keepNext w:val="0"/>
        <w:keepLines/>
        <w:spacing w:before="0" w:after="0" w:line="240" w:lineRule="auto"/>
        <w:ind w:left="170" w:right="0" w:hanging="170"/>
        <w:jc w:val="both"/>
        <w:rPr>
          <w:rFonts w:ascii="Times New Roman" w:eastAsia="Times New Roman" w:hAnsi="Times New Roman" w:cs="Times New Roman"/>
          <w:sz w:val="20"/>
        </w:rPr>
      </w:pPr>
      <w:r>
        <w:rPr>
          <w:rStyle w:val="FootnoteReference"/>
          <w:b w:val="0"/>
          <w:caps w:val="0"/>
        </w:rPr>
        <w:t>1) </w:t>
      </w:r>
      <w:r>
        <w:rPr>
          <w:rFonts w:ascii="Times New Roman" w:eastAsia="Times New Roman" w:hAnsi="Times New Roman" w:cs="Times New Roman"/>
          <w:b w:val="0"/>
          <w:caps w:val="0"/>
          <w:sz w:val="20"/>
        </w:rPr>
        <w:t>Plan Urządzenia Lasu Nadleśnictwa Bydgoszcz na lata 2022 - 2031</w:t>
      </w:r>
    </w:p>
  </w:footnote>
  <w:footnote w:id="3">
    <w:p>
      <w:pPr>
        <w:pStyle w:val="FootnoteText"/>
        <w:keepNext w:val="0"/>
        <w:keepLines/>
        <w:spacing w:before="0" w:after="0" w:line="240" w:lineRule="auto"/>
        <w:ind w:left="170" w:right="0" w:hanging="170"/>
        <w:jc w:val="both"/>
        <w:rPr>
          <w:rFonts w:ascii="Times New Roman" w:eastAsia="Times New Roman" w:hAnsi="Times New Roman" w:cs="Times New Roman"/>
          <w:sz w:val="20"/>
        </w:rPr>
      </w:pPr>
      <w:r>
        <w:rPr>
          <w:rStyle w:val="FootnoteReference"/>
          <w:b w:val="0"/>
          <w:caps w:val="0"/>
        </w:rPr>
        <w:t>1) </w:t>
      </w:r>
      <w:r>
        <w:rPr>
          <w:rFonts w:ascii="Times New Roman" w:eastAsia="Times New Roman" w:hAnsi="Times New Roman" w:cs="Times New Roman"/>
          <w:b w:val="0"/>
          <w:caps w:val="0"/>
          <w:sz w:val="20"/>
        </w:rPr>
        <w:t>Parametry/wskaźniki stanu ochrony, zostały oparte na podstawie wskaźników stanu zachowania zawartych w metodyce monitoringu, o którym mowa w art. 112 ust. 2 ustawy o ochronie przyrody, a także  raportów, o których mowa w art. 38 tej. ustawy.</w:t>
      </w:r>
    </w:p>
  </w:footnote>
  <w:footnote w:id="4">
    <w:p>
      <w:pPr>
        <w:pStyle w:val="FootnoteText"/>
        <w:keepNext w:val="0"/>
        <w:keepLines/>
        <w:spacing w:before="0" w:after="0" w:line="240" w:lineRule="auto"/>
        <w:ind w:left="170" w:right="0" w:hanging="170"/>
        <w:jc w:val="both"/>
        <w:rPr>
          <w:rFonts w:ascii="Times New Roman" w:eastAsia="Times New Roman" w:hAnsi="Times New Roman" w:cs="Times New Roman"/>
          <w:sz w:val="20"/>
        </w:rPr>
      </w:pPr>
      <w:r>
        <w:rPr>
          <w:rStyle w:val="FootnoteReference"/>
          <w:b w:val="0"/>
          <w:caps w:val="0"/>
        </w:rPr>
        <w:t>2) </w:t>
      </w:r>
      <w:r>
        <w:rPr>
          <w:rFonts w:ascii="Times New Roman" w:eastAsia="Times New Roman" w:hAnsi="Times New Roman" w:cs="Times New Roman"/>
          <w:b w:val="0"/>
          <w:caps w:val="0"/>
          <w:sz w:val="20"/>
        </w:rPr>
        <w:t>Cel ochrony uwzględnia najnowsze z dostępnych oceny stanu zachowania dla poszczególnych wskaźników, które posłużyły do określenia Przedmiotów celu ochrony.</w:t>
      </w:r>
    </w:p>
  </w:footnote>
  <w:footnote w:id="5">
    <w:p>
      <w:pPr>
        <w:pStyle w:val="FootnoteText"/>
        <w:keepNext w:val="0"/>
        <w:keepLines/>
        <w:spacing w:before="0" w:after="0" w:line="240" w:lineRule="auto"/>
        <w:ind w:left="170" w:right="0" w:hanging="170"/>
        <w:jc w:val="both"/>
        <w:rPr>
          <w:rFonts w:ascii="Times New Roman" w:eastAsia="Times New Roman" w:hAnsi="Times New Roman" w:cs="Times New Roman"/>
          <w:sz w:val="20"/>
        </w:rPr>
      </w:pPr>
      <w:r>
        <w:rPr>
          <w:rStyle w:val="FootnoteReference"/>
          <w:b w:val="0"/>
          <w:caps w:val="0"/>
        </w:rPr>
        <w:t>1) </w:t>
      </w:r>
      <w:r>
        <w:rPr>
          <w:rFonts w:ascii="Times New Roman" w:eastAsia="Times New Roman" w:hAnsi="Times New Roman" w:cs="Times New Roman"/>
          <w:b w:val="0"/>
          <w:caps w:val="0"/>
          <w:sz w:val="20"/>
        </w:rPr>
        <w:t>Plan Urządzenia Lasu Nadleśnictwa Bydgoszcz na lata 2022 - 2031</w:t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noPunctuationKerning/>
  <w:characterSpacingControl w:val="doNotCompress"/>
  <w:footnotePr>
    <w:footnote w:id="0"/>
    <w:footnote w:id="1"/>
  </w:footnotePr>
  <w:endnotePr>
    <w:numFmt w:val="decimal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pl-P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styleId="FootnoteReference">
    <w:name w:val="footnote reference"/>
    <w:basedOn w:val="DefaultParagraphFont"/>
    <w:rsid w:val="00805BCE"/>
    <w:rPr>
      <w:vertAlign w:val="superscript"/>
    </w:rPr>
  </w:style>
  <w:style w:type="paragraph" w:styleId="FootnoteText">
    <w:name w:val="footnote text"/>
    <w:basedOn w:val="Normal"/>
    <w:rsid w:val="00805BCE"/>
    <w:rPr>
      <w:sz w:val="20"/>
      <w:szCs w:val="20"/>
    </w:rPr>
  </w:style>
  <w:style w:type="paragraph" w:customStyle="1" w:styleId="Normal0">
    <w:name w:val="Normal_0"/>
    <w:basedOn w:val="Normal"/>
    <w:pPr>
      <w:jc w:val="left"/>
    </w:pPr>
    <w:rPr>
      <w:color w:val="000000"/>
      <w:sz w:val="22"/>
      <w:szCs w:val="20"/>
      <w:lang w:val="x-none" w:eastAsia="en-US" w:bidi="ar-SA"/>
    </w:rPr>
  </w:style>
  <w:style w:type="table" w:styleId="TableSimple1">
    <w:name w:val="Table Simple 1"/>
    <w:basedOn w:val="TableNormal"/>
    <w:rPr>
      <w:color w:val="000000"/>
      <w:sz w:val="22"/>
      <w:shd w:val="clear" w:color="auto" w:fill="FFFFFF"/>
      <w:lang w:val="x-none" w:eastAsia="en-US" w:bidi="ar-SA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image" Target="ZalacznikCE4CC410-ED6A-4250-BBC3-8EC608961972.jpg" TargetMode="External" /><Relationship Id="rId11" Type="http://schemas.openxmlformats.org/officeDocument/2006/relationships/footer" Target="footer5.xml" /><Relationship Id="rId12" Type="http://schemas.openxmlformats.org/officeDocument/2006/relationships/footer" Target="footer6.xml" /><Relationship Id="rId13" Type="http://schemas.openxmlformats.org/officeDocument/2006/relationships/footer" Target="footer7.xml" /><Relationship Id="rId14" Type="http://schemas.openxmlformats.org/officeDocument/2006/relationships/footer" Target="footer8.xml" /><Relationship Id="rId15" Type="http://schemas.openxmlformats.org/officeDocument/2006/relationships/footer" Target="footer9.xml" /><Relationship Id="rId16" Type="http://schemas.openxmlformats.org/officeDocument/2006/relationships/theme" Target="theme/theme1.xml" /><Relationship Id="rId17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footer" Target="footer3.xml" /><Relationship Id="rId8" Type="http://schemas.openxmlformats.org/officeDocument/2006/relationships/footer" Target="footer4.xml" /><Relationship Id="rId9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/>
      </a:dk1>
      <a:lt1>
        <a:sysClr val="window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Regionalny Dyrektor Ochrony Środowiska w Bydgoszczy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z dnia 12 września 2022 r.</dc:title>
  <dc:subject>zmieniające zarządzenie w^sprawie ustanowienia planu ochrony dla rezerwatu przyrody „Dziki Ostrów”</dc:subject>
  <dc:creator>kleszczynska</dc:creator>
  <cp:lastModifiedBy>kleszczynska</cp:lastModifiedBy>
  <cp:revision>1</cp:revision>
  <dcterms:created xsi:type="dcterms:W3CDTF">2022-09-13T09:58:45Z</dcterms:created>
  <dcterms:modified xsi:type="dcterms:W3CDTF">2022-09-13T09:58:45Z</dcterms:modified>
  <cp:category>Akt prawny</cp:category>
</cp:coreProperties>
</file>