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6E7B3638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4B407E">
              <w:rPr>
                <w:rFonts w:ascii="Lato Black" w:hAnsi="Lato Black"/>
                <w:b/>
                <w:color w:val="FFFFFF"/>
                <w:szCs w:val="15"/>
              </w:rPr>
              <w:t>9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</w:t>
            </w:r>
            <w:r w:rsidR="004C51B1">
              <w:rPr>
                <w:rFonts w:ascii="Lato Black" w:hAnsi="Lato Black"/>
                <w:b/>
                <w:color w:val="FFFFFF"/>
                <w:szCs w:val="15"/>
              </w:rPr>
              <w:t>1</w:t>
            </w:r>
            <w:r w:rsidR="003F58CD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7D6CE5B2" w:rsidR="00B255A7" w:rsidRPr="0021341F" w:rsidRDefault="00B255A7" w:rsidP="00B255A7">
            <w:pPr>
              <w:pStyle w:val="TableParagraph"/>
              <w:spacing w:before="0"/>
              <w:ind w:left="0"/>
              <w:jc w:val="right"/>
            </w:pPr>
            <w:r w:rsidRPr="0021341F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4734B74A" w:rsidR="00B255A7" w:rsidRPr="0021341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21341F">
              <w:rPr>
                <w:spacing w:val="-2"/>
                <w:szCs w:val="15"/>
              </w:rPr>
              <w:t>Gdańsk</w:t>
            </w:r>
            <w:r w:rsidR="00A329CF" w:rsidRPr="0021341F">
              <w:rPr>
                <w:spacing w:val="-2"/>
                <w:szCs w:val="15"/>
              </w:rPr>
              <w:t>, 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4C51B1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2085F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153AB03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578AB07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7653410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0C5FB2B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673D78" w:rsidRPr="00D87900" w14:paraId="0F8890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B22F" w14:textId="1D7C268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C89AB" w14:textId="046A00ED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41BB" w14:textId="09A0A275" w:rsidR="00673D78" w:rsidRPr="007F5F33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INSTYTUT KOŚCIUSZKI</w:t>
            </w:r>
          </w:p>
        </w:tc>
      </w:tr>
      <w:tr w:rsidR="00673D78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120472ED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673D78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2102245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673D78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3F08274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673D78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62824C46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673D78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CEA55EE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673D78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5EE2EE9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673D78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4EFCAB10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673D78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6B95DB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673D78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276B1DE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673D78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0A568825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673D78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20D2DAB9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673D78" w:rsidRPr="00DA4758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673D78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0D99F554" w:rsidR="00673D78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673D78" w:rsidRPr="00DA32A9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673D78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56FDA3D1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673D78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36472C4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4B3F2D0F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673D78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7A736329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673D78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7B608F2C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673D78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31793588" w:rsidR="00673D78" w:rsidRPr="00D87900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673D78" w:rsidRPr="00D87900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673D78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408499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673D78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283DCE1F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673D78" w:rsidRPr="00EB17F7" w:rsidRDefault="00673D78" w:rsidP="00673D78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673D78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73EE431B" w:rsidR="00673D78" w:rsidRPr="00EB17F7" w:rsidRDefault="00673D78" w:rsidP="00673D78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673D78" w:rsidRPr="00EB17F7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673D78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633F93DF" w:rsidR="00673D78" w:rsidRPr="00D6473F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673D78" w:rsidRPr="00D6473F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673D78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65069F07" w:rsidR="00673D78" w:rsidRPr="00670C1C" w:rsidRDefault="00673D78" w:rsidP="00673D78">
            <w:pPr>
              <w:pStyle w:val="TableParagraph"/>
              <w:spacing w:before="0"/>
              <w:ind w:left="0"/>
              <w:jc w:val="right"/>
            </w:pPr>
            <w:r w:rsidRPr="00673D78"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673D78" w:rsidRPr="00C92686" w:rsidRDefault="00673D78" w:rsidP="00673D78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Fundacja Wspierania Myśli Polskiej</w:t>
            </w:r>
          </w:p>
        </w:tc>
      </w:tr>
      <w:tr w:rsidR="00FC6D62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1C3E35D8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FC6D62" w:rsidRPr="00D87900" w14:paraId="2188CC2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52FA" w14:textId="19A45DA9" w:rsidR="00FC6D62" w:rsidRPr="00673D78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2E24" w14:textId="28A4CD9C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F571" w14:textId="5421278F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STOWARZYSZENIE OCHOTNICZA STRAŻ POŻARNA JAKUBOWICE KONIŃSKIE</w:t>
            </w:r>
          </w:p>
        </w:tc>
      </w:tr>
      <w:tr w:rsidR="00FC6D62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7EF97D3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FC6D62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67F3B21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FC6D62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4EDB81DB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FC6D62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7B06531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FC6D62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7A387E4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FC6D62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1BF8970C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FC6D62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7C6E32DB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FC6D62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2AA1EBCE" w:rsidR="00FC6D62" w:rsidRPr="000A6035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FC6D62" w:rsidRPr="000A6035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FC6D62" w:rsidRPr="00D87900" w14:paraId="55547297" w14:textId="77777777" w:rsidTr="00673D78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89074" w14:textId="20DFF536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A6EC3" w14:textId="740A4E89" w:rsidR="00FC6D62" w:rsidRPr="007F5F33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7F5F33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7E04B" w14:textId="39C4C79E" w:rsidR="00FC6D62" w:rsidRPr="007F5F33" w:rsidRDefault="00FC6D62" w:rsidP="00FC6D62">
            <w:pPr>
              <w:pStyle w:val="TableParagraph"/>
              <w:spacing w:before="0"/>
              <w:ind w:left="0"/>
            </w:pPr>
            <w:r w:rsidRPr="007F5F33">
              <w:t>Polska Agencja Rozwoju Przedsiębiorczości</w:t>
            </w:r>
          </w:p>
        </w:tc>
      </w:tr>
      <w:tr w:rsidR="00FC6D62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BCE96FF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FC6D62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3BEB40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FC6D62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7489A11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FC6D62" w:rsidRPr="00443CE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FC6D62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162BB53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FC6D62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587A48F8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FC6D62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F71279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FC6D62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370115BD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FC6D62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3CA9DCAA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FC6D62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5487C9A0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FC6D62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048A2609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FC6D62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6CCE2B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FC6D62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76A36B9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FC6D62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050660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FC6D62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15F1D88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FC6D62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64BB4BF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FC6D62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38663D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FC6D62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C2D5D8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FC6D62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B5EFED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FC6D62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4C06BA3C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FC6D62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219AC1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FC6D62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7A29A2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FC6D62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3F907FD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FC6D62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785A2C2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FC6D62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347CC0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FC6D62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37668BD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FC6D62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029490C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FC6D62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55E0D1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FC6D62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FE50F8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FC6D62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03AA025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FC6D62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5614B8F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FC6D62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79E8B18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FC6D62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4F4E6BA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FC6D62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1682A69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FC6D62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31FF17B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FC6D62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5403899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FC6D62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3155A389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FC6D62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7A8C896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FC6D62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399DE60F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FC6D62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16315DA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FC6D62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496AE0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FC6D62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555D898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FC6D62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E2AACE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FC6D62" w:rsidRPr="00F4301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FC6D62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1A193802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FC6D62" w:rsidRPr="00C92686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C92686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FC6D62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405A3B6B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FC6D62" w:rsidRPr="00673D78" w:rsidRDefault="00FC6D62" w:rsidP="00FC6D62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673D78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FC6D62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65C4F9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FC6D62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70ADF31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FC6D62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21EEA8C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FC6D62" w:rsidRPr="00F43018" w:rsidRDefault="00FC6D62" w:rsidP="00FC6D62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FC6D62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50D0F0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FC6D62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1C37190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FC6D62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1DF51DD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FC6D62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1FEEAB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FC6D62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34D4FB9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FC6D62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2279232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FC6D62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5A9EB01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FC6D62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57E6D1D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FC6D62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1B51ED1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FC6D62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9C2FC3B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FC6D62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78B3A28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FC6D62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16975B8A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FC6D62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4A3FC763" w:rsidR="00FC6D62" w:rsidRPr="00D6473F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FC6D62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C3816BD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 xml:space="preserve">Fundacja Profeto.Pl - </w:t>
            </w:r>
            <w:proofErr w:type="spellStart"/>
            <w:r w:rsidRPr="00673D78">
              <w:rPr>
                <w:spacing w:val="-2"/>
                <w:szCs w:val="15"/>
              </w:rPr>
              <w:t>Sercański</w:t>
            </w:r>
            <w:proofErr w:type="spellEnd"/>
            <w:r w:rsidRPr="00673D78">
              <w:rPr>
                <w:spacing w:val="-2"/>
                <w:szCs w:val="15"/>
              </w:rPr>
              <w:t xml:space="preserve"> Sekretariat na Rzecz Nowej Ewangelizacji</w:t>
            </w:r>
          </w:p>
        </w:tc>
      </w:tr>
      <w:tr w:rsidR="00FC6D62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611D9413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FC6D62" w:rsidRPr="00673D7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73D78">
              <w:rPr>
                <w:spacing w:val="-2"/>
                <w:szCs w:val="15"/>
              </w:rPr>
              <w:t>Fundacja Alegoria</w:t>
            </w:r>
          </w:p>
        </w:tc>
      </w:tr>
      <w:tr w:rsidR="00FC6D62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48613634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FC6D62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630CCA4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FC6D62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68ECA8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FC6D62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1A104DE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FC6D62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544A7A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FC6D62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79D4A616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FC6D62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583FEAC7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FC6D62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5FB79843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FC6D62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75B9FE6D" w:rsidR="00FC6D62" w:rsidRPr="00F43018" w:rsidRDefault="00FC6D62" w:rsidP="00FC6D62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FC6D62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11B7D0F2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FC6D62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1026C55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FC6D62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17E49F60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FC6D62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2A01765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FC6D62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04B4D0ED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C92686">
              <w:t>14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FC6D62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018C38C5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0066B519" w:rsidR="00FC6D62" w:rsidRPr="00F43018" w:rsidRDefault="00D772FF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772FF">
              <w:t>"STOWARZYSZENIE INICJATYW EKOLOGICZNYCH I SPOŁECZNYCH SIES"</w:t>
            </w:r>
          </w:p>
        </w:tc>
      </w:tr>
      <w:tr w:rsidR="00FC6D62" w:rsidRPr="00255CD3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434DD908" w:rsidR="00FC6D62" w:rsidRPr="00F43018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FC6D62" w:rsidRPr="00F4301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FC6D62" w:rsidRPr="00D6473F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FC6D62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3B328726" w:rsidR="00FC6D62" w:rsidRPr="00670C1C" w:rsidRDefault="00FC6D62" w:rsidP="00FC6D62">
            <w:pPr>
              <w:pStyle w:val="TableParagraph"/>
              <w:spacing w:before="0"/>
              <w:ind w:left="0"/>
              <w:jc w:val="center"/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FC6D62" w:rsidRPr="00255CD3" w:rsidRDefault="00FC6D62" w:rsidP="00FC6D62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FC6D62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31DE14FF" w:rsidR="00FC6D62" w:rsidRPr="00670C1C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FC6D62" w:rsidRPr="00DA4758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FC6D62" w:rsidRPr="00DA4758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FC6D62" w:rsidRPr="00255CD3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15F782FB" w:rsidR="00FC6D62" w:rsidRPr="00C92686" w:rsidRDefault="00FC6D62" w:rsidP="00FC6D62">
            <w:pPr>
              <w:pStyle w:val="TableParagraph"/>
              <w:spacing w:before="0"/>
              <w:ind w:left="0"/>
              <w:jc w:val="right"/>
            </w:pPr>
            <w:r w:rsidRPr="00670C1C">
              <w:t>14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FC6D62" w:rsidRPr="00C92686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6F961F42" w:rsidR="00FC6D62" w:rsidRPr="00255CD3" w:rsidRDefault="00FC6D62" w:rsidP="00FC6D62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255CD3">
              <w:rPr>
                <w:lang w:val="en-AU"/>
              </w:rPr>
              <w:t xml:space="preserve">3D SUPPORT </w:t>
            </w:r>
            <w:r w:rsidR="00A4444D">
              <w:rPr>
                <w:lang w:val="en-AU"/>
              </w:rPr>
              <w:t>S</w:t>
            </w:r>
            <w:r w:rsidRPr="00255CD3">
              <w:rPr>
                <w:lang w:val="en-AU"/>
              </w:rPr>
              <w:t xml:space="preserve">p. z </w:t>
            </w:r>
            <w:proofErr w:type="spellStart"/>
            <w:r w:rsidRPr="00255CD3">
              <w:rPr>
                <w:lang w:val="en-AU"/>
              </w:rPr>
              <w:t>o.o</w:t>
            </w:r>
            <w:proofErr w:type="spellEnd"/>
            <w:r w:rsidRPr="00255CD3">
              <w:rPr>
                <w:lang w:val="en-AU"/>
              </w:rPr>
              <w:t>.</w:t>
            </w:r>
          </w:p>
        </w:tc>
      </w:tr>
      <w:tr w:rsidR="00176EE6" w:rsidRPr="00D87900" w14:paraId="253E0A3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209D" w14:textId="0B9B34E0" w:rsidR="00176EE6" w:rsidRPr="00A4444D" w:rsidRDefault="00176EE6" w:rsidP="00FC6D62">
            <w:pPr>
              <w:pStyle w:val="TableParagraph"/>
              <w:spacing w:before="0"/>
              <w:ind w:left="0"/>
              <w:jc w:val="right"/>
            </w:pPr>
            <w:r w:rsidRPr="00A4444D">
              <w:t>149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E9F3" w14:textId="41CF1AD9" w:rsidR="00176EE6" w:rsidRPr="00A4444D" w:rsidRDefault="00176EE6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CA9F" w14:textId="162A7625" w:rsidR="00176EE6" w:rsidRPr="00A4444D" w:rsidRDefault="006C49C7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4444D">
              <w:rPr>
                <w:spacing w:val="-2"/>
                <w:szCs w:val="15"/>
              </w:rPr>
              <w:t xml:space="preserve">Monogram Studio </w:t>
            </w:r>
            <w:r w:rsidR="00A4444D" w:rsidRPr="00A4444D">
              <w:rPr>
                <w:spacing w:val="-2"/>
                <w:szCs w:val="15"/>
              </w:rPr>
              <w:t>S</w:t>
            </w:r>
            <w:r w:rsidRPr="00A4444D">
              <w:rPr>
                <w:spacing w:val="-2"/>
                <w:szCs w:val="15"/>
              </w:rPr>
              <w:t>p. z o.o.</w:t>
            </w:r>
          </w:p>
        </w:tc>
      </w:tr>
      <w:tr w:rsidR="00FC6D62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0CB5221B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E06DD"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FC6D62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F6B7098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FC6D62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30DFBC5E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FC6D62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44A44DD1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FC6D62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2B913A79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FC6D62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411FA170" w:rsidR="00FC6D62" w:rsidRPr="00EB17F7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FC6D62" w:rsidRPr="00EB17F7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FC6D62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74D4590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FC6D62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6528827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FC6D62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45EB820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</w:t>
            </w:r>
            <w:r w:rsidR="00CE06DD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FC6D62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33C72733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15</w:t>
            </w:r>
            <w:r w:rsidR="00CE06DD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FC6D62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7976A6B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1</w:t>
            </w:r>
            <w:r w:rsidR="00CE06DD"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FC6D62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3F68527E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16</w:t>
            </w:r>
            <w:r w:rsidR="00CE06DD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FC6D62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23F72B34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FC6D62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4DB95B26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FC6D62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77944295" w:rsidR="00FC6D62" w:rsidRPr="00D87900" w:rsidRDefault="00FC6D62" w:rsidP="00FC6D62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16</w:t>
            </w:r>
            <w:r w:rsidR="00CE06DD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FC6D62" w:rsidRPr="00D87900" w:rsidRDefault="00FC6D62" w:rsidP="00FC6D62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9D22828" w14:textId="4A1127F9" w:rsidR="00176EE6" w:rsidRPr="00CE06DD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176EE6" w:rsidRPr="00CE06DD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FBE0" w14:textId="77777777" w:rsidR="00792B6E" w:rsidRDefault="00792B6E">
      <w:r>
        <w:separator/>
      </w:r>
    </w:p>
  </w:endnote>
  <w:endnote w:type="continuationSeparator" w:id="0">
    <w:p w14:paraId="5089CCC6" w14:textId="77777777" w:rsidR="00792B6E" w:rsidRDefault="0079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0527" w14:textId="77777777" w:rsidR="00792B6E" w:rsidRDefault="00792B6E">
      <w:r>
        <w:separator/>
      </w:r>
    </w:p>
  </w:footnote>
  <w:footnote w:type="continuationSeparator" w:id="0">
    <w:p w14:paraId="2F0F0A68" w14:textId="77777777" w:rsidR="00792B6E" w:rsidRDefault="0079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1596A"/>
    <w:rsid w:val="0003125F"/>
    <w:rsid w:val="00034FC3"/>
    <w:rsid w:val="00043880"/>
    <w:rsid w:val="000461C0"/>
    <w:rsid w:val="00071F1D"/>
    <w:rsid w:val="00085307"/>
    <w:rsid w:val="00087ADB"/>
    <w:rsid w:val="000A1AD0"/>
    <w:rsid w:val="000A358F"/>
    <w:rsid w:val="000A6035"/>
    <w:rsid w:val="000C7C0F"/>
    <w:rsid w:val="000D03BA"/>
    <w:rsid w:val="000F054E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76EE6"/>
    <w:rsid w:val="00180DF0"/>
    <w:rsid w:val="00185B8B"/>
    <w:rsid w:val="0018719C"/>
    <w:rsid w:val="00195BB1"/>
    <w:rsid w:val="0019770A"/>
    <w:rsid w:val="001A079F"/>
    <w:rsid w:val="001B530B"/>
    <w:rsid w:val="001B549E"/>
    <w:rsid w:val="001C7F9C"/>
    <w:rsid w:val="001F272B"/>
    <w:rsid w:val="002036C3"/>
    <w:rsid w:val="00207B2B"/>
    <w:rsid w:val="0021273D"/>
    <w:rsid w:val="0021341F"/>
    <w:rsid w:val="00236555"/>
    <w:rsid w:val="00242117"/>
    <w:rsid w:val="00255406"/>
    <w:rsid w:val="00255CD3"/>
    <w:rsid w:val="0028586A"/>
    <w:rsid w:val="00285DFB"/>
    <w:rsid w:val="00291148"/>
    <w:rsid w:val="002A4361"/>
    <w:rsid w:val="002A5F2F"/>
    <w:rsid w:val="002B5398"/>
    <w:rsid w:val="002C7961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3E052F"/>
    <w:rsid w:val="003F58CD"/>
    <w:rsid w:val="004226F7"/>
    <w:rsid w:val="00443CE0"/>
    <w:rsid w:val="0044686F"/>
    <w:rsid w:val="00463E8E"/>
    <w:rsid w:val="00466A25"/>
    <w:rsid w:val="00475A06"/>
    <w:rsid w:val="004B407E"/>
    <w:rsid w:val="004C0013"/>
    <w:rsid w:val="004C0BF9"/>
    <w:rsid w:val="004C51B1"/>
    <w:rsid w:val="004C592D"/>
    <w:rsid w:val="004D31F5"/>
    <w:rsid w:val="004D45BA"/>
    <w:rsid w:val="004F2E79"/>
    <w:rsid w:val="00500FC6"/>
    <w:rsid w:val="00501C84"/>
    <w:rsid w:val="00507B64"/>
    <w:rsid w:val="00510907"/>
    <w:rsid w:val="00515441"/>
    <w:rsid w:val="0053249A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D7FE9"/>
    <w:rsid w:val="005F6B84"/>
    <w:rsid w:val="00605354"/>
    <w:rsid w:val="006101A9"/>
    <w:rsid w:val="0061180F"/>
    <w:rsid w:val="0061573B"/>
    <w:rsid w:val="00617220"/>
    <w:rsid w:val="0062085F"/>
    <w:rsid w:val="0062591F"/>
    <w:rsid w:val="00631F2B"/>
    <w:rsid w:val="00636F51"/>
    <w:rsid w:val="00653BE0"/>
    <w:rsid w:val="00673D78"/>
    <w:rsid w:val="006769FC"/>
    <w:rsid w:val="00690C5D"/>
    <w:rsid w:val="00693099"/>
    <w:rsid w:val="006B5EF2"/>
    <w:rsid w:val="006C49C7"/>
    <w:rsid w:val="006C53DA"/>
    <w:rsid w:val="006E780B"/>
    <w:rsid w:val="006E78FB"/>
    <w:rsid w:val="006F2DDC"/>
    <w:rsid w:val="00707B92"/>
    <w:rsid w:val="00733B19"/>
    <w:rsid w:val="00747917"/>
    <w:rsid w:val="00782B10"/>
    <w:rsid w:val="00792B6E"/>
    <w:rsid w:val="007930DB"/>
    <w:rsid w:val="00796B8F"/>
    <w:rsid w:val="007A42F6"/>
    <w:rsid w:val="007C0574"/>
    <w:rsid w:val="007D05F6"/>
    <w:rsid w:val="007F5A82"/>
    <w:rsid w:val="007F5F33"/>
    <w:rsid w:val="00806C10"/>
    <w:rsid w:val="008178BC"/>
    <w:rsid w:val="00834298"/>
    <w:rsid w:val="00855BE9"/>
    <w:rsid w:val="0086215E"/>
    <w:rsid w:val="00866629"/>
    <w:rsid w:val="00866FC8"/>
    <w:rsid w:val="00872F40"/>
    <w:rsid w:val="00873A50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93207"/>
    <w:rsid w:val="009A6C44"/>
    <w:rsid w:val="009C0B65"/>
    <w:rsid w:val="009C3FE6"/>
    <w:rsid w:val="009E3D02"/>
    <w:rsid w:val="009E4B9A"/>
    <w:rsid w:val="009F7586"/>
    <w:rsid w:val="00A0163E"/>
    <w:rsid w:val="00A026DD"/>
    <w:rsid w:val="00A15418"/>
    <w:rsid w:val="00A16554"/>
    <w:rsid w:val="00A210E4"/>
    <w:rsid w:val="00A26547"/>
    <w:rsid w:val="00A329CF"/>
    <w:rsid w:val="00A426D6"/>
    <w:rsid w:val="00A4444D"/>
    <w:rsid w:val="00A4488B"/>
    <w:rsid w:val="00A45CBA"/>
    <w:rsid w:val="00A46659"/>
    <w:rsid w:val="00A71105"/>
    <w:rsid w:val="00AA0AEB"/>
    <w:rsid w:val="00AB0C10"/>
    <w:rsid w:val="00AD0EAA"/>
    <w:rsid w:val="00AD2113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537CC"/>
    <w:rsid w:val="00B5657C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D0FC9"/>
    <w:rsid w:val="00CD41CD"/>
    <w:rsid w:val="00CE06DD"/>
    <w:rsid w:val="00CF0BC6"/>
    <w:rsid w:val="00CF581C"/>
    <w:rsid w:val="00D03924"/>
    <w:rsid w:val="00D230BD"/>
    <w:rsid w:val="00D278A7"/>
    <w:rsid w:val="00D319A8"/>
    <w:rsid w:val="00D47B14"/>
    <w:rsid w:val="00D5728E"/>
    <w:rsid w:val="00D6473F"/>
    <w:rsid w:val="00D772FF"/>
    <w:rsid w:val="00D87900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07013"/>
    <w:rsid w:val="00E17974"/>
    <w:rsid w:val="00E3053F"/>
    <w:rsid w:val="00E34A14"/>
    <w:rsid w:val="00E36E8D"/>
    <w:rsid w:val="00E42C2A"/>
    <w:rsid w:val="00E5160D"/>
    <w:rsid w:val="00E57B5A"/>
    <w:rsid w:val="00E70544"/>
    <w:rsid w:val="00E779DC"/>
    <w:rsid w:val="00E80CD2"/>
    <w:rsid w:val="00E852E3"/>
    <w:rsid w:val="00EB17F7"/>
    <w:rsid w:val="00EE2DF5"/>
    <w:rsid w:val="00EF6090"/>
    <w:rsid w:val="00F07472"/>
    <w:rsid w:val="00F12DF2"/>
    <w:rsid w:val="00F223F9"/>
    <w:rsid w:val="00F32C63"/>
    <w:rsid w:val="00F43018"/>
    <w:rsid w:val="00F52C0F"/>
    <w:rsid w:val="00F6582A"/>
    <w:rsid w:val="00F71CE8"/>
    <w:rsid w:val="00F8187E"/>
    <w:rsid w:val="00F86AAE"/>
    <w:rsid w:val="00F906F5"/>
    <w:rsid w:val="00FA0E80"/>
    <w:rsid w:val="00FB50D4"/>
    <w:rsid w:val="00FC3CD4"/>
    <w:rsid w:val="00FC464E"/>
    <w:rsid w:val="00FC4D20"/>
    <w:rsid w:val="00FC6D62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CD3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CD3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1232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25.11.2025 r.</vt:lpstr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29.12.2025 r.</dc:title>
  <dc:subject/>
  <dc:creator>MF</dc:creator>
  <cp:keywords/>
  <dc:description/>
  <dcterms:created xsi:type="dcterms:W3CDTF">2025-11-27T13:17:00Z</dcterms:created>
  <dcterms:modified xsi:type="dcterms:W3CDTF">2026-01-07T12:36:00Z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