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DF5FD" w14:textId="77777777" w:rsidR="00FE4258" w:rsidRPr="00E570BD" w:rsidRDefault="00031741" w:rsidP="00031741">
      <w:pPr>
        <w:spacing w:after="0" w:line="259" w:lineRule="auto"/>
        <w:jc w:val="center"/>
        <w:rPr>
          <w:rFonts w:ascii="Times New Roman" w:hAnsi="Times New Roman" w:cs="Times New Roman"/>
          <w:b/>
          <w:bCs/>
          <w:color w:val="000000" w:themeColor="text1"/>
        </w:rPr>
      </w:pPr>
      <w:r w:rsidRPr="00E570BD">
        <w:rPr>
          <w:rFonts w:ascii="Times New Roman" w:hAnsi="Times New Roman" w:cs="Times New Roman"/>
          <w:b/>
          <w:bCs/>
          <w:color w:val="000000" w:themeColor="text1"/>
        </w:rPr>
        <w:t xml:space="preserve">Uwagi </w:t>
      </w:r>
      <w:r w:rsidR="0093094F" w:rsidRPr="00E570BD">
        <w:rPr>
          <w:rFonts w:ascii="Times New Roman" w:hAnsi="Times New Roman" w:cs="Times New Roman"/>
          <w:b/>
          <w:bCs/>
          <w:color w:val="000000" w:themeColor="text1"/>
        </w:rPr>
        <w:t xml:space="preserve">KKPK </w:t>
      </w:r>
    </w:p>
    <w:p w14:paraId="59D9DC24" w14:textId="792FEB2C" w:rsidR="00031741" w:rsidRPr="00E570BD" w:rsidRDefault="00031741" w:rsidP="00031741">
      <w:pPr>
        <w:spacing w:after="0" w:line="259" w:lineRule="auto"/>
        <w:jc w:val="center"/>
        <w:rPr>
          <w:rFonts w:ascii="Times New Roman" w:hAnsi="Times New Roman" w:cs="Times New Roman"/>
          <w:b/>
          <w:bCs/>
          <w:color w:val="000000" w:themeColor="text1"/>
        </w:rPr>
      </w:pPr>
      <w:r w:rsidRPr="00E570BD">
        <w:rPr>
          <w:rFonts w:ascii="Times New Roman" w:hAnsi="Times New Roman" w:cs="Times New Roman"/>
          <w:b/>
          <w:bCs/>
          <w:color w:val="000000" w:themeColor="text1"/>
        </w:rPr>
        <w:t>do projektu nowelizacji Kodeksu postępowania karnego</w:t>
      </w:r>
    </w:p>
    <w:p w14:paraId="15DF2719" w14:textId="2D64C833" w:rsidR="00031741" w:rsidRPr="00E570BD" w:rsidRDefault="00031741" w:rsidP="00031741">
      <w:pPr>
        <w:spacing w:after="0" w:line="259" w:lineRule="auto"/>
        <w:jc w:val="center"/>
        <w:rPr>
          <w:rFonts w:ascii="Times New Roman" w:hAnsi="Times New Roman" w:cs="Times New Roman"/>
          <w:b/>
          <w:bCs/>
          <w:color w:val="000000" w:themeColor="text1"/>
        </w:rPr>
      </w:pPr>
      <w:r w:rsidRPr="00E570BD">
        <w:rPr>
          <w:rFonts w:ascii="Times New Roman" w:hAnsi="Times New Roman" w:cs="Times New Roman"/>
          <w:b/>
          <w:bCs/>
          <w:color w:val="000000" w:themeColor="text1"/>
        </w:rPr>
        <w:t>wdrażającej Rozporządzenie PE i Rady (UE) 2023/1543 z dnia 12 lipca 2023 r. w sprawie europejskich nakazów wydania i europejskich nakazów zabezpieczenia dowodów elektronicznych w postępowaniu karnym oraz w postępowaniu karnym wykonawczym w związku z wykonywaniem kar pozbawienia wolności</w:t>
      </w:r>
    </w:p>
    <w:p w14:paraId="6C92A897" w14:textId="77777777" w:rsidR="00372144" w:rsidRPr="00E570BD" w:rsidRDefault="00372144" w:rsidP="00031741">
      <w:pPr>
        <w:spacing w:after="0" w:line="259" w:lineRule="auto"/>
        <w:jc w:val="center"/>
        <w:rPr>
          <w:rFonts w:ascii="Times New Roman" w:hAnsi="Times New Roman" w:cs="Times New Roman"/>
          <w:b/>
          <w:bCs/>
          <w:color w:val="000000" w:themeColor="text1"/>
        </w:rPr>
      </w:pPr>
    </w:p>
    <w:p w14:paraId="3CBF7BB7" w14:textId="30EFBA7B" w:rsidR="00372144" w:rsidRPr="00E570BD" w:rsidRDefault="0093094F" w:rsidP="00031741">
      <w:pPr>
        <w:spacing w:after="0" w:line="259" w:lineRule="auto"/>
        <w:jc w:val="center"/>
        <w:rPr>
          <w:rFonts w:ascii="Times New Roman" w:hAnsi="Times New Roman" w:cs="Times New Roman"/>
          <w:b/>
          <w:bCs/>
          <w:color w:val="000000" w:themeColor="text1"/>
          <w:u w:val="single"/>
        </w:rPr>
      </w:pPr>
      <w:r w:rsidRPr="00E570BD">
        <w:rPr>
          <w:rFonts w:ascii="Times New Roman" w:hAnsi="Times New Roman" w:cs="Times New Roman"/>
          <w:b/>
          <w:bCs/>
          <w:color w:val="000000" w:themeColor="text1"/>
          <w:u w:val="single"/>
        </w:rPr>
        <w:t>U</w:t>
      </w:r>
      <w:r w:rsidR="00372144" w:rsidRPr="00E570BD">
        <w:rPr>
          <w:rFonts w:ascii="Times New Roman" w:hAnsi="Times New Roman" w:cs="Times New Roman"/>
          <w:b/>
          <w:bCs/>
          <w:color w:val="000000" w:themeColor="text1"/>
          <w:u w:val="single"/>
        </w:rPr>
        <w:t>wagi dotyczą wersji projektu z dnia</w:t>
      </w:r>
      <w:r w:rsidRPr="00E570BD">
        <w:rPr>
          <w:rFonts w:ascii="Times New Roman" w:hAnsi="Times New Roman" w:cs="Times New Roman"/>
          <w:b/>
          <w:bCs/>
          <w:color w:val="000000" w:themeColor="text1"/>
          <w:u w:val="single"/>
        </w:rPr>
        <w:t xml:space="preserve"> 23 kwietnia 2026 r.</w:t>
      </w:r>
      <w:r w:rsidR="00372144" w:rsidRPr="00E570BD">
        <w:rPr>
          <w:rFonts w:ascii="Times New Roman" w:hAnsi="Times New Roman" w:cs="Times New Roman"/>
          <w:b/>
          <w:bCs/>
          <w:color w:val="000000" w:themeColor="text1"/>
          <w:u w:val="single"/>
        </w:rPr>
        <w:t xml:space="preserve"> </w:t>
      </w:r>
    </w:p>
    <w:p w14:paraId="2CEBB1A4" w14:textId="77777777" w:rsidR="00031741" w:rsidRPr="00E570BD" w:rsidRDefault="00031741" w:rsidP="00031741">
      <w:pPr>
        <w:spacing w:after="0" w:line="259" w:lineRule="auto"/>
        <w:jc w:val="center"/>
        <w:rPr>
          <w:rFonts w:ascii="Times New Roman" w:hAnsi="Times New Roman" w:cs="Times New Roman"/>
          <w:b/>
          <w:bCs/>
          <w:color w:val="000000" w:themeColor="text1"/>
        </w:rPr>
      </w:pPr>
    </w:p>
    <w:p w14:paraId="690AA5F6" w14:textId="77777777" w:rsidR="00031741" w:rsidRPr="00E570BD" w:rsidRDefault="00031741" w:rsidP="00031741">
      <w:pPr>
        <w:spacing w:after="0" w:line="259" w:lineRule="auto"/>
        <w:rPr>
          <w:rFonts w:ascii="Times New Roman" w:hAnsi="Times New Roman" w:cs="Times New Roman"/>
          <w:color w:val="000000" w:themeColor="text1"/>
        </w:rPr>
      </w:pPr>
    </w:p>
    <w:p w14:paraId="588DAFD9" w14:textId="77777777" w:rsidR="00031741" w:rsidRPr="00E570BD" w:rsidRDefault="00031741" w:rsidP="00031741">
      <w:pPr>
        <w:numPr>
          <w:ilvl w:val="0"/>
          <w:numId w:val="3"/>
        </w:numPr>
        <w:spacing w:after="0" w:line="276" w:lineRule="auto"/>
        <w:contextualSpacing/>
        <w:jc w:val="both"/>
        <w:rPr>
          <w:rFonts w:ascii="Times New Roman" w:hAnsi="Times New Roman" w:cs="Times New Roman"/>
          <w:b/>
          <w:bCs/>
          <w:color w:val="000000" w:themeColor="text1"/>
        </w:rPr>
      </w:pPr>
      <w:r w:rsidRPr="00E570BD">
        <w:rPr>
          <w:rFonts w:ascii="Times New Roman" w:hAnsi="Times New Roman" w:cs="Times New Roman"/>
          <w:b/>
          <w:bCs/>
          <w:color w:val="000000" w:themeColor="text1"/>
        </w:rPr>
        <w:t xml:space="preserve">Uwagi wprowadzające </w:t>
      </w:r>
    </w:p>
    <w:p w14:paraId="4E9FFDBC" w14:textId="77777777" w:rsidR="00031741" w:rsidRPr="00E570BD" w:rsidRDefault="00031741" w:rsidP="00031741">
      <w:pPr>
        <w:numPr>
          <w:ilvl w:val="1"/>
          <w:numId w:val="3"/>
        </w:numPr>
        <w:spacing w:after="0" w:line="276" w:lineRule="auto"/>
        <w:contextualSpacing/>
        <w:jc w:val="both"/>
        <w:rPr>
          <w:rFonts w:ascii="Times New Roman" w:hAnsi="Times New Roman" w:cs="Times New Roman"/>
          <w:color w:val="000000" w:themeColor="text1"/>
        </w:rPr>
      </w:pPr>
      <w:r w:rsidRPr="00E570BD">
        <w:rPr>
          <w:rFonts w:ascii="Times New Roman" w:hAnsi="Times New Roman" w:cs="Times New Roman"/>
          <w:color w:val="000000" w:themeColor="text1"/>
        </w:rPr>
        <w:t xml:space="preserve"> Pomimo, że Rozporządzenie jest aktem prawa unijnego, który obowiązuje bezpośrednio i zasadniczo nie wymaga wdrożenia, za zasadne należy uznać wprowadzenie do Kodeksu postępowania karnego przepisów, które ułatwią stosowanie tego aktu prawnego. Przepisy wdrażające powinny się jednak ograniczać do kwestii pozostawionych w Rozporządzeniu regulacjom krajowym oraz tym, które są w nim uregulowane na tyle ogólnie, że wymagają doprecyzowania w k.p.k. W szczególności, przepisy wdrażające powinny objąć następujące zagadnienia:</w:t>
      </w:r>
    </w:p>
    <w:p w14:paraId="6AD5F055" w14:textId="77777777" w:rsidR="00031741" w:rsidRPr="00E570BD" w:rsidRDefault="00031741" w:rsidP="00031741">
      <w:pPr>
        <w:numPr>
          <w:ilvl w:val="0"/>
          <w:numId w:val="2"/>
        </w:numPr>
        <w:shd w:val="clear" w:color="auto" w:fill="FFFFFF"/>
        <w:spacing w:before="100" w:beforeAutospacing="1" w:after="100" w:afterAutospacing="1" w:line="240" w:lineRule="auto"/>
        <w:contextualSpacing/>
        <w:jc w:val="both"/>
        <w:rPr>
          <w:rFonts w:ascii="Times New Roman" w:eastAsia="Times New Roman" w:hAnsi="Times New Roman" w:cs="Times New Roman"/>
          <w:color w:val="000000" w:themeColor="text1"/>
          <w:kern w:val="0"/>
          <w:lang w:eastAsia="pl-PL"/>
          <w14:ligatures w14:val="none"/>
        </w:rPr>
      </w:pPr>
      <w:r w:rsidRPr="00E570BD">
        <w:rPr>
          <w:rFonts w:ascii="Times New Roman" w:eastAsia="Times New Roman" w:hAnsi="Times New Roman" w:cs="Times New Roman"/>
          <w:color w:val="000000" w:themeColor="text1"/>
          <w:kern w:val="0"/>
          <w:lang w:eastAsia="pl-PL"/>
          <w14:ligatures w14:val="none"/>
        </w:rPr>
        <w:t>Wskazanie organów krajowych właściwych do podejmowania decyzji w sprawach objętych Rozporządzeniem, w szczególności organów właściwych do wydania EPOC oraz EPOC-PR;</w:t>
      </w:r>
    </w:p>
    <w:p w14:paraId="2C71E152" w14:textId="77777777" w:rsidR="00031741" w:rsidRPr="00E570BD" w:rsidRDefault="00031741" w:rsidP="00031741">
      <w:pPr>
        <w:numPr>
          <w:ilvl w:val="0"/>
          <w:numId w:val="2"/>
        </w:numPr>
        <w:shd w:val="clear" w:color="auto" w:fill="FFFFFF"/>
        <w:spacing w:before="100" w:beforeAutospacing="1" w:after="100" w:afterAutospacing="1" w:line="240" w:lineRule="auto"/>
        <w:contextualSpacing/>
        <w:jc w:val="both"/>
        <w:rPr>
          <w:rFonts w:ascii="Times New Roman" w:eastAsia="Times New Roman" w:hAnsi="Times New Roman" w:cs="Times New Roman"/>
          <w:color w:val="000000" w:themeColor="text1"/>
          <w:kern w:val="0"/>
          <w:lang w:eastAsia="pl-PL"/>
          <w14:ligatures w14:val="none"/>
        </w:rPr>
      </w:pPr>
      <w:r w:rsidRPr="00E570BD">
        <w:rPr>
          <w:rFonts w:ascii="Times New Roman" w:eastAsia="Times New Roman" w:hAnsi="Times New Roman" w:cs="Times New Roman"/>
          <w:color w:val="000000" w:themeColor="text1"/>
          <w:kern w:val="0"/>
          <w:lang w:eastAsia="pl-PL"/>
          <w14:ligatures w14:val="none"/>
        </w:rPr>
        <w:t>Zapewnienie możliwość korzystania z nakazów po spełnieniu wymogu, aby “podobny nakaz mógł zostać wydany na tych samych warunkach w podobnej sprawie krajowej”;</w:t>
      </w:r>
    </w:p>
    <w:p w14:paraId="27DDC4C2" w14:textId="77777777" w:rsidR="00031741" w:rsidRPr="00E570BD" w:rsidRDefault="00031741" w:rsidP="00031741">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themeColor="text1"/>
          <w:kern w:val="0"/>
          <w:lang w:eastAsia="pl-PL"/>
          <w14:ligatures w14:val="none"/>
        </w:rPr>
      </w:pPr>
      <w:r w:rsidRPr="00E570BD">
        <w:rPr>
          <w:rFonts w:ascii="Times New Roman" w:eastAsia="Times New Roman" w:hAnsi="Times New Roman" w:cs="Times New Roman"/>
          <w:color w:val="000000" w:themeColor="text1"/>
          <w:kern w:val="0"/>
          <w:lang w:eastAsia="pl-PL"/>
          <w14:ligatures w14:val="none"/>
        </w:rPr>
        <w:t>Zapewnienie skutecznych środków prawnych (zgodnie z art. 18 Rozporządzenia i orzecznictwem europejskim);</w:t>
      </w:r>
    </w:p>
    <w:p w14:paraId="01D20246" w14:textId="77777777" w:rsidR="00031741" w:rsidRPr="00E570BD" w:rsidRDefault="00031741" w:rsidP="00031741">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themeColor="text1"/>
          <w:kern w:val="0"/>
          <w:lang w:eastAsia="pl-PL"/>
          <w14:ligatures w14:val="none"/>
        </w:rPr>
      </w:pPr>
      <w:r w:rsidRPr="00E570BD">
        <w:rPr>
          <w:rFonts w:ascii="Times New Roman" w:eastAsia="Times New Roman" w:hAnsi="Times New Roman" w:cs="Times New Roman"/>
          <w:color w:val="000000" w:themeColor="text1"/>
          <w:kern w:val="0"/>
          <w:lang w:eastAsia="pl-PL"/>
          <w14:ligatures w14:val="none"/>
        </w:rPr>
        <w:t>Uregulowanie procedury rozstrzygania konfliktów prawnych, o których mowa w art. 17 Rozporządzenia;</w:t>
      </w:r>
    </w:p>
    <w:p w14:paraId="70ADE8F4" w14:textId="77777777" w:rsidR="00031741" w:rsidRPr="00E570BD" w:rsidRDefault="00031741" w:rsidP="00031741">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themeColor="text1"/>
          <w:kern w:val="0"/>
          <w:lang w:eastAsia="pl-PL"/>
          <w14:ligatures w14:val="none"/>
        </w:rPr>
      </w:pPr>
      <w:r w:rsidRPr="00E570BD">
        <w:rPr>
          <w:rFonts w:ascii="Times New Roman" w:eastAsia="Times New Roman" w:hAnsi="Times New Roman" w:cs="Times New Roman"/>
          <w:color w:val="000000" w:themeColor="text1"/>
          <w:kern w:val="0"/>
          <w:lang w:eastAsia="pl-PL"/>
          <w14:ligatures w14:val="none"/>
        </w:rPr>
        <w:t xml:space="preserve">Uregulowanie procedury odroczenia informowania osoby, której dane mają być pozyskane, o wydaniu EPOC i o pozyskaniu jej danych, jak również odroczenia </w:t>
      </w:r>
      <w:proofErr w:type="gramStart"/>
      <w:r w:rsidRPr="00E570BD">
        <w:rPr>
          <w:rFonts w:ascii="Times New Roman" w:eastAsia="Times New Roman" w:hAnsi="Times New Roman" w:cs="Times New Roman"/>
          <w:color w:val="000000" w:themeColor="text1"/>
          <w:kern w:val="0"/>
          <w:lang w:eastAsia="pl-PL"/>
          <w14:ligatures w14:val="none"/>
        </w:rPr>
        <w:t>procedury  informowania</w:t>
      </w:r>
      <w:proofErr w:type="gramEnd"/>
      <w:r w:rsidRPr="00E570BD">
        <w:rPr>
          <w:rFonts w:ascii="Times New Roman" w:eastAsia="Times New Roman" w:hAnsi="Times New Roman" w:cs="Times New Roman"/>
          <w:color w:val="000000" w:themeColor="text1"/>
          <w:kern w:val="0"/>
          <w:lang w:eastAsia="pl-PL"/>
          <w14:ligatures w14:val="none"/>
        </w:rPr>
        <w:t xml:space="preserve"> administratora danych – wdrożenie art. 13 oraz art. 5 ust. 7 Rozporządzenia. </w:t>
      </w:r>
    </w:p>
    <w:p w14:paraId="5ACEDB51" w14:textId="77777777" w:rsidR="00031741" w:rsidRPr="00E570BD" w:rsidRDefault="00031741" w:rsidP="00031741">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themeColor="text1"/>
          <w:kern w:val="0"/>
          <w:lang w:eastAsia="pl-PL"/>
          <w14:ligatures w14:val="none"/>
        </w:rPr>
      </w:pPr>
      <w:r w:rsidRPr="00E570BD">
        <w:rPr>
          <w:rFonts w:ascii="Times New Roman" w:eastAsia="Times New Roman" w:hAnsi="Times New Roman" w:cs="Times New Roman"/>
          <w:color w:val="000000" w:themeColor="text1"/>
          <w:kern w:val="0"/>
          <w:lang w:eastAsia="pl-PL"/>
          <w14:ligatures w14:val="none"/>
        </w:rPr>
        <w:t>Zapewnienie skutecznych środków przymusu, w szczególności kar z art. 15 Rozporządzenia.</w:t>
      </w:r>
    </w:p>
    <w:p w14:paraId="4CC09AF3" w14:textId="77777777" w:rsidR="00031741" w:rsidRPr="00E570BD" w:rsidRDefault="00031741" w:rsidP="00031741">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themeColor="text1"/>
          <w:kern w:val="0"/>
          <w:lang w:eastAsia="pl-PL"/>
          <w14:ligatures w14:val="none"/>
        </w:rPr>
      </w:pPr>
      <w:r w:rsidRPr="00E570BD">
        <w:rPr>
          <w:rFonts w:ascii="Times New Roman" w:eastAsia="Times New Roman" w:hAnsi="Times New Roman" w:cs="Times New Roman"/>
          <w:color w:val="000000" w:themeColor="text1"/>
          <w:kern w:val="0"/>
          <w:lang w:eastAsia="pl-PL"/>
          <w14:ligatures w14:val="none"/>
        </w:rPr>
        <w:t>Rozstrzygnięcie kwestii technicznych (przystąpienie do systemu oferowanego przez Komisję lub stworzenie własnego);</w:t>
      </w:r>
    </w:p>
    <w:p w14:paraId="14054508" w14:textId="51D67757" w:rsidR="00031741" w:rsidRPr="00E570BD" w:rsidRDefault="00031741" w:rsidP="00031741">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themeColor="text1"/>
          <w:kern w:val="0"/>
          <w:lang w:eastAsia="pl-PL"/>
          <w14:ligatures w14:val="none"/>
        </w:rPr>
      </w:pPr>
      <w:r w:rsidRPr="00E570BD">
        <w:rPr>
          <w:rFonts w:ascii="Times New Roman" w:eastAsia="Times New Roman" w:hAnsi="Times New Roman" w:cs="Times New Roman"/>
          <w:color w:val="000000" w:themeColor="text1"/>
          <w:kern w:val="0"/>
          <w:lang w:eastAsia="pl-PL"/>
          <w14:ligatures w14:val="none"/>
        </w:rPr>
        <w:t>Zapewnienie wykonalności nakazów przychodzących (brak konfliktu z prawem krajowym) oraz wskazanie organów właściwych w ramach postępowania przymuszającego.</w:t>
      </w:r>
      <w:r w:rsidRPr="00E570BD">
        <w:rPr>
          <w:rFonts w:ascii="Times New Roman" w:hAnsi="Times New Roman" w:cs="Times New Roman"/>
          <w:color w:val="000000" w:themeColor="text1"/>
          <w:shd w:val="clear" w:color="auto" w:fill="FFFF00"/>
        </w:rPr>
        <w:t xml:space="preserve"> </w:t>
      </w:r>
    </w:p>
    <w:p w14:paraId="6C091027" w14:textId="096149E2" w:rsidR="009533E2" w:rsidRPr="00E570BD" w:rsidRDefault="00031741" w:rsidP="009533E2">
      <w:pPr>
        <w:spacing w:after="0" w:line="276" w:lineRule="auto"/>
        <w:jc w:val="both"/>
        <w:rPr>
          <w:rFonts w:ascii="Times New Roman" w:hAnsi="Times New Roman" w:cs="Times New Roman"/>
          <w:color w:val="000000" w:themeColor="text1"/>
        </w:rPr>
      </w:pPr>
      <w:r w:rsidRPr="00E570BD">
        <w:rPr>
          <w:rFonts w:ascii="Times New Roman" w:hAnsi="Times New Roman" w:cs="Times New Roman"/>
          <w:color w:val="000000" w:themeColor="text1"/>
        </w:rPr>
        <w:t xml:space="preserve">Dodatkowo projektowane przepisy nie mogą w żadnym zakresie kolidować z treścią normatywną Rozporządzenia 2023/1543. Trzeba bowiem pamiętać, że w razie stwierdzenia takiej kolizji, pierwszeństwo stosowania i tak uzyskają postanowienia Rozporządzenia 2023/1543, a to zgodnie z zasadą pierwszeństwa prawa UE. </w:t>
      </w:r>
      <w:r w:rsidR="009533E2" w:rsidRPr="00E570BD">
        <w:rPr>
          <w:rFonts w:ascii="Times New Roman" w:hAnsi="Times New Roman" w:cs="Times New Roman"/>
          <w:color w:val="000000" w:themeColor="text1"/>
        </w:rPr>
        <w:t>Tymczasem w przedłożonym projekcie znalazły się przepisy zbędnie „przepisane” z Rozporządzenia a dotyczące kwestii, które nie wymagają interwencji ustawodawczej, o czym szerzej w uwagach szczegółowych.</w:t>
      </w:r>
    </w:p>
    <w:p w14:paraId="496728FA" w14:textId="32BD877A" w:rsidR="000E099E" w:rsidRPr="00E570BD" w:rsidRDefault="000E099E" w:rsidP="00031741">
      <w:pPr>
        <w:spacing w:after="0" w:line="276" w:lineRule="auto"/>
        <w:jc w:val="both"/>
        <w:rPr>
          <w:rFonts w:ascii="Times New Roman" w:hAnsi="Times New Roman" w:cs="Times New Roman"/>
          <w:color w:val="000000" w:themeColor="text1"/>
        </w:rPr>
      </w:pPr>
    </w:p>
    <w:p w14:paraId="2935F4D6" w14:textId="68645476" w:rsidR="00031741" w:rsidRPr="00E570BD" w:rsidRDefault="000E099E" w:rsidP="00031741">
      <w:pPr>
        <w:spacing w:after="0" w:line="276" w:lineRule="auto"/>
        <w:jc w:val="both"/>
        <w:rPr>
          <w:rFonts w:ascii="Times New Roman" w:hAnsi="Times New Roman" w:cs="Times New Roman"/>
          <w:color w:val="000000" w:themeColor="text1"/>
        </w:rPr>
      </w:pPr>
      <w:r w:rsidRPr="00E570BD">
        <w:rPr>
          <w:rFonts w:ascii="Times New Roman" w:hAnsi="Times New Roman" w:cs="Times New Roman"/>
          <w:color w:val="000000" w:themeColor="text1"/>
        </w:rPr>
        <w:lastRenderedPageBreak/>
        <w:t xml:space="preserve">Podsumowując, </w:t>
      </w:r>
      <w:r w:rsidR="004E4BEE" w:rsidRPr="00E570BD">
        <w:rPr>
          <w:rFonts w:ascii="Times New Roman" w:hAnsi="Times New Roman" w:cs="Times New Roman"/>
          <w:color w:val="000000" w:themeColor="text1"/>
        </w:rPr>
        <w:t xml:space="preserve">słuszne było podjęcie inicjatywy wprowadzenia do Kodeksu postępowania karnego </w:t>
      </w:r>
      <w:r w:rsidR="005E6C8A" w:rsidRPr="00E570BD">
        <w:rPr>
          <w:rFonts w:ascii="Times New Roman" w:hAnsi="Times New Roman" w:cs="Times New Roman"/>
          <w:color w:val="000000" w:themeColor="text1"/>
        </w:rPr>
        <w:t xml:space="preserve">przepisów ułatwiających stosowanie Rozporządzenia. W ocenie KKPK </w:t>
      </w:r>
      <w:r w:rsidR="00BA4ED5" w:rsidRPr="00E570BD">
        <w:rPr>
          <w:rFonts w:ascii="Times New Roman" w:hAnsi="Times New Roman" w:cs="Times New Roman"/>
          <w:color w:val="000000" w:themeColor="text1"/>
        </w:rPr>
        <w:t xml:space="preserve">prawidłowo też zaproponowano w projekcie umieszczenie tych przepisów w </w:t>
      </w:r>
      <w:r w:rsidR="005E6C8A" w:rsidRPr="00E570BD">
        <w:rPr>
          <w:rFonts w:ascii="Times New Roman" w:hAnsi="Times New Roman" w:cs="Times New Roman"/>
          <w:color w:val="000000" w:themeColor="text1"/>
        </w:rPr>
        <w:t>Dzi</w:t>
      </w:r>
      <w:r w:rsidR="00BA4ED5" w:rsidRPr="00E570BD">
        <w:rPr>
          <w:rFonts w:ascii="Times New Roman" w:hAnsi="Times New Roman" w:cs="Times New Roman"/>
          <w:color w:val="000000" w:themeColor="text1"/>
        </w:rPr>
        <w:t xml:space="preserve">ale </w:t>
      </w:r>
      <w:r w:rsidR="005E6C8A" w:rsidRPr="00E570BD">
        <w:rPr>
          <w:rFonts w:ascii="Times New Roman" w:hAnsi="Times New Roman" w:cs="Times New Roman"/>
          <w:color w:val="000000" w:themeColor="text1"/>
        </w:rPr>
        <w:t>XIII k.p.k.</w:t>
      </w:r>
      <w:r w:rsidR="00BA4ED5" w:rsidRPr="00E570BD">
        <w:rPr>
          <w:rFonts w:ascii="Times New Roman" w:hAnsi="Times New Roman" w:cs="Times New Roman"/>
          <w:color w:val="000000" w:themeColor="text1"/>
        </w:rPr>
        <w:t xml:space="preserve">  </w:t>
      </w:r>
    </w:p>
    <w:p w14:paraId="15FE80AC" w14:textId="77777777" w:rsidR="00031741" w:rsidRPr="00E570BD" w:rsidRDefault="00031741" w:rsidP="00031741">
      <w:pPr>
        <w:spacing w:after="0" w:line="276" w:lineRule="auto"/>
        <w:jc w:val="both"/>
        <w:rPr>
          <w:rFonts w:ascii="Times New Roman" w:hAnsi="Times New Roman" w:cs="Times New Roman"/>
          <w:color w:val="000000" w:themeColor="text1"/>
        </w:rPr>
      </w:pPr>
    </w:p>
    <w:p w14:paraId="5F9B1289" w14:textId="370A5D64" w:rsidR="00031741" w:rsidRPr="00E570BD" w:rsidRDefault="00031741" w:rsidP="00031741">
      <w:pPr>
        <w:numPr>
          <w:ilvl w:val="1"/>
          <w:numId w:val="3"/>
        </w:numPr>
        <w:spacing w:after="0" w:line="276" w:lineRule="auto"/>
        <w:contextualSpacing/>
        <w:jc w:val="both"/>
        <w:rPr>
          <w:rFonts w:ascii="Times New Roman" w:hAnsi="Times New Roman" w:cs="Times New Roman"/>
          <w:color w:val="000000" w:themeColor="text1"/>
        </w:rPr>
      </w:pPr>
      <w:r w:rsidRPr="00E570BD">
        <w:rPr>
          <w:rFonts w:ascii="Times New Roman" w:hAnsi="Times New Roman" w:cs="Times New Roman"/>
          <w:color w:val="000000" w:themeColor="text1"/>
        </w:rPr>
        <w:t xml:space="preserve"> W projekcie przyjęto aparat pojęciowy i terminologię zdefiniowaną w Rozporządzeniu 2023/1543, a konkretnie podział danych elektronicznych na „dane abonenta”, „dane, których zażądano wyłącznie w celu identyfikacji użytkownika”, „dane o ruchu” oraz „dane dotyczące treści” (art. 3 pkt 9-12 Rozporządzenia). Jest to słuszne postąpienie, jednak w rezultacie przyjęcia projektu pozyskiwanie danych elektronicznych od operatora świadczącego usługi w innym państwie członkowskim, zwłaszcza w zakresie danych o ruchu, będzie się odbywało w innym reżimie procesowym (z zastosowaniem innych standardów ochrony praw jednostki) niż pozyskiwanie takiej samej kategorii danych od „operatora krajowego”. Do tego ostatniego przypadku znajdzie bowiem zastosowanie art. 218 k.p.k., który jednak nie posługuje się pojęciem „danych o ruchu</w:t>
      </w:r>
      <w:r w:rsidR="00204C63" w:rsidRPr="00E570BD">
        <w:rPr>
          <w:rFonts w:ascii="Times New Roman" w:hAnsi="Times New Roman" w:cs="Times New Roman"/>
          <w:color w:val="000000" w:themeColor="text1"/>
        </w:rPr>
        <w:t>”</w:t>
      </w:r>
      <w:r w:rsidRPr="00E570BD">
        <w:rPr>
          <w:rFonts w:ascii="Times New Roman" w:hAnsi="Times New Roman" w:cs="Times New Roman"/>
          <w:color w:val="000000" w:themeColor="text1"/>
        </w:rPr>
        <w:t xml:space="preserve">. Należy więc rozważyć wprowadzenie podobnej siatki pojęciowej także do przepisów regulujących krajowe pozyskiwanie tych kategorii danych. W konsekwencji zmiany w powyższym zakresie powinny objąć treść art. 45 ust. 1 i art. 49 ustawy z dnia 12 lipca 2024 r. - Prawo komunikacji elektronicznej (Dz. U. poz. 1221) oraz przepisy wskazane w obu regulacjach.  </w:t>
      </w:r>
    </w:p>
    <w:p w14:paraId="5B22F99E" w14:textId="274E2468" w:rsidR="00031741" w:rsidRPr="00E570BD" w:rsidRDefault="009647A6" w:rsidP="00031741">
      <w:pPr>
        <w:pStyle w:val="Akapitzlist"/>
        <w:numPr>
          <w:ilvl w:val="1"/>
          <w:numId w:val="3"/>
        </w:numPr>
        <w:spacing w:after="0" w:line="276" w:lineRule="auto"/>
        <w:jc w:val="both"/>
        <w:rPr>
          <w:rFonts w:ascii="Times New Roman" w:hAnsi="Times New Roman" w:cs="Times New Roman"/>
          <w:color w:val="000000" w:themeColor="text1"/>
        </w:rPr>
      </w:pPr>
      <w:r w:rsidRPr="00E570BD">
        <w:rPr>
          <w:rFonts w:ascii="Times New Roman" w:hAnsi="Times New Roman" w:cs="Times New Roman"/>
          <w:color w:val="000000" w:themeColor="text1"/>
        </w:rPr>
        <w:t xml:space="preserve"> </w:t>
      </w:r>
      <w:r w:rsidR="00031741" w:rsidRPr="00E570BD">
        <w:rPr>
          <w:rFonts w:ascii="Times New Roman" w:hAnsi="Times New Roman" w:cs="Times New Roman"/>
          <w:color w:val="000000" w:themeColor="text1"/>
        </w:rPr>
        <w:t>Rozporządzenie nie ma celu harmonizującego przepisy krajowe w zakresie nim nieobjętym. Nie obliguje więc ustawodawcy krajowego do wprowadzenia identycznego jak w Rozporządzeniu standardu ochrony praw jednostki do procedury pozyskiwania danych elektronicznych w sprawach czysto krajowych (od operatorów krajowych). Fakt, że w sprawach czysto krajowych dane o ruchu może pozyskiwać prokurator (art. 218 k.p.k.) a nie wyłączenie sąd, nie stanowi przeszkody do prawidłowego i efektywnego wykonywania Rozporządzenia. Jednak standard wyznaczony w tym zakresie w Rozporządzeniu, jak również w orzecznictwie TSUE, stanowi istotny argument na rzecz wzmocnienia ochrony praw jednostki w związku z pozyskiwaniem danych o ruchu i danych o treści. Jest to jednak zagadnienie odrębne od samego wdrożenia Rozporządzenia. Dodać należy, że z perspektywy ochrony prywatności oraz danych osoby</w:t>
      </w:r>
      <w:r w:rsidR="001A3987" w:rsidRPr="00E570BD">
        <w:rPr>
          <w:rFonts w:ascii="Times New Roman" w:hAnsi="Times New Roman" w:cs="Times New Roman"/>
          <w:color w:val="000000" w:themeColor="text1"/>
        </w:rPr>
        <w:t>,</w:t>
      </w:r>
      <w:r w:rsidR="00031741" w:rsidRPr="00E570BD">
        <w:rPr>
          <w:rFonts w:ascii="Times New Roman" w:hAnsi="Times New Roman" w:cs="Times New Roman"/>
          <w:color w:val="000000" w:themeColor="text1"/>
        </w:rPr>
        <w:t xml:space="preserve"> regulacje w zakresie pozyskania danych osobowych na rzecz prowadzonego postępowania karnego – krajowego lub w państwie członkowskim – powinny być tożsame.  W świetle orzecznictwa TSUE przepisy krajowe umożliwiające dostęp organów władzy publicznej do wyciągów telefonicznych zawierających zbiór danych o ruchu lub danych o lokalizacji mogących pozwolić na wyciągnięcie precyzyjnych wniosków na temat życia prywatnego danego użytkownika są uzasadnione jedynie w przypadku ścigania poważnych przestępstw, takich jak poważne zagrożenia bezpieczeństwa publicznego, rozumianego jako bezpieczeństwo państwa, i inne formy poważnej przestępczości.  Trybunał Sprawiedliwości UE m.in. w wyroku z dnia 30 kwietnia 2024 r. w sprawie C- 178122, </w:t>
      </w:r>
      <w:r w:rsidR="00031741" w:rsidRPr="00E570BD">
        <w:rPr>
          <w:rFonts w:ascii="Times New Roman" w:hAnsi="Times New Roman" w:cs="Times New Roman"/>
          <w:i/>
          <w:iCs/>
          <w:color w:val="000000" w:themeColor="text1"/>
        </w:rPr>
        <w:t xml:space="preserve">Procura </w:t>
      </w:r>
      <w:proofErr w:type="spellStart"/>
      <w:r w:rsidR="00031741" w:rsidRPr="00E570BD">
        <w:rPr>
          <w:rFonts w:ascii="Times New Roman" w:hAnsi="Times New Roman" w:cs="Times New Roman"/>
          <w:i/>
          <w:iCs/>
          <w:color w:val="000000" w:themeColor="text1"/>
        </w:rPr>
        <w:t>della</w:t>
      </w:r>
      <w:proofErr w:type="spellEnd"/>
      <w:r w:rsidR="00031741" w:rsidRPr="00E570BD">
        <w:rPr>
          <w:rFonts w:ascii="Times New Roman" w:hAnsi="Times New Roman" w:cs="Times New Roman"/>
          <w:i/>
          <w:iCs/>
          <w:color w:val="000000" w:themeColor="text1"/>
        </w:rPr>
        <w:t xml:space="preserve"> </w:t>
      </w:r>
      <w:proofErr w:type="spellStart"/>
      <w:r w:rsidR="00031741" w:rsidRPr="00E570BD">
        <w:rPr>
          <w:rFonts w:ascii="Times New Roman" w:hAnsi="Times New Roman" w:cs="Times New Roman"/>
          <w:i/>
          <w:iCs/>
          <w:color w:val="000000" w:themeColor="text1"/>
        </w:rPr>
        <w:t>Repubblica</w:t>
      </w:r>
      <w:proofErr w:type="spellEnd"/>
      <w:r w:rsidR="00031741" w:rsidRPr="00E570BD">
        <w:rPr>
          <w:rFonts w:ascii="Times New Roman" w:hAnsi="Times New Roman" w:cs="Times New Roman"/>
          <w:i/>
          <w:iCs/>
          <w:color w:val="000000" w:themeColor="text1"/>
        </w:rPr>
        <w:t xml:space="preserve"> </w:t>
      </w:r>
      <w:proofErr w:type="spellStart"/>
      <w:r w:rsidR="00031741" w:rsidRPr="00E570BD">
        <w:rPr>
          <w:rFonts w:ascii="Times New Roman" w:hAnsi="Times New Roman" w:cs="Times New Roman"/>
          <w:i/>
          <w:iCs/>
          <w:color w:val="000000" w:themeColor="text1"/>
        </w:rPr>
        <w:t>presso</w:t>
      </w:r>
      <w:proofErr w:type="spellEnd"/>
      <w:r w:rsidR="00031741" w:rsidRPr="00E570BD">
        <w:rPr>
          <w:rFonts w:ascii="Times New Roman" w:hAnsi="Times New Roman" w:cs="Times New Roman"/>
          <w:i/>
          <w:iCs/>
          <w:color w:val="000000" w:themeColor="text1"/>
        </w:rPr>
        <w:t xml:space="preserve"> ił </w:t>
      </w:r>
      <w:proofErr w:type="spellStart"/>
      <w:r w:rsidR="00031741" w:rsidRPr="00E570BD">
        <w:rPr>
          <w:rFonts w:ascii="Times New Roman" w:hAnsi="Times New Roman" w:cs="Times New Roman"/>
          <w:i/>
          <w:iCs/>
          <w:color w:val="000000" w:themeColor="text1"/>
        </w:rPr>
        <w:t>Tribunale</w:t>
      </w:r>
      <w:proofErr w:type="spellEnd"/>
      <w:r w:rsidR="00031741" w:rsidRPr="00E570BD">
        <w:rPr>
          <w:rFonts w:ascii="Times New Roman" w:hAnsi="Times New Roman" w:cs="Times New Roman"/>
          <w:i/>
          <w:iCs/>
          <w:color w:val="000000" w:themeColor="text1"/>
        </w:rPr>
        <w:t xml:space="preserve"> di </w:t>
      </w:r>
      <w:proofErr w:type="spellStart"/>
      <w:r w:rsidR="00031741" w:rsidRPr="00E570BD">
        <w:rPr>
          <w:rFonts w:ascii="Times New Roman" w:hAnsi="Times New Roman" w:cs="Times New Roman"/>
          <w:i/>
          <w:iCs/>
          <w:color w:val="000000" w:themeColor="text1"/>
        </w:rPr>
        <w:t>Bolzano</w:t>
      </w:r>
      <w:proofErr w:type="spellEnd"/>
      <w:r w:rsidR="00031741" w:rsidRPr="00E570BD">
        <w:rPr>
          <w:rFonts w:ascii="Times New Roman" w:hAnsi="Times New Roman" w:cs="Times New Roman"/>
          <w:color w:val="000000" w:themeColor="text1"/>
        </w:rPr>
        <w:t xml:space="preserve">, wskazał, że dostęp organów ścigania i wymiaru sprawiedliwości do danych o ruchu i danych o lokalizacji zatrzymywanych przez dostawców usług łączności elektronicznej powinien mieć miejsce jedynie celu zwalczania poważnej przestępczości lub zapobiegania poważnym zagrożeniom dla bezpieczeństwa </w:t>
      </w:r>
      <w:r w:rsidR="00031741" w:rsidRPr="00E570BD">
        <w:rPr>
          <w:rFonts w:ascii="Times New Roman" w:hAnsi="Times New Roman" w:cs="Times New Roman"/>
          <w:color w:val="000000" w:themeColor="text1"/>
        </w:rPr>
        <w:lastRenderedPageBreak/>
        <w:t xml:space="preserve">publicznego. Choć określenie pojęcia „poważnych przestępstw” należy do państw członkowskich, to jednak TSUE wskazał, że zasadniczo chodzi tu o przestępstwa </w:t>
      </w:r>
      <w:proofErr w:type="gramStart"/>
      <w:r w:rsidR="00031741" w:rsidRPr="00E570BD">
        <w:rPr>
          <w:rFonts w:ascii="Times New Roman" w:hAnsi="Times New Roman" w:cs="Times New Roman"/>
          <w:color w:val="000000" w:themeColor="text1"/>
        </w:rPr>
        <w:t>zagrożone  karą</w:t>
      </w:r>
      <w:proofErr w:type="gramEnd"/>
      <w:r w:rsidR="00031741" w:rsidRPr="00E570BD">
        <w:rPr>
          <w:rFonts w:ascii="Times New Roman" w:hAnsi="Times New Roman" w:cs="Times New Roman"/>
          <w:color w:val="000000" w:themeColor="text1"/>
        </w:rPr>
        <w:t xml:space="preserve"> pozbawienia wolności, której górna granica ustawowego zagrożenia wynosi </w:t>
      </w:r>
      <w:proofErr w:type="gramStart"/>
      <w:r w:rsidR="00031741" w:rsidRPr="00E570BD">
        <w:rPr>
          <w:rFonts w:ascii="Times New Roman" w:hAnsi="Times New Roman" w:cs="Times New Roman"/>
          <w:color w:val="000000" w:themeColor="text1"/>
        </w:rPr>
        <w:t>nie mniej</w:t>
      </w:r>
      <w:proofErr w:type="gramEnd"/>
      <w:r w:rsidR="00031741" w:rsidRPr="00E570BD">
        <w:rPr>
          <w:rFonts w:ascii="Times New Roman" w:hAnsi="Times New Roman" w:cs="Times New Roman"/>
          <w:color w:val="000000" w:themeColor="text1"/>
        </w:rPr>
        <w:t xml:space="preserve"> niż trzy lata z zastrzeżeniem, że istnieją wystarczające przesłanki popełnienia takich przestępstw i że dane te są istotne dla ustalenia okoliczności faktycznych. Z perspektyw </w:t>
      </w:r>
      <w:proofErr w:type="gramStart"/>
      <w:r w:rsidR="00031741" w:rsidRPr="00E570BD">
        <w:rPr>
          <w:rFonts w:ascii="Times New Roman" w:hAnsi="Times New Roman" w:cs="Times New Roman"/>
          <w:color w:val="000000" w:themeColor="text1"/>
        </w:rPr>
        <w:t>tego  wyroku</w:t>
      </w:r>
      <w:proofErr w:type="gramEnd"/>
      <w:r w:rsidR="00031741" w:rsidRPr="00E570BD">
        <w:rPr>
          <w:rFonts w:ascii="Times New Roman" w:hAnsi="Times New Roman" w:cs="Times New Roman"/>
          <w:color w:val="000000" w:themeColor="text1"/>
        </w:rPr>
        <w:t>, należy wskazać, że przepis art. 218 k.p.k. nie określa przesłanek dotyczących wagi przestępstw i ich rodzaju, przy uwzględnieniu których może dojść do pozyskania danych o ruchu lub danych o lokalizacji, co rodzi wątpliwości w zakresie zgodności polskich przepisów z art.  7, 8 i 1</w:t>
      </w:r>
      <w:r w:rsidR="001E67C3" w:rsidRPr="00E570BD">
        <w:rPr>
          <w:rFonts w:ascii="Times New Roman" w:hAnsi="Times New Roman" w:cs="Times New Roman"/>
          <w:color w:val="000000" w:themeColor="text1"/>
        </w:rPr>
        <w:t>1</w:t>
      </w:r>
      <w:r w:rsidR="00031741" w:rsidRPr="00E570BD">
        <w:rPr>
          <w:rFonts w:ascii="Times New Roman" w:hAnsi="Times New Roman" w:cs="Times New Roman"/>
          <w:color w:val="000000" w:themeColor="text1"/>
        </w:rPr>
        <w:t xml:space="preserve"> Karty Praw Podstawowych UE.</w:t>
      </w:r>
    </w:p>
    <w:p w14:paraId="01587E44" w14:textId="77777777" w:rsidR="00031741" w:rsidRPr="00E570BD" w:rsidRDefault="00031741" w:rsidP="00031741">
      <w:pPr>
        <w:pStyle w:val="Akapitzlist"/>
        <w:spacing w:after="0" w:line="276" w:lineRule="auto"/>
        <w:jc w:val="both"/>
        <w:rPr>
          <w:rFonts w:ascii="Times New Roman" w:hAnsi="Times New Roman" w:cs="Times New Roman"/>
          <w:color w:val="000000" w:themeColor="text1"/>
        </w:rPr>
      </w:pPr>
    </w:p>
    <w:p w14:paraId="67CF1928" w14:textId="77777777" w:rsidR="00031741" w:rsidRPr="00E570BD" w:rsidRDefault="00031741" w:rsidP="00031741">
      <w:pPr>
        <w:numPr>
          <w:ilvl w:val="0"/>
          <w:numId w:val="3"/>
        </w:numPr>
        <w:spacing w:after="0" w:line="276" w:lineRule="auto"/>
        <w:contextualSpacing/>
        <w:jc w:val="both"/>
        <w:rPr>
          <w:rFonts w:ascii="Times New Roman" w:hAnsi="Times New Roman" w:cs="Times New Roman"/>
          <w:b/>
          <w:bCs/>
          <w:color w:val="000000" w:themeColor="text1"/>
        </w:rPr>
      </w:pPr>
      <w:r w:rsidRPr="00E570BD">
        <w:rPr>
          <w:rFonts w:ascii="Times New Roman" w:hAnsi="Times New Roman" w:cs="Times New Roman"/>
          <w:b/>
          <w:bCs/>
          <w:color w:val="000000" w:themeColor="text1"/>
        </w:rPr>
        <w:t xml:space="preserve">Uwagi szczegółowe </w:t>
      </w:r>
    </w:p>
    <w:p w14:paraId="0F050FEA" w14:textId="77777777" w:rsidR="00031741" w:rsidRPr="00E570BD" w:rsidRDefault="00031741" w:rsidP="00031741">
      <w:pPr>
        <w:spacing w:after="0" w:line="276" w:lineRule="auto"/>
        <w:jc w:val="both"/>
        <w:rPr>
          <w:rFonts w:ascii="Times New Roman" w:hAnsi="Times New Roman" w:cs="Times New Roman"/>
          <w:color w:val="000000" w:themeColor="text1"/>
        </w:rPr>
      </w:pPr>
    </w:p>
    <w:p w14:paraId="50404B90" w14:textId="77777777" w:rsidR="00031741" w:rsidRPr="00E570BD" w:rsidRDefault="00031741" w:rsidP="00031741">
      <w:pPr>
        <w:numPr>
          <w:ilvl w:val="1"/>
          <w:numId w:val="3"/>
        </w:numPr>
        <w:spacing w:after="0" w:line="276" w:lineRule="auto"/>
        <w:contextualSpacing/>
        <w:jc w:val="both"/>
        <w:rPr>
          <w:rFonts w:ascii="Times New Roman" w:hAnsi="Times New Roman" w:cs="Times New Roman"/>
          <w:b/>
          <w:bCs/>
          <w:color w:val="000000" w:themeColor="text1"/>
        </w:rPr>
      </w:pPr>
      <w:r w:rsidRPr="00E570BD">
        <w:rPr>
          <w:rFonts w:ascii="Times New Roman" w:hAnsi="Times New Roman" w:cs="Times New Roman"/>
          <w:b/>
          <w:bCs/>
          <w:color w:val="000000" w:themeColor="text1"/>
        </w:rPr>
        <w:t xml:space="preserve"> Kwestia dopuszczalności wydania EPOC</w:t>
      </w:r>
    </w:p>
    <w:p w14:paraId="4D9FBF0F" w14:textId="77777777" w:rsidR="00031741" w:rsidRPr="00E570BD" w:rsidRDefault="00031741" w:rsidP="00031741">
      <w:pPr>
        <w:spacing w:after="0" w:line="276" w:lineRule="auto"/>
        <w:jc w:val="both"/>
        <w:rPr>
          <w:rFonts w:ascii="Times New Roman" w:hAnsi="Times New Roman" w:cs="Times New Roman"/>
          <w:b/>
          <w:bCs/>
          <w:color w:val="000000" w:themeColor="text1"/>
        </w:rPr>
      </w:pPr>
    </w:p>
    <w:p w14:paraId="047183EF" w14:textId="77777777" w:rsidR="00031741" w:rsidRPr="00E570BD" w:rsidRDefault="00031741" w:rsidP="00031741">
      <w:pPr>
        <w:numPr>
          <w:ilvl w:val="0"/>
          <w:numId w:val="1"/>
        </w:numPr>
        <w:spacing w:after="0" w:line="276" w:lineRule="auto"/>
        <w:contextualSpacing/>
        <w:jc w:val="both"/>
        <w:rPr>
          <w:rFonts w:ascii="Times New Roman" w:hAnsi="Times New Roman" w:cs="Times New Roman"/>
          <w:color w:val="000000" w:themeColor="text1"/>
        </w:rPr>
      </w:pPr>
      <w:r w:rsidRPr="00E570BD">
        <w:rPr>
          <w:rFonts w:ascii="Times New Roman" w:hAnsi="Times New Roman" w:cs="Times New Roman"/>
          <w:color w:val="000000" w:themeColor="text1"/>
        </w:rPr>
        <w:t xml:space="preserve">Rozporządzenie nie reguluje formy wydania EPOC, poprzestając na wskazaniu przesłanek wydania nakazu. Z art. 5 ust. 2 Rozporządzenia wynika, że europejski nakaz wydania dowodów może być wydany tylko wtedy, gdy jest to konieczne dla osiągnięcia celu postępowania i proporcjonalne, a dodatkowo tylko wtedy, gdy podobny nakaz mógłby zostać wydany </w:t>
      </w:r>
      <w:r w:rsidRPr="00E570BD">
        <w:rPr>
          <w:rFonts w:ascii="Times New Roman" w:hAnsi="Times New Roman" w:cs="Times New Roman"/>
          <w:b/>
          <w:bCs/>
          <w:color w:val="000000" w:themeColor="text1"/>
        </w:rPr>
        <w:t>na tych samych warunkach</w:t>
      </w:r>
      <w:r w:rsidRPr="00E570BD">
        <w:rPr>
          <w:rFonts w:ascii="Times New Roman" w:hAnsi="Times New Roman" w:cs="Times New Roman"/>
          <w:color w:val="000000" w:themeColor="text1"/>
        </w:rPr>
        <w:t xml:space="preserve"> w podobnej sprawie krajowej. Projektowany art. 592i § 2 k.p.k. określa przesłanki dopuszczalności wydania EPOC w sposób niemal identyczny jak Rozporządzenie. Obecnie art. 218 k.p.k. pozwala na pozyskiwanie danych identyfikujących abonenta oraz danych o ruchu bez żadnych ograniczeń przedmiotowych, w każdej sprawie o przestępstwo. Wobec tego nie ma przeszkód w prawie </w:t>
      </w:r>
      <w:proofErr w:type="gramStart"/>
      <w:r w:rsidRPr="00E570BD">
        <w:rPr>
          <w:rFonts w:ascii="Times New Roman" w:hAnsi="Times New Roman" w:cs="Times New Roman"/>
          <w:color w:val="000000" w:themeColor="text1"/>
        </w:rPr>
        <w:t>krajowym  do</w:t>
      </w:r>
      <w:proofErr w:type="gramEnd"/>
      <w:r w:rsidRPr="00E570BD">
        <w:rPr>
          <w:rFonts w:ascii="Times New Roman" w:hAnsi="Times New Roman" w:cs="Times New Roman"/>
          <w:color w:val="000000" w:themeColor="text1"/>
        </w:rPr>
        <w:t xml:space="preserve"> wydawania EPOC, którego zakres przedmiotowy - w odniesieniu do danych o ruchu i danych o treści – jest w Rozporządzeniu ujęty węziej niż w k.p.k. </w:t>
      </w:r>
    </w:p>
    <w:p w14:paraId="11DF275E" w14:textId="505D500F" w:rsidR="00031741" w:rsidRPr="00E570BD" w:rsidRDefault="00031741" w:rsidP="00031741">
      <w:pPr>
        <w:numPr>
          <w:ilvl w:val="0"/>
          <w:numId w:val="1"/>
        </w:numPr>
        <w:spacing w:after="0" w:line="276" w:lineRule="auto"/>
        <w:contextualSpacing/>
        <w:jc w:val="both"/>
        <w:rPr>
          <w:rFonts w:ascii="Times New Roman" w:hAnsi="Times New Roman" w:cs="Times New Roman"/>
          <w:color w:val="000000" w:themeColor="text1"/>
        </w:rPr>
      </w:pPr>
      <w:r w:rsidRPr="00E570BD">
        <w:rPr>
          <w:rFonts w:ascii="Times New Roman" w:hAnsi="Times New Roman" w:cs="Times New Roman"/>
          <w:color w:val="000000" w:themeColor="text1"/>
        </w:rPr>
        <w:t>Rozważenia wymaga to, czy przewidziane w art. 218 k.p.k. upoważnienie prokuratora do pozyskiwania danych o ruchu bez uprzedniej zgody sądu nie skutkuje ograniczeniem możliwości wydania EPOC. Przesłanką wydania EPOC jest to, że podobny nakaz może być wydany na takich samych warunkach w podobnej sprawie krajowej. Nie wydaje się jednak, aby fakt upoważnienia w art. 218 k.p.k. także prokuratora do pozyskiwania danych o ruchu, obok sądu, powodował ograniczenie możliwości wydania EPOC. Należy uznać, że wymóg „tych samych warunków” ma po prostu zapobiegać wykorzystania EPOC do pozyskania dowodów, których od operatora krajowego nie dałoby się pozyskać w podobnej sprawie krajowej. Trzeba więc przyjąć, że upoważnienie także prokuratora, oprócz sądu, do pozyskiwania tej kategorii danych w art. 218 k.p.k.</w:t>
      </w:r>
      <w:r w:rsidR="009125DA" w:rsidRPr="00E570BD">
        <w:rPr>
          <w:rFonts w:ascii="Times New Roman" w:hAnsi="Times New Roman" w:cs="Times New Roman"/>
          <w:color w:val="000000" w:themeColor="text1"/>
        </w:rPr>
        <w:t>,</w:t>
      </w:r>
      <w:r w:rsidRPr="00E570BD">
        <w:rPr>
          <w:rFonts w:ascii="Times New Roman" w:hAnsi="Times New Roman" w:cs="Times New Roman"/>
          <w:color w:val="000000" w:themeColor="text1"/>
        </w:rPr>
        <w:t xml:space="preserve"> nie ogranicza w żaden sposób funkcjonalności Rozporządzenia. </w:t>
      </w:r>
    </w:p>
    <w:p w14:paraId="38F5F5D3" w14:textId="109D3825" w:rsidR="00031741" w:rsidRPr="00E570BD" w:rsidRDefault="00031741" w:rsidP="00031741">
      <w:pPr>
        <w:numPr>
          <w:ilvl w:val="0"/>
          <w:numId w:val="1"/>
        </w:numPr>
        <w:spacing w:after="0" w:line="276" w:lineRule="auto"/>
        <w:contextualSpacing/>
        <w:jc w:val="both"/>
        <w:rPr>
          <w:rFonts w:ascii="Times New Roman" w:hAnsi="Times New Roman" w:cs="Times New Roman"/>
          <w:color w:val="000000" w:themeColor="text1"/>
        </w:rPr>
      </w:pPr>
      <w:r w:rsidRPr="00E570BD">
        <w:rPr>
          <w:rFonts w:ascii="Times New Roman" w:hAnsi="Times New Roman" w:cs="Times New Roman"/>
          <w:color w:val="000000" w:themeColor="text1"/>
        </w:rPr>
        <w:t>Jak już wspomniano w punkcie I tej opinii, nie jest konieczne ponowne określenie w k.p.k. zakresu przedmiotowego EPOC, skoro rzecz reguluje Rozporządzenie. Zasadnym wydaje się jednak doprecyzowanie tego zakresu polegające na</w:t>
      </w:r>
      <w:r w:rsidR="00354B31" w:rsidRPr="00E570BD">
        <w:rPr>
          <w:rFonts w:ascii="Times New Roman" w:hAnsi="Times New Roman" w:cs="Times New Roman"/>
          <w:color w:val="000000" w:themeColor="text1"/>
        </w:rPr>
        <w:t xml:space="preserve"> określeniu</w:t>
      </w:r>
      <w:r w:rsidRPr="00E570BD">
        <w:rPr>
          <w:rFonts w:ascii="Times New Roman" w:hAnsi="Times New Roman" w:cs="Times New Roman"/>
          <w:color w:val="000000" w:themeColor="text1"/>
        </w:rPr>
        <w:t xml:space="preserve">, jakie typy czynów zabronionych uregulowane w prawie polskim odpowiadają przestępstwom wskazanym w art. 5 ust. 4 pkt b) i c) Rozporządzenia, a jednocześnie nie są zagrożone karą pozbawienia wolności o górnej granicy ustawowego zagrożenia co najmniej 3 lat. Mamy tam bowiem ogólne odesłanie do przestępstw określonych w kilku dyrektywach unijnych, którym </w:t>
      </w:r>
      <w:r w:rsidRPr="00E570BD">
        <w:rPr>
          <w:rFonts w:ascii="Times New Roman" w:hAnsi="Times New Roman" w:cs="Times New Roman"/>
          <w:color w:val="000000" w:themeColor="text1"/>
        </w:rPr>
        <w:lastRenderedPageBreak/>
        <w:t>odpowiadają określone typy czynów zabronionych w polskim prawie karnym.</w:t>
      </w:r>
      <w:r w:rsidR="00553BAF" w:rsidRPr="00E570BD">
        <w:rPr>
          <w:rFonts w:ascii="Times New Roman" w:hAnsi="Times New Roman" w:cs="Times New Roman"/>
          <w:color w:val="000000" w:themeColor="text1"/>
        </w:rPr>
        <w:t xml:space="preserve"> Zatem organ wydający EPOC</w:t>
      </w:r>
      <w:r w:rsidR="00480619" w:rsidRPr="00E570BD">
        <w:rPr>
          <w:rFonts w:ascii="Times New Roman" w:hAnsi="Times New Roman" w:cs="Times New Roman"/>
          <w:color w:val="000000" w:themeColor="text1"/>
        </w:rPr>
        <w:t xml:space="preserve"> dotyczący danych o ruchu lub danych dotyczących treści</w:t>
      </w:r>
      <w:r w:rsidR="00BC16BD" w:rsidRPr="00E570BD">
        <w:rPr>
          <w:rFonts w:ascii="Times New Roman" w:hAnsi="Times New Roman" w:cs="Times New Roman"/>
          <w:color w:val="000000" w:themeColor="text1"/>
        </w:rPr>
        <w:t xml:space="preserve">, jeżeli nie będzie miał do czynienia z przestępstwem o górnej granicy ustawowego zagrożenia co najmniej 3 lat, </w:t>
      </w:r>
      <w:r w:rsidR="00480619" w:rsidRPr="00E570BD">
        <w:rPr>
          <w:rFonts w:ascii="Times New Roman" w:hAnsi="Times New Roman" w:cs="Times New Roman"/>
          <w:color w:val="000000" w:themeColor="text1"/>
        </w:rPr>
        <w:t>aby odpowiedzieć sobie na pytanie, czy może go wydać</w:t>
      </w:r>
      <w:r w:rsidR="00F55D42" w:rsidRPr="00E570BD">
        <w:rPr>
          <w:rFonts w:ascii="Times New Roman" w:hAnsi="Times New Roman" w:cs="Times New Roman"/>
          <w:color w:val="000000" w:themeColor="text1"/>
        </w:rPr>
        <w:t xml:space="preserve">, będzie musiał dokonać analizy, czy dany typ czynu zabronionego odpowiada temu, o jakim mowa w dyrektywach wskazanych w art. </w:t>
      </w:r>
      <w:r w:rsidR="004A03FE" w:rsidRPr="00E570BD">
        <w:rPr>
          <w:rFonts w:ascii="Times New Roman" w:hAnsi="Times New Roman" w:cs="Times New Roman"/>
          <w:color w:val="000000" w:themeColor="text1"/>
        </w:rPr>
        <w:t xml:space="preserve">5 ust. 4 b) Rozporządzenia. </w:t>
      </w:r>
      <w:r w:rsidR="00B247C2" w:rsidRPr="00E570BD">
        <w:rPr>
          <w:rFonts w:ascii="Times New Roman" w:hAnsi="Times New Roman" w:cs="Times New Roman"/>
          <w:color w:val="000000" w:themeColor="text1"/>
        </w:rPr>
        <w:t xml:space="preserve">Takie uregulowanie zakresu przedmiotowego wydania EPOC </w:t>
      </w:r>
      <w:r w:rsidR="00116795" w:rsidRPr="00E570BD">
        <w:rPr>
          <w:rFonts w:ascii="Times New Roman" w:hAnsi="Times New Roman" w:cs="Times New Roman"/>
          <w:color w:val="000000" w:themeColor="text1"/>
        </w:rPr>
        <w:t xml:space="preserve">jest niefunkcjonalne i nieprawidłowe. Należałoby </w:t>
      </w:r>
      <w:r w:rsidR="00DB7BAA" w:rsidRPr="00E570BD">
        <w:rPr>
          <w:rFonts w:ascii="Times New Roman" w:hAnsi="Times New Roman" w:cs="Times New Roman"/>
          <w:color w:val="000000" w:themeColor="text1"/>
        </w:rPr>
        <w:t xml:space="preserve">konkretnie </w:t>
      </w:r>
      <w:r w:rsidR="00116795" w:rsidRPr="00E570BD">
        <w:rPr>
          <w:rFonts w:ascii="Times New Roman" w:hAnsi="Times New Roman" w:cs="Times New Roman"/>
          <w:color w:val="000000" w:themeColor="text1"/>
        </w:rPr>
        <w:t xml:space="preserve">wskazać </w:t>
      </w:r>
      <w:r w:rsidR="00D0741A" w:rsidRPr="00E570BD">
        <w:rPr>
          <w:rFonts w:ascii="Times New Roman" w:hAnsi="Times New Roman" w:cs="Times New Roman"/>
          <w:color w:val="000000" w:themeColor="text1"/>
        </w:rPr>
        <w:t xml:space="preserve">w sprawach o jakie czyny taki EPOC może zostać wydany. </w:t>
      </w:r>
      <w:r w:rsidR="00B803D3" w:rsidRPr="00E570BD">
        <w:rPr>
          <w:rFonts w:ascii="Times New Roman" w:hAnsi="Times New Roman" w:cs="Times New Roman"/>
          <w:color w:val="000000" w:themeColor="text1"/>
        </w:rPr>
        <w:t>Ponadto</w:t>
      </w:r>
      <w:r w:rsidRPr="00E570BD">
        <w:rPr>
          <w:rFonts w:ascii="Times New Roman" w:hAnsi="Times New Roman" w:cs="Times New Roman"/>
          <w:color w:val="000000" w:themeColor="text1"/>
        </w:rPr>
        <w:t xml:space="preserve"> w projekcie zakres przedmiotowy EPOC wskazano w art. 592i § 3 pkt 2 w sposób niespójny z Rozporządzeniem. W projektowanym przepisie jest mowa o „przestępstwach zagrożonych karą pozbawienia wolności, której górna granica wynosi co najmniej trzy lata, lub przestępstwa</w:t>
      </w:r>
      <w:r w:rsidR="005644C8" w:rsidRPr="00E570BD">
        <w:rPr>
          <w:rFonts w:ascii="Times New Roman" w:hAnsi="Times New Roman" w:cs="Times New Roman"/>
          <w:color w:val="000000" w:themeColor="text1"/>
        </w:rPr>
        <w:t>ch</w:t>
      </w:r>
      <w:r w:rsidRPr="00E570BD">
        <w:rPr>
          <w:rFonts w:ascii="Times New Roman" w:hAnsi="Times New Roman" w:cs="Times New Roman"/>
          <w:color w:val="000000" w:themeColor="text1"/>
        </w:rPr>
        <w:t xml:space="preserve"> popełnion</w:t>
      </w:r>
      <w:r w:rsidR="005644C8" w:rsidRPr="00E570BD">
        <w:rPr>
          <w:rFonts w:ascii="Times New Roman" w:hAnsi="Times New Roman" w:cs="Times New Roman"/>
          <w:color w:val="000000" w:themeColor="text1"/>
        </w:rPr>
        <w:t>ych</w:t>
      </w:r>
      <w:r w:rsidRPr="00E570BD">
        <w:rPr>
          <w:rFonts w:ascii="Times New Roman" w:hAnsi="Times New Roman" w:cs="Times New Roman"/>
          <w:color w:val="000000" w:themeColor="text1"/>
        </w:rPr>
        <w:t xml:space="preserve"> z wykorzystaniem systemu informatycznego, w przypadkach określonych w art. 5 ust. 4 rozporządzenia 2023/1543”. Tymczasem art. 5 ust. 4 Rozporządzenia, oprócz katalogu przestępstw objętych wymienionymi w nim dyrektywami unijnymi, wskazuje także na przestępstwa określone w art. 3-12 i w art. 14 dyrektywy 2017/541 (dotyczące zwalczania terroryzmu), nie formułując co do nich wymogu, aby były popełnione za pomocą systemu informatycznego.   </w:t>
      </w:r>
    </w:p>
    <w:p w14:paraId="4EE46DBA" w14:textId="77777777" w:rsidR="00031741" w:rsidRPr="00E570BD" w:rsidRDefault="00031741" w:rsidP="00031741">
      <w:pPr>
        <w:numPr>
          <w:ilvl w:val="0"/>
          <w:numId w:val="1"/>
        </w:numPr>
        <w:spacing w:after="0" w:line="276" w:lineRule="auto"/>
        <w:contextualSpacing/>
        <w:jc w:val="both"/>
        <w:rPr>
          <w:rFonts w:ascii="Times New Roman" w:hAnsi="Times New Roman" w:cs="Times New Roman"/>
          <w:color w:val="000000" w:themeColor="text1"/>
        </w:rPr>
      </w:pPr>
      <w:r w:rsidRPr="00E570BD">
        <w:rPr>
          <w:rFonts w:ascii="Times New Roman" w:hAnsi="Times New Roman" w:cs="Times New Roman"/>
          <w:color w:val="000000" w:themeColor="text1"/>
        </w:rPr>
        <w:t xml:space="preserve">Niezależnie od tego należy zauważyć błąd techniczny: </w:t>
      </w:r>
      <w:r w:rsidRPr="00E570BD">
        <w:rPr>
          <w:rFonts w:ascii="Times New Roman" w:eastAsia="Times New Roman" w:hAnsi="Times New Roman" w:cs="Times New Roman"/>
          <w:color w:val="000000" w:themeColor="text1"/>
        </w:rPr>
        <w:t>w projektowanym art. 592i § 3 pkt 2 zawarta jest definicja danych o ruchu i danych dotyczących treści poprzez odesłanie do przepisów rozporządzenia 2023/1543. Jednak projekt wadliwie odsyła do art. 3 ust. 11, 12 a powinien do art. 3 pkt 11, 12 Rozporządzenia.</w:t>
      </w:r>
    </w:p>
    <w:p w14:paraId="2C525CC0" w14:textId="77777777" w:rsidR="00031741" w:rsidRPr="00E570BD" w:rsidRDefault="00031741" w:rsidP="00031741">
      <w:pPr>
        <w:numPr>
          <w:ilvl w:val="0"/>
          <w:numId w:val="1"/>
        </w:numPr>
        <w:spacing w:after="0" w:line="276" w:lineRule="auto"/>
        <w:contextualSpacing/>
        <w:jc w:val="both"/>
        <w:rPr>
          <w:rFonts w:ascii="Times New Roman" w:hAnsi="Times New Roman" w:cs="Times New Roman"/>
          <w:color w:val="000000" w:themeColor="text1"/>
        </w:rPr>
      </w:pPr>
      <w:r w:rsidRPr="00E570BD">
        <w:rPr>
          <w:rFonts w:ascii="Times New Roman" w:hAnsi="Times New Roman" w:cs="Times New Roman"/>
          <w:color w:val="000000" w:themeColor="text1"/>
        </w:rPr>
        <w:t xml:space="preserve">Jak już podkreślono w punkcie I opinii, za wątpliwe należy uznać niemalże „przepisywanie” niektórych postanowień Rozporządzenia do projektu nowelizacji k.p.k. Dotyczy to np. uregulowanej w art. 8 Rozporządzenia procedury przesyłania EPOC organowi przymuszającemu w określonych okolicznościach i odstępstw od tego obowiązku. Analiza treści art. 592i §§ 5-7 prowadzi do wniosku, że proponowane przepisy mają wyłącznie charakter odsyłający do Rozporządzenia. Pojawia się więc pytanie, po co zamieszczać je w k.p.k., skoro nie są one konieczne dla prawidłowego wykonania tegoż Rozporządzenia. </w:t>
      </w:r>
    </w:p>
    <w:p w14:paraId="6EBD05F8" w14:textId="77777777" w:rsidR="00031741" w:rsidRPr="00E570BD" w:rsidRDefault="00031741" w:rsidP="00031741">
      <w:pPr>
        <w:numPr>
          <w:ilvl w:val="0"/>
          <w:numId w:val="1"/>
        </w:numPr>
        <w:spacing w:after="0" w:line="276" w:lineRule="auto"/>
        <w:contextualSpacing/>
        <w:jc w:val="both"/>
        <w:rPr>
          <w:rFonts w:ascii="Times New Roman" w:hAnsi="Times New Roman" w:cs="Times New Roman"/>
          <w:color w:val="000000" w:themeColor="text1"/>
        </w:rPr>
      </w:pPr>
      <w:r w:rsidRPr="00E570BD">
        <w:rPr>
          <w:rFonts w:ascii="Times New Roman" w:hAnsi="Times New Roman" w:cs="Times New Roman"/>
          <w:color w:val="000000" w:themeColor="text1"/>
        </w:rPr>
        <w:t xml:space="preserve">W treści projektowanego art. 592k § 2 zbędne jest wskazanie „praw podejrzanego lub oskarżonego”. Zgodnie z art. 71 § 3 k.p.k., pod pojęciem oskarżonego </w:t>
      </w:r>
      <w:r w:rsidRPr="00E570BD">
        <w:rPr>
          <w:rFonts w:ascii="Times New Roman" w:hAnsi="Times New Roman" w:cs="Times New Roman"/>
          <w:i/>
          <w:iCs/>
          <w:color w:val="000000" w:themeColor="text1"/>
        </w:rPr>
        <w:t>sensu largo</w:t>
      </w:r>
      <w:r w:rsidRPr="00E570BD">
        <w:rPr>
          <w:rFonts w:ascii="Times New Roman" w:hAnsi="Times New Roman" w:cs="Times New Roman"/>
          <w:color w:val="000000" w:themeColor="text1"/>
        </w:rPr>
        <w:t xml:space="preserve"> rozumiemy także podejrzanego. </w:t>
      </w:r>
    </w:p>
    <w:p w14:paraId="649ADB3A" w14:textId="77777777" w:rsidR="00031741" w:rsidRPr="00E570BD" w:rsidRDefault="00031741" w:rsidP="00031741">
      <w:pPr>
        <w:numPr>
          <w:ilvl w:val="0"/>
          <w:numId w:val="1"/>
        </w:numPr>
        <w:spacing w:after="0" w:line="276" w:lineRule="auto"/>
        <w:contextualSpacing/>
        <w:jc w:val="both"/>
        <w:rPr>
          <w:rFonts w:ascii="Times New Roman" w:hAnsi="Times New Roman" w:cs="Times New Roman"/>
          <w:color w:val="000000" w:themeColor="text1"/>
        </w:rPr>
      </w:pPr>
      <w:r w:rsidRPr="00E570BD">
        <w:rPr>
          <w:rFonts w:ascii="Times New Roman" w:hAnsi="Times New Roman" w:cs="Times New Roman"/>
          <w:color w:val="000000" w:themeColor="text1"/>
        </w:rPr>
        <w:t xml:space="preserve">W Rozporządzeniu ogólne przesłanki wydania EPOC oraz EPOC-PR zostały ujęte odpowiednio w jego art. 5 ust. 2 oraz w art. 6 ust. 2 i 3. W przypadku obu nakazów Rozporządzenie wskazuje, że ich wydanie powinno nastąpić „z uwzględnieniem praw podejrzanego lub oskarżonego”. Tymczasem przenosząc te wymogi do projektu nowelizacji k.p.k., z niewiadomych powodów wysłowiono obowiązek uwzględniania praw oskarżonego przy wydaniu EPOC-PR (projektowany art. 592k § 2 – chociaż wadliwie – patrz punkt poprzedni tej opinii), natomiast nie wskazano na potrzebę uwzględniania praw oskarżonego przy wydawaniu EPOC (projektowany art. 592i § 2). Więc albo w ogóle nie należy przepisywać do k.p.k. ogólnych przesłanek wydawania nakazów (za czym optujemy), </w:t>
      </w:r>
      <w:proofErr w:type="gramStart"/>
      <w:r w:rsidRPr="00E570BD">
        <w:rPr>
          <w:rFonts w:ascii="Times New Roman" w:hAnsi="Times New Roman" w:cs="Times New Roman"/>
          <w:color w:val="000000" w:themeColor="text1"/>
        </w:rPr>
        <w:t>albo,</w:t>
      </w:r>
      <w:proofErr w:type="gramEnd"/>
      <w:r w:rsidRPr="00E570BD">
        <w:rPr>
          <w:rFonts w:ascii="Times New Roman" w:hAnsi="Times New Roman" w:cs="Times New Roman"/>
          <w:color w:val="000000" w:themeColor="text1"/>
        </w:rPr>
        <w:t xml:space="preserve"> jeżeli już się je wprowadza, to w sposób spójny z Rozporządzeniem, ale też spójny wewnętrznie.   </w:t>
      </w:r>
    </w:p>
    <w:p w14:paraId="23D91BB6" w14:textId="77777777" w:rsidR="00031741" w:rsidRPr="00E570BD" w:rsidRDefault="00031741" w:rsidP="00031741">
      <w:pPr>
        <w:spacing w:after="0" w:line="276" w:lineRule="auto"/>
        <w:jc w:val="both"/>
        <w:rPr>
          <w:rFonts w:ascii="Times New Roman" w:hAnsi="Times New Roman" w:cs="Times New Roman"/>
          <w:color w:val="000000" w:themeColor="text1"/>
        </w:rPr>
      </w:pPr>
    </w:p>
    <w:p w14:paraId="5B08CE36" w14:textId="77777777" w:rsidR="00031741" w:rsidRPr="00E570BD" w:rsidRDefault="00031741" w:rsidP="00031741">
      <w:pPr>
        <w:numPr>
          <w:ilvl w:val="1"/>
          <w:numId w:val="3"/>
        </w:numPr>
        <w:spacing w:after="0" w:line="276" w:lineRule="auto"/>
        <w:contextualSpacing/>
        <w:jc w:val="both"/>
        <w:rPr>
          <w:rFonts w:ascii="Times New Roman" w:hAnsi="Times New Roman" w:cs="Times New Roman"/>
          <w:b/>
          <w:bCs/>
          <w:color w:val="000000" w:themeColor="text1"/>
        </w:rPr>
      </w:pPr>
      <w:r w:rsidRPr="00E570BD">
        <w:rPr>
          <w:rFonts w:ascii="Times New Roman" w:hAnsi="Times New Roman" w:cs="Times New Roman"/>
          <w:b/>
          <w:bCs/>
          <w:color w:val="000000" w:themeColor="text1"/>
        </w:rPr>
        <w:lastRenderedPageBreak/>
        <w:t xml:space="preserve"> Procedura wydania EPOC; odroczenie poinformowania o wydaniu nakazu. </w:t>
      </w:r>
    </w:p>
    <w:p w14:paraId="7BDBD730" w14:textId="77777777" w:rsidR="00031741" w:rsidRPr="00E570BD" w:rsidRDefault="00031741" w:rsidP="00031741">
      <w:pPr>
        <w:spacing w:after="0" w:line="276" w:lineRule="auto"/>
        <w:jc w:val="both"/>
        <w:rPr>
          <w:rFonts w:ascii="Times New Roman" w:hAnsi="Times New Roman" w:cs="Times New Roman"/>
          <w:color w:val="000000" w:themeColor="text1"/>
        </w:rPr>
      </w:pPr>
    </w:p>
    <w:p w14:paraId="3BDB4A05" w14:textId="6EC861DC" w:rsidR="00031741" w:rsidRPr="00E570BD" w:rsidRDefault="00031741" w:rsidP="00031741">
      <w:pPr>
        <w:numPr>
          <w:ilvl w:val="0"/>
          <w:numId w:val="1"/>
        </w:numPr>
        <w:spacing w:after="0" w:line="276" w:lineRule="auto"/>
        <w:contextualSpacing/>
        <w:jc w:val="both"/>
        <w:rPr>
          <w:rFonts w:ascii="Times New Roman" w:hAnsi="Times New Roman" w:cs="Times New Roman"/>
          <w:color w:val="000000" w:themeColor="text1"/>
        </w:rPr>
      </w:pPr>
      <w:r w:rsidRPr="00E570BD">
        <w:rPr>
          <w:rFonts w:ascii="Times New Roman" w:hAnsi="Times New Roman" w:cs="Times New Roman"/>
          <w:color w:val="000000" w:themeColor="text1"/>
        </w:rPr>
        <w:t>W projekcie warto byłoby uregulować procedurę wydania nakazów (EPOC oraz EPOC-PR). Z obecnej wersji projektu wynika, że Autorzy projektu utożsamiają wypełnienie formularza z wydaniem EPOC. Podobnie jak przy wydawaniu END, samo wypełnienie formularza odpowiednio EPOC oraz EPOC-PR, stanowiącego załączniki do Rozporządzenia, nie powinno być jednak utożsamiane z wydaniem nakazu. Wydanie EPOC powinno nastąpić w formie postanowienia właściwego organu o: 1) zajęciu określonych danych; 2) wystąpieniu do określonego podmiotu o wydanie tych danych. Skoro EPOC może być wydany jedynie wówczas, gdy możliwe byłoby wydanie podobnego nakazu w postępowaniu krajowym na takich samych warunkach, to należy w takim postanowieniu zawrzeć również decyzję o zwolnieniu z tajemnicy telekomunikacyjnej</w:t>
      </w:r>
      <w:r w:rsidRPr="00E570BD">
        <w:rPr>
          <w:rFonts w:ascii="Times New Roman" w:hAnsi="Times New Roman" w:cs="Times New Roman"/>
          <w:color w:val="000000" w:themeColor="text1"/>
          <w:vertAlign w:val="superscript"/>
        </w:rPr>
        <w:footnoteReference w:id="1"/>
      </w:r>
      <w:r w:rsidRPr="00E570BD">
        <w:rPr>
          <w:rFonts w:ascii="Times New Roman" w:hAnsi="Times New Roman" w:cs="Times New Roman"/>
          <w:color w:val="000000" w:themeColor="text1"/>
        </w:rPr>
        <w:t xml:space="preserve"> (co stanowiłoby trzecie rozstrzygnięcie zawarte w tym postanowieniu), ewentualnie zawrzeć w projekcie ogólny przepis, że wystąpienie z EPO</w:t>
      </w:r>
      <w:r w:rsidR="00820329" w:rsidRPr="00E570BD">
        <w:rPr>
          <w:rFonts w:ascii="Times New Roman" w:hAnsi="Times New Roman" w:cs="Times New Roman"/>
          <w:color w:val="000000" w:themeColor="text1"/>
        </w:rPr>
        <w:t>C</w:t>
      </w:r>
      <w:r w:rsidRPr="00E570BD">
        <w:rPr>
          <w:rFonts w:ascii="Times New Roman" w:hAnsi="Times New Roman" w:cs="Times New Roman"/>
          <w:color w:val="000000" w:themeColor="text1"/>
        </w:rPr>
        <w:t xml:space="preserve"> jest równoznaczne z uchyleniem tej tajemnicy. Czwartym, nieobligatoryjnym rozstrzygnięciem zawartym w takim postanowieniu może być decyzja o odroczeniu powiadomienia o wydaniu nakazu, przewidziana w art. 13 ust. 2 Rozporządzenia. Z ostatniego zdania tego przepisu wynika, że krótkie uzasadnienie tej decyzji załącza się również do EPOC. Podsumowując, postanowienie o wydaniu EPOC powinno zawierać: 1) decyzję o zajęciu danych; 2) wystąpienie z nakazem żądania wydania danych, 3) zwolnienie z tajemnicy telekomunikacyjnej (o ile nie zostanie wprowadzony sugerowany przepis dot. uchylenia tej tajemnicy), 4) odroczenie doręczenia postanowienia (ewentualne).</w:t>
      </w:r>
    </w:p>
    <w:p w14:paraId="66B365C6" w14:textId="77777777" w:rsidR="00031741" w:rsidRPr="00E570BD" w:rsidRDefault="00031741" w:rsidP="00031741">
      <w:pPr>
        <w:spacing w:line="276" w:lineRule="auto"/>
        <w:ind w:left="360"/>
        <w:contextualSpacing/>
        <w:jc w:val="both"/>
        <w:rPr>
          <w:rFonts w:ascii="Times New Roman" w:hAnsi="Times New Roman" w:cs="Times New Roman"/>
          <w:i/>
          <w:iCs/>
          <w:color w:val="000000" w:themeColor="text1"/>
        </w:rPr>
      </w:pPr>
      <w:r w:rsidRPr="00E570BD">
        <w:rPr>
          <w:rFonts w:ascii="Times New Roman" w:hAnsi="Times New Roman" w:cs="Times New Roman"/>
          <w:color w:val="000000" w:themeColor="text1"/>
        </w:rPr>
        <w:t xml:space="preserve">W postanowieniu należałoby wskazać zarówno podstawy prawne wynikające </w:t>
      </w:r>
      <w:r w:rsidRPr="00E570BD">
        <w:rPr>
          <w:rFonts w:ascii="Times New Roman" w:hAnsi="Times New Roman" w:cs="Times New Roman"/>
          <w:color w:val="000000" w:themeColor="text1"/>
        </w:rPr>
        <w:br/>
        <w:t xml:space="preserve">z Rozporządzenia, jak i Kodeksu postępowania karnego. Praktyka wskazywania </w:t>
      </w:r>
      <w:r w:rsidRPr="00E570BD">
        <w:rPr>
          <w:rFonts w:ascii="Times New Roman" w:hAnsi="Times New Roman" w:cs="Times New Roman"/>
          <w:color w:val="000000" w:themeColor="text1"/>
        </w:rPr>
        <w:br/>
        <w:t xml:space="preserve">w postanowieniu zarówno krajowych, jak i unijnych podstaw prawnych, ma już miejsce na gruncie rozporządzenia </w:t>
      </w:r>
      <w:r w:rsidRPr="00E570BD">
        <w:rPr>
          <w:rFonts w:ascii="Times New Roman" w:hAnsi="Times New Roman" w:cs="Times New Roman"/>
          <w:i/>
          <w:iCs/>
          <w:color w:val="000000" w:themeColor="text1"/>
        </w:rPr>
        <w:t xml:space="preserve">Parlamentu Europejskiego i Rady (UE) 2018/1805 z 14 listopada 2018 r. w sprawie wzajemnego uznawania nakazów zabezpieczenia i konfiskaty. </w:t>
      </w:r>
    </w:p>
    <w:p w14:paraId="0B545378" w14:textId="77777777" w:rsidR="00031741" w:rsidRPr="00E570BD" w:rsidRDefault="00031741" w:rsidP="00031741">
      <w:pPr>
        <w:spacing w:after="0" w:line="276" w:lineRule="auto"/>
        <w:ind w:left="360"/>
        <w:contextualSpacing/>
        <w:jc w:val="both"/>
        <w:rPr>
          <w:rFonts w:ascii="Times New Roman" w:hAnsi="Times New Roman" w:cs="Times New Roman"/>
          <w:color w:val="000000" w:themeColor="text1"/>
        </w:rPr>
      </w:pPr>
      <w:r w:rsidRPr="00E570BD">
        <w:rPr>
          <w:rFonts w:ascii="Times New Roman" w:hAnsi="Times New Roman" w:cs="Times New Roman"/>
          <w:color w:val="000000" w:themeColor="text1"/>
        </w:rPr>
        <w:t xml:space="preserve">W odniesieniu do EPOC-PR, postanowienie o wystąpieniu z nakazem mogłoby, podobnie </w:t>
      </w:r>
      <w:r w:rsidRPr="00E570BD">
        <w:rPr>
          <w:rFonts w:ascii="Times New Roman" w:hAnsi="Times New Roman" w:cs="Times New Roman"/>
          <w:color w:val="000000" w:themeColor="text1"/>
        </w:rPr>
        <w:br/>
        <w:t xml:space="preserve">jak w przypadku EPOC, zastąpić postanowienie o zabezpieczenie danych, o którym mowa </w:t>
      </w:r>
      <w:r w:rsidRPr="00E570BD">
        <w:rPr>
          <w:rFonts w:ascii="Times New Roman" w:hAnsi="Times New Roman" w:cs="Times New Roman"/>
          <w:color w:val="000000" w:themeColor="text1"/>
        </w:rPr>
        <w:br/>
        <w:t xml:space="preserve">w art. 218a k.p.k. </w:t>
      </w:r>
    </w:p>
    <w:p w14:paraId="3D12E3B5" w14:textId="601A5505" w:rsidR="00031741" w:rsidRPr="00E570BD" w:rsidRDefault="00031741" w:rsidP="00031741">
      <w:pPr>
        <w:numPr>
          <w:ilvl w:val="0"/>
          <w:numId w:val="1"/>
        </w:numPr>
        <w:spacing w:after="0" w:line="276" w:lineRule="auto"/>
        <w:contextualSpacing/>
        <w:jc w:val="both"/>
        <w:rPr>
          <w:rFonts w:ascii="Times New Roman" w:hAnsi="Times New Roman" w:cs="Times New Roman"/>
          <w:color w:val="000000" w:themeColor="text1"/>
        </w:rPr>
      </w:pPr>
      <w:r w:rsidRPr="00E570BD">
        <w:rPr>
          <w:rFonts w:ascii="Times New Roman" w:hAnsi="Times New Roman" w:cs="Times New Roman"/>
          <w:color w:val="000000" w:themeColor="text1"/>
        </w:rPr>
        <w:t xml:space="preserve">Przywołany art. 13 ust. 2 Rozporządzenia wyraźnie odsyła do prawa krajowego w zakresie opóźnienia lub ograniczenia powiadomienia o wydaniu EPOC przez organ wydający. Dopuszcza też zaniechanie powiadomienia osoby, której dane są objęte nakazem, w zakresie, w jakim spełnione są warunki określone w art. 13 ust. 3 dyrektywy (UE) 2016/680. Wobec tego, że art. 13 Rozporządzenia ma charakter ogólny i nie precyzuje procedury odroczenia powiadomienia, ze względów gwarancyjnych konieczne jest precyzyjne uregulowanie tej kwestii w k.p.k. Podobnie, dość ogólnie uregulowano w Rozporządzeniu odroczenie powiadomienia administratora o udostępnieniu danych (art. 5 ust. 7 Rozporządzenia). Toteż także ta kwestii wymaga starannego uregulowania w k.p.k. Należy stwierdzić, że </w:t>
      </w:r>
      <w:r w:rsidR="006C3F9E" w:rsidRPr="00E570BD">
        <w:rPr>
          <w:rFonts w:ascii="Times New Roman" w:hAnsi="Times New Roman" w:cs="Times New Roman"/>
          <w:color w:val="000000" w:themeColor="text1"/>
        </w:rPr>
        <w:t xml:space="preserve">spełnienie tego standardu przez </w:t>
      </w:r>
      <w:r w:rsidRPr="00E570BD">
        <w:rPr>
          <w:rFonts w:ascii="Times New Roman" w:hAnsi="Times New Roman" w:cs="Times New Roman"/>
          <w:color w:val="000000" w:themeColor="text1"/>
        </w:rPr>
        <w:t>projektowan</w:t>
      </w:r>
      <w:r w:rsidR="006C3F9E" w:rsidRPr="00E570BD">
        <w:rPr>
          <w:rFonts w:ascii="Times New Roman" w:hAnsi="Times New Roman" w:cs="Times New Roman"/>
          <w:color w:val="000000" w:themeColor="text1"/>
        </w:rPr>
        <w:t>ą</w:t>
      </w:r>
      <w:r w:rsidRPr="00E570BD">
        <w:rPr>
          <w:rFonts w:ascii="Times New Roman" w:hAnsi="Times New Roman" w:cs="Times New Roman"/>
          <w:color w:val="000000" w:themeColor="text1"/>
        </w:rPr>
        <w:t xml:space="preserve"> treść art. 592m k.p.k. </w:t>
      </w:r>
      <w:r w:rsidR="006740A0" w:rsidRPr="00E570BD">
        <w:rPr>
          <w:rFonts w:ascii="Times New Roman" w:hAnsi="Times New Roman" w:cs="Times New Roman"/>
          <w:color w:val="000000" w:themeColor="text1"/>
        </w:rPr>
        <w:t>może budzić wątpliwości</w:t>
      </w:r>
      <w:r w:rsidRPr="00E570BD">
        <w:rPr>
          <w:rFonts w:ascii="Times New Roman" w:hAnsi="Times New Roman" w:cs="Times New Roman"/>
          <w:color w:val="000000" w:themeColor="text1"/>
        </w:rPr>
        <w:t xml:space="preserve">.   </w:t>
      </w:r>
    </w:p>
    <w:p w14:paraId="18B66AAD" w14:textId="430D639F" w:rsidR="00031741" w:rsidRPr="00E570BD" w:rsidRDefault="00031741" w:rsidP="00031741">
      <w:pPr>
        <w:numPr>
          <w:ilvl w:val="0"/>
          <w:numId w:val="1"/>
        </w:numPr>
        <w:spacing w:after="0" w:line="276" w:lineRule="auto"/>
        <w:contextualSpacing/>
        <w:jc w:val="both"/>
        <w:rPr>
          <w:rFonts w:ascii="Times New Roman" w:hAnsi="Times New Roman" w:cs="Times New Roman"/>
          <w:color w:val="000000" w:themeColor="text1"/>
        </w:rPr>
      </w:pPr>
      <w:r w:rsidRPr="00E570BD">
        <w:rPr>
          <w:rFonts w:ascii="Times New Roman" w:hAnsi="Times New Roman" w:cs="Times New Roman"/>
          <w:color w:val="000000" w:themeColor="text1"/>
        </w:rPr>
        <w:lastRenderedPageBreak/>
        <w:t xml:space="preserve">Po pierwsze, zachodzi niespójność między treścią § 1 i 2 tego przepis oraz jego § 5. Z § 1 i 2 wynika, że możliwe jest jedynie odroczenie zawiadomienia o wydaniu danych, a nie samego zawiadomienia o wydaniu nakazu. Z § 1 wynika, że niezwłocznie po wykonaniu nakazu zawiadamia się osobę, której dane zostały nim objęte. Zaś § 2 pozwala na odroczenie w czasie tego zawiadomienia. Z kolei z art. 592m § 5 wynika, że „na wydanie EPOC przysługuje zażalenie oskarżonemu i osobom, których prawa zostały naruszone.” Oznacza to, że osoba, której danych nakaz dotyczy, musi być poinformowana o wydaniu nakazu. Takie zawiadomienie o wydaniu nakazu może być jednak odroczone. To, że decyzja o odroczeniu zawiadomienia powinna być podjęta wraz z wydaniem EPOC wynika wprost z art. 13 ust. 2 </w:t>
      </w:r>
      <w:r w:rsidRPr="00E570BD">
        <w:rPr>
          <w:rFonts w:ascii="Times New Roman" w:hAnsi="Times New Roman" w:cs="Times New Roman"/>
          <w:i/>
          <w:iCs/>
          <w:color w:val="000000" w:themeColor="text1"/>
        </w:rPr>
        <w:t>in fine</w:t>
      </w:r>
      <w:r w:rsidRPr="00E570BD">
        <w:rPr>
          <w:rFonts w:ascii="Times New Roman" w:hAnsi="Times New Roman" w:cs="Times New Roman"/>
          <w:color w:val="000000" w:themeColor="text1"/>
        </w:rPr>
        <w:t xml:space="preserve"> Rozporządzenia, gdzie wskazuje się, że krótkie uzasadnienie odroczenia zawiadomienia załącza się do EPOC. Podsumowując ten wątek, należy uznać, że decyzja o opóźnieniu lub ograniczeniu zawiadomienia powinna być podjęta wraz z wydaniem EPOC, w sposób opisany </w:t>
      </w:r>
      <w:proofErr w:type="gramStart"/>
      <w:r w:rsidRPr="00E570BD">
        <w:rPr>
          <w:rFonts w:ascii="Times New Roman" w:hAnsi="Times New Roman" w:cs="Times New Roman"/>
          <w:color w:val="000000" w:themeColor="text1"/>
        </w:rPr>
        <w:t xml:space="preserve">już  </w:t>
      </w:r>
      <w:r w:rsidR="00BC4149" w:rsidRPr="00E570BD">
        <w:rPr>
          <w:rFonts w:ascii="Times New Roman" w:hAnsi="Times New Roman" w:cs="Times New Roman"/>
          <w:color w:val="000000" w:themeColor="text1"/>
        </w:rPr>
        <w:t>w</w:t>
      </w:r>
      <w:proofErr w:type="gramEnd"/>
      <w:r w:rsidR="00BC4149" w:rsidRPr="00E570BD">
        <w:rPr>
          <w:rFonts w:ascii="Times New Roman" w:hAnsi="Times New Roman" w:cs="Times New Roman"/>
          <w:color w:val="000000" w:themeColor="text1"/>
        </w:rPr>
        <w:t xml:space="preserve"> </w:t>
      </w:r>
      <w:r w:rsidRPr="00E570BD">
        <w:rPr>
          <w:rFonts w:ascii="Times New Roman" w:hAnsi="Times New Roman" w:cs="Times New Roman"/>
          <w:color w:val="000000" w:themeColor="text1"/>
        </w:rPr>
        <w:t xml:space="preserve">tej opinii, a nie dopiero po wykonaniu EPOC, czyli po wydaniu danych objętych nakazem organowi wydającemu.   </w:t>
      </w:r>
    </w:p>
    <w:p w14:paraId="2927331C" w14:textId="18842E1E" w:rsidR="00031741" w:rsidRPr="00E570BD" w:rsidRDefault="00031741" w:rsidP="00031741">
      <w:pPr>
        <w:numPr>
          <w:ilvl w:val="0"/>
          <w:numId w:val="1"/>
        </w:numPr>
        <w:spacing w:after="0" w:line="276" w:lineRule="auto"/>
        <w:contextualSpacing/>
        <w:jc w:val="both"/>
        <w:rPr>
          <w:rFonts w:ascii="Times New Roman" w:hAnsi="Times New Roman" w:cs="Times New Roman"/>
          <w:color w:val="000000" w:themeColor="text1"/>
        </w:rPr>
      </w:pPr>
      <w:r w:rsidRPr="00E570BD">
        <w:rPr>
          <w:rFonts w:ascii="Times New Roman" w:hAnsi="Times New Roman" w:cs="Times New Roman"/>
          <w:color w:val="000000" w:themeColor="text1"/>
        </w:rPr>
        <w:t>Niejasna jest treść projektowanego art. 592m § 3 k.p.k. Brakuje wskazania, czego dotyczy odroczenie, należało chyba dodać słowo „odroczenie poinformowania administratora</w:t>
      </w:r>
      <w:r w:rsidR="006740A0" w:rsidRPr="00E570BD">
        <w:rPr>
          <w:rFonts w:ascii="Times New Roman" w:hAnsi="Times New Roman" w:cs="Times New Roman"/>
          <w:color w:val="000000" w:themeColor="text1"/>
        </w:rPr>
        <w:t>”</w:t>
      </w:r>
      <w:r w:rsidRPr="00E570BD">
        <w:rPr>
          <w:rFonts w:ascii="Times New Roman" w:hAnsi="Times New Roman" w:cs="Times New Roman"/>
          <w:color w:val="000000" w:themeColor="text1"/>
        </w:rPr>
        <w:t xml:space="preserve">. </w:t>
      </w:r>
    </w:p>
    <w:p w14:paraId="5FE07EDB" w14:textId="77777777" w:rsidR="00031741" w:rsidRPr="00E570BD" w:rsidRDefault="00031741" w:rsidP="00031741">
      <w:pPr>
        <w:spacing w:after="0" w:line="276" w:lineRule="auto"/>
        <w:ind w:left="360"/>
        <w:contextualSpacing/>
        <w:jc w:val="both"/>
        <w:rPr>
          <w:rFonts w:ascii="Times New Roman" w:hAnsi="Times New Roman" w:cs="Times New Roman"/>
          <w:color w:val="000000" w:themeColor="text1"/>
        </w:rPr>
      </w:pPr>
    </w:p>
    <w:p w14:paraId="426F6E8D" w14:textId="7FDD354A" w:rsidR="00031741" w:rsidRPr="00E570BD" w:rsidRDefault="00031741" w:rsidP="00031741">
      <w:pPr>
        <w:numPr>
          <w:ilvl w:val="1"/>
          <w:numId w:val="3"/>
        </w:numPr>
        <w:spacing w:after="0" w:line="276" w:lineRule="auto"/>
        <w:contextualSpacing/>
        <w:jc w:val="both"/>
        <w:rPr>
          <w:rFonts w:ascii="Times New Roman" w:hAnsi="Times New Roman" w:cs="Times New Roman"/>
          <w:b/>
          <w:bCs/>
          <w:color w:val="000000" w:themeColor="text1"/>
        </w:rPr>
      </w:pPr>
      <w:r w:rsidRPr="00E570BD">
        <w:rPr>
          <w:rFonts w:ascii="Times New Roman" w:hAnsi="Times New Roman" w:cs="Times New Roman"/>
          <w:b/>
          <w:bCs/>
          <w:color w:val="000000" w:themeColor="text1"/>
        </w:rPr>
        <w:t xml:space="preserve"> Środki odwoławcze</w:t>
      </w:r>
    </w:p>
    <w:p w14:paraId="47F0ECA4" w14:textId="77777777" w:rsidR="00031741" w:rsidRPr="00E570BD" w:rsidRDefault="00031741" w:rsidP="00031741">
      <w:pPr>
        <w:spacing w:after="0" w:line="276" w:lineRule="auto"/>
        <w:ind w:left="360"/>
        <w:contextualSpacing/>
        <w:jc w:val="both"/>
        <w:rPr>
          <w:rFonts w:ascii="Times New Roman" w:hAnsi="Times New Roman" w:cs="Times New Roman"/>
          <w:color w:val="000000" w:themeColor="text1"/>
        </w:rPr>
      </w:pPr>
    </w:p>
    <w:p w14:paraId="00B32C1E" w14:textId="3C37684C" w:rsidR="00031741" w:rsidRPr="00E570BD" w:rsidRDefault="00031741" w:rsidP="00031741">
      <w:pPr>
        <w:numPr>
          <w:ilvl w:val="0"/>
          <w:numId w:val="1"/>
        </w:numPr>
        <w:spacing w:after="0" w:line="276" w:lineRule="auto"/>
        <w:contextualSpacing/>
        <w:jc w:val="both"/>
        <w:rPr>
          <w:rFonts w:ascii="Times New Roman" w:hAnsi="Times New Roman" w:cs="Times New Roman"/>
          <w:color w:val="000000" w:themeColor="text1"/>
        </w:rPr>
      </w:pPr>
      <w:r w:rsidRPr="00E570BD">
        <w:rPr>
          <w:rFonts w:ascii="Times New Roman" w:hAnsi="Times New Roman" w:cs="Times New Roman"/>
          <w:color w:val="000000" w:themeColor="text1"/>
        </w:rPr>
        <w:t xml:space="preserve">W projektowanym art. 592m § 5 przewidziano, że „na wydanie EPOC przysługuje zażalenie oskarżonemu i osobom, których prawa zostały naruszone. Zażalenie na postanowienie wydane lub czynność dokonaną w postępowaniu przygotowawczym rozpoznaje sąd rejonowy, w </w:t>
      </w:r>
      <w:proofErr w:type="gramStart"/>
      <w:r w:rsidRPr="00E570BD">
        <w:rPr>
          <w:rFonts w:ascii="Times New Roman" w:hAnsi="Times New Roman" w:cs="Times New Roman"/>
          <w:color w:val="000000" w:themeColor="text1"/>
        </w:rPr>
        <w:t>okręgu</w:t>
      </w:r>
      <w:proofErr w:type="gramEnd"/>
      <w:r w:rsidRPr="00E570BD">
        <w:rPr>
          <w:rFonts w:ascii="Times New Roman" w:hAnsi="Times New Roman" w:cs="Times New Roman"/>
          <w:color w:val="000000" w:themeColor="text1"/>
        </w:rPr>
        <w:t xml:space="preserve"> którego prowadzone jest postępowanie”. Rozwiązanie to budzi wątpliwości. Skoro EPOC dotyczący danych o ruchu oraz danych </w:t>
      </w:r>
      <w:r w:rsidR="00343509" w:rsidRPr="00E570BD">
        <w:rPr>
          <w:rFonts w:ascii="Times New Roman" w:hAnsi="Times New Roman" w:cs="Times New Roman"/>
          <w:color w:val="000000" w:themeColor="text1"/>
        </w:rPr>
        <w:t>dotyczących</w:t>
      </w:r>
      <w:r w:rsidRPr="00E570BD">
        <w:rPr>
          <w:rFonts w:ascii="Times New Roman" w:hAnsi="Times New Roman" w:cs="Times New Roman"/>
          <w:color w:val="000000" w:themeColor="text1"/>
        </w:rPr>
        <w:t xml:space="preserve"> treści w postępowaniu przygotowawczym prokurator może wydać jedynie po zatwierdzeniu go przez sąd właściwy do rozpoznania sprawy (czyli niekiedy także sąd okręgowy), to musi budzić sprzeciw uznanie, że zażalenie na wydanie takiego EPOC może rozpoznawać sąd rejonowy, w którego okręgu prowadzone jest postępowanie. Dodatkowo, skoro w projektowanym art. 592m § 1 przewidziano powiadomienie osoby, której dane zostały pozyskane, jedynie w razie wydania tych danych (czyli po wykonaniu nakazu), to należy uznać, że samo wydanie nakazu nie rodzi jeszcze takiego obowiązku. Tymczasem w paragrafie 5 tego przepisu jest mowa o zażaleniu na „wydanie EPOC”, który przysługuje oskarżonemu zawsze, a innym osobom, jeżeli ich prawa zostały naruszone.    </w:t>
      </w:r>
    </w:p>
    <w:p w14:paraId="74B03AE2" w14:textId="54B2C4E8" w:rsidR="00031741" w:rsidRPr="00E570BD" w:rsidRDefault="00031741" w:rsidP="00031741">
      <w:pPr>
        <w:numPr>
          <w:ilvl w:val="0"/>
          <w:numId w:val="1"/>
        </w:numPr>
        <w:spacing w:after="0" w:line="276" w:lineRule="auto"/>
        <w:contextualSpacing/>
        <w:jc w:val="both"/>
        <w:rPr>
          <w:rFonts w:ascii="Times New Roman" w:hAnsi="Times New Roman" w:cs="Times New Roman"/>
          <w:color w:val="000000" w:themeColor="text1"/>
        </w:rPr>
      </w:pPr>
      <w:r w:rsidRPr="00E570BD">
        <w:rPr>
          <w:rFonts w:ascii="Times New Roman" w:hAnsi="Times New Roman" w:cs="Times New Roman"/>
          <w:color w:val="000000" w:themeColor="text1"/>
        </w:rPr>
        <w:t xml:space="preserve">Treść art. 18 Rozporządzenia jest ogólna i nie do końca jasna. Przepis ten wymaga zapewnienia skutecznego środka prawnego „wobec nakazu” każdej osobie, której dane są objęte nakazem. Wydaje się więc, że skuteczny środek prawny w postaci zażalenia powinien przysługiwać tej osobie na takich samych zasadach i w takim samym zakresie, jak obecnie przysługuje na postanowienie o zajęciu danych telekomunikacyjnych, z mocy art. 236 § 1 k.p.k. (w odniesieniu do danych identyfikacyjnych oraz danych o ruchu) lub na podstawie art. 240 k.p.k. – w odniesieniu do danych o treści. Jak już wskazano w tej opinii, w projekcie </w:t>
      </w:r>
      <w:r w:rsidR="00A02156" w:rsidRPr="00E570BD">
        <w:rPr>
          <w:rFonts w:ascii="Times New Roman" w:hAnsi="Times New Roman" w:cs="Times New Roman"/>
          <w:color w:val="000000" w:themeColor="text1"/>
        </w:rPr>
        <w:t>należy</w:t>
      </w:r>
      <w:r w:rsidRPr="00E570BD">
        <w:rPr>
          <w:rFonts w:ascii="Times New Roman" w:hAnsi="Times New Roman" w:cs="Times New Roman"/>
          <w:color w:val="000000" w:themeColor="text1"/>
        </w:rPr>
        <w:t xml:space="preserve"> przewidzieć wydanie postanowienia o wystąpieniu o wydanie określonych danych, po uprzednim zwolnieniu z tajemnicy telekomunikacyjnej, które zazwyczaj będzie (najczęściej) zawierało także odrębne rozstrzygnięcie o odroczeniu </w:t>
      </w:r>
      <w:r w:rsidRPr="00E570BD">
        <w:rPr>
          <w:rFonts w:ascii="Times New Roman" w:hAnsi="Times New Roman" w:cs="Times New Roman"/>
          <w:color w:val="000000" w:themeColor="text1"/>
        </w:rPr>
        <w:lastRenderedPageBreak/>
        <w:t xml:space="preserve">zawiadomienia o wydaniu tego postanowienia </w:t>
      </w:r>
      <w:r w:rsidRPr="00E570BD">
        <w:rPr>
          <w:rFonts w:ascii="Times New Roman" w:hAnsi="Times New Roman" w:cs="Times New Roman"/>
          <w:color w:val="000000" w:themeColor="text1"/>
          <w:shd w:val="clear" w:color="auto" w:fill="FFFFFF"/>
        </w:rPr>
        <w:t xml:space="preserve">na czas oznaczony, niezbędny ze względu na dobro sprawy, lecz nie później niż do czasu prawomocnego zakończenia postępowania. </w:t>
      </w:r>
    </w:p>
    <w:p w14:paraId="27CFF4F4" w14:textId="77777777" w:rsidR="00031741" w:rsidRPr="00E570BD" w:rsidRDefault="00031741" w:rsidP="00031741">
      <w:pPr>
        <w:spacing w:after="0" w:line="276" w:lineRule="auto"/>
        <w:ind w:left="360"/>
        <w:contextualSpacing/>
        <w:jc w:val="both"/>
        <w:rPr>
          <w:rFonts w:ascii="Times New Roman" w:hAnsi="Times New Roman" w:cs="Times New Roman"/>
          <w:color w:val="000000" w:themeColor="text1"/>
          <w:shd w:val="clear" w:color="auto" w:fill="FFFFFF"/>
        </w:rPr>
      </w:pPr>
      <w:r w:rsidRPr="00E570BD">
        <w:rPr>
          <w:rFonts w:ascii="Times New Roman" w:hAnsi="Times New Roman" w:cs="Times New Roman"/>
          <w:color w:val="000000" w:themeColor="text1"/>
          <w:shd w:val="clear" w:color="auto" w:fill="FFFFFF"/>
        </w:rPr>
        <w:t xml:space="preserve">Wobec tego, zamiast regulować w projekcie odrębną ścieżkę zaskarżania wydania EPOC, można zawrzeć w nim przepis, zgodnie z którym wydanie EPOC zastępuje wydanie decyzji o zajęciu określonych danych (powyżej w opinii sugeruje się, aby takie odrębne rozstrzygnięcie było zawarte w postanowieniu o wydaniu EPOC) i w związku z tym znajdują do niego odpowiednie zastosowanie: </w:t>
      </w:r>
    </w:p>
    <w:p w14:paraId="6FF4F59A" w14:textId="77777777" w:rsidR="00031741" w:rsidRPr="00E570BD" w:rsidRDefault="00031741" w:rsidP="00031741">
      <w:pPr>
        <w:numPr>
          <w:ilvl w:val="0"/>
          <w:numId w:val="5"/>
        </w:numPr>
        <w:spacing w:after="0" w:line="276" w:lineRule="auto"/>
        <w:contextualSpacing/>
        <w:jc w:val="both"/>
        <w:rPr>
          <w:rFonts w:ascii="Times New Roman" w:hAnsi="Times New Roman" w:cs="Times New Roman"/>
          <w:color w:val="000000" w:themeColor="text1"/>
          <w:shd w:val="clear" w:color="auto" w:fill="FFFFFF"/>
        </w:rPr>
      </w:pPr>
      <w:r w:rsidRPr="00E570BD">
        <w:rPr>
          <w:rFonts w:ascii="Times New Roman" w:hAnsi="Times New Roman" w:cs="Times New Roman"/>
          <w:color w:val="000000" w:themeColor="text1"/>
          <w:shd w:val="clear" w:color="auto" w:fill="FFFFFF"/>
        </w:rPr>
        <w:t xml:space="preserve">przepis art. 240 k.p.k. - w przypadku wydania EPOC dotyczącego danych o treści, oraz </w:t>
      </w:r>
    </w:p>
    <w:p w14:paraId="237F014B" w14:textId="77777777" w:rsidR="00031741" w:rsidRPr="00E570BD" w:rsidRDefault="00031741" w:rsidP="00031741">
      <w:pPr>
        <w:numPr>
          <w:ilvl w:val="0"/>
          <w:numId w:val="5"/>
        </w:numPr>
        <w:spacing w:after="0" w:line="276" w:lineRule="auto"/>
        <w:contextualSpacing/>
        <w:jc w:val="both"/>
        <w:rPr>
          <w:rFonts w:ascii="Times New Roman" w:hAnsi="Times New Roman" w:cs="Times New Roman"/>
          <w:color w:val="000000" w:themeColor="text1"/>
          <w:shd w:val="clear" w:color="auto" w:fill="FFFFFF"/>
        </w:rPr>
      </w:pPr>
      <w:r w:rsidRPr="00E570BD">
        <w:rPr>
          <w:rFonts w:ascii="Times New Roman" w:hAnsi="Times New Roman" w:cs="Times New Roman"/>
          <w:color w:val="000000" w:themeColor="text1"/>
          <w:shd w:val="clear" w:color="auto" w:fill="FFFFFF"/>
        </w:rPr>
        <w:t xml:space="preserve">art. 236 § 1 k.p.k. w przypadku wydania EPOC dotyczącego danych służących identyfikacji osoby oraz danych o ruchu, jednak z tą modyfikacją, że jedynie w przypadku wydania postanowienia w postępowaniu przygotowawczym </w:t>
      </w:r>
      <w:r w:rsidRPr="00E570BD">
        <w:rPr>
          <w:rFonts w:ascii="Times New Roman" w:hAnsi="Times New Roman" w:cs="Times New Roman"/>
          <w:b/>
          <w:bCs/>
          <w:color w:val="000000" w:themeColor="text1"/>
          <w:shd w:val="clear" w:color="auto" w:fill="FFFFFF"/>
        </w:rPr>
        <w:t>przez prokuratora,</w:t>
      </w:r>
      <w:r w:rsidRPr="00E570BD">
        <w:rPr>
          <w:rFonts w:ascii="Times New Roman" w:hAnsi="Times New Roman" w:cs="Times New Roman"/>
          <w:color w:val="000000" w:themeColor="text1"/>
          <w:shd w:val="clear" w:color="auto" w:fill="FFFFFF"/>
        </w:rPr>
        <w:t xml:space="preserve"> zażalenie rozpoznaje sąd rejonowy, w okręgu którego prowadzone jest postępowanie (po doprecyzowaniu, że chodzi wyłącznie o decyzje prokuratora, art. 236 § 1 k.p.k. będzie mógł mieć zastosowanie), natomiast w razie zatwierdzenia EPOC przez sąd (w przypadku danych o ruchu zawsze EPOC wydany przez prokuratora w postępowaniu przygotowawczym będzie musiał być zatwierdzony przez sąd właściwy do rozpoznania sprawy w I instancji), zażalenie przysługuje na zasadach ogólnych (czyli do sądu wyższej instancji, ewentualnie można tu przewidzieć tzw. instancję poziomą).     </w:t>
      </w:r>
    </w:p>
    <w:p w14:paraId="5A6166E5" w14:textId="5F8E0C96" w:rsidR="00031741" w:rsidRPr="00E570BD" w:rsidRDefault="00031741" w:rsidP="00031741">
      <w:pPr>
        <w:spacing w:after="0" w:line="276" w:lineRule="auto"/>
        <w:ind w:left="360"/>
        <w:contextualSpacing/>
        <w:jc w:val="both"/>
        <w:rPr>
          <w:rFonts w:ascii="Times New Roman" w:hAnsi="Times New Roman" w:cs="Times New Roman"/>
          <w:color w:val="000000" w:themeColor="text1"/>
          <w:shd w:val="clear" w:color="auto" w:fill="FFFFFF"/>
        </w:rPr>
      </w:pPr>
      <w:r w:rsidRPr="00E570BD">
        <w:rPr>
          <w:rFonts w:ascii="Times New Roman" w:hAnsi="Times New Roman" w:cs="Times New Roman"/>
          <w:color w:val="000000" w:themeColor="text1"/>
          <w:shd w:val="clear" w:color="auto" w:fill="FFFFFF"/>
        </w:rPr>
        <w:t>Konstruując oba odesłania należy pamiętać, że EPOC będzie zasadniczo wydawany w trzech grupach sytuacji:</w:t>
      </w:r>
    </w:p>
    <w:p w14:paraId="65B5586C" w14:textId="77777777" w:rsidR="00031741" w:rsidRPr="00E570BD" w:rsidRDefault="00031741" w:rsidP="00031741">
      <w:pPr>
        <w:numPr>
          <w:ilvl w:val="0"/>
          <w:numId w:val="4"/>
        </w:numPr>
        <w:spacing w:after="0" w:line="276" w:lineRule="auto"/>
        <w:contextualSpacing/>
        <w:jc w:val="both"/>
        <w:rPr>
          <w:rFonts w:ascii="Times New Roman" w:hAnsi="Times New Roman" w:cs="Times New Roman"/>
          <w:color w:val="000000" w:themeColor="text1"/>
        </w:rPr>
      </w:pPr>
      <w:r w:rsidRPr="00E570BD">
        <w:rPr>
          <w:rFonts w:ascii="Times New Roman" w:hAnsi="Times New Roman" w:cs="Times New Roman"/>
          <w:color w:val="000000" w:themeColor="text1"/>
          <w:shd w:val="clear" w:color="auto" w:fill="FFFFFF"/>
        </w:rPr>
        <w:t>W postępowaniu przygotowawczym przez prokuratora, jeżeli nie dotyczy danych o ruchu i danych o treści (projektowany art. 592g § 1);</w:t>
      </w:r>
    </w:p>
    <w:p w14:paraId="790E2363" w14:textId="77777777" w:rsidR="00031741" w:rsidRPr="00E570BD" w:rsidRDefault="00031741" w:rsidP="00031741">
      <w:pPr>
        <w:numPr>
          <w:ilvl w:val="0"/>
          <w:numId w:val="4"/>
        </w:numPr>
        <w:spacing w:after="0" w:line="276" w:lineRule="auto"/>
        <w:contextualSpacing/>
        <w:jc w:val="both"/>
        <w:rPr>
          <w:rFonts w:ascii="Times New Roman" w:hAnsi="Times New Roman" w:cs="Times New Roman"/>
          <w:color w:val="000000" w:themeColor="text1"/>
        </w:rPr>
      </w:pPr>
      <w:r w:rsidRPr="00E570BD">
        <w:rPr>
          <w:rFonts w:ascii="Times New Roman" w:hAnsi="Times New Roman" w:cs="Times New Roman"/>
          <w:color w:val="000000" w:themeColor="text1"/>
          <w:shd w:val="clear" w:color="auto" w:fill="FFFFFF"/>
        </w:rPr>
        <w:t>W postępowaniu przygotowawczym przez prokuratora i po zatwierdzeniu przez sąd właściwy do rozpoznania sprawy – jeżeli dotyczy danych o ruchu lub danych o treści (projektowany art. 592g § 2)</w:t>
      </w:r>
    </w:p>
    <w:p w14:paraId="2E708C58" w14:textId="77777777" w:rsidR="00031741" w:rsidRPr="00E570BD" w:rsidRDefault="00031741" w:rsidP="00031741">
      <w:pPr>
        <w:numPr>
          <w:ilvl w:val="0"/>
          <w:numId w:val="4"/>
        </w:numPr>
        <w:spacing w:after="0" w:line="276" w:lineRule="auto"/>
        <w:contextualSpacing/>
        <w:jc w:val="both"/>
        <w:rPr>
          <w:rFonts w:ascii="Times New Roman" w:hAnsi="Times New Roman" w:cs="Times New Roman"/>
          <w:color w:val="000000" w:themeColor="text1"/>
        </w:rPr>
      </w:pPr>
      <w:r w:rsidRPr="00E570BD">
        <w:rPr>
          <w:rFonts w:ascii="Times New Roman" w:hAnsi="Times New Roman" w:cs="Times New Roman"/>
          <w:color w:val="000000" w:themeColor="text1"/>
          <w:shd w:val="clear" w:color="auto" w:fill="FFFFFF"/>
        </w:rPr>
        <w:t>W postępowaniu sądowym przez sąd, przed którym sprawa się toczy – dla wszystkich danych (projektowany art. 592g § 1).</w:t>
      </w:r>
    </w:p>
    <w:p w14:paraId="2EC4DDB8" w14:textId="77777777" w:rsidR="00031741" w:rsidRPr="00E570BD" w:rsidRDefault="00031741" w:rsidP="00031741">
      <w:pPr>
        <w:spacing w:after="0" w:line="276" w:lineRule="auto"/>
        <w:ind w:left="360"/>
        <w:jc w:val="both"/>
        <w:rPr>
          <w:rFonts w:ascii="Times New Roman" w:hAnsi="Times New Roman" w:cs="Times New Roman"/>
          <w:color w:val="000000" w:themeColor="text1"/>
          <w:shd w:val="clear" w:color="auto" w:fill="FFFFFF"/>
        </w:rPr>
      </w:pPr>
      <w:r w:rsidRPr="00E570BD">
        <w:rPr>
          <w:rFonts w:ascii="Times New Roman" w:hAnsi="Times New Roman" w:cs="Times New Roman"/>
          <w:color w:val="000000" w:themeColor="text1"/>
          <w:shd w:val="clear" w:color="auto" w:fill="FFFFFF"/>
        </w:rPr>
        <w:t xml:space="preserve">W uzasadnieniu projektu należałoby wyjaśnić, że w przypadku EPOC wydanego w postępowaniu przygotowawczym przez prokuratora i zatwierdzonego przez sąd, zażalenie w istocie przysługuje nie na postanowienie prokuratora, tylko sądu, bowiem postanowienie prokuratora, zatwierdzone przez sąd, staje się postanowieniem sądu. Wówczas zażalenie na to postanowienie rozpozna sąd wyższej instancji, na zasadach ogólnych wynikających z zasady dewolucji (chyba, że zostanie wprowadzona instancja pozioma). </w:t>
      </w:r>
    </w:p>
    <w:p w14:paraId="517A95D6" w14:textId="77777777" w:rsidR="00031741" w:rsidRPr="00E570BD" w:rsidRDefault="00031741" w:rsidP="00031741">
      <w:pPr>
        <w:spacing w:after="0" w:line="276" w:lineRule="auto"/>
        <w:ind w:left="360"/>
        <w:jc w:val="both"/>
        <w:rPr>
          <w:rFonts w:ascii="Times New Roman" w:hAnsi="Times New Roman" w:cs="Times New Roman"/>
          <w:color w:val="000000" w:themeColor="text1"/>
          <w:shd w:val="clear" w:color="auto" w:fill="FFFFFF"/>
        </w:rPr>
      </w:pPr>
      <w:r w:rsidRPr="00E570BD">
        <w:rPr>
          <w:rFonts w:ascii="Times New Roman" w:hAnsi="Times New Roman" w:cs="Times New Roman"/>
          <w:color w:val="000000" w:themeColor="text1"/>
          <w:shd w:val="clear" w:color="auto" w:fill="FFFFFF"/>
        </w:rPr>
        <w:t xml:space="preserve">Trzeba jednocześnie dostrzec niespójność systemową, jaka wynika z tego, że EPOC dot. danych o ruchu, wydany przez prokuratora na etapie postępowania przygotowawczego, zawsze musi, zgodnie z Rozporządzeniem, zatwierdzić sąd. I tak: jeżeli dane o ruchu będą pozyskiwane „krajowo”, to decyzję o ich pozyskaniu wyda prokurator a zażalenie będzie przysługiwało do sądu rejonowego, w którego okręgu prowadzone jest postępowanie. Jeżeli z kolei te same dane będą pozyskiwane w trybie Rozporządzenia, to EPOC wyda prokurator, zatwierdzi sąd właściwy do rozpoznania sprawy, a i tak będzie przysługiwało </w:t>
      </w:r>
      <w:r w:rsidRPr="00E570BD">
        <w:rPr>
          <w:rFonts w:ascii="Times New Roman" w:hAnsi="Times New Roman" w:cs="Times New Roman"/>
          <w:color w:val="000000" w:themeColor="text1"/>
          <w:shd w:val="clear" w:color="auto" w:fill="FFFFFF"/>
        </w:rPr>
        <w:lastRenderedPageBreak/>
        <w:t xml:space="preserve">zażalenie do sądu. W rezultacie wyższy będzie standard gwarancyjności procedury transgranicznej niż krajowej. </w:t>
      </w:r>
    </w:p>
    <w:p w14:paraId="66D32335" w14:textId="77777777" w:rsidR="00031741" w:rsidRPr="00E570BD" w:rsidRDefault="00031741" w:rsidP="00031741">
      <w:pPr>
        <w:numPr>
          <w:ilvl w:val="0"/>
          <w:numId w:val="1"/>
        </w:numPr>
        <w:spacing w:after="0" w:line="276" w:lineRule="auto"/>
        <w:contextualSpacing/>
        <w:jc w:val="both"/>
        <w:rPr>
          <w:rFonts w:ascii="Times New Roman" w:hAnsi="Times New Roman" w:cs="Times New Roman"/>
          <w:color w:val="000000" w:themeColor="text1"/>
        </w:rPr>
      </w:pPr>
      <w:r w:rsidRPr="00E570BD">
        <w:rPr>
          <w:rFonts w:ascii="Times New Roman" w:hAnsi="Times New Roman" w:cs="Times New Roman"/>
          <w:color w:val="000000" w:themeColor="text1"/>
        </w:rPr>
        <w:t xml:space="preserve">Należy uznać, że w razie pozyskania danych i ich wykorzystania w toku procesu karnego, standard środka odwoławczego, o którym mowa w art. 18 ust. 1 zdanie drugie Rozporządzenia, jest spełniony przez możliwość kwestionowania dopuszczalności tak pozyskanych dowodów, również w zarzutach zwyczajnych lub nadzwyczajnych środków odwoławczych.  </w:t>
      </w:r>
    </w:p>
    <w:p w14:paraId="4CFA9ABE" w14:textId="77777777" w:rsidR="00031741" w:rsidRPr="00E570BD" w:rsidRDefault="00031741" w:rsidP="00031741">
      <w:pPr>
        <w:spacing w:after="0" w:line="276" w:lineRule="auto"/>
        <w:ind w:left="360"/>
        <w:contextualSpacing/>
        <w:jc w:val="both"/>
        <w:rPr>
          <w:rFonts w:ascii="Times New Roman" w:hAnsi="Times New Roman" w:cs="Times New Roman"/>
          <w:color w:val="000000" w:themeColor="text1"/>
        </w:rPr>
      </w:pPr>
    </w:p>
    <w:p w14:paraId="450F59D8" w14:textId="77777777" w:rsidR="00031741" w:rsidRPr="00E570BD" w:rsidRDefault="00031741" w:rsidP="00031741">
      <w:pPr>
        <w:spacing w:after="0" w:line="276" w:lineRule="auto"/>
        <w:contextualSpacing/>
        <w:jc w:val="both"/>
        <w:rPr>
          <w:rFonts w:ascii="Times New Roman" w:hAnsi="Times New Roman" w:cs="Times New Roman"/>
          <w:color w:val="000000" w:themeColor="text1"/>
        </w:rPr>
      </w:pPr>
    </w:p>
    <w:p w14:paraId="78F67FBE" w14:textId="77777777" w:rsidR="00031741" w:rsidRPr="00E570BD" w:rsidRDefault="00031741" w:rsidP="00031741">
      <w:pPr>
        <w:numPr>
          <w:ilvl w:val="1"/>
          <w:numId w:val="3"/>
        </w:numPr>
        <w:spacing w:after="0" w:line="276" w:lineRule="auto"/>
        <w:contextualSpacing/>
        <w:jc w:val="both"/>
        <w:rPr>
          <w:rFonts w:ascii="Times New Roman" w:hAnsi="Times New Roman" w:cs="Times New Roman"/>
          <w:b/>
          <w:bCs/>
          <w:color w:val="000000" w:themeColor="text1"/>
        </w:rPr>
      </w:pPr>
      <w:r w:rsidRPr="00E570BD">
        <w:rPr>
          <w:rFonts w:ascii="Times New Roman" w:hAnsi="Times New Roman" w:cs="Times New Roman"/>
          <w:b/>
          <w:bCs/>
          <w:color w:val="000000" w:themeColor="text1"/>
        </w:rPr>
        <w:t xml:space="preserve"> Sąd właściwy/procedura w przypadku wniesienia sprzeciwu (wdrożenie art. 17 Rozporządzenia)</w:t>
      </w:r>
    </w:p>
    <w:p w14:paraId="238F98C8" w14:textId="77777777" w:rsidR="00031741" w:rsidRPr="00E570BD" w:rsidRDefault="00031741" w:rsidP="00031741">
      <w:pPr>
        <w:spacing w:after="0" w:line="276" w:lineRule="auto"/>
        <w:contextualSpacing/>
        <w:jc w:val="both"/>
        <w:rPr>
          <w:rFonts w:ascii="Times New Roman" w:hAnsi="Times New Roman" w:cs="Times New Roman"/>
          <w:color w:val="000000" w:themeColor="text1"/>
        </w:rPr>
      </w:pPr>
    </w:p>
    <w:p w14:paraId="56E4F4C4" w14:textId="2358891C" w:rsidR="00031741" w:rsidRPr="00E570BD" w:rsidRDefault="00031741" w:rsidP="00031741">
      <w:pPr>
        <w:numPr>
          <w:ilvl w:val="0"/>
          <w:numId w:val="1"/>
        </w:numPr>
        <w:spacing w:after="0" w:line="276" w:lineRule="auto"/>
        <w:contextualSpacing/>
        <w:jc w:val="both"/>
        <w:rPr>
          <w:rFonts w:ascii="Times New Roman" w:hAnsi="Times New Roman" w:cs="Times New Roman"/>
          <w:color w:val="000000" w:themeColor="text1"/>
        </w:rPr>
      </w:pPr>
      <w:r w:rsidRPr="00E570BD">
        <w:rPr>
          <w:rFonts w:ascii="Times New Roman" w:eastAsia="Times New Roman" w:hAnsi="Times New Roman" w:cs="Times New Roman"/>
          <w:color w:val="000000" w:themeColor="text1"/>
        </w:rPr>
        <w:t xml:space="preserve">Nie jest zasadne przepisywanie do k.p.k. całej procedury postępowania w razie wniesienia sprzeciwu, co uczyniono w projektowanym art. 592n. Ta procedura wynika z podlegającego bezpośredniemu stosowaniu Rozporządzenia. Konieczne jest </w:t>
      </w:r>
      <w:r w:rsidR="00737D75" w:rsidRPr="00E570BD">
        <w:rPr>
          <w:rFonts w:ascii="Times New Roman" w:eastAsia="Times New Roman" w:hAnsi="Times New Roman" w:cs="Times New Roman"/>
          <w:color w:val="000000" w:themeColor="text1"/>
        </w:rPr>
        <w:t>natomiast</w:t>
      </w:r>
      <w:r w:rsidRPr="00E570BD">
        <w:rPr>
          <w:rFonts w:ascii="Times New Roman" w:eastAsia="Times New Roman" w:hAnsi="Times New Roman" w:cs="Times New Roman"/>
          <w:color w:val="000000" w:themeColor="text1"/>
        </w:rPr>
        <w:t xml:space="preserve"> wskazanie sądu właściwego do orzekania w ramach tej procedury.</w:t>
      </w:r>
    </w:p>
    <w:p w14:paraId="0C66994D" w14:textId="048A1953" w:rsidR="00031741" w:rsidRPr="00E570BD" w:rsidRDefault="00031741" w:rsidP="00031741">
      <w:pPr>
        <w:numPr>
          <w:ilvl w:val="0"/>
          <w:numId w:val="1"/>
        </w:numPr>
        <w:spacing w:after="0" w:line="276" w:lineRule="auto"/>
        <w:contextualSpacing/>
        <w:jc w:val="both"/>
        <w:rPr>
          <w:rFonts w:ascii="Times New Roman" w:hAnsi="Times New Roman" w:cs="Times New Roman"/>
          <w:color w:val="000000" w:themeColor="text1"/>
        </w:rPr>
      </w:pPr>
      <w:r w:rsidRPr="00E570BD">
        <w:rPr>
          <w:rFonts w:ascii="Times New Roman" w:hAnsi="Times New Roman" w:cs="Times New Roman"/>
          <w:color w:val="000000" w:themeColor="text1"/>
        </w:rPr>
        <w:t xml:space="preserve">Zasadnie w projektowanym art. 592n § 2 k.p.k. wskazano sąd okręgowy lub sąd apelacyjny </w:t>
      </w:r>
      <w:proofErr w:type="gramStart"/>
      <w:r w:rsidRPr="00E570BD">
        <w:rPr>
          <w:rFonts w:ascii="Times New Roman" w:hAnsi="Times New Roman" w:cs="Times New Roman"/>
          <w:color w:val="000000" w:themeColor="text1"/>
        </w:rPr>
        <w:t>jako  właściwe</w:t>
      </w:r>
      <w:proofErr w:type="gramEnd"/>
      <w:r w:rsidRPr="00E570BD">
        <w:rPr>
          <w:rFonts w:ascii="Times New Roman" w:hAnsi="Times New Roman" w:cs="Times New Roman"/>
          <w:color w:val="000000" w:themeColor="text1"/>
        </w:rPr>
        <w:t xml:space="preserve"> do przeprowadzania kontroli wniosku organu wydającego o utrzymanie w mocy nakazu. </w:t>
      </w:r>
      <w:r w:rsidRPr="00E570BD">
        <w:rPr>
          <w:rFonts w:ascii="Times New Roman" w:hAnsi="Times New Roman" w:cs="Times New Roman"/>
          <w:color w:val="000000" w:themeColor="text1"/>
          <w:shd w:val="clear" w:color="auto" w:fill="FFFFFF"/>
        </w:rPr>
        <w:t>Ze względu na stopień skomplikowania materii, jaką miałby rozstrzygać ten sąd</w:t>
      </w:r>
      <w:r w:rsidRPr="00E570BD">
        <w:rPr>
          <w:rFonts w:ascii="Times New Roman" w:hAnsi="Times New Roman" w:cs="Times New Roman"/>
          <w:color w:val="000000" w:themeColor="text1"/>
          <w:shd w:val="clear" w:color="auto" w:fill="FFFFFF"/>
          <w:vertAlign w:val="superscript"/>
        </w:rPr>
        <w:footnoteReference w:id="2"/>
      </w:r>
      <w:r w:rsidRPr="00E570BD">
        <w:rPr>
          <w:rFonts w:ascii="Times New Roman" w:hAnsi="Times New Roman" w:cs="Times New Roman"/>
          <w:color w:val="000000" w:themeColor="text1"/>
          <w:shd w:val="clear" w:color="auto" w:fill="FFFFFF"/>
        </w:rPr>
        <w:t xml:space="preserve">, należy wyposażyć w tę kompetencję co najmniej sądy okręgowe lub nawet sądy </w:t>
      </w:r>
      <w:r w:rsidRPr="00E570BD">
        <w:rPr>
          <w:rFonts w:ascii="Times New Roman" w:hAnsi="Times New Roman" w:cs="Times New Roman"/>
          <w:color w:val="000000" w:themeColor="text1"/>
          <w:shd w:val="clear" w:color="auto" w:fill="FFFFFF"/>
        </w:rPr>
        <w:lastRenderedPageBreak/>
        <w:t xml:space="preserve">apelacyjne. Za właściwością wyłącznie sądów apelacyjnych przemawia wysoki stopień skomplikowania problemów prawnych, jakie ma rozstrzygać ten sąd, jak również kontrolny charakter tego postępowania – to przecież organ wydający, po otrzymaniu sprzeciwu, chcąc podtrzymać EPOC, poddaje go kontroli „przez właściwy sąd państwa wydającego” (Art. 17 ust. 3 Rozporządzenia). </w:t>
      </w:r>
    </w:p>
    <w:p w14:paraId="5713CD47" w14:textId="77777777" w:rsidR="00031741" w:rsidRPr="00E570BD" w:rsidRDefault="00031741" w:rsidP="00031741">
      <w:pPr>
        <w:spacing w:after="0" w:line="276" w:lineRule="auto"/>
        <w:contextualSpacing/>
        <w:jc w:val="both"/>
        <w:rPr>
          <w:rFonts w:ascii="Times New Roman" w:hAnsi="Times New Roman" w:cs="Times New Roman"/>
          <w:color w:val="000000" w:themeColor="text1"/>
          <w:shd w:val="clear" w:color="auto" w:fill="FFFFFF"/>
        </w:rPr>
      </w:pPr>
    </w:p>
    <w:p w14:paraId="2DB70060" w14:textId="77777777" w:rsidR="00031741" w:rsidRPr="00E570BD" w:rsidRDefault="00031741" w:rsidP="00031741">
      <w:pPr>
        <w:numPr>
          <w:ilvl w:val="1"/>
          <w:numId w:val="3"/>
        </w:numPr>
        <w:spacing w:after="0" w:line="276" w:lineRule="auto"/>
        <w:contextualSpacing/>
        <w:jc w:val="both"/>
        <w:rPr>
          <w:rFonts w:ascii="Times New Roman" w:hAnsi="Times New Roman" w:cs="Times New Roman"/>
          <w:b/>
          <w:bCs/>
          <w:color w:val="000000" w:themeColor="text1"/>
        </w:rPr>
      </w:pPr>
      <w:r w:rsidRPr="00E570BD">
        <w:rPr>
          <w:rFonts w:ascii="Times New Roman" w:hAnsi="Times New Roman" w:cs="Times New Roman"/>
          <w:b/>
          <w:bCs/>
          <w:color w:val="000000" w:themeColor="text1"/>
          <w:shd w:val="clear" w:color="auto" w:fill="FFFFFF"/>
        </w:rPr>
        <w:t xml:space="preserve"> Uwagi do projektowanych przepisów rozdziału 63b – wystąpienie państwa członkowskiego UE z nakazem wydania dowodów oraz nakazem zabezpieczenia dowodów.  </w:t>
      </w:r>
    </w:p>
    <w:p w14:paraId="609625B6" w14:textId="77777777" w:rsidR="00031741" w:rsidRPr="00E570BD" w:rsidRDefault="00031741" w:rsidP="00031741">
      <w:pPr>
        <w:spacing w:after="0" w:line="276" w:lineRule="auto"/>
        <w:contextualSpacing/>
        <w:jc w:val="both"/>
        <w:rPr>
          <w:rFonts w:ascii="Times New Roman" w:hAnsi="Times New Roman" w:cs="Times New Roman"/>
          <w:color w:val="000000" w:themeColor="text1"/>
        </w:rPr>
      </w:pPr>
    </w:p>
    <w:p w14:paraId="7B3191DA" w14:textId="799DD60A" w:rsidR="00031741" w:rsidRPr="00E570BD" w:rsidRDefault="00031741" w:rsidP="00031741">
      <w:pPr>
        <w:numPr>
          <w:ilvl w:val="0"/>
          <w:numId w:val="1"/>
        </w:numPr>
        <w:spacing w:after="0" w:line="276" w:lineRule="auto"/>
        <w:contextualSpacing/>
        <w:jc w:val="both"/>
        <w:rPr>
          <w:rFonts w:ascii="Times New Roman" w:hAnsi="Times New Roman" w:cs="Times New Roman"/>
          <w:color w:val="000000" w:themeColor="text1"/>
        </w:rPr>
      </w:pPr>
      <w:r w:rsidRPr="00E570BD">
        <w:rPr>
          <w:rFonts w:ascii="Times New Roman" w:hAnsi="Times New Roman" w:cs="Times New Roman"/>
          <w:color w:val="000000" w:themeColor="text1"/>
        </w:rPr>
        <w:t>Krytycznie należy odnieść się do wskazania, że organem przymuszającym w rozumieniu Rozporządzenia jest Prokuratura Krajowa (projektowany art. 592p § 2). Jest to rozwiązanie</w:t>
      </w:r>
      <w:r w:rsidR="00EE426E" w:rsidRPr="00E570BD">
        <w:rPr>
          <w:rFonts w:ascii="Times New Roman" w:hAnsi="Times New Roman" w:cs="Times New Roman"/>
          <w:color w:val="000000" w:themeColor="text1"/>
        </w:rPr>
        <w:t>, które może budzić wątpliwości co do jego zgodności</w:t>
      </w:r>
      <w:r w:rsidRPr="00E570BD">
        <w:rPr>
          <w:rFonts w:ascii="Times New Roman" w:hAnsi="Times New Roman" w:cs="Times New Roman"/>
          <w:color w:val="000000" w:themeColor="text1"/>
        </w:rPr>
        <w:t xml:space="preserve"> z art. 3 pkt 17 Rozporządzenia, wedle którego „organ przymuszający do wykonania nakazu” </w:t>
      </w:r>
      <w:proofErr w:type="gramStart"/>
      <w:r w:rsidRPr="00E570BD">
        <w:rPr>
          <w:rFonts w:ascii="Times New Roman" w:hAnsi="Times New Roman" w:cs="Times New Roman"/>
          <w:color w:val="000000" w:themeColor="text1"/>
        </w:rPr>
        <w:t>to  organ</w:t>
      </w:r>
      <w:proofErr w:type="gramEnd"/>
      <w:r w:rsidRPr="00E570BD">
        <w:rPr>
          <w:rFonts w:ascii="Times New Roman" w:hAnsi="Times New Roman" w:cs="Times New Roman"/>
          <w:color w:val="000000" w:themeColor="text1"/>
        </w:rPr>
        <w:t xml:space="preserve"> w państwie wykonującym, który, zgodnie z prawem krajowym tego państwa, jest właściwy do otrzymania europejskiego nakazu wydania dowodów i EPOC lub europejskiego nakazu zabezpieczenia dowodów i EPOC-PR przekazanych przez organ wydający, w celu powiadomienia o nakazie lub w celu wykonania nakazu zgodnie z Rozporządzeniem. Organ przymuszający ma przecież przewidzianą Rozporządzeniem kompetencję do orzekania o odmowie wykonania EPOC, co może nastąpić np. wówczas, gdy jego wykonanie wiązałoby się z oczywistym naruszeniem praw podstawowych UE, czy oceną, że na przeszkodzie wykonaniu stoją przywileje lub immunitety (art. 12 ust. 1a i 1b Rozporządzenia). Dodać należy, że te nakazy, których wykonanie najbardziej ingeruje w prawa podstawowe – dotyczące danych o treści i danych o ruchu – są obowiązkowo przekazywane organowi przymuszającemu (art. 8 ust. 1 Rozporządzenia). Ze względów gwarancyjnych należy rozważyć wyposażenie niezależnego i niezawisłego organu, czyli sądu, w kompetencje organu przymuszającego. </w:t>
      </w:r>
    </w:p>
    <w:p w14:paraId="37B55720" w14:textId="5CDF56F0" w:rsidR="00031741" w:rsidRPr="00E570BD" w:rsidRDefault="00031741" w:rsidP="00031741">
      <w:pPr>
        <w:numPr>
          <w:ilvl w:val="0"/>
          <w:numId w:val="1"/>
        </w:numPr>
        <w:spacing w:after="0" w:line="276" w:lineRule="auto"/>
        <w:contextualSpacing/>
        <w:jc w:val="both"/>
        <w:rPr>
          <w:rFonts w:ascii="Times New Roman" w:hAnsi="Times New Roman" w:cs="Times New Roman"/>
          <w:color w:val="000000" w:themeColor="text1"/>
        </w:rPr>
      </w:pPr>
      <w:r w:rsidRPr="00E570BD">
        <w:rPr>
          <w:rFonts w:ascii="Times New Roman" w:hAnsi="Times New Roman" w:cs="Times New Roman"/>
          <w:color w:val="000000" w:themeColor="text1"/>
        </w:rPr>
        <w:t>W związku z treścią projektowanego art. 592t § 5, dotycząc</w:t>
      </w:r>
      <w:r w:rsidR="00557EE1" w:rsidRPr="00E570BD">
        <w:rPr>
          <w:rFonts w:ascii="Times New Roman" w:hAnsi="Times New Roman" w:cs="Times New Roman"/>
          <w:color w:val="000000" w:themeColor="text1"/>
        </w:rPr>
        <w:t>ego</w:t>
      </w:r>
      <w:r w:rsidRPr="00E570BD">
        <w:rPr>
          <w:rFonts w:ascii="Times New Roman" w:hAnsi="Times New Roman" w:cs="Times New Roman"/>
          <w:color w:val="000000" w:themeColor="text1"/>
        </w:rPr>
        <w:t xml:space="preserve"> uchylenia immunitetu i przywileju, zasadne wydaje się umieszczenie w Kodeksie postępowania karnego podstawy uchylenia immunitetu lub zwolnienia z tajemnicy na potrzeby wykonania EPOC oraz doprecyzowanie organu uprawnionego do zwolnienia, biorąc pod uwagę, że postępowanie nie toczy się w Polsce i podstawy krajowe mogą okazać się nieadekwatne do kontekstu nakazu (np. art. 180 k.p.k.). </w:t>
      </w:r>
    </w:p>
    <w:p w14:paraId="42DC3513" w14:textId="77777777" w:rsidR="00031741" w:rsidRPr="00E570BD" w:rsidRDefault="00031741" w:rsidP="00031741">
      <w:pPr>
        <w:spacing w:after="0" w:line="276" w:lineRule="auto"/>
        <w:contextualSpacing/>
        <w:jc w:val="both"/>
        <w:rPr>
          <w:rFonts w:ascii="Times New Roman" w:hAnsi="Times New Roman" w:cs="Times New Roman"/>
          <w:color w:val="000000" w:themeColor="text1"/>
        </w:rPr>
      </w:pPr>
    </w:p>
    <w:p w14:paraId="14ECFA90" w14:textId="77777777" w:rsidR="00031741" w:rsidRPr="00E570BD" w:rsidRDefault="00031741" w:rsidP="00031741">
      <w:pPr>
        <w:spacing w:after="0" w:line="276" w:lineRule="auto"/>
        <w:ind w:left="60"/>
        <w:jc w:val="both"/>
        <w:rPr>
          <w:rFonts w:ascii="Times New Roman" w:hAnsi="Times New Roman" w:cs="Times New Roman"/>
          <w:color w:val="000000" w:themeColor="text1"/>
        </w:rPr>
      </w:pPr>
    </w:p>
    <w:p w14:paraId="625525ED" w14:textId="77777777" w:rsidR="00031741" w:rsidRPr="00E570BD" w:rsidRDefault="00031741" w:rsidP="00031741">
      <w:pPr>
        <w:spacing w:after="0" w:line="276" w:lineRule="auto"/>
        <w:ind w:left="60"/>
        <w:jc w:val="both"/>
        <w:rPr>
          <w:rFonts w:ascii="Times New Roman" w:hAnsi="Times New Roman" w:cs="Times New Roman"/>
          <w:color w:val="000000" w:themeColor="text1"/>
        </w:rPr>
      </w:pPr>
    </w:p>
    <w:p w14:paraId="779CD71A" w14:textId="4A3AACBF" w:rsidR="00031741" w:rsidRPr="00E570BD" w:rsidRDefault="00031741" w:rsidP="00031741">
      <w:pPr>
        <w:jc w:val="both"/>
        <w:rPr>
          <w:rFonts w:ascii="Times New Roman" w:hAnsi="Times New Roman" w:cs="Times New Roman"/>
          <w:color w:val="000000" w:themeColor="text1"/>
        </w:rPr>
      </w:pPr>
      <w:r w:rsidRPr="00E570BD">
        <w:rPr>
          <w:rFonts w:ascii="Times New Roman" w:hAnsi="Times New Roman" w:cs="Times New Roman"/>
          <w:color w:val="000000" w:themeColor="text1"/>
        </w:rPr>
        <w:t xml:space="preserve">Opr.: M. Wąsek-Wiaderek, z uwzględnieniem uwag </w:t>
      </w:r>
      <w:r w:rsidR="000C7A19" w:rsidRPr="00E570BD">
        <w:rPr>
          <w:rFonts w:ascii="Times New Roman" w:hAnsi="Times New Roman" w:cs="Times New Roman"/>
          <w:color w:val="000000" w:themeColor="text1"/>
        </w:rPr>
        <w:t>c</w:t>
      </w:r>
      <w:r w:rsidRPr="00E570BD">
        <w:rPr>
          <w:rFonts w:ascii="Times New Roman" w:hAnsi="Times New Roman" w:cs="Times New Roman"/>
          <w:color w:val="000000" w:themeColor="text1"/>
        </w:rPr>
        <w:t>złonków Zespołu</w:t>
      </w:r>
      <w:r w:rsidR="000C7A19" w:rsidRPr="00E570BD">
        <w:rPr>
          <w:rFonts w:ascii="Times New Roman" w:hAnsi="Times New Roman" w:cs="Times New Roman"/>
          <w:color w:val="000000" w:themeColor="text1"/>
        </w:rPr>
        <w:t xml:space="preserve"> problemowego do spraw implementacji dyrektyw.</w:t>
      </w:r>
    </w:p>
    <w:p w14:paraId="56F4F0C3" w14:textId="2D31F62F" w:rsidR="00031741" w:rsidRPr="00E570BD" w:rsidRDefault="000C7A19" w:rsidP="00FE4258">
      <w:pPr>
        <w:jc w:val="both"/>
        <w:rPr>
          <w:rFonts w:ascii="Times New Roman" w:hAnsi="Times New Roman" w:cs="Times New Roman"/>
          <w:color w:val="000000" w:themeColor="text1"/>
        </w:rPr>
      </w:pPr>
      <w:r w:rsidRPr="00E570BD">
        <w:rPr>
          <w:rFonts w:ascii="Times New Roman" w:hAnsi="Times New Roman" w:cs="Times New Roman"/>
          <w:color w:val="000000" w:themeColor="text1"/>
        </w:rPr>
        <w:t>Opinia przyjęta na posiedzeniu KKPK dnia 23 czerwca 2026 r.</w:t>
      </w:r>
    </w:p>
    <w:p w14:paraId="6E621BE5" w14:textId="77777777" w:rsidR="004B542D" w:rsidRPr="00E570BD" w:rsidRDefault="004B542D">
      <w:pPr>
        <w:rPr>
          <w:color w:val="000000" w:themeColor="text1"/>
        </w:rPr>
      </w:pPr>
    </w:p>
    <w:sectPr w:rsidR="004B542D" w:rsidRPr="00E570BD" w:rsidSect="00031741">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3AE61" w14:textId="77777777" w:rsidR="00814C42" w:rsidRDefault="00814C42" w:rsidP="00031741">
      <w:pPr>
        <w:spacing w:after="0" w:line="240" w:lineRule="auto"/>
      </w:pPr>
      <w:r>
        <w:separator/>
      </w:r>
    </w:p>
  </w:endnote>
  <w:endnote w:type="continuationSeparator" w:id="0">
    <w:p w14:paraId="61B00CBC" w14:textId="77777777" w:rsidR="00814C42" w:rsidRDefault="00814C42" w:rsidP="00031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Light">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406144"/>
      <w:docPartObj>
        <w:docPartGallery w:val="Page Numbers (Bottom of Page)"/>
        <w:docPartUnique/>
      </w:docPartObj>
    </w:sdtPr>
    <w:sdtContent>
      <w:p w14:paraId="569DCBB5" w14:textId="77777777" w:rsidR="00031741" w:rsidRDefault="00031741">
        <w:pPr>
          <w:pStyle w:val="Stopka"/>
          <w:jc w:val="center"/>
        </w:pPr>
        <w:r>
          <w:fldChar w:fldCharType="begin"/>
        </w:r>
        <w:r>
          <w:instrText>PAGE   \* MERGEFORMAT</w:instrText>
        </w:r>
        <w:r>
          <w:fldChar w:fldCharType="separate"/>
        </w:r>
        <w:r>
          <w:t>2</w:t>
        </w:r>
        <w:r>
          <w:fldChar w:fldCharType="end"/>
        </w:r>
      </w:p>
    </w:sdtContent>
  </w:sdt>
  <w:p w14:paraId="7E9CD4EA" w14:textId="77777777" w:rsidR="00031741" w:rsidRDefault="0003174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71F91" w14:textId="77777777" w:rsidR="00814C42" w:rsidRDefault="00814C42" w:rsidP="00031741">
      <w:pPr>
        <w:spacing w:after="0" w:line="240" w:lineRule="auto"/>
      </w:pPr>
      <w:r>
        <w:separator/>
      </w:r>
    </w:p>
  </w:footnote>
  <w:footnote w:type="continuationSeparator" w:id="0">
    <w:p w14:paraId="54E0A200" w14:textId="77777777" w:rsidR="00814C42" w:rsidRDefault="00814C42" w:rsidP="00031741">
      <w:pPr>
        <w:spacing w:after="0" w:line="240" w:lineRule="auto"/>
      </w:pPr>
      <w:r>
        <w:continuationSeparator/>
      </w:r>
    </w:p>
  </w:footnote>
  <w:footnote w:id="1">
    <w:p w14:paraId="0DC54D79" w14:textId="77777777" w:rsidR="00031741" w:rsidRPr="00DE1E5B" w:rsidRDefault="00031741" w:rsidP="00031741">
      <w:pPr>
        <w:pStyle w:val="Tekstprzypisudolnego"/>
        <w:rPr>
          <w:rFonts w:ascii="Times New Roman" w:hAnsi="Times New Roman" w:cs="Times New Roman"/>
        </w:rPr>
      </w:pPr>
      <w:r w:rsidRPr="00DE1E5B">
        <w:rPr>
          <w:rStyle w:val="Odwoanieprzypisudolnego"/>
          <w:rFonts w:ascii="Times New Roman" w:hAnsi="Times New Roman" w:cs="Times New Roman"/>
        </w:rPr>
        <w:footnoteRef/>
      </w:r>
      <w:r w:rsidRPr="00DE1E5B">
        <w:rPr>
          <w:rFonts w:ascii="Times New Roman" w:hAnsi="Times New Roman" w:cs="Times New Roman"/>
        </w:rPr>
        <w:t xml:space="preserve"> Samo rozporządzenie milczy na temat uchylenia tajemnicy telekomunikacyjnej.</w:t>
      </w:r>
      <w:r>
        <w:rPr>
          <w:rFonts w:ascii="Times New Roman" w:hAnsi="Times New Roman" w:cs="Times New Roman"/>
        </w:rPr>
        <w:t xml:space="preserve"> </w:t>
      </w:r>
      <w:r w:rsidRPr="00DE1E5B">
        <w:rPr>
          <w:rFonts w:ascii="Times New Roman" w:hAnsi="Times New Roman" w:cs="Times New Roman"/>
        </w:rPr>
        <w:t>Za takim rozwiązaniem przemawiają doświadczenia dotyczące wydawania END w celu pozyskania danych objętych tajemnicą bankową.</w:t>
      </w:r>
      <w:r>
        <w:rPr>
          <w:rFonts w:ascii="Times New Roman" w:hAnsi="Times New Roman" w:cs="Times New Roman"/>
        </w:rPr>
        <w:t xml:space="preserve"> Por. w tym względzie: postanowienie SN z dnia 2 czerwca 2022 r., I KZP 17/21.</w:t>
      </w:r>
    </w:p>
  </w:footnote>
  <w:footnote w:id="2">
    <w:p w14:paraId="6539CC42" w14:textId="77777777" w:rsidR="00031741" w:rsidRPr="003554EF" w:rsidRDefault="00031741" w:rsidP="00031741">
      <w:pPr>
        <w:shd w:val="clear" w:color="auto" w:fill="FFFFFF"/>
        <w:spacing w:after="0" w:line="240" w:lineRule="auto"/>
        <w:rPr>
          <w:rFonts w:ascii="Times New Roman" w:eastAsia="Times New Roman" w:hAnsi="Times New Roman" w:cs="Times New Roman"/>
          <w:color w:val="333333"/>
          <w:kern w:val="0"/>
          <w:sz w:val="20"/>
          <w:szCs w:val="20"/>
          <w:lang w:eastAsia="pl-PL"/>
          <w14:ligatures w14:val="none"/>
        </w:rPr>
      </w:pPr>
      <w:r w:rsidRPr="003554EF">
        <w:rPr>
          <w:rStyle w:val="Odwoanieprzypisudolnego"/>
          <w:rFonts w:ascii="Times New Roman" w:hAnsi="Times New Roman" w:cs="Times New Roman"/>
          <w:sz w:val="20"/>
          <w:szCs w:val="20"/>
        </w:rPr>
        <w:footnoteRef/>
      </w:r>
      <w:r w:rsidRPr="003554EF">
        <w:rPr>
          <w:rFonts w:ascii="Times New Roman" w:hAnsi="Times New Roman" w:cs="Times New Roman"/>
          <w:sz w:val="20"/>
          <w:szCs w:val="20"/>
        </w:rPr>
        <w:t xml:space="preserve"> Przepis art. 17 Rozporządzenia stanowi w tym względzie: </w:t>
      </w:r>
      <w:r w:rsidRPr="003554EF">
        <w:rPr>
          <w:rFonts w:ascii="Times New Roman" w:eastAsia="Times New Roman" w:hAnsi="Times New Roman" w:cs="Times New Roman"/>
          <w:color w:val="333333"/>
          <w:kern w:val="0"/>
          <w:sz w:val="20"/>
          <w:szCs w:val="20"/>
          <w:lang w:eastAsia="pl-PL"/>
          <w14:ligatures w14:val="none"/>
        </w:rPr>
        <w:br/>
        <w:t>4. Właściwy sąd ocenia w pierwszej kolejności, czy konflikt obowiązków istnieje, w oparciu o analizę, czy:</w:t>
      </w:r>
    </w:p>
    <w:p w14:paraId="755DEDBE" w14:textId="77777777" w:rsidR="00031741" w:rsidRPr="003554EF" w:rsidRDefault="00031741" w:rsidP="00031741">
      <w:pPr>
        <w:shd w:val="clear" w:color="auto" w:fill="FFFFFF"/>
        <w:spacing w:after="0" w:line="240" w:lineRule="auto"/>
        <w:rPr>
          <w:rFonts w:ascii="Times New Roman" w:eastAsia="Times New Roman" w:hAnsi="Times New Roman" w:cs="Times New Roman"/>
          <w:color w:val="333333"/>
          <w:kern w:val="0"/>
          <w:sz w:val="20"/>
          <w:szCs w:val="20"/>
          <w:lang w:eastAsia="pl-PL"/>
          <w14:ligatures w14:val="none"/>
        </w:rPr>
      </w:pPr>
      <w:r w:rsidRPr="003554EF">
        <w:rPr>
          <w:rFonts w:ascii="Times New Roman" w:eastAsia="Times New Roman" w:hAnsi="Times New Roman" w:cs="Times New Roman"/>
          <w:color w:val="333333"/>
          <w:kern w:val="0"/>
          <w:sz w:val="20"/>
          <w:szCs w:val="20"/>
          <w:lang w:eastAsia="pl-PL"/>
          <w14:ligatures w14:val="none"/>
        </w:rPr>
        <w:t>a) prawo państwa trzeciego ma zastosowanie do szczególnych okoliczności rozpatrywanej sprawy; oraz</w:t>
      </w:r>
    </w:p>
    <w:p w14:paraId="2F769633" w14:textId="77777777" w:rsidR="00031741" w:rsidRPr="003554EF" w:rsidRDefault="00031741" w:rsidP="00031741">
      <w:pPr>
        <w:shd w:val="clear" w:color="auto" w:fill="FFFFFF"/>
        <w:spacing w:after="0" w:line="240" w:lineRule="auto"/>
        <w:rPr>
          <w:rFonts w:ascii="Times New Roman" w:eastAsia="Times New Roman" w:hAnsi="Times New Roman" w:cs="Times New Roman"/>
          <w:color w:val="333333"/>
          <w:kern w:val="0"/>
          <w:sz w:val="20"/>
          <w:szCs w:val="20"/>
          <w:lang w:eastAsia="pl-PL"/>
          <w14:ligatures w14:val="none"/>
        </w:rPr>
      </w:pPr>
      <w:r w:rsidRPr="003554EF">
        <w:rPr>
          <w:rFonts w:ascii="Times New Roman" w:eastAsia="Times New Roman" w:hAnsi="Times New Roman" w:cs="Times New Roman"/>
          <w:color w:val="333333"/>
          <w:kern w:val="0"/>
          <w:sz w:val="20"/>
          <w:szCs w:val="20"/>
          <w:lang w:eastAsia="pl-PL"/>
          <w14:ligatures w14:val="none"/>
        </w:rPr>
        <w:t>b) prawo państwa trzeciego, jeżeli ma zastosowanie, o czym mowa w lit. a), zabrania ujawniania odnośnych danych w szczególnych okolicznościach rozpatrywanej sprawy.</w:t>
      </w:r>
    </w:p>
    <w:p w14:paraId="736CE5E3" w14:textId="77777777" w:rsidR="00031741" w:rsidRPr="003554EF" w:rsidRDefault="00031741" w:rsidP="00031741">
      <w:pPr>
        <w:shd w:val="clear" w:color="auto" w:fill="FFFFFF"/>
        <w:spacing w:after="0" w:line="240" w:lineRule="auto"/>
        <w:rPr>
          <w:rFonts w:ascii="Times New Roman" w:eastAsia="Times New Roman" w:hAnsi="Times New Roman" w:cs="Times New Roman"/>
          <w:color w:val="333333"/>
          <w:kern w:val="0"/>
          <w:sz w:val="20"/>
          <w:szCs w:val="20"/>
          <w:lang w:eastAsia="pl-PL"/>
          <w14:ligatures w14:val="none"/>
        </w:rPr>
      </w:pPr>
      <w:r w:rsidRPr="003554EF">
        <w:rPr>
          <w:rFonts w:ascii="Times New Roman" w:eastAsia="Times New Roman" w:hAnsi="Times New Roman" w:cs="Times New Roman"/>
          <w:color w:val="333333"/>
          <w:kern w:val="0"/>
          <w:sz w:val="20"/>
          <w:szCs w:val="20"/>
          <w:lang w:eastAsia="pl-PL"/>
          <w14:ligatures w14:val="none"/>
        </w:rPr>
        <w:t>5. Jeżeli właściwy sąd uzna, że nie występuje konflikt obowiązków w rozumieniu ust. 1 i ust. 4, utrzymuje europejski nakaz wydania dowodów w mocy.</w:t>
      </w:r>
    </w:p>
    <w:p w14:paraId="33BC1A9E" w14:textId="77777777" w:rsidR="00031741" w:rsidRPr="003554EF" w:rsidRDefault="00031741" w:rsidP="00031741">
      <w:pPr>
        <w:shd w:val="clear" w:color="auto" w:fill="FFFFFF"/>
        <w:spacing w:after="0" w:line="240" w:lineRule="auto"/>
        <w:rPr>
          <w:rFonts w:ascii="Times New Roman" w:eastAsia="Times New Roman" w:hAnsi="Times New Roman" w:cs="Times New Roman"/>
          <w:color w:val="333333"/>
          <w:kern w:val="0"/>
          <w:sz w:val="20"/>
          <w:szCs w:val="20"/>
          <w:lang w:eastAsia="pl-PL"/>
          <w14:ligatures w14:val="none"/>
        </w:rPr>
      </w:pPr>
      <w:r w:rsidRPr="003554EF">
        <w:rPr>
          <w:rFonts w:ascii="Times New Roman" w:eastAsia="Times New Roman" w:hAnsi="Times New Roman" w:cs="Times New Roman"/>
          <w:color w:val="333333"/>
          <w:kern w:val="0"/>
          <w:sz w:val="20"/>
          <w:szCs w:val="20"/>
          <w:lang w:eastAsia="pl-PL"/>
          <w14:ligatures w14:val="none"/>
        </w:rPr>
        <w:t>6. Jeżeli właściwy sąd stwierdzi, na podstawie analizy przewidzianej w art. 4 lit. b), że prawo państwa trzeciego zabrania ujawnienia odnośnych danych, właściwy sąd ustala, czy utrzymać w mocy, czy też uchylić europejski nakaz wydania dowodów. Ocena ta opiera się w szczególności na następujących elementach, ze szczególnym uwzględnieniem elementów, o których mowa w lit. a) i b):</w:t>
      </w:r>
    </w:p>
    <w:p w14:paraId="525601A1" w14:textId="77777777" w:rsidR="00031741" w:rsidRPr="003554EF" w:rsidRDefault="00031741" w:rsidP="00031741">
      <w:pPr>
        <w:shd w:val="clear" w:color="auto" w:fill="FFFFFF"/>
        <w:spacing w:after="0" w:line="240" w:lineRule="auto"/>
        <w:rPr>
          <w:rFonts w:ascii="Times New Roman" w:eastAsia="Times New Roman" w:hAnsi="Times New Roman" w:cs="Times New Roman"/>
          <w:color w:val="333333"/>
          <w:kern w:val="0"/>
          <w:sz w:val="20"/>
          <w:szCs w:val="20"/>
          <w:lang w:eastAsia="pl-PL"/>
          <w14:ligatures w14:val="none"/>
        </w:rPr>
      </w:pPr>
      <w:r w:rsidRPr="003554EF">
        <w:rPr>
          <w:rFonts w:ascii="Times New Roman" w:eastAsia="Times New Roman" w:hAnsi="Times New Roman" w:cs="Times New Roman"/>
          <w:color w:val="333333"/>
          <w:kern w:val="0"/>
          <w:sz w:val="20"/>
          <w:szCs w:val="20"/>
          <w:lang w:eastAsia="pl-PL"/>
          <w14:ligatures w14:val="none"/>
        </w:rPr>
        <w:t>a) interesy chronione odnośnym prawem państwa trzeciego, w tym prawa podstawowe, a także inne podstawowe interesy uniemożliwiające ujawnienie danych, w szczególności interesy bezpieczeństwa narodowego państwa trzeciego;</w:t>
      </w:r>
    </w:p>
    <w:p w14:paraId="48895C59" w14:textId="77777777" w:rsidR="00031741" w:rsidRPr="003554EF" w:rsidRDefault="00031741" w:rsidP="00031741">
      <w:pPr>
        <w:shd w:val="clear" w:color="auto" w:fill="FFFFFF"/>
        <w:spacing w:after="0" w:line="240" w:lineRule="auto"/>
        <w:rPr>
          <w:rFonts w:ascii="Times New Roman" w:eastAsia="Times New Roman" w:hAnsi="Times New Roman" w:cs="Times New Roman"/>
          <w:color w:val="333333"/>
          <w:kern w:val="0"/>
          <w:sz w:val="20"/>
          <w:szCs w:val="20"/>
          <w:lang w:eastAsia="pl-PL"/>
          <w14:ligatures w14:val="none"/>
        </w:rPr>
      </w:pPr>
      <w:r w:rsidRPr="003554EF">
        <w:rPr>
          <w:rFonts w:ascii="Times New Roman" w:eastAsia="Times New Roman" w:hAnsi="Times New Roman" w:cs="Times New Roman"/>
          <w:color w:val="333333"/>
          <w:kern w:val="0"/>
          <w:sz w:val="20"/>
          <w:szCs w:val="20"/>
          <w:lang w:eastAsia="pl-PL"/>
          <w14:ligatures w14:val="none"/>
        </w:rPr>
        <w:t>b) stopień powiązania sprawy karnej, w której wydano europejski nakaz wydania dowodów, z każdą z dwóch jurysdykcji, między innymi na podstawie:</w:t>
      </w:r>
    </w:p>
    <w:p w14:paraId="58A89A85" w14:textId="77777777" w:rsidR="00031741" w:rsidRPr="003554EF" w:rsidRDefault="00031741" w:rsidP="00031741">
      <w:pPr>
        <w:shd w:val="clear" w:color="auto" w:fill="FFFFFF"/>
        <w:spacing w:after="0" w:line="240" w:lineRule="auto"/>
        <w:rPr>
          <w:rFonts w:ascii="Times New Roman" w:eastAsia="Times New Roman" w:hAnsi="Times New Roman" w:cs="Times New Roman"/>
          <w:color w:val="333333"/>
          <w:kern w:val="0"/>
          <w:sz w:val="20"/>
          <w:szCs w:val="20"/>
          <w:lang w:eastAsia="pl-PL"/>
          <w14:ligatures w14:val="none"/>
        </w:rPr>
      </w:pPr>
      <w:r w:rsidRPr="003554EF">
        <w:rPr>
          <w:rFonts w:ascii="Times New Roman" w:eastAsia="Times New Roman" w:hAnsi="Times New Roman" w:cs="Times New Roman"/>
          <w:color w:val="333333"/>
          <w:kern w:val="0"/>
          <w:sz w:val="20"/>
          <w:szCs w:val="20"/>
          <w:lang w:eastAsia="pl-PL"/>
          <w14:ligatures w14:val="none"/>
        </w:rPr>
        <w:t>(i) lokalizacji, obywatelstwa i miejsca pobytu osoby, której dane objęte są nakazem, lub osoby poszkodowanej lub osób poszkodowanych danym przestępstwem;</w:t>
      </w:r>
    </w:p>
    <w:p w14:paraId="573CD880" w14:textId="77777777" w:rsidR="00031741" w:rsidRPr="003554EF" w:rsidRDefault="00031741" w:rsidP="00031741">
      <w:pPr>
        <w:shd w:val="clear" w:color="auto" w:fill="FFFFFF"/>
        <w:spacing w:after="0" w:line="240" w:lineRule="auto"/>
        <w:rPr>
          <w:rFonts w:ascii="Times New Roman" w:eastAsia="Times New Roman" w:hAnsi="Times New Roman" w:cs="Times New Roman"/>
          <w:color w:val="333333"/>
          <w:kern w:val="0"/>
          <w:sz w:val="20"/>
          <w:szCs w:val="20"/>
          <w:lang w:eastAsia="pl-PL"/>
          <w14:ligatures w14:val="none"/>
        </w:rPr>
      </w:pPr>
      <w:r w:rsidRPr="003554EF">
        <w:rPr>
          <w:rFonts w:ascii="Times New Roman" w:eastAsia="Times New Roman" w:hAnsi="Times New Roman" w:cs="Times New Roman"/>
          <w:color w:val="333333"/>
          <w:kern w:val="0"/>
          <w:sz w:val="20"/>
          <w:szCs w:val="20"/>
          <w:lang w:eastAsia="pl-PL"/>
          <w14:ligatures w14:val="none"/>
        </w:rPr>
        <w:t>(ii) miejsca popełnienia danego przestępstwa;</w:t>
      </w:r>
    </w:p>
    <w:p w14:paraId="544A8DD3" w14:textId="77777777" w:rsidR="00031741" w:rsidRPr="003554EF" w:rsidRDefault="00031741" w:rsidP="00031741">
      <w:pPr>
        <w:shd w:val="clear" w:color="auto" w:fill="FFFFFF"/>
        <w:spacing w:after="0" w:line="240" w:lineRule="auto"/>
        <w:rPr>
          <w:rFonts w:ascii="Times New Roman" w:eastAsia="Times New Roman" w:hAnsi="Times New Roman" w:cs="Times New Roman"/>
          <w:color w:val="333333"/>
          <w:kern w:val="0"/>
          <w:sz w:val="20"/>
          <w:szCs w:val="20"/>
          <w:lang w:eastAsia="pl-PL"/>
          <w14:ligatures w14:val="none"/>
        </w:rPr>
      </w:pPr>
      <w:r w:rsidRPr="003554EF">
        <w:rPr>
          <w:rFonts w:ascii="Times New Roman" w:eastAsia="Times New Roman" w:hAnsi="Times New Roman" w:cs="Times New Roman"/>
          <w:color w:val="333333"/>
          <w:kern w:val="0"/>
          <w:sz w:val="20"/>
          <w:szCs w:val="20"/>
          <w:lang w:eastAsia="pl-PL"/>
          <w14:ligatures w14:val="none"/>
        </w:rPr>
        <w:t>c) stopień powiązania między usługodawcą a państwem trzecim, którego sprawa dotyczy; w tym kontekście sama lokalizacja przechowywania danych nie stanowi wystarczającej podstawy do stwierdzenia istotnego stopnia powiązania;</w:t>
      </w:r>
    </w:p>
    <w:p w14:paraId="4B2FC400" w14:textId="77777777" w:rsidR="00031741" w:rsidRPr="003554EF" w:rsidRDefault="00031741" w:rsidP="00031741">
      <w:pPr>
        <w:shd w:val="clear" w:color="auto" w:fill="FFFFFF"/>
        <w:spacing w:after="0" w:line="240" w:lineRule="auto"/>
        <w:rPr>
          <w:rFonts w:ascii="Times New Roman" w:eastAsia="Times New Roman" w:hAnsi="Times New Roman" w:cs="Times New Roman"/>
          <w:color w:val="333333"/>
          <w:kern w:val="0"/>
          <w:sz w:val="20"/>
          <w:szCs w:val="20"/>
          <w:lang w:eastAsia="pl-PL"/>
          <w14:ligatures w14:val="none"/>
        </w:rPr>
      </w:pPr>
      <w:r w:rsidRPr="003554EF">
        <w:rPr>
          <w:rFonts w:ascii="Times New Roman" w:eastAsia="Times New Roman" w:hAnsi="Times New Roman" w:cs="Times New Roman"/>
          <w:color w:val="333333"/>
          <w:kern w:val="0"/>
          <w:sz w:val="20"/>
          <w:szCs w:val="20"/>
          <w:lang w:eastAsia="pl-PL"/>
          <w14:ligatures w14:val="none"/>
        </w:rPr>
        <w:t>d) interesy państwa prowadzącego postępowanie przygotowawcze związane z uzyskaniem odnośnych dowodów w oparciu o wagę przestępstwa i znaczenie pilnego uzyskania dowodów;</w:t>
      </w:r>
    </w:p>
    <w:p w14:paraId="027F0082" w14:textId="77777777" w:rsidR="00031741" w:rsidRPr="003554EF" w:rsidRDefault="00031741" w:rsidP="00031741">
      <w:pPr>
        <w:shd w:val="clear" w:color="auto" w:fill="FFFFFF"/>
        <w:spacing w:after="0" w:line="240" w:lineRule="auto"/>
        <w:rPr>
          <w:rFonts w:ascii="Times New Roman" w:eastAsia="Times New Roman" w:hAnsi="Times New Roman" w:cs="Times New Roman"/>
          <w:color w:val="333333"/>
          <w:kern w:val="0"/>
          <w:sz w:val="20"/>
          <w:szCs w:val="20"/>
          <w:lang w:eastAsia="pl-PL"/>
          <w14:ligatures w14:val="none"/>
        </w:rPr>
      </w:pPr>
      <w:r w:rsidRPr="003554EF">
        <w:rPr>
          <w:rFonts w:ascii="Times New Roman" w:eastAsia="Times New Roman" w:hAnsi="Times New Roman" w:cs="Times New Roman"/>
          <w:color w:val="333333"/>
          <w:kern w:val="0"/>
          <w:sz w:val="20"/>
          <w:szCs w:val="20"/>
          <w:lang w:eastAsia="pl-PL"/>
          <w14:ligatures w14:val="none"/>
        </w:rPr>
        <w:t>e) możliwe konsekwencje dla adresata lub usługodawcy związane z wykonaniem europejskiego nakazu wydania dowodów, w tym ewentualne kary.</w:t>
      </w:r>
    </w:p>
    <w:p w14:paraId="5D4319CC" w14:textId="77777777" w:rsidR="00031741" w:rsidRPr="003554EF" w:rsidRDefault="00031741" w:rsidP="00031741">
      <w:pPr>
        <w:shd w:val="clear" w:color="auto" w:fill="FFFFFF"/>
        <w:spacing w:after="0" w:line="240" w:lineRule="auto"/>
        <w:rPr>
          <w:rFonts w:ascii="Times New Roman" w:eastAsia="Times New Roman" w:hAnsi="Times New Roman" w:cs="Times New Roman"/>
          <w:color w:val="333333"/>
          <w:kern w:val="0"/>
          <w:sz w:val="20"/>
          <w:szCs w:val="20"/>
          <w:lang w:eastAsia="pl-PL"/>
          <w14:ligatures w14:val="none"/>
        </w:rPr>
      </w:pPr>
      <w:r w:rsidRPr="003554EF">
        <w:rPr>
          <w:rFonts w:ascii="Times New Roman" w:eastAsia="Times New Roman" w:hAnsi="Times New Roman" w:cs="Times New Roman"/>
          <w:color w:val="333333"/>
          <w:kern w:val="0"/>
          <w:sz w:val="20"/>
          <w:szCs w:val="20"/>
          <w:lang w:eastAsia="pl-PL"/>
          <w14:ligatures w14:val="none"/>
        </w:rPr>
        <w:t xml:space="preserve">7. Właściwy sąd może zwrócić się z wnioskiem o udzielenie informacji do właściwego organu państwa trzeciego, uwzględniając </w:t>
      </w:r>
      <w:hyperlink r:id="rId1" w:anchor="/document/68636693" w:history="1">
        <w:r w:rsidRPr="00FE77A5">
          <w:rPr>
            <w:rFonts w:ascii="Times New Roman" w:eastAsia="Times New Roman" w:hAnsi="Times New Roman" w:cs="Times New Roman"/>
            <w:color w:val="000000" w:themeColor="text1"/>
            <w:kern w:val="0"/>
            <w:sz w:val="20"/>
            <w:szCs w:val="20"/>
            <w:lang w:eastAsia="pl-PL"/>
            <w14:ligatures w14:val="none"/>
          </w:rPr>
          <w:t>dyrektywę</w:t>
        </w:r>
      </w:hyperlink>
      <w:r w:rsidRPr="00FE77A5">
        <w:rPr>
          <w:rFonts w:ascii="Times New Roman" w:eastAsia="Times New Roman" w:hAnsi="Times New Roman" w:cs="Times New Roman"/>
          <w:color w:val="000000" w:themeColor="text1"/>
          <w:kern w:val="0"/>
          <w:sz w:val="20"/>
          <w:szCs w:val="20"/>
          <w:lang w:eastAsia="pl-PL"/>
          <w14:ligatures w14:val="none"/>
        </w:rPr>
        <w:t xml:space="preserve"> </w:t>
      </w:r>
      <w:r w:rsidRPr="003554EF">
        <w:rPr>
          <w:rFonts w:ascii="Times New Roman" w:eastAsia="Times New Roman" w:hAnsi="Times New Roman" w:cs="Times New Roman"/>
          <w:color w:val="333333"/>
          <w:kern w:val="0"/>
          <w:sz w:val="20"/>
          <w:szCs w:val="20"/>
          <w:lang w:eastAsia="pl-PL"/>
          <w14:ligatures w14:val="none"/>
        </w:rPr>
        <w:t>(UE) 2016/680, w szczególności jej rozdział V, w zakresie, w jakim wniosek ten nie utrudni odnośnego postępowania karnego. Państwo wydające, w szczególności, zwraca się do właściwego organu państwa trzeciego z wnioskiem o udzielenie informacji, jeżeli konflikt obowiązków dotyczy praw podstawowych lub innych podstawowych interesów państwa trzeciego związanych z bezpieczeństwem narodowym i obronnością.</w:t>
      </w:r>
    </w:p>
    <w:p w14:paraId="72418525" w14:textId="77777777" w:rsidR="00031741" w:rsidRDefault="00031741" w:rsidP="00031741">
      <w:pPr>
        <w:pStyle w:val="Tekstprzypisudolneg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B762B"/>
    <w:multiLevelType w:val="multilevel"/>
    <w:tmpl w:val="CF3A7BCA"/>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F6D1285"/>
    <w:multiLevelType w:val="hybridMultilevel"/>
    <w:tmpl w:val="59E8B6C0"/>
    <w:lvl w:ilvl="0" w:tplc="04150001">
      <w:start w:val="1"/>
      <w:numFmt w:val="bullet"/>
      <w:lvlText w:val=""/>
      <w:lvlJc w:val="left"/>
      <w:pPr>
        <w:ind w:left="1131" w:hanging="360"/>
      </w:pPr>
      <w:rPr>
        <w:rFonts w:ascii="Symbol" w:hAnsi="Symbol" w:hint="default"/>
      </w:rPr>
    </w:lvl>
    <w:lvl w:ilvl="1" w:tplc="04150003" w:tentative="1">
      <w:start w:val="1"/>
      <w:numFmt w:val="bullet"/>
      <w:lvlText w:val="o"/>
      <w:lvlJc w:val="left"/>
      <w:pPr>
        <w:ind w:left="1851" w:hanging="360"/>
      </w:pPr>
      <w:rPr>
        <w:rFonts w:ascii="Courier New" w:hAnsi="Courier New" w:cs="Courier New" w:hint="default"/>
      </w:rPr>
    </w:lvl>
    <w:lvl w:ilvl="2" w:tplc="04150005" w:tentative="1">
      <w:start w:val="1"/>
      <w:numFmt w:val="bullet"/>
      <w:lvlText w:val=""/>
      <w:lvlJc w:val="left"/>
      <w:pPr>
        <w:ind w:left="2571" w:hanging="360"/>
      </w:pPr>
      <w:rPr>
        <w:rFonts w:ascii="Wingdings" w:hAnsi="Wingdings" w:hint="default"/>
      </w:rPr>
    </w:lvl>
    <w:lvl w:ilvl="3" w:tplc="04150001" w:tentative="1">
      <w:start w:val="1"/>
      <w:numFmt w:val="bullet"/>
      <w:lvlText w:val=""/>
      <w:lvlJc w:val="left"/>
      <w:pPr>
        <w:ind w:left="3291" w:hanging="360"/>
      </w:pPr>
      <w:rPr>
        <w:rFonts w:ascii="Symbol" w:hAnsi="Symbol" w:hint="default"/>
      </w:rPr>
    </w:lvl>
    <w:lvl w:ilvl="4" w:tplc="04150003" w:tentative="1">
      <w:start w:val="1"/>
      <w:numFmt w:val="bullet"/>
      <w:lvlText w:val="o"/>
      <w:lvlJc w:val="left"/>
      <w:pPr>
        <w:ind w:left="4011" w:hanging="360"/>
      </w:pPr>
      <w:rPr>
        <w:rFonts w:ascii="Courier New" w:hAnsi="Courier New" w:cs="Courier New" w:hint="default"/>
      </w:rPr>
    </w:lvl>
    <w:lvl w:ilvl="5" w:tplc="04150005" w:tentative="1">
      <w:start w:val="1"/>
      <w:numFmt w:val="bullet"/>
      <w:lvlText w:val=""/>
      <w:lvlJc w:val="left"/>
      <w:pPr>
        <w:ind w:left="4731" w:hanging="360"/>
      </w:pPr>
      <w:rPr>
        <w:rFonts w:ascii="Wingdings" w:hAnsi="Wingdings" w:hint="default"/>
      </w:rPr>
    </w:lvl>
    <w:lvl w:ilvl="6" w:tplc="04150001" w:tentative="1">
      <w:start w:val="1"/>
      <w:numFmt w:val="bullet"/>
      <w:lvlText w:val=""/>
      <w:lvlJc w:val="left"/>
      <w:pPr>
        <w:ind w:left="5451" w:hanging="360"/>
      </w:pPr>
      <w:rPr>
        <w:rFonts w:ascii="Symbol" w:hAnsi="Symbol" w:hint="default"/>
      </w:rPr>
    </w:lvl>
    <w:lvl w:ilvl="7" w:tplc="04150003" w:tentative="1">
      <w:start w:val="1"/>
      <w:numFmt w:val="bullet"/>
      <w:lvlText w:val="o"/>
      <w:lvlJc w:val="left"/>
      <w:pPr>
        <w:ind w:left="6171" w:hanging="360"/>
      </w:pPr>
      <w:rPr>
        <w:rFonts w:ascii="Courier New" w:hAnsi="Courier New" w:cs="Courier New" w:hint="default"/>
      </w:rPr>
    </w:lvl>
    <w:lvl w:ilvl="8" w:tplc="04150005" w:tentative="1">
      <w:start w:val="1"/>
      <w:numFmt w:val="bullet"/>
      <w:lvlText w:val=""/>
      <w:lvlJc w:val="left"/>
      <w:pPr>
        <w:ind w:left="6891" w:hanging="360"/>
      </w:pPr>
      <w:rPr>
        <w:rFonts w:ascii="Wingdings" w:hAnsi="Wingdings" w:hint="default"/>
      </w:rPr>
    </w:lvl>
  </w:abstractNum>
  <w:abstractNum w:abstractNumId="2" w15:restartNumberingAfterBreak="0">
    <w:nsid w:val="40C759FF"/>
    <w:multiLevelType w:val="hybridMultilevel"/>
    <w:tmpl w:val="E3DE638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69A2458D"/>
    <w:multiLevelType w:val="multilevel"/>
    <w:tmpl w:val="C6565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D3788A"/>
    <w:multiLevelType w:val="hybridMultilevel"/>
    <w:tmpl w:val="2A22CB2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16cid:durableId="1563635934">
    <w:abstractNumId w:val="2"/>
  </w:num>
  <w:num w:numId="2" w16cid:durableId="502595713">
    <w:abstractNumId w:val="3"/>
  </w:num>
  <w:num w:numId="3" w16cid:durableId="1882863202">
    <w:abstractNumId w:val="0"/>
  </w:num>
  <w:num w:numId="4" w16cid:durableId="855465974">
    <w:abstractNumId w:val="1"/>
  </w:num>
  <w:num w:numId="5" w16cid:durableId="7750585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741"/>
    <w:rsid w:val="00031741"/>
    <w:rsid w:val="00050C48"/>
    <w:rsid w:val="000C7A19"/>
    <w:rsid w:val="000E099E"/>
    <w:rsid w:val="000E327F"/>
    <w:rsid w:val="000E3437"/>
    <w:rsid w:val="00116795"/>
    <w:rsid w:val="001A3987"/>
    <w:rsid w:val="001E67C3"/>
    <w:rsid w:val="00204C63"/>
    <w:rsid w:val="00242951"/>
    <w:rsid w:val="002B6F88"/>
    <w:rsid w:val="00322E2A"/>
    <w:rsid w:val="00343509"/>
    <w:rsid w:val="00354B31"/>
    <w:rsid w:val="00372144"/>
    <w:rsid w:val="00373380"/>
    <w:rsid w:val="003767D0"/>
    <w:rsid w:val="00480619"/>
    <w:rsid w:val="004A03FE"/>
    <w:rsid w:val="004A4B15"/>
    <w:rsid w:val="004B542D"/>
    <w:rsid w:val="004E4BEE"/>
    <w:rsid w:val="00553BAF"/>
    <w:rsid w:val="00557EE1"/>
    <w:rsid w:val="005644C8"/>
    <w:rsid w:val="005A05C4"/>
    <w:rsid w:val="005E6C8A"/>
    <w:rsid w:val="006740A0"/>
    <w:rsid w:val="006C3F9E"/>
    <w:rsid w:val="00737D75"/>
    <w:rsid w:val="00814C42"/>
    <w:rsid w:val="00820329"/>
    <w:rsid w:val="009125DA"/>
    <w:rsid w:val="0093094F"/>
    <w:rsid w:val="009533E2"/>
    <w:rsid w:val="009647A6"/>
    <w:rsid w:val="00A02156"/>
    <w:rsid w:val="00A54D25"/>
    <w:rsid w:val="00AA7A8E"/>
    <w:rsid w:val="00AE7CA8"/>
    <w:rsid w:val="00B247C2"/>
    <w:rsid w:val="00B3043D"/>
    <w:rsid w:val="00B53DEF"/>
    <w:rsid w:val="00B803D3"/>
    <w:rsid w:val="00BA4ED5"/>
    <w:rsid w:val="00BC16BD"/>
    <w:rsid w:val="00BC4149"/>
    <w:rsid w:val="00CF254C"/>
    <w:rsid w:val="00D0741A"/>
    <w:rsid w:val="00D72D61"/>
    <w:rsid w:val="00DB7BAA"/>
    <w:rsid w:val="00DF7F63"/>
    <w:rsid w:val="00E570BD"/>
    <w:rsid w:val="00E941D0"/>
    <w:rsid w:val="00EE426E"/>
    <w:rsid w:val="00EF3921"/>
    <w:rsid w:val="00F05D8F"/>
    <w:rsid w:val="00F3605F"/>
    <w:rsid w:val="00F55D42"/>
    <w:rsid w:val="00FE4258"/>
    <w:rsid w:val="00FF42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81C30"/>
  <w15:chartTrackingRefBased/>
  <w15:docId w15:val="{47CCA3A8-D403-447D-9D5E-A72DBB5EF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317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0317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031741"/>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031741"/>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031741"/>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03174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3174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3174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3174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31741"/>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031741"/>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031741"/>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031741"/>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31741"/>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3174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3174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3174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31741"/>
    <w:rPr>
      <w:rFonts w:eastAsiaTheme="majorEastAsia" w:cstheme="majorBidi"/>
      <w:color w:val="272727" w:themeColor="text1" w:themeTint="D8"/>
    </w:rPr>
  </w:style>
  <w:style w:type="paragraph" w:styleId="Tytu">
    <w:name w:val="Title"/>
    <w:basedOn w:val="Normalny"/>
    <w:next w:val="Normalny"/>
    <w:link w:val="TytuZnak"/>
    <w:uiPriority w:val="10"/>
    <w:qFormat/>
    <w:rsid w:val="000317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3174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3174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3174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31741"/>
    <w:pPr>
      <w:spacing w:before="160"/>
      <w:jc w:val="center"/>
    </w:pPr>
    <w:rPr>
      <w:i/>
      <w:iCs/>
      <w:color w:val="404040" w:themeColor="text1" w:themeTint="BF"/>
    </w:rPr>
  </w:style>
  <w:style w:type="character" w:customStyle="1" w:styleId="CytatZnak">
    <w:name w:val="Cytat Znak"/>
    <w:basedOn w:val="Domylnaczcionkaakapitu"/>
    <w:link w:val="Cytat"/>
    <w:uiPriority w:val="29"/>
    <w:rsid w:val="00031741"/>
    <w:rPr>
      <w:i/>
      <w:iCs/>
      <w:color w:val="404040" w:themeColor="text1" w:themeTint="BF"/>
    </w:rPr>
  </w:style>
  <w:style w:type="paragraph" w:styleId="Akapitzlist">
    <w:name w:val="List Paragraph"/>
    <w:basedOn w:val="Normalny"/>
    <w:uiPriority w:val="34"/>
    <w:qFormat/>
    <w:rsid w:val="00031741"/>
    <w:pPr>
      <w:ind w:left="720"/>
      <w:contextualSpacing/>
    </w:pPr>
  </w:style>
  <w:style w:type="character" w:styleId="Wyrnienieintensywne">
    <w:name w:val="Intense Emphasis"/>
    <w:basedOn w:val="Domylnaczcionkaakapitu"/>
    <w:uiPriority w:val="21"/>
    <w:qFormat/>
    <w:rsid w:val="00031741"/>
    <w:rPr>
      <w:i/>
      <w:iCs/>
      <w:color w:val="0F4761" w:themeColor="accent1" w:themeShade="BF"/>
    </w:rPr>
  </w:style>
  <w:style w:type="paragraph" w:styleId="Cytatintensywny">
    <w:name w:val="Intense Quote"/>
    <w:basedOn w:val="Normalny"/>
    <w:next w:val="Normalny"/>
    <w:link w:val="CytatintensywnyZnak"/>
    <w:uiPriority w:val="30"/>
    <w:qFormat/>
    <w:rsid w:val="000317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31741"/>
    <w:rPr>
      <w:i/>
      <w:iCs/>
      <w:color w:val="0F4761" w:themeColor="accent1" w:themeShade="BF"/>
    </w:rPr>
  </w:style>
  <w:style w:type="character" w:styleId="Odwoanieintensywne">
    <w:name w:val="Intense Reference"/>
    <w:basedOn w:val="Domylnaczcionkaakapitu"/>
    <w:uiPriority w:val="32"/>
    <w:qFormat/>
    <w:rsid w:val="00031741"/>
    <w:rPr>
      <w:b/>
      <w:bCs/>
      <w:smallCaps/>
      <w:color w:val="0F4761" w:themeColor="accent1" w:themeShade="BF"/>
      <w:spacing w:val="5"/>
    </w:rPr>
  </w:style>
  <w:style w:type="paragraph" w:styleId="Stopka">
    <w:name w:val="footer"/>
    <w:basedOn w:val="Normalny"/>
    <w:link w:val="StopkaZnak"/>
    <w:uiPriority w:val="99"/>
    <w:semiHidden/>
    <w:unhideWhenUsed/>
    <w:rsid w:val="00031741"/>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031741"/>
  </w:style>
  <w:style w:type="paragraph" w:styleId="Tekstprzypisudolnego">
    <w:name w:val="footnote text"/>
    <w:basedOn w:val="Normalny"/>
    <w:link w:val="TekstprzypisudolnegoZnak"/>
    <w:uiPriority w:val="99"/>
    <w:unhideWhenUsed/>
    <w:rsid w:val="00031741"/>
    <w:pPr>
      <w:spacing w:after="0" w:line="240" w:lineRule="auto"/>
    </w:pPr>
    <w:rPr>
      <w:rFonts w:ascii="Open Sans Light" w:hAnsi="Open Sans Light"/>
      <w:sz w:val="20"/>
      <w:szCs w:val="20"/>
    </w:rPr>
  </w:style>
  <w:style w:type="character" w:customStyle="1" w:styleId="TekstprzypisudolnegoZnak">
    <w:name w:val="Tekst przypisu dolnego Znak"/>
    <w:basedOn w:val="Domylnaczcionkaakapitu"/>
    <w:link w:val="Tekstprzypisudolnego"/>
    <w:uiPriority w:val="99"/>
    <w:rsid w:val="00031741"/>
    <w:rPr>
      <w:rFonts w:ascii="Open Sans Light" w:hAnsi="Open Sans Light"/>
      <w:sz w:val="20"/>
      <w:szCs w:val="20"/>
    </w:rPr>
  </w:style>
  <w:style w:type="character" w:styleId="Odwoanieprzypisudolnego">
    <w:name w:val="footnote reference"/>
    <w:basedOn w:val="Domylnaczcionkaakapitu"/>
    <w:uiPriority w:val="99"/>
    <w:semiHidden/>
    <w:unhideWhenUsed/>
    <w:rsid w:val="000317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sip.lex.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3664</Words>
  <Characters>21988</Characters>
  <Application>Microsoft Office Word</Application>
  <DocSecurity>0</DocSecurity>
  <Lines>183</Lines>
  <Paragraphs>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Wąsek - Wiaderek</dc:creator>
  <cp:keywords/>
  <dc:description/>
  <cp:lastModifiedBy>Wiraszka-Bereza Beata  (DPK)</cp:lastModifiedBy>
  <cp:revision>2</cp:revision>
  <dcterms:created xsi:type="dcterms:W3CDTF">2026-09-25T12:37:00Z</dcterms:created>
  <dcterms:modified xsi:type="dcterms:W3CDTF">2026-09-25T12:37:00Z</dcterms:modified>
</cp:coreProperties>
</file>