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595" w:rsidRPr="003A069C" w:rsidRDefault="003A069C" w:rsidP="003A069C">
      <w:pPr>
        <w:spacing w:after="0"/>
        <w:jc w:val="both"/>
        <w:rPr>
          <w:rFonts w:cstheme="minorHAnsi"/>
          <w:b/>
          <w:bCs/>
          <w:color w:val="1B1B1B"/>
          <w:shd w:val="clear" w:color="auto" w:fill="FFFFFF"/>
        </w:rPr>
      </w:pPr>
      <w:r w:rsidRPr="003A069C">
        <w:rPr>
          <w:rFonts w:cstheme="minorHAnsi"/>
          <w:b/>
          <w:bCs/>
          <w:color w:val="1B1B1B"/>
          <w:shd w:val="clear" w:color="auto" w:fill="FFFFFF"/>
        </w:rPr>
        <w:t>Ambasada RP w Dżakarcie informuje, że od 1 grudnia 2020 r. zmieniły się warunki, jakie musi spełniać podróżne ubezpieczenie medyczne dla cudzoziemców ubiegających się o wydanie wizy krajowej.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Podróżne ubezpieczenie medyczne spełnia nowe wymagania, jeżeli: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1.      przewiduje odpowiedzialność ubezpieczyciela na kwotę ubezpieczenia min. 30.000 EUR;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2.     jest ważne przez cały okres planowanego pobytu cudzoziemca na terytorium RP;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3.     pokrywa wszelkie wydatki, które mogą wyniknąć podczas pobytu cudzoziemca na tym terytorium w przypadku:      koniecznej podróży powrotnej z powodów medycznych, potrzebnej pilnej pomocy medycznej, nagłego leczenia szpitalnego, śmierci,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a ubezpieczyciel: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1.     zobowiązuje się do pokrycia kosztów świadczeń zdrowotnych udzielonych ubezpieczonemu bezpośrednio na rzecz podmiotu udzielającego tych świadczeń – na podstawie wystawionego rachunku;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2.     zapewnia całodobową usługę centrum alarmowego, które przyjmuje zgłoszenia zdarzeń podlegających odpowiedzialności ubezpieczyciela.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 xml:space="preserve">Jeżeli ubezpieczyciel nie ma siedziby lub oddziału w rozumieniu art. 3 pkt 4 ustawy z dnia 6 marca 2018 r. o zasadach uczestnictwa przedsiębiorców zagranicznych i innych osób zagranicznych w obrocie gospodarczym na terytorium RP, </w:t>
      </w:r>
      <w:proofErr w:type="spellStart"/>
      <w:r w:rsidRPr="003A069C">
        <w:rPr>
          <w:rFonts w:asciiTheme="minorHAnsi" w:hAnsiTheme="minorHAnsi" w:cstheme="minorHAnsi"/>
          <w:color w:val="1B1B1B"/>
          <w:sz w:val="22"/>
          <w:szCs w:val="22"/>
        </w:rPr>
        <w:t>PCz</w:t>
      </w:r>
      <w:proofErr w:type="spellEnd"/>
      <w:r w:rsidRPr="003A069C">
        <w:rPr>
          <w:rFonts w:asciiTheme="minorHAnsi" w:hAnsiTheme="minorHAnsi" w:cstheme="minorHAnsi"/>
          <w:color w:val="1B1B1B"/>
          <w:sz w:val="22"/>
          <w:szCs w:val="22"/>
        </w:rPr>
        <w:t xml:space="preserve"> UE, </w:t>
      </w:r>
      <w:proofErr w:type="spellStart"/>
      <w:r w:rsidRPr="003A069C">
        <w:rPr>
          <w:rFonts w:asciiTheme="minorHAnsi" w:hAnsiTheme="minorHAnsi" w:cstheme="minorHAnsi"/>
          <w:color w:val="1B1B1B"/>
          <w:sz w:val="22"/>
          <w:szCs w:val="22"/>
        </w:rPr>
        <w:t>PCz</w:t>
      </w:r>
      <w:proofErr w:type="spellEnd"/>
      <w:r w:rsidRPr="003A069C">
        <w:rPr>
          <w:rFonts w:asciiTheme="minorHAnsi" w:hAnsiTheme="minorHAnsi" w:cstheme="minorHAnsi"/>
          <w:color w:val="1B1B1B"/>
          <w:sz w:val="22"/>
          <w:szCs w:val="22"/>
        </w:rPr>
        <w:t xml:space="preserve"> EFTA – strony umowy o EOG lub w Szwajcarii, musi spełniać dodatkowe warunki, tj.: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1.     publikować wyniki audytu swojej działalności; audyt powinien być wykonany przez uznany międzynarodowy podmiot audytowy i wskazywać na rzeczywistą możliwość zaspokajania roszczeń przysługujących podmiotom udzielającym świadczeń zdrowotnych na terytorium RP;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2.     publikować (co najmniej w okresach półrocznych) dane na temat sumy zebranych składek oraz wielkości wypłat w danym rodzaju ubezpieczeń.</w:t>
      </w:r>
    </w:p>
    <w:p w:rsidR="003A069C" w:rsidRPr="003A069C" w:rsidRDefault="003A069C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3A069C">
        <w:rPr>
          <w:rFonts w:asciiTheme="minorHAnsi" w:hAnsiTheme="minorHAnsi" w:cstheme="minorHAnsi"/>
          <w:color w:val="1B1B1B"/>
          <w:sz w:val="22"/>
          <w:szCs w:val="22"/>
        </w:rPr>
        <w:t>Informacja Ministra Spraw Zagranicznych o ubezpieczycielach i oferowanych przez nich ubezpieczeniach, spełniających warunki, o których mowa w ustawie z dnia 12 grudnia 2013 r. o cudzoziemcach jest umieszczona na stronie internetowej MSZ:</w:t>
      </w:r>
    </w:p>
    <w:p w:rsidR="003A069C" w:rsidRPr="003A069C" w:rsidRDefault="00DA3507" w:rsidP="003A069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hyperlink r:id="rId4" w:history="1">
        <w:r w:rsidR="003A069C" w:rsidRPr="003A069C">
          <w:rPr>
            <w:rStyle w:val="Hipercze"/>
            <w:rFonts w:asciiTheme="minorHAnsi" w:hAnsiTheme="minorHAnsi" w:cstheme="minorHAnsi"/>
            <w:color w:val="0052A5"/>
            <w:sz w:val="22"/>
            <w:szCs w:val="22"/>
          </w:rPr>
          <w:t>https://www.gov.pl/web/dyplomacja/wizy</w:t>
        </w:r>
      </w:hyperlink>
    </w:p>
    <w:p w:rsidR="003A069C" w:rsidRDefault="003A069C" w:rsidP="003A069C">
      <w:pPr>
        <w:spacing w:after="0"/>
        <w:jc w:val="both"/>
        <w:rPr>
          <w:rFonts w:cstheme="minorHAnsi"/>
        </w:rPr>
      </w:pPr>
    </w:p>
    <w:p w:rsidR="003A069C" w:rsidRDefault="003A069C" w:rsidP="003A069C">
      <w:pPr>
        <w:spacing w:after="0"/>
        <w:jc w:val="both"/>
        <w:rPr>
          <w:rFonts w:cstheme="minorHAnsi"/>
        </w:rPr>
      </w:pPr>
      <w:bookmarkStart w:id="0" w:name="_GoBack"/>
      <w:bookmarkEnd w:id="0"/>
    </w:p>
    <w:sectPr w:rsidR="003A0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9C"/>
    <w:rsid w:val="00051B21"/>
    <w:rsid w:val="003A069C"/>
    <w:rsid w:val="00C97595"/>
    <w:rsid w:val="00DA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FCF33-763E-416B-8392-FEC6EE54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0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dyplomacja/wiz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Janas Jakub</dc:creator>
  <cp:keywords/>
  <dc:description/>
  <cp:lastModifiedBy>Firlus Monika</cp:lastModifiedBy>
  <cp:revision>2</cp:revision>
  <dcterms:created xsi:type="dcterms:W3CDTF">2021-02-24T03:33:00Z</dcterms:created>
  <dcterms:modified xsi:type="dcterms:W3CDTF">2021-02-24T03:33:00Z</dcterms:modified>
</cp:coreProperties>
</file>