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E552B" w:rsidRDefault="00E83265">
      <w:pPr>
        <w:jc w:val="center"/>
      </w:pPr>
      <w:r>
        <w:rPr>
          <w:b/>
          <w:bCs/>
        </w:rPr>
        <w:t>BİLGİLENDİRME</w:t>
      </w:r>
    </w:p>
    <w:p w14:paraId="00000002" w14:textId="77777777" w:rsidR="007E552B" w:rsidRDefault="00E83265">
      <w:pPr>
        <w:jc w:val="center"/>
      </w:pPr>
      <w:r>
        <w:rPr>
          <w:b/>
          <w:bCs/>
        </w:rPr>
        <w:t>ilk derece mahkemesinin farklı bir heyetine karşı şikayet hakkında</w:t>
      </w:r>
    </w:p>
    <w:p w14:paraId="00000003" w14:textId="77777777" w:rsidR="007E552B" w:rsidRDefault="00E83265">
      <w:pPr>
        <w:jc w:val="both"/>
      </w:pPr>
      <w:r>
        <w:rPr>
          <w:b/>
          <w:bCs/>
        </w:rPr>
        <w:t>I.</w:t>
      </w:r>
      <w:r>
        <w:t> Tebliğ edilen mahkeme</w:t>
      </w:r>
      <w:r>
        <w:rPr>
          <w:b/>
          <w:bCs/>
        </w:rPr>
        <w:t xml:space="preserve"> ara kararına karşı</w:t>
      </w:r>
      <w:r>
        <w:t>, ilk derece mahkemesinin farklı bir heyetine </w:t>
      </w:r>
      <w:r>
        <w:rPr>
          <w:b/>
          <w:bCs/>
        </w:rPr>
        <w:t xml:space="preserve">şikayet </w:t>
      </w:r>
      <w:r>
        <w:t> yoluna başvurulabilir.</w:t>
      </w:r>
    </w:p>
    <w:p w14:paraId="00000004" w14:textId="77777777" w:rsidR="007E552B" w:rsidRDefault="00E83265">
      <w:pPr>
        <w:spacing w:before="240" w:after="240"/>
        <w:jc w:val="both"/>
      </w:pPr>
      <w:r>
        <w:t>Şikâyet yoluna başvurma hakkı, yalnızca daha önce ara kararın gerekçelendirilmesini talep etmiş olan tarafa aittir. Ancak mahkeme, ara kararı resen gerekçelendirmişse; kararın gerekçesiyle birlikte tebliğ edilmiş olması, tarafları gerekçe talebinde bulunma yükümlülüğünden kurtarır.</w:t>
      </w:r>
    </w:p>
    <w:p w14:paraId="00000005" w14:textId="77777777" w:rsidR="007E552B" w:rsidRDefault="00E83265">
      <w:pPr>
        <w:spacing w:before="240" w:after="240"/>
        <w:jc w:val="both"/>
      </w:pPr>
      <w:r>
        <w:t>Ara kararın yazılı gerekçesinin başka bir tarafın talebi üzerine hazırlanmış olması, tarafı, ara kararının gerekçesiyle birlikte kendisine tebliğ edilmesi yönünde talepte bulunma yükümlülüğünden kurtarmaz.</w:t>
      </w:r>
    </w:p>
    <w:p w14:paraId="00000006" w14:textId="77777777" w:rsidR="007E552B" w:rsidRDefault="00E83265">
      <w:pPr>
        <w:jc w:val="both"/>
      </w:pPr>
      <w:r>
        <w:rPr>
          <w:b/>
          <w:bCs/>
        </w:rPr>
        <w:t>Karar verilirken belirtilen esas gerekçeler, kararın resmi gerekçesi sayılmaz</w:t>
      </w:r>
      <w:r>
        <w:t>; bu gerekçelerin belirtilmesi, tarafı kararın gerekçeli olarak tebliği talebinde bulunma yükümlülüğünden kurtarmaz.</w:t>
      </w:r>
    </w:p>
    <w:p w14:paraId="00000007" w14:textId="77777777" w:rsidR="007E552B" w:rsidRDefault="00E83265">
      <w:pPr>
        <w:jc w:val="both"/>
      </w:pPr>
      <w:r>
        <w:rPr>
          <w:b/>
          <w:bCs/>
        </w:rPr>
        <w:t>II.</w:t>
      </w:r>
      <w:r>
        <w:t> İtiraz edilebilir nitelikteki bir kararı; mahkeme, yalnızca tarafın talebi üzerine ve kararın tebliğ tarihinden itibaren bir haftalık süre içinde yapılacak talep üzerine </w:t>
      </w:r>
      <w:r>
        <w:rPr>
          <w:b/>
          <w:bCs/>
        </w:rPr>
        <w:t>gerekçelendirir</w:t>
      </w:r>
      <w:r>
        <w:t> (17 Kasım 1964 tarihli Medeni Usul Kanunu'nun (Polonya Resmi Gazetesi: Dz.U.2024.1568 t.j.) 357 § 1 cümle 1 -- bundan sonra k.p.c.( Polonya Medeni Usul Kanunu) olarak anılacaktır).</w:t>
      </w:r>
    </w:p>
    <w:p w14:paraId="00000008" w14:textId="77777777" w:rsidR="007E552B" w:rsidRDefault="00E83265">
      <w:pPr>
        <w:jc w:val="both"/>
      </w:pPr>
      <w:r>
        <w:t>Kararın gerekçesinin yazılması talebi, 100 TL tutarında sabit bir yargı harcına tabidir (28 Temmuz 2005 tarihli Hukuk Davalarında Yargı Harçları Kanunu'nun (Polonya Resmi Gazetesi: Dz.U.2025.1228 t.j.) 25b maddesi -- bundan sonra u.k.s.c. olarak anılacaktır).</w:t>
      </w:r>
    </w:p>
    <w:p w14:paraId="00000009" w14:textId="77777777" w:rsidR="007E552B" w:rsidRDefault="00E83265">
      <w:pPr>
        <w:jc w:val="both"/>
      </w:pPr>
      <w:r>
        <w:rPr>
          <w:b/>
          <w:bCs/>
        </w:rPr>
        <w:t>Mahkeme</w:t>
      </w:r>
      <w:r>
        <w:t>, usulen kabul edilemez, süresi geçmiş, harcı ödenmemiş veya ihtara rağmen giderilmeyen eksiklikleri bulunan gerekçe talebini</w:t>
      </w:r>
      <w:r>
        <w:rPr>
          <w:b/>
          <w:bCs/>
        </w:rPr>
        <w:t xml:space="preserve"> reddeder </w:t>
      </w:r>
      <w:r>
        <w:t> (k.p.c. md. 328 § 4, k.p.c. md. 361 ile bağlantılı olarak).</w:t>
      </w:r>
    </w:p>
    <w:p w14:paraId="0000000A" w14:textId="77777777" w:rsidR="007E552B" w:rsidRDefault="00E83265">
      <w:pPr>
        <w:jc w:val="both"/>
      </w:pPr>
      <w:r>
        <w:rPr>
          <w:b/>
          <w:bCs/>
        </w:rPr>
        <w:t>III.</w:t>
      </w:r>
      <w:r>
        <w:t> </w:t>
      </w:r>
      <w:r>
        <w:rPr>
          <w:b/>
          <w:bCs/>
        </w:rPr>
        <w:t>Şikayet</w:t>
      </w:r>
      <w:r>
        <w:t>, kararın gerekçesiyle birlikte tebliğ edildiği  tarihinden itibaren </w:t>
      </w:r>
      <w:r>
        <w:rPr>
          <w:b/>
          <w:bCs/>
        </w:rPr>
        <w:t>bir haftalık süre içinde</w:t>
      </w:r>
      <w:r>
        <w:t>, kararı veren mahkemeye sunulur; Bu kural, tebligatın mahkemece re'sen (kendiliğinden) yapıldığı durumlar için de geçerlidir (k.p.c. md. 394 § 2).</w:t>
      </w:r>
    </w:p>
    <w:p w14:paraId="0000000B" w14:textId="77777777" w:rsidR="007E552B" w:rsidRDefault="00E83265">
      <w:pPr>
        <w:jc w:val="both"/>
      </w:pPr>
      <w:r>
        <w:t>Şikayet dilekçesi, dilekçenin ve eklerinin, davada yer alan diğer kişilerin sayısı kadar örneği ile birlikte sunulmalıdır.</w:t>
      </w:r>
    </w:p>
    <w:p w14:paraId="0000000C" w14:textId="77777777" w:rsidR="007E552B" w:rsidRDefault="00E83265">
      <w:pPr>
        <w:jc w:val="both"/>
      </w:pPr>
      <w:r>
        <w:t>Şikayet </w:t>
      </w:r>
      <w:r>
        <w:rPr>
          <w:b/>
          <w:bCs/>
        </w:rPr>
        <w:t>yargı harcına</w:t>
      </w:r>
      <w:r>
        <w:t> tabidir. Şikayet harcı, tam yargı harcının beşte biri kadardır. Harcın küsüratı bir üst tam PLN’ye yuvarlanır (u.k.s.c. md. 21). Bu harcı ödeme yükümlülüğü şikayet eden tarafa aittir. Şikayet yoluna başvurulması halinde, kararın gerekçesinin yazılması talebi için daha önce yatırılmış olan harç, şikayet harcına mahsup edilir.</w:t>
      </w:r>
    </w:p>
    <w:p w14:paraId="0000000D" w14:textId="77777777" w:rsidR="007E552B" w:rsidRDefault="00E83265">
      <w:pPr>
        <w:jc w:val="both"/>
      </w:pPr>
      <w:r>
        <w:rPr>
          <w:b/>
          <w:bCs/>
        </w:rPr>
        <w:t>IV.</w:t>
      </w:r>
      <w:r>
        <w:t> itiraz edilen kararı veren mahkeme, süresi geçmiş, harcı ödenmemiş veya diğer nedenlerle izin verilmeyen şikayetlerin yanı sıra   sunan tarafın belirlenen süre içinde eksikliklerini tamamlamadığı şikâyet dilekçesini de reddeder (k.p.c. md. 394^1^a § 1^1).</w:t>
      </w:r>
    </w:p>
    <w:p w14:paraId="0000000E" w14:textId="77777777" w:rsidR="007E552B" w:rsidRDefault="00E83265">
      <w:pPr>
        <w:jc w:val="both"/>
      </w:pPr>
      <w:r>
        <w:rPr>
          <w:b/>
          <w:bCs/>
        </w:rPr>
        <w:t>V.</w:t>
      </w:r>
      <w:r>
        <w:t> Bir </w:t>
      </w:r>
      <w:r>
        <w:rPr>
          <w:b/>
          <w:bCs/>
        </w:rPr>
        <w:t>dilekçenin</w:t>
      </w:r>
      <w:r>
        <w:t> (şikayet dahil) Polonya Cumhuriyeti topraklarında yetkili posta idaresine veya başka bir Avrupa Birliği üye devletinin topraklarında yetkili posta idaresine teslim edilmesi </w:t>
      </w:r>
      <w:r>
        <w:rPr>
          <w:b/>
          <w:bCs/>
        </w:rPr>
        <w:t>, mahkemeye verilmesiyle eşdeğerdir</w:t>
      </w:r>
      <w:r>
        <w:t> (k.p.c. md. 165 § 2). Aynı kural, bir askerin dilekçesini askeri birlik komutanlığına vermesi, hürriyeti bağlayıcı ceza infaz kurumundaki bir kişinin dilekçesini cezaevi idaresine vermesi veya bir Polonya gemisi mürettebatının dilekçesini gemi kaptanına vermesi halinde de geçerlidir (k.</w:t>
      </w:r>
      <w:r>
        <w:t>p.c. md. 165 § 3).</w:t>
      </w:r>
    </w:p>
    <w:p w14:paraId="0000000F" w14:textId="77777777" w:rsidR="007E552B" w:rsidRDefault="00E83265">
      <w:pPr>
        <w:jc w:val="both"/>
      </w:pPr>
      <w:r>
        <w:rPr>
          <w:b/>
          <w:bCs/>
        </w:rPr>
        <w:lastRenderedPageBreak/>
        <w:t>VI.</w:t>
      </w:r>
      <w:r>
        <w:t> Yargılamanın her aşamasında </w:t>
      </w:r>
      <w:r>
        <w:rPr>
          <w:b/>
          <w:bCs/>
        </w:rPr>
        <w:t>taraf bir vekil tayin edebilir</w:t>
      </w:r>
      <w:r>
        <w:t>; avukat veya hukuk müşaviri tarafından temsil zorunluluğu yoktur. Vekaletname, genel, belirli davaları yürütmek üzere veya bazı usuli işlemler için verilebilir.</w:t>
      </w:r>
    </w:p>
    <w:p w14:paraId="00000010" w14:textId="77777777" w:rsidR="007E552B" w:rsidRDefault="00E83265">
      <w:pPr>
        <w:jc w:val="both"/>
      </w:pPr>
      <w:r>
        <w:t>Vekil, avukat veya hukuk müşaviri olabileceği gibi, sınai mülkiyet konularında patent vekili de olabilir. Ayrıca, tarafın malvarlığını veya menfaatlerini yöneten kişi, taraf ile sürekli hizmet ilişkisi içinde olan ve dava konusu bu hizmetin kapsamına giren kişi, davadaki ortak (dava arkadaşı) ile tarafın ana, baba, eş, kardeş veya altsoyu (çocuk, torun) ve taraf ile evlatlık ilişkisi bulunan kişiler de vekil olabilir (k.p.c. md. 87 § 1).</w:t>
      </w:r>
    </w:p>
    <w:p w14:paraId="00000011" w14:textId="77777777" w:rsidR="007E552B" w:rsidRDefault="00E83265">
      <w:pPr>
        <w:jc w:val="both"/>
      </w:pPr>
      <w:r>
        <w:t>Tüzel kişi veya tüzel kişiliği olmayan bir işletmenin vekili, bu birimin veya bağlı bulunduğu üst organın çalışanı da olabilir. Ayrı düzenlemeler uyarınca bir işletmenin veya tüzel kişinin hukuki işlerini yürüten bir tüzel kişi, eğer yetkilendirilmişse, bu kuruluş adına bir avukat veya hukuk müşavirine vekalet verebilir  (k.p.c. md. 87 § 2).</w:t>
      </w:r>
    </w:p>
    <w:p w14:paraId="00000012" w14:textId="77777777" w:rsidR="007E552B" w:rsidRDefault="00E83265">
      <w:pPr>
        <w:jc w:val="both"/>
      </w:pPr>
      <w:r>
        <w:t xml:space="preserve">Sadece mahkeme evraklarını teslim alma yetkisini (tebligat vekili) içerenler dahil olmak üzere, </w:t>
      </w:r>
      <w:r>
        <w:rPr>
          <w:b/>
          <w:bCs/>
        </w:rPr>
        <w:t>belirli usuli işlemler için verilen vekaletnameler</w:t>
      </w:r>
      <w:r>
        <w:t>, tam fiil ehliyetine sahip herhangi bir gerçek kişiye verilebilir.</w:t>
      </w:r>
    </w:p>
    <w:p w14:paraId="00000013" w14:textId="77777777" w:rsidR="007E552B" w:rsidRDefault="00E83265">
      <w:pPr>
        <w:jc w:val="both"/>
      </w:pPr>
      <w:r>
        <w:t>Vekil, yaptığı ilk usuli işlemi sırasında, </w:t>
      </w:r>
      <w:r>
        <w:rPr>
          <w:b/>
          <w:bCs/>
        </w:rPr>
        <w:t>müvekkilinin imzasını taşıyan yazılı vekaletnameyi</w:t>
      </w:r>
      <w:r>
        <w:t> veya onaylı bir örneğini ve yetkisini gösteren diğer belgeleri, tüm bu belgelerin bir örneği karşı tarafa da verilecek adette, </w:t>
      </w:r>
      <w:r>
        <w:rPr>
          <w:b/>
          <w:bCs/>
        </w:rPr>
        <w:t>ibraz etmekle yükümlüdür</w:t>
      </w:r>
      <w:r>
        <w:t> (k.p.c. md. 89 § 1).</w:t>
      </w:r>
    </w:p>
    <w:p w14:paraId="00000014" w14:textId="77777777" w:rsidR="007E552B" w:rsidRDefault="00E83265">
      <w:pPr>
        <w:jc w:val="both"/>
      </w:pPr>
      <w:r>
        <w:rPr>
          <w:b/>
          <w:bCs/>
        </w:rPr>
        <w:t>VII.</w:t>
      </w:r>
      <w:r>
        <w:t> Taraflar ve temsilcileri, </w:t>
      </w:r>
      <w:r>
        <w:rPr>
          <w:b/>
          <w:bCs/>
        </w:rPr>
        <w:t>ikametgah adreslerindeki</w:t>
      </w:r>
      <w:r>
        <w:t>, tüzel kişi olmayan taraflar söz konusu olduğunda ise </w:t>
      </w:r>
      <w:r>
        <w:rPr>
          <w:b/>
          <w:bCs/>
        </w:rPr>
        <w:t>merkez adresi değişikliklerini mahkemeye bildirmekle yükümlüdür</w:t>
      </w:r>
      <w:r>
        <w:t>. </w:t>
      </w:r>
      <w:r>
        <w:rPr>
          <w:b/>
          <w:bCs/>
        </w:rPr>
        <w:t>Merkezi İşletme Kayıt ve Bilgi Sİstemi'ne (CEIDG) kayıtlı bir tacir (işletme sahibi)</w:t>
      </w:r>
      <w:r>
        <w:t> olan taraf, bu kayıtta yer alan tebligat adresindeki her değişikliği mahkemeye bildirmek zorundadır.</w:t>
      </w:r>
    </w:p>
    <w:p w14:paraId="00000015" w14:textId="77777777" w:rsidR="007E552B" w:rsidRDefault="00E83265">
      <w:pPr>
        <w:jc w:val="both"/>
      </w:pPr>
      <w:r>
        <w:t>Tebligatların belirli bir </w:t>
      </w:r>
      <w:r>
        <w:rPr>
          <w:b/>
          <w:bCs/>
        </w:rPr>
        <w:t>posta kutusu</w:t>
      </w:r>
      <w:r>
        <w:t> adresine yapılması yönünde talepte bulunmuş olan taraf, bu adresteki her değişikliği mahkemeye bildirmekle yükümlüdür.</w:t>
      </w:r>
    </w:p>
    <w:p w14:paraId="00000016" w14:textId="77777777" w:rsidR="007E552B" w:rsidRDefault="00E83265">
      <w:pPr>
        <w:jc w:val="both"/>
      </w:pPr>
      <w:r>
        <w:t>Yukarıdaki yükümlülüklerin ihmal edilmesi halinde, mahkeme yazısı, yeni adres mahkemece bilinmiyorsa, tebligat yapılmış sayılarak dava dosyasında bırakılır (k.p.c. md. 136 § 2).</w:t>
      </w:r>
    </w:p>
    <w:p w14:paraId="00000017" w14:textId="77777777" w:rsidR="007E552B" w:rsidRDefault="00E83265">
      <w:pPr>
        <w:jc w:val="both"/>
      </w:pPr>
      <w:r>
        <w:rPr>
          <w:b/>
          <w:bCs/>
        </w:rPr>
        <w:t>VIII.</w:t>
      </w:r>
      <w:r>
        <w:t> Tüm usuli dilekçeler </w:t>
      </w:r>
      <w:r>
        <w:rPr>
          <w:b/>
          <w:bCs/>
        </w:rPr>
        <w:t>Lehçe</w:t>
      </w:r>
      <w:r>
        <w:t> hazırlanmalıdır.</w:t>
      </w:r>
    </w:p>
    <w:p w14:paraId="00000018" w14:textId="77777777" w:rsidR="007E552B" w:rsidRDefault="00E83265">
      <w:pPr>
        <w:jc w:val="both"/>
      </w:pPr>
      <w:r>
        <w:rPr>
          <w:b/>
          <w:bCs/>
        </w:rPr>
        <w:t>IX.</w:t>
      </w:r>
      <w:r>
        <w:t> Mahkemeye bir dilekçe sunarken, bu belgede belirtilen </w:t>
      </w:r>
      <w:r>
        <w:rPr>
          <w:b/>
          <w:bCs/>
        </w:rPr>
        <w:t>dosya numarasını</w:t>
      </w:r>
      <w:r>
        <w:t> vermek gerekir.</w:t>
      </w:r>
    </w:p>
    <w:p w14:paraId="00000019" w14:textId="77777777" w:rsidR="007E552B" w:rsidRDefault="007E552B"/>
    <w:p w14:paraId="0000001A" w14:textId="77777777" w:rsidR="007E552B" w:rsidRDefault="007E552B"/>
    <w:p w14:paraId="00000023" w14:textId="77777777" w:rsidR="007E552B" w:rsidRDefault="007E552B">
      <w:pPr>
        <w:spacing w:after="0" w:line="240" w:lineRule="auto"/>
        <w:jc w:val="right"/>
        <w:rPr>
          <w:sz w:val="18"/>
          <w:szCs w:val="18"/>
        </w:rPr>
      </w:pPr>
    </w:p>
    <w:p w14:paraId="00000024" w14:textId="77777777" w:rsidR="007E552B" w:rsidRDefault="007E552B">
      <w:pPr>
        <w:jc w:val="right"/>
        <w:rPr>
          <w:sz w:val="18"/>
          <w:szCs w:val="18"/>
        </w:rPr>
      </w:pPr>
    </w:p>
    <w:sectPr w:rsidR="007E55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C5BD7" w14:textId="77777777" w:rsidR="00E83265" w:rsidRDefault="00E83265">
      <w:pPr>
        <w:spacing w:after="0" w:line="240" w:lineRule="auto"/>
      </w:pPr>
      <w:r>
        <w:separator/>
      </w:r>
    </w:p>
  </w:endnote>
  <w:endnote w:type="continuationSeparator" w:id="0">
    <w:p w14:paraId="41B1BFBD" w14:textId="77777777" w:rsidR="00E83265" w:rsidRDefault="00E8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3098A0D4-49C2-4ABB-BE6B-A0C5DD29784B}"/>
    <w:embedBold r:id="rId2" w:fontKey="{879B44A8-C56B-4C0C-AF4B-B3B8B174CAFA}"/>
    <w:embedItalic r:id="rId3" w:fontKey="{7B1DF11F-C2F5-425C-81F1-41ABE752EC91}"/>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4" w:fontKey="{C4D8EF92-79B0-4B84-AD61-602A980DA9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7E552B" w:rsidRDefault="007E552B">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468319E5" w:rsidR="007E552B" w:rsidRDefault="00E83265">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E1026">
      <w:rPr>
        <w:noProof/>
        <w:color w:val="000000"/>
      </w:rPr>
      <w:t>1</w:t>
    </w:r>
    <w:r>
      <w:rPr>
        <w:color w:val="000000"/>
      </w:rPr>
      <w:fldChar w:fldCharType="end"/>
    </w:r>
  </w:p>
  <w:p w14:paraId="0000002A" w14:textId="77777777" w:rsidR="007E552B" w:rsidRDefault="007E552B">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77777777" w:rsidR="007E552B" w:rsidRDefault="007E552B">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D7C8" w14:textId="77777777" w:rsidR="00E83265" w:rsidRDefault="00E83265">
      <w:pPr>
        <w:spacing w:after="0" w:line="240" w:lineRule="auto"/>
      </w:pPr>
      <w:r>
        <w:separator/>
      </w:r>
    </w:p>
  </w:footnote>
  <w:footnote w:type="continuationSeparator" w:id="0">
    <w:p w14:paraId="4A330CAB" w14:textId="77777777" w:rsidR="00E83265" w:rsidRDefault="00E83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5" w14:textId="77777777" w:rsidR="007E552B" w:rsidRDefault="007E552B">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7E552B" w:rsidRDefault="007E552B">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7E552B" w:rsidRDefault="007E552B">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E552B"/>
    <w:rsid w:val="007E552B"/>
    <w:rsid w:val="00810A45"/>
    <w:rsid w:val="009E1026"/>
    <w:rsid w:val="00E83265"/>
    <w:rsid w:val="00F1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D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2F5496"/>
    </w:rPr>
  </w:style>
  <w:style w:type="paragraph" w:styleId="Nagwek5">
    <w:name w:val="heading 5"/>
    <w:basedOn w:val="Normalny"/>
    <w:next w:val="Normalny"/>
    <w:uiPriority w:val="9"/>
    <w:semiHidden/>
    <w:unhideWhenUsed/>
    <w:qFormat/>
    <w:pPr>
      <w:keepNext/>
      <w:keepLines/>
      <w:spacing w:before="80" w:after="40"/>
      <w:outlineLvl w:val="4"/>
    </w:pPr>
    <w:rPr>
      <w:color w:val="2F5496"/>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paragraph" w:styleId="Nagwek7">
    <w:name w:val="heading 7"/>
    <w:basedOn w:val="Normalny"/>
    <w:next w:val="Normalny"/>
    <w:link w:val="Nagwek7Znak"/>
    <w:uiPriority w:val="9"/>
    <w:semiHidden/>
    <w:unhideWhenUsed/>
    <w:qFormat/>
    <w:rsid w:val="00F52A6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52A6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52A6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sz w:val="56"/>
      <w:szCs w:val="56"/>
    </w:rPr>
  </w:style>
  <w:style w:type="character" w:customStyle="1" w:styleId="Balk1Char">
    <w:name w:val="Başlık 1 Char"/>
    <w:basedOn w:val="Domylnaczcionkaakapitu"/>
    <w:uiPriority w:val="9"/>
    <w:rsid w:val="00F52A6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Domylnaczcionkaakapitu"/>
    <w:uiPriority w:val="9"/>
    <w:semiHidden/>
    <w:rsid w:val="00F52A6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Domylnaczcionkaakapitu"/>
    <w:uiPriority w:val="9"/>
    <w:semiHidden/>
    <w:rsid w:val="00F52A6D"/>
    <w:rPr>
      <w:rFonts w:eastAsiaTheme="majorEastAsia" w:cstheme="majorBidi"/>
      <w:color w:val="2F5496" w:themeColor="accent1" w:themeShade="BF"/>
      <w:sz w:val="28"/>
      <w:szCs w:val="28"/>
    </w:rPr>
  </w:style>
  <w:style w:type="character" w:customStyle="1" w:styleId="Balk4Char">
    <w:name w:val="Başlık 4 Char"/>
    <w:basedOn w:val="Domylnaczcionkaakapitu"/>
    <w:uiPriority w:val="9"/>
    <w:semiHidden/>
    <w:rsid w:val="00F52A6D"/>
    <w:rPr>
      <w:rFonts w:eastAsiaTheme="majorEastAsia" w:cstheme="majorBidi"/>
      <w:i/>
      <w:iCs/>
      <w:color w:val="2F5496" w:themeColor="accent1" w:themeShade="BF"/>
    </w:rPr>
  </w:style>
  <w:style w:type="character" w:customStyle="1" w:styleId="Balk5Char">
    <w:name w:val="Başlık 5 Char"/>
    <w:basedOn w:val="Domylnaczcionkaakapitu"/>
    <w:uiPriority w:val="9"/>
    <w:semiHidden/>
    <w:rsid w:val="00F52A6D"/>
    <w:rPr>
      <w:rFonts w:eastAsiaTheme="majorEastAsia" w:cstheme="majorBidi"/>
      <w:color w:val="2F5496" w:themeColor="accent1" w:themeShade="BF"/>
    </w:rPr>
  </w:style>
  <w:style w:type="character" w:customStyle="1" w:styleId="Balk6Char">
    <w:name w:val="Başlık 6 Char"/>
    <w:basedOn w:val="Domylnaczcionkaakapitu"/>
    <w:uiPriority w:val="9"/>
    <w:semiHidden/>
    <w:rsid w:val="00F52A6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52A6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52A6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52A6D"/>
    <w:rPr>
      <w:rFonts w:eastAsiaTheme="majorEastAsia" w:cstheme="majorBidi"/>
      <w:color w:val="272727" w:themeColor="text1" w:themeTint="D8"/>
    </w:rPr>
  </w:style>
  <w:style w:type="character" w:customStyle="1" w:styleId="KonuBalChar">
    <w:name w:val="Konu Başlığı Char"/>
    <w:basedOn w:val="Domylnaczcionkaakapitu"/>
    <w:uiPriority w:val="10"/>
    <w:rsid w:val="00F52A6D"/>
    <w:rPr>
      <w:rFonts w:asciiTheme="majorHAnsi" w:eastAsiaTheme="majorEastAsia" w:hAnsiTheme="majorHAnsi" w:cstheme="majorBidi"/>
      <w:spacing w:val="-10"/>
      <w:kern w:val="28"/>
      <w:sz w:val="56"/>
      <w:szCs w:val="56"/>
    </w:rPr>
  </w:style>
  <w:style w:type="character" w:customStyle="1" w:styleId="AltyazChar">
    <w:name w:val="Altyazı Char"/>
    <w:basedOn w:val="Domylnaczcionkaakapitu"/>
    <w:uiPriority w:val="11"/>
    <w:rsid w:val="00F52A6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52A6D"/>
    <w:pPr>
      <w:spacing w:before="160"/>
      <w:jc w:val="center"/>
    </w:pPr>
    <w:rPr>
      <w:i/>
      <w:iCs/>
      <w:color w:val="404040" w:themeColor="text1" w:themeTint="BF"/>
    </w:rPr>
  </w:style>
  <w:style w:type="character" w:customStyle="1" w:styleId="CytatZnak">
    <w:name w:val="Cytat Znak"/>
    <w:basedOn w:val="Domylnaczcionkaakapitu"/>
    <w:link w:val="Cytat"/>
    <w:uiPriority w:val="29"/>
    <w:rsid w:val="00F52A6D"/>
    <w:rPr>
      <w:i/>
      <w:iCs/>
      <w:color w:val="404040" w:themeColor="text1" w:themeTint="BF"/>
    </w:rPr>
  </w:style>
  <w:style w:type="paragraph" w:styleId="Akapitzlist">
    <w:name w:val="List Paragraph"/>
    <w:basedOn w:val="Normalny"/>
    <w:uiPriority w:val="34"/>
    <w:qFormat/>
    <w:rsid w:val="00F52A6D"/>
    <w:pPr>
      <w:ind w:left="720"/>
      <w:contextualSpacing/>
    </w:pPr>
  </w:style>
  <w:style w:type="character" w:styleId="Wyrnienieintensywne">
    <w:name w:val="Intense Emphasis"/>
    <w:basedOn w:val="Domylnaczcionkaakapitu"/>
    <w:uiPriority w:val="21"/>
    <w:qFormat/>
    <w:rsid w:val="00F52A6D"/>
    <w:rPr>
      <w:i/>
      <w:iCs/>
      <w:color w:val="2F5496" w:themeColor="accent1" w:themeShade="BF"/>
    </w:rPr>
  </w:style>
  <w:style w:type="paragraph" w:styleId="Cytatintensywny">
    <w:name w:val="Intense Quote"/>
    <w:basedOn w:val="Normalny"/>
    <w:next w:val="Normalny"/>
    <w:link w:val="CytatintensywnyZnak"/>
    <w:uiPriority w:val="30"/>
    <w:qFormat/>
    <w:rsid w:val="00F52A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52A6D"/>
    <w:rPr>
      <w:i/>
      <w:iCs/>
      <w:color w:val="2F5496" w:themeColor="accent1" w:themeShade="BF"/>
    </w:rPr>
  </w:style>
  <w:style w:type="character" w:styleId="Odwoanieintensywne">
    <w:name w:val="Intense Reference"/>
    <w:basedOn w:val="Domylnaczcionkaakapitu"/>
    <w:uiPriority w:val="32"/>
    <w:qFormat/>
    <w:rsid w:val="00F52A6D"/>
    <w:rPr>
      <w:b/>
      <w:bCs/>
      <w:smallCaps/>
      <w:color w:val="2F5496" w:themeColor="accent1" w:themeShade="BF"/>
      <w:spacing w:val="5"/>
    </w:rPr>
  </w:style>
  <w:style w:type="paragraph" w:styleId="Nagwek">
    <w:name w:val="header"/>
    <w:basedOn w:val="Normalny"/>
    <w:link w:val="NagwekZnak"/>
    <w:uiPriority w:val="99"/>
    <w:unhideWhenUsed/>
    <w:rsid w:val="005138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389F"/>
  </w:style>
  <w:style w:type="paragraph" w:styleId="Stopka">
    <w:name w:val="footer"/>
    <w:basedOn w:val="Normalny"/>
    <w:link w:val="StopkaZnak"/>
    <w:uiPriority w:val="99"/>
    <w:unhideWhenUsed/>
    <w:rsid w:val="005138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389F"/>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FV/waE5fFAmxGMmAozKklp6hQ==">CgMxLjA4AHIhMTZBeUJTVkY5YngyTjBYd2lEelFjcVVWLVFxTWxIY1hY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4829</Characters>
  <Application>Microsoft Office Word</Application>
  <DocSecurity>0</DocSecurity>
  <Lines>68</Lines>
  <Paragraphs>24</Paragraphs>
  <ScaleCrop>false</ScaleCrop>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2026-03-20T11:19:00Z</dcterms:created>
  <dcterms:modified xsi:type="dcterms:W3CDTF">2026-03-20T11:20:00Z</dcterms:modified>
</cp:coreProperties>
</file>