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8A027" w14:textId="33A0AAD9" w:rsidR="00F6213C" w:rsidRDefault="002F1335" w:rsidP="002F1335">
      <w:pPr>
        <w:pStyle w:val="Pagedecouverture"/>
        <w:rPr>
          <w:noProof/>
        </w:rPr>
      </w:pPr>
      <w:bookmarkStart w:id="0" w:name="LW_BM_COVERPAGE"/>
      <w:r>
        <w:rPr>
          <w:noProof/>
        </w:rPr>
        <w:pict w14:anchorId="78279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E3A71F0-2138-4BCE-8044-5D10F33EA9DC" style="width:455.25pt;height:476.25pt">
            <v:imagedata r:id="rId9" o:title=""/>
          </v:shape>
        </w:pict>
      </w:r>
    </w:p>
    <w:bookmarkEnd w:id="0"/>
    <w:p w14:paraId="6FE4D06E" w14:textId="77777777" w:rsidR="00F6213C" w:rsidRDefault="00F6213C" w:rsidP="00F6213C">
      <w:pPr>
        <w:rPr>
          <w:noProof/>
        </w:rPr>
        <w:sectPr w:rsidR="00F6213C" w:rsidSect="002F1335">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tbl>
      <w:tblPr>
        <w:tblStyle w:val="TableGrid"/>
        <w:tblW w:w="9450" w:type="dxa"/>
        <w:tblLayout w:type="fixed"/>
        <w:tblLook w:val="06A0" w:firstRow="1" w:lastRow="0" w:firstColumn="1" w:lastColumn="0" w:noHBand="1" w:noVBand="1"/>
      </w:tblPr>
      <w:tblGrid>
        <w:gridCol w:w="9450"/>
      </w:tblGrid>
      <w:tr w:rsidR="52A9D588" w14:paraId="4D403AD1" w14:textId="77777777" w:rsidTr="2ED4E331">
        <w:trPr>
          <w:trHeight w:val="300"/>
        </w:trPr>
        <w:tc>
          <w:tcPr>
            <w:tcW w:w="9450" w:type="dxa"/>
          </w:tcPr>
          <w:p w14:paraId="381D0B1D" w14:textId="77777777" w:rsidR="1B65425A" w:rsidRDefault="1B65425A" w:rsidP="52A9D588">
            <w:pPr>
              <w:jc w:val="center"/>
              <w:rPr>
                <w:rFonts w:ascii="Times New Roman" w:eastAsia="Times New Roman" w:hAnsi="Times New Roman" w:cs="Times New Roman"/>
                <w:b/>
                <w:noProof/>
                <w:sz w:val="24"/>
              </w:rPr>
            </w:pPr>
            <w:bookmarkStart w:id="1" w:name="_GoBack"/>
            <w:bookmarkEnd w:id="1"/>
            <w:r>
              <w:rPr>
                <w:rFonts w:ascii="Times New Roman" w:hAnsi="Times New Roman"/>
                <w:b/>
                <w:noProof/>
                <w:sz w:val="24"/>
              </w:rPr>
              <w:lastRenderedPageBreak/>
              <w:t>Streszczenie oceny skutków</w:t>
            </w:r>
          </w:p>
        </w:tc>
      </w:tr>
      <w:tr w:rsidR="52A9D588" w:rsidRPr="008C7F5B" w14:paraId="5EF74F79" w14:textId="77777777" w:rsidTr="2ED4E331">
        <w:trPr>
          <w:trHeight w:val="300"/>
        </w:trPr>
        <w:tc>
          <w:tcPr>
            <w:tcW w:w="9450" w:type="dxa"/>
            <w:shd w:val="clear" w:color="auto" w:fill="B4C6E7" w:themeFill="accent1" w:themeFillTint="66"/>
          </w:tcPr>
          <w:p w14:paraId="341D3141" w14:textId="77777777" w:rsidR="1B65425A" w:rsidRPr="00153563" w:rsidRDefault="1B65425A" w:rsidP="52A9D588">
            <w:pPr>
              <w:rPr>
                <w:rFonts w:ascii="Times New Roman" w:eastAsia="Times New Roman" w:hAnsi="Times New Roman" w:cs="Times New Roman"/>
                <w:b/>
                <w:noProof/>
                <w:lang w:val="pl-PL"/>
              </w:rPr>
            </w:pPr>
            <w:r w:rsidRPr="00153563">
              <w:rPr>
                <w:rFonts w:ascii="Times New Roman" w:hAnsi="Times New Roman"/>
                <w:b/>
                <w:noProof/>
                <w:lang w:val="pl-PL"/>
              </w:rPr>
              <w:t>Ocena skutków europejskiego aktu w sprawie surowców krytycznych</w:t>
            </w:r>
          </w:p>
        </w:tc>
      </w:tr>
      <w:tr w:rsidR="52A9D588" w:rsidRPr="008C7F5B" w14:paraId="24C43E91" w14:textId="77777777" w:rsidTr="2ED4E331">
        <w:trPr>
          <w:trHeight w:val="300"/>
        </w:trPr>
        <w:tc>
          <w:tcPr>
            <w:tcW w:w="9450" w:type="dxa"/>
            <w:shd w:val="clear" w:color="auto" w:fill="A6A6A6" w:themeFill="background1" w:themeFillShade="A6"/>
          </w:tcPr>
          <w:p w14:paraId="50B0AC06" w14:textId="77777777" w:rsidR="66D75453" w:rsidRPr="00153563" w:rsidRDefault="66D75453" w:rsidP="52A9D588">
            <w:pPr>
              <w:rPr>
                <w:rFonts w:ascii="Times New Roman" w:eastAsia="Times New Roman" w:hAnsi="Times New Roman" w:cs="Times New Roman"/>
                <w:b/>
                <w:noProof/>
                <w:sz w:val="24"/>
                <w:lang w:val="pl-PL"/>
              </w:rPr>
            </w:pPr>
            <w:r w:rsidRPr="00153563">
              <w:rPr>
                <w:rFonts w:ascii="Times New Roman" w:hAnsi="Times New Roman"/>
                <w:b/>
                <w:noProof/>
                <w:sz w:val="24"/>
                <w:lang w:val="pl-PL"/>
              </w:rPr>
              <w:t>A. Na czym polega problem i dlaczego jest to problem na szczeblu UE?</w:t>
            </w:r>
          </w:p>
        </w:tc>
      </w:tr>
      <w:tr w:rsidR="52A9D588" w:rsidRPr="008C7F5B" w14:paraId="0127F699" w14:textId="77777777" w:rsidTr="2ED4E331">
        <w:trPr>
          <w:trHeight w:val="4680"/>
        </w:trPr>
        <w:tc>
          <w:tcPr>
            <w:tcW w:w="9450" w:type="dxa"/>
          </w:tcPr>
          <w:p w14:paraId="17A11918" w14:textId="77777777" w:rsidR="0B270968" w:rsidRPr="00153563" w:rsidRDefault="0B270968" w:rsidP="52A9D588">
            <w:pPr>
              <w:jc w:val="both"/>
              <w:rPr>
                <w:rFonts w:ascii="Times New Roman" w:eastAsia="Times New Roman" w:hAnsi="Times New Roman" w:cs="Times New Roman"/>
                <w:noProof/>
                <w:sz w:val="24"/>
                <w:lang w:val="pl-PL"/>
              </w:rPr>
            </w:pPr>
            <w:r w:rsidRPr="00153563">
              <w:rPr>
                <w:rFonts w:ascii="Times New Roman" w:hAnsi="Times New Roman"/>
                <w:noProof/>
                <w:sz w:val="24"/>
                <w:lang w:val="pl-PL"/>
              </w:rPr>
              <w:t xml:space="preserve">Surowce krytyczne stanowią nieodzowny element naszej gospodarki, szczególnie ze względu na fakt, że wykorzystuje się je do wytwarzania technologii, które są niezbędne do wdrożenia zielonej energii, dokonania transformacji cyfrowej lub do celów strategicznych zastosowań w obszarze opieki zdrowotnej lub obronności. Biorąc pod uwagę rosnące potrzeby wynikające z dwojakiej transformacji, prognozuje się, że popyt na te surowce będzie rósł wykładniczo zarówno na szczeblu UE, jak i na świecie, co doprowadzi do powstania luki między podażą a popytem. Ponadto dostawy surowców krytycznych w UE na etapie wydobycia i na etapie przetwarzania są bardzo skoncentrowane, niekiedy nawet w jednym państwie trzecim. W przypadku gdyby UE nie była w stanie zapewnić wystarczających dostaw surowców krytycznych, dalsze uzależnienie od nich mogłoby narazić UE na następujące rodzaje ryzyka: wrażliwość geopolityczna; negatywne skutki środowiskowe i społeczne; zakłócenia przemysłowych łańcuchów dostaw; wysokie i niestabilne ceny, które przekładają się na opóźnienie transformacji ekologicznej; dominujący dostawcy i dostawcy surowców krytycznych wykorzystujący swoją pozycję rynkową w gałęziach przemysłu korzystających z tych surowców na kolejnych etapach. </w:t>
            </w:r>
          </w:p>
          <w:p w14:paraId="1A4C6E16" w14:textId="77777777" w:rsidR="6E6F65FC" w:rsidRPr="00153563" w:rsidRDefault="6E6F65FC" w:rsidP="52A9D588">
            <w:pPr>
              <w:jc w:val="both"/>
              <w:rPr>
                <w:rFonts w:ascii="Times New Roman" w:eastAsia="Times New Roman" w:hAnsi="Times New Roman" w:cs="Times New Roman"/>
                <w:noProof/>
                <w:sz w:val="24"/>
                <w:lang w:val="pl-PL"/>
              </w:rPr>
            </w:pPr>
            <w:r w:rsidRPr="00153563">
              <w:rPr>
                <w:rFonts w:ascii="Times New Roman" w:hAnsi="Times New Roman"/>
                <w:noProof/>
                <w:sz w:val="24"/>
                <w:lang w:val="pl-PL"/>
              </w:rPr>
              <w:t xml:space="preserve">W tym kontekście głównym problemem, jaki zidentyfikowano, jest brak bezpiecznego i zrównoważonego dostępu do surowców krytycznych w UE, który to problem wynika z trzech problemów cząstkowych: niewystarczającego przewidywania i łagodzenia ryzyka związanego z dostawami, niewystarczającego rozwoju potencjału w zakresie dostaw surowców krytycznych wewnątrz Unii ze względu na niewystarczające zdolności na różnych etapach łańcucha wartości oraz niewystarczającego poziomu zrównoważoności i obiegu zamkniętego w przypadku zaopatrzenia UE w surowce krytyczne. </w:t>
            </w:r>
          </w:p>
        </w:tc>
      </w:tr>
      <w:tr w:rsidR="52A9D588" w14:paraId="31161474" w14:textId="77777777" w:rsidTr="2ED4E331">
        <w:trPr>
          <w:trHeight w:val="323"/>
        </w:trPr>
        <w:tc>
          <w:tcPr>
            <w:tcW w:w="9450" w:type="dxa"/>
          </w:tcPr>
          <w:p w14:paraId="752BEC53" w14:textId="77777777" w:rsidR="30BCCFE7" w:rsidRDefault="30BCCFE7" w:rsidP="52A9D588">
            <w:pPr>
              <w:rPr>
                <w:rFonts w:ascii="Times New Roman" w:eastAsia="Times New Roman" w:hAnsi="Times New Roman" w:cs="Times New Roman"/>
                <w:b/>
                <w:noProof/>
                <w:sz w:val="24"/>
              </w:rPr>
            </w:pPr>
            <w:r>
              <w:rPr>
                <w:rFonts w:ascii="Times New Roman" w:hAnsi="Times New Roman"/>
                <w:b/>
                <w:noProof/>
                <w:sz w:val="24"/>
              </w:rPr>
              <w:t>Co należy osiągnąć?</w:t>
            </w:r>
          </w:p>
        </w:tc>
      </w:tr>
      <w:tr w:rsidR="52A9D588" w:rsidRPr="008C7F5B" w14:paraId="38F71B74" w14:textId="77777777" w:rsidTr="2ED4E331">
        <w:trPr>
          <w:trHeight w:val="4155"/>
        </w:trPr>
        <w:tc>
          <w:tcPr>
            <w:tcW w:w="9450" w:type="dxa"/>
          </w:tcPr>
          <w:p w14:paraId="371B8586" w14:textId="77777777" w:rsidR="3D0DA69B" w:rsidRPr="00153563" w:rsidRDefault="3D0DA69B" w:rsidP="5CA58D31">
            <w:pPr>
              <w:jc w:val="both"/>
              <w:rPr>
                <w:rFonts w:ascii="Times New Roman" w:eastAsia="Times New Roman" w:hAnsi="Times New Roman" w:cs="Times New Roman"/>
                <w:noProof/>
                <w:color w:val="000000" w:themeColor="text1"/>
                <w:sz w:val="24"/>
                <w:lang w:val="pl-PL"/>
              </w:rPr>
            </w:pPr>
            <w:r w:rsidRPr="00153563">
              <w:rPr>
                <w:rFonts w:ascii="Times New Roman" w:hAnsi="Times New Roman"/>
                <w:noProof/>
                <w:color w:val="000000" w:themeColor="text1"/>
                <w:sz w:val="24"/>
                <w:lang w:val="pl-PL"/>
              </w:rPr>
              <w:t>Ogólnym celem aktu w sprawie surowców krytycznych jest rozwiązanie głównego problemu, tj. braku bezpiecznego i zrównoważonego dostępu UE do surowców krytycznych. Aby rozwiązać ten problem w jak najskuteczniejszy sposób, do zidentyfikowanych czynników stanowiących źródło problemów odniesiono bezpośrednio następujące cele szczegółowe:</w:t>
            </w:r>
          </w:p>
          <w:p w14:paraId="35DE4849" w14:textId="77777777" w:rsidR="5867ECDA" w:rsidRPr="00153563" w:rsidRDefault="5867ECDA" w:rsidP="5CA58D31">
            <w:pPr>
              <w:jc w:val="both"/>
              <w:rPr>
                <w:noProof/>
                <w:lang w:val="pl-PL"/>
              </w:rPr>
            </w:pPr>
            <w:r w:rsidRPr="00153563">
              <w:rPr>
                <w:rFonts w:ascii="Times New Roman" w:hAnsi="Times New Roman"/>
                <w:b/>
                <w:noProof/>
                <w:sz w:val="24"/>
                <w:lang w:val="pl-PL"/>
              </w:rPr>
              <w:t>Cel szczegółowy 1</w:t>
            </w:r>
            <w:r w:rsidRPr="00153563">
              <w:rPr>
                <w:rFonts w:ascii="Times New Roman" w:hAnsi="Times New Roman"/>
                <w:noProof/>
                <w:sz w:val="24"/>
                <w:lang w:val="pl-PL"/>
              </w:rPr>
              <w:t>. Zwiększenie świadomości unijnego przemysłu na temat ryzyka związanego z surowcami krytycznymi w globalnym łańcuchu dostaw oraz jego łagodzenie.</w:t>
            </w:r>
          </w:p>
          <w:p w14:paraId="2B87F3DC" w14:textId="77777777" w:rsidR="5867ECDA" w:rsidRPr="00153563" w:rsidRDefault="5867ECDA" w:rsidP="5CA58D31">
            <w:pPr>
              <w:jc w:val="both"/>
              <w:rPr>
                <w:noProof/>
                <w:lang w:val="pl-PL"/>
              </w:rPr>
            </w:pPr>
            <w:r w:rsidRPr="00153563">
              <w:rPr>
                <w:rFonts w:ascii="Times New Roman" w:hAnsi="Times New Roman"/>
                <w:b/>
                <w:noProof/>
                <w:sz w:val="24"/>
                <w:lang w:val="pl-PL"/>
              </w:rPr>
              <w:t>Cel szczegółowy 2</w:t>
            </w:r>
            <w:r w:rsidRPr="00153563">
              <w:rPr>
                <w:rFonts w:ascii="Times New Roman" w:hAnsi="Times New Roman"/>
                <w:noProof/>
                <w:sz w:val="24"/>
                <w:lang w:val="pl-PL"/>
              </w:rPr>
              <w:t xml:space="preserve">. Zwiększenie zdolności w unijnym łańcuchu wartości surowców krytycznych na rynku wewnętrznym.    </w:t>
            </w:r>
          </w:p>
          <w:p w14:paraId="19A30283" w14:textId="77777777" w:rsidR="5867ECDA" w:rsidRPr="00153563" w:rsidRDefault="5867ECDA" w:rsidP="5CA58D31">
            <w:pPr>
              <w:jc w:val="both"/>
              <w:rPr>
                <w:noProof/>
                <w:lang w:val="pl-PL"/>
              </w:rPr>
            </w:pPr>
            <w:r w:rsidRPr="00153563">
              <w:rPr>
                <w:rFonts w:ascii="Times New Roman" w:hAnsi="Times New Roman"/>
                <w:b/>
                <w:noProof/>
                <w:sz w:val="24"/>
                <w:lang w:val="pl-PL"/>
              </w:rPr>
              <w:t>Cel szczegółowy 3</w:t>
            </w:r>
            <w:r w:rsidRPr="00153563">
              <w:rPr>
                <w:rFonts w:ascii="Times New Roman" w:hAnsi="Times New Roman"/>
                <w:noProof/>
                <w:sz w:val="24"/>
                <w:lang w:val="pl-PL"/>
              </w:rPr>
              <w:t xml:space="preserve">. Zmniejszenie śladu środowiskowego konsumpcji surowców krytycznych w UE.  </w:t>
            </w:r>
          </w:p>
          <w:p w14:paraId="1DA408ED" w14:textId="77777777" w:rsidR="6A2B8AB7" w:rsidRPr="00153563" w:rsidRDefault="6A2B8AB7" w:rsidP="5CA58D31">
            <w:pPr>
              <w:jc w:val="both"/>
              <w:rPr>
                <w:rFonts w:ascii="Times New Roman" w:eastAsia="Times New Roman" w:hAnsi="Times New Roman" w:cs="Times New Roman"/>
                <w:noProof/>
                <w:color w:val="000000" w:themeColor="text1"/>
                <w:sz w:val="24"/>
                <w:lang w:val="pl-PL"/>
              </w:rPr>
            </w:pPr>
            <w:r w:rsidRPr="00153563">
              <w:rPr>
                <w:rFonts w:ascii="Times New Roman" w:hAnsi="Times New Roman"/>
                <w:noProof/>
                <w:color w:val="000000" w:themeColor="text1"/>
                <w:sz w:val="24"/>
                <w:lang w:val="pl-PL"/>
              </w:rPr>
              <w:t>Inicjatywa regulacyjna, której dotyczy niniejsza ocena skutków, nie może jednak sama w sobie doprowadzić do osiągnięcia tego celu. Wzmożone starania na rzecz dywersyfikacji handlu i inwestycji międzynarodowych zapewniają niezakłócone funkcjonowanie rynków międzynarodowych oraz propagowanie wysokich standardów społecznych i środowiskowych w ramach partnerstw i współpracy z państwami trzecimi. K</w:t>
            </w:r>
            <w:r w:rsidRPr="00153563">
              <w:rPr>
                <w:rFonts w:ascii="Times New Roman" w:hAnsi="Times New Roman"/>
                <w:noProof/>
                <w:sz w:val="24"/>
                <w:lang w:val="pl-PL"/>
              </w:rPr>
              <w:t>onieczne będą również wzmożone starania w zakresie badań naukowych i innowacji mające na celu zastąpienie surowców krytycznych i zmniejszenie wpływu wydobycia zasobów na środowisko, jak również praca nad umiejętnościami i społeczną akceptacją</w:t>
            </w:r>
            <w:r w:rsidRPr="00153563">
              <w:rPr>
                <w:rFonts w:ascii="Times New Roman" w:hAnsi="Times New Roman"/>
                <w:noProof/>
                <w:color w:val="000000" w:themeColor="text1"/>
                <w:sz w:val="24"/>
                <w:lang w:val="pl-PL"/>
              </w:rPr>
              <w:t>. Aspekty te zostały szerzej omówione w komunikacie towarzyszącym, który stanowi część europejskiego aktu w sprawie surowców krytycznych.</w:t>
            </w:r>
          </w:p>
        </w:tc>
      </w:tr>
      <w:tr w:rsidR="52A9D588" w:rsidRPr="008C7F5B" w14:paraId="3EB81E4E" w14:textId="77777777" w:rsidTr="2ED4E331">
        <w:trPr>
          <w:trHeight w:val="323"/>
        </w:trPr>
        <w:tc>
          <w:tcPr>
            <w:tcW w:w="9450" w:type="dxa"/>
          </w:tcPr>
          <w:p w14:paraId="7AE5032F" w14:textId="77777777" w:rsidR="30BCCFE7" w:rsidRPr="00153563" w:rsidRDefault="30BCCFE7" w:rsidP="52A9D588">
            <w:pPr>
              <w:rPr>
                <w:rFonts w:ascii="Times New Roman" w:eastAsia="Times New Roman" w:hAnsi="Times New Roman" w:cs="Times New Roman"/>
                <w:b/>
                <w:noProof/>
                <w:sz w:val="24"/>
                <w:lang w:val="pl-PL"/>
              </w:rPr>
            </w:pPr>
            <w:r w:rsidRPr="00153563">
              <w:rPr>
                <w:rFonts w:ascii="Times New Roman" w:hAnsi="Times New Roman"/>
                <w:b/>
                <w:noProof/>
                <w:sz w:val="24"/>
                <w:lang w:val="pl-PL"/>
              </w:rPr>
              <w:t>Na czym polega wartość dodana podjęcia działań na szczeblu UE (zasada pomocniczości)?</w:t>
            </w:r>
          </w:p>
        </w:tc>
      </w:tr>
      <w:tr w:rsidR="52A9D588" w:rsidRPr="008C7F5B" w14:paraId="2720B528" w14:textId="77777777" w:rsidTr="2ED4E331">
        <w:trPr>
          <w:trHeight w:val="3495"/>
        </w:trPr>
        <w:tc>
          <w:tcPr>
            <w:tcW w:w="9450" w:type="dxa"/>
          </w:tcPr>
          <w:p w14:paraId="386F7678" w14:textId="77777777" w:rsidR="3656C4A0" w:rsidRPr="00153563" w:rsidRDefault="3656C4A0" w:rsidP="52A9D588">
            <w:pPr>
              <w:spacing w:after="240"/>
              <w:jc w:val="both"/>
              <w:rPr>
                <w:rFonts w:ascii="Times New Roman" w:eastAsia="Times New Roman" w:hAnsi="Times New Roman" w:cs="Times New Roman"/>
                <w:noProof/>
                <w:color w:val="000000" w:themeColor="text1"/>
                <w:sz w:val="24"/>
                <w:lang w:val="pl-PL"/>
              </w:rPr>
            </w:pPr>
            <w:r w:rsidRPr="00153563">
              <w:rPr>
                <w:rFonts w:ascii="Times New Roman" w:hAnsi="Times New Roman"/>
                <w:noProof/>
                <w:color w:val="000000" w:themeColor="text1"/>
                <w:sz w:val="24"/>
                <w:lang w:val="pl-PL"/>
              </w:rPr>
              <w:t>Działania UE mają zasadnicze znaczenie dla uzyskania korzyści skali i zakresu oraz ograniczenia, a nawet uniknięcia rozdrobnienia działań i związanej z nim nieefektywności. Z tego względu proponowane działania koncentrują się na obszarach, w których istnieje możliwa do wykazania wartość dodana związana z działaniem na szczeblu Unii ze względu na skalę, szybkość i zakres wymaganych działań. Na przykład działania mające na celu mobilizację inwestycji w projekty dotyczące surowców krytycznych w całym łańcuchu wartości mogłyby być najskuteczniej opracowywane i koordynowane na szczeblu Unii, biorąc pod uwagę skalę potrzebnych inwestycji oraz fakt, że wynikające z nich możliwości powinny służyć całemu rynkowi wewnętrznemu. Ponadto działania mające na celu zwiększenie zdolności w zakresie monitorowania na szczeblu Unii będą skuteczniejsze niż w przypadku ich nieskoordynowania. Wspólnie państwa członkowskie i Komisja będą w stanie przewidywać zakłócenia dostaw lepiej niż w drodze wielu różnych działań krajowych. Proponowane ramy powinny umożliwiać bardziej efektywny podział zadań oraz udostępnianie istotnych informacji w celu zapobiegania powielaniu działań.</w:t>
            </w:r>
          </w:p>
        </w:tc>
      </w:tr>
      <w:tr w:rsidR="52A9D588" w14:paraId="261EE583" w14:textId="77777777" w:rsidTr="2ED4E331">
        <w:trPr>
          <w:trHeight w:val="323"/>
        </w:trPr>
        <w:tc>
          <w:tcPr>
            <w:tcW w:w="9450" w:type="dxa"/>
            <w:shd w:val="clear" w:color="auto" w:fill="A6A6A6" w:themeFill="background1" w:themeFillShade="A6"/>
          </w:tcPr>
          <w:p w14:paraId="2CD29806" w14:textId="77777777" w:rsidR="30BCCFE7" w:rsidRDefault="30BCCFE7" w:rsidP="52A9D588">
            <w:pPr>
              <w:rPr>
                <w:rFonts w:ascii="Times New Roman" w:eastAsia="Times New Roman" w:hAnsi="Times New Roman" w:cs="Times New Roman"/>
                <w:b/>
                <w:noProof/>
                <w:sz w:val="24"/>
              </w:rPr>
            </w:pPr>
            <w:r>
              <w:rPr>
                <w:rFonts w:ascii="Times New Roman" w:hAnsi="Times New Roman"/>
                <w:b/>
                <w:noProof/>
                <w:sz w:val="24"/>
              </w:rPr>
              <w:t>B. Rozwiązania</w:t>
            </w:r>
          </w:p>
        </w:tc>
      </w:tr>
      <w:tr w:rsidR="52A9D588" w14:paraId="600BCECE" w14:textId="77777777" w:rsidTr="2ED4E331">
        <w:trPr>
          <w:trHeight w:val="323"/>
        </w:trPr>
        <w:tc>
          <w:tcPr>
            <w:tcW w:w="9450" w:type="dxa"/>
          </w:tcPr>
          <w:p w14:paraId="0A57A96F" w14:textId="77777777" w:rsidR="7E6815B9" w:rsidRDefault="7E6815B9" w:rsidP="52A9D588">
            <w:pPr>
              <w:rPr>
                <w:rFonts w:ascii="Times New Roman" w:eastAsia="Times New Roman" w:hAnsi="Times New Roman" w:cs="Times New Roman"/>
                <w:b/>
                <w:noProof/>
                <w:sz w:val="24"/>
              </w:rPr>
            </w:pPr>
            <w:r w:rsidRPr="00153563">
              <w:rPr>
                <w:rFonts w:ascii="Times New Roman" w:hAnsi="Times New Roman"/>
                <w:b/>
                <w:noProof/>
                <w:sz w:val="24"/>
                <w:lang w:val="pl-PL"/>
              </w:rPr>
              <w:t xml:space="preserve">Jakie są poszczególne warianty działań służących osiągnięciu celów? </w:t>
            </w:r>
            <w:r>
              <w:rPr>
                <w:rFonts w:ascii="Times New Roman" w:hAnsi="Times New Roman"/>
                <w:b/>
                <w:noProof/>
                <w:sz w:val="24"/>
              </w:rPr>
              <w:t>Czy wskazano preferowany wariant? Jeżeli nie, dlaczego?</w:t>
            </w:r>
          </w:p>
        </w:tc>
      </w:tr>
      <w:tr w:rsidR="52A9D588" w:rsidRPr="008C7F5B" w14:paraId="5BE43F81" w14:textId="77777777" w:rsidTr="008C7F5B">
        <w:trPr>
          <w:trHeight w:val="2967"/>
        </w:trPr>
        <w:tc>
          <w:tcPr>
            <w:tcW w:w="9450" w:type="dxa"/>
          </w:tcPr>
          <w:p w14:paraId="4009999D" w14:textId="77777777" w:rsidR="52A9D588" w:rsidRPr="00153563" w:rsidRDefault="73E16D9B" w:rsidP="5CA58D31">
            <w:pPr>
              <w:jc w:val="both"/>
              <w:rPr>
                <w:rFonts w:ascii="Times New Roman" w:eastAsia="Times New Roman" w:hAnsi="Times New Roman" w:cs="Times New Roman"/>
                <w:noProof/>
                <w:color w:val="000000" w:themeColor="text1"/>
                <w:sz w:val="24"/>
                <w:lang w:val="pl-PL"/>
              </w:rPr>
            </w:pPr>
            <w:r w:rsidRPr="00153563">
              <w:rPr>
                <w:rFonts w:ascii="Times New Roman" w:hAnsi="Times New Roman"/>
                <w:noProof/>
                <w:color w:val="000000" w:themeColor="text1"/>
                <w:sz w:val="24"/>
                <w:lang w:val="pl-PL"/>
              </w:rPr>
              <w:t>Warianty podzielono na różne filary, w ramach których zaproponowano różne podejścia strategiczne w celu osiągnięcia celów szczegółowych. Warianty te łączą różne zbiory podejść strategicznych, opierając się na ich założeniach oraz na tym, co jest możliwe do osiągnięcia przy różnych strukturach zarządzania, tak aby realizacja zadań przewidzianych w każdym wariancie odbywała się przy odpowiednim poziomie zasobów.</w:t>
            </w:r>
          </w:p>
          <w:p w14:paraId="4B5701A3" w14:textId="77777777" w:rsidR="52A9D588" w:rsidRPr="00153563" w:rsidRDefault="5F747806" w:rsidP="2ED4E331">
            <w:pPr>
              <w:jc w:val="both"/>
              <w:rPr>
                <w:rFonts w:ascii="Times New Roman" w:eastAsia="Times New Roman" w:hAnsi="Times New Roman" w:cs="Times New Roman"/>
                <w:noProof/>
                <w:color w:val="000000" w:themeColor="text1"/>
                <w:sz w:val="24"/>
                <w:lang w:val="pl-PL"/>
              </w:rPr>
            </w:pPr>
            <w:r w:rsidRPr="00153563">
              <w:rPr>
                <w:rFonts w:ascii="Times New Roman" w:hAnsi="Times New Roman"/>
                <w:b/>
                <w:noProof/>
                <w:color w:val="000000" w:themeColor="text1"/>
                <w:sz w:val="24"/>
                <w:lang w:val="pl-PL"/>
              </w:rPr>
              <w:t>Wariant strategiczny nr 1</w:t>
            </w:r>
            <w:r w:rsidRPr="00153563">
              <w:rPr>
                <w:rFonts w:ascii="Times New Roman" w:hAnsi="Times New Roman"/>
                <w:noProof/>
                <w:color w:val="000000" w:themeColor="text1"/>
                <w:sz w:val="24"/>
                <w:lang w:val="pl-PL"/>
              </w:rPr>
              <w:t xml:space="preserve"> zakłada stosowanie mechanizmu ustalania celów dla surowców strategicznych. Obejmuje on strukturę zarządzania w ramach specjalnej unijnej rady ds. surowców krytycznych wspieranej przez sieć agencji krajowych oraz zdolności operacyjne Komisji. Jednostka taka rozwijałaby zdolności w zakresie monitorowania, umożliwiałaby koordynację zapasów strategicznych UE i zapewniałaby lepsze przygotowanie przedsiębiorstw na wypadek zakłóceń dostaw. Wariant ten obejmuje elementy wspomagające łańcuch wartości, w szczególności w postaci koordynacji poszukiwań, większego wsparcia dla krajowych projektów dotyczących surowców krytycznych oraz łatwiejszego dostępu do finansowania. Jeśli chodzi o obieg zamknięty, przewidziano zalecenie dotyczące drobnej elektroniki użytkowej oraz zapowiedź przyszłych działań. W wariancie tym przewidziano prowadzenie wzmożonych działań UE w zakresie ustanawiania norm międzynarodowych, jak również wprowadzenie minimalnych wymogów dotyczących systemów certyfikacji zrównoważonego charakteru surowców krytycznych oraz wymogów informacyjnych dotyczących śladu środowiskowego tych surowców wprowadzanych na rynek unijny.</w:t>
            </w:r>
          </w:p>
          <w:p w14:paraId="63E6AFBE" w14:textId="77777777" w:rsidR="52A9D588" w:rsidRPr="00153563" w:rsidRDefault="5F747806" w:rsidP="2ED4E331">
            <w:pPr>
              <w:jc w:val="both"/>
              <w:rPr>
                <w:rFonts w:ascii="Times New Roman" w:eastAsia="Times New Roman" w:hAnsi="Times New Roman" w:cs="Times New Roman"/>
                <w:noProof/>
                <w:color w:val="000000" w:themeColor="text1"/>
                <w:sz w:val="24"/>
                <w:lang w:val="pl-PL"/>
              </w:rPr>
            </w:pPr>
            <w:r w:rsidRPr="00153563">
              <w:rPr>
                <w:rFonts w:ascii="Times New Roman" w:hAnsi="Times New Roman"/>
                <w:b/>
                <w:noProof/>
                <w:color w:val="000000" w:themeColor="text1"/>
                <w:sz w:val="24"/>
                <w:lang w:val="pl-PL"/>
              </w:rPr>
              <w:t>Wariant strategiczny nr 2</w:t>
            </w:r>
            <w:r w:rsidRPr="00153563">
              <w:rPr>
                <w:rFonts w:ascii="Times New Roman" w:hAnsi="Times New Roman"/>
                <w:noProof/>
                <w:color w:val="000000" w:themeColor="text1"/>
                <w:sz w:val="24"/>
                <w:lang w:val="pl-PL"/>
              </w:rPr>
              <w:t xml:space="preserve"> zakłada taki sam mechanizm zarządzania jak w wariancie nr 1 oraz realizację zadań w zakresie monitorowania, zapasów strategicznych i gotowości na wypadek zagrożeń. W wariancie tym przewidziano dalsze wzmocnienie łańcucha wartości w UE przez nałożenie bardziej rygorystycznych obowiązków w zakresie poszukiwań oraz realizację projektów strategicznych w całym łańcuchu wartości surowców strategicznych. W projektach tych skorzystano by z usprawnionych procedur wydawania pozwoleń i łatwiejszego dostępu do finansowania. Środki dotyczące obiegu zamkniętego obejmują ukierunkowane zmiany dyrektywy w sprawie odpadów wydobywczych. Środki dotyczące norm obejmują opracowanie dodatkowych dokumentów normalizacyjnych odnoszących się do procesów przemysłowych, natomiast środki dotyczące śladu środowiskowego wiążą się ze stopniowym opracowywaniem progów dla surowców krytycznych, jeśli specjalna ocena wykaże, że nie wpłynie to na bezpieczeństwo dostaw. </w:t>
            </w:r>
          </w:p>
          <w:p w14:paraId="6C6438CF" w14:textId="60D3596D" w:rsidR="52A9D588" w:rsidRPr="00153563" w:rsidRDefault="5F747806" w:rsidP="2ED4E331">
            <w:pPr>
              <w:jc w:val="both"/>
              <w:rPr>
                <w:rFonts w:ascii="Times New Roman" w:eastAsia="Times New Roman" w:hAnsi="Times New Roman" w:cs="Times New Roman"/>
                <w:noProof/>
                <w:color w:val="000000" w:themeColor="text1"/>
                <w:sz w:val="24"/>
                <w:lang w:val="pl-PL"/>
              </w:rPr>
            </w:pPr>
            <w:r w:rsidRPr="00153563">
              <w:rPr>
                <w:rFonts w:ascii="Times New Roman" w:hAnsi="Times New Roman"/>
                <w:b/>
                <w:noProof/>
                <w:color w:val="000000" w:themeColor="text1"/>
                <w:sz w:val="24"/>
                <w:lang w:val="pl-PL"/>
              </w:rPr>
              <w:t xml:space="preserve">Wariant strategiczny nr 3 </w:t>
            </w:r>
            <w:r w:rsidRPr="00153563">
              <w:rPr>
                <w:rFonts w:ascii="Times New Roman" w:hAnsi="Times New Roman"/>
                <w:noProof/>
                <w:color w:val="000000" w:themeColor="text1"/>
                <w:sz w:val="24"/>
                <w:lang w:val="pl-PL"/>
              </w:rPr>
              <w:t>zakłada rozwijanie zewnętrznego potencjału w zakresie zarządzania, co umożliwia zaproponowanie wprowadzenia ambitnych środków dotyczących zapasów strategicznych, monitorowania i gotowości na wypadek zagrożeń. Wariant ten opiera się również na koncepcji projektów strategicznych, w których zostałoby wykorzystane dodatkowe wsparcie w zakresie udzielania pozwoleń dzięki specjalnym zasobom państw członkowskich oraz specjalnemu europejskiemu funduszowi dotyczącemu surowców krytycznych. Podobnie jak w przypadku wariantu strategicznego nr 2 wariant ten obejmuje środki dotyczące obiegu zamkniętego, norm i śladu środowiskowego.</w:t>
            </w:r>
          </w:p>
        </w:tc>
      </w:tr>
      <w:tr w:rsidR="52A9D588" w:rsidRPr="008C7F5B" w14:paraId="368F85B5" w14:textId="77777777" w:rsidTr="2ED4E331">
        <w:trPr>
          <w:trHeight w:val="1470"/>
        </w:trPr>
        <w:tc>
          <w:tcPr>
            <w:tcW w:w="9450" w:type="dxa"/>
          </w:tcPr>
          <w:p w14:paraId="5E651DB0" w14:textId="77777777" w:rsidR="33DAB2BF" w:rsidRPr="00153563" w:rsidRDefault="33DAB2BF" w:rsidP="5CA58D31">
            <w:pPr>
              <w:spacing w:line="259" w:lineRule="auto"/>
              <w:jc w:val="both"/>
              <w:rPr>
                <w:rFonts w:ascii="Times New Roman" w:eastAsia="Times New Roman" w:hAnsi="Times New Roman" w:cs="Times New Roman"/>
                <w:noProof/>
                <w:color w:val="000000" w:themeColor="text1"/>
                <w:sz w:val="24"/>
                <w:lang w:val="pl-PL"/>
              </w:rPr>
            </w:pPr>
            <w:r w:rsidRPr="00153563">
              <w:rPr>
                <w:rFonts w:ascii="Times New Roman" w:hAnsi="Times New Roman"/>
                <w:noProof/>
                <w:color w:val="000000" w:themeColor="text1"/>
                <w:sz w:val="24"/>
                <w:lang w:val="pl-PL"/>
              </w:rPr>
              <w:t>Wszystkie warianty strategiczne opierają się na koncepcji surowców krytycznych i surowców strategicznych, które stanowią podzbiór surowców wykorzystywanych do celów szczególnie strategicznych zastosowań.</w:t>
            </w:r>
          </w:p>
          <w:p w14:paraId="6830E35E" w14:textId="77777777" w:rsidR="624E5311" w:rsidRPr="00153563" w:rsidRDefault="624E5311" w:rsidP="52A9D588">
            <w:pPr>
              <w:jc w:val="both"/>
              <w:rPr>
                <w:rFonts w:ascii="Times New Roman" w:eastAsia="Times New Roman" w:hAnsi="Times New Roman" w:cs="Times New Roman"/>
                <w:noProof/>
                <w:sz w:val="24"/>
                <w:lang w:val="pl-PL"/>
              </w:rPr>
            </w:pPr>
            <w:r w:rsidRPr="00153563">
              <w:rPr>
                <w:rFonts w:ascii="Times New Roman" w:hAnsi="Times New Roman"/>
                <w:noProof/>
                <w:sz w:val="24"/>
                <w:lang w:val="pl-PL"/>
              </w:rPr>
              <w:t xml:space="preserve">Z oceny skutków wynika, że wariant nr 2 jest wariantem preferowanym, zwłaszcza pod względem wydajności i poparcia zainteresowanych stron. Należy zauważyć, że wariant nr 3 jest bardziej ambitny i pozwoliłby na skuteczniejsze osiągnięcie celów. </w:t>
            </w:r>
          </w:p>
        </w:tc>
      </w:tr>
      <w:tr w:rsidR="52A9D588" w:rsidRPr="008C7F5B" w14:paraId="6FFDC9B0" w14:textId="77777777" w:rsidTr="2ED4E331">
        <w:trPr>
          <w:trHeight w:val="323"/>
        </w:trPr>
        <w:tc>
          <w:tcPr>
            <w:tcW w:w="9450" w:type="dxa"/>
          </w:tcPr>
          <w:p w14:paraId="3B09548F" w14:textId="77777777" w:rsidR="29D6F5F8" w:rsidRPr="00153563" w:rsidRDefault="29D6F5F8" w:rsidP="52A9D588">
            <w:pPr>
              <w:rPr>
                <w:rFonts w:ascii="Times New Roman" w:eastAsia="Times New Roman" w:hAnsi="Times New Roman" w:cs="Times New Roman"/>
                <w:b/>
                <w:noProof/>
                <w:sz w:val="24"/>
                <w:lang w:val="pl-PL"/>
              </w:rPr>
            </w:pPr>
            <w:r w:rsidRPr="00153563">
              <w:rPr>
                <w:rFonts w:ascii="Times New Roman" w:hAnsi="Times New Roman"/>
                <w:b/>
                <w:noProof/>
                <w:sz w:val="24"/>
                <w:lang w:val="pl-PL"/>
              </w:rPr>
              <w:t>Jakie są opinie poszczególnych zainteresowanych stron? Jak kształtuje się poparcie dla poszczególnych wariantów?</w:t>
            </w:r>
          </w:p>
        </w:tc>
      </w:tr>
      <w:tr w:rsidR="52A9D588" w:rsidRPr="008C7F5B" w14:paraId="11901BB1" w14:textId="77777777" w:rsidTr="2ED4E331">
        <w:trPr>
          <w:trHeight w:val="2370"/>
        </w:trPr>
        <w:tc>
          <w:tcPr>
            <w:tcW w:w="9450" w:type="dxa"/>
          </w:tcPr>
          <w:p w14:paraId="762F59AC" w14:textId="77777777" w:rsidR="29D6F5F8" w:rsidRPr="00153563" w:rsidRDefault="29D6F5F8" w:rsidP="52A9D588">
            <w:pPr>
              <w:jc w:val="both"/>
              <w:rPr>
                <w:rFonts w:ascii="Times New Roman" w:eastAsia="Times New Roman" w:hAnsi="Times New Roman" w:cs="Times New Roman"/>
                <w:noProof/>
                <w:sz w:val="24"/>
                <w:lang w:val="pl-PL"/>
              </w:rPr>
            </w:pPr>
            <w:r w:rsidRPr="00153563">
              <w:rPr>
                <w:rFonts w:ascii="Times New Roman" w:hAnsi="Times New Roman"/>
                <w:noProof/>
                <w:sz w:val="24"/>
                <w:lang w:val="pl-PL"/>
              </w:rPr>
              <w:t>Ze względu na różnorodność proponowanych filarów przypisanie opinii zainteresowanych stron do wariantów ogólnych nie jest proste. W ocenie skutków wyszczególniono natomiast opinie zainteresowanych stron na temat każdego z filarów. Zasadniczo można stwierdzić, że zainteresowane strony z branży opowiadają się raczej za zdecydowanymi środkami, które zaproponowano w wariancie nr 3, zwłaszcza w zakresie zarządzania i wsparcia dla łańcucha wartości. Opinie organów publicznych są podzielone, przy czym z nieznaczną przewagą preferują one podejście do zarządzania oparte na sieci, podobnie jak w przypadku wariantu nr 2. Podmioty społeczeństwa obywatelskiego popierają najbardziej rygorystyczne środki określone w wariantach nr 2 i 3 dotyczące obiegu zamkniętego i śladu środowiskowego.</w:t>
            </w:r>
          </w:p>
        </w:tc>
      </w:tr>
      <w:tr w:rsidR="52A9D588" w14:paraId="1CBE19EF" w14:textId="77777777" w:rsidTr="2ED4E331">
        <w:trPr>
          <w:trHeight w:val="323"/>
        </w:trPr>
        <w:tc>
          <w:tcPr>
            <w:tcW w:w="9450" w:type="dxa"/>
            <w:shd w:val="clear" w:color="auto" w:fill="A5A5A5" w:themeFill="accent3"/>
          </w:tcPr>
          <w:p w14:paraId="608300AF" w14:textId="77777777" w:rsidR="7E6815B9" w:rsidRDefault="7E6815B9" w:rsidP="52A9D588">
            <w:pPr>
              <w:spacing w:line="259" w:lineRule="auto"/>
              <w:rPr>
                <w:rFonts w:ascii="Times New Roman" w:eastAsia="Times New Roman" w:hAnsi="Times New Roman" w:cs="Times New Roman"/>
                <w:b/>
                <w:noProof/>
                <w:sz w:val="24"/>
              </w:rPr>
            </w:pPr>
            <w:r>
              <w:rPr>
                <w:rFonts w:ascii="Times New Roman" w:hAnsi="Times New Roman"/>
                <w:b/>
                <w:noProof/>
                <w:sz w:val="24"/>
              </w:rPr>
              <w:t>C. Skutki różnych wariantów</w:t>
            </w:r>
          </w:p>
        </w:tc>
      </w:tr>
      <w:tr w:rsidR="52A9D588" w:rsidRPr="008C7F5B" w14:paraId="436B0997" w14:textId="77777777" w:rsidTr="2ED4E331">
        <w:trPr>
          <w:trHeight w:val="323"/>
        </w:trPr>
        <w:tc>
          <w:tcPr>
            <w:tcW w:w="9450" w:type="dxa"/>
            <w:shd w:val="clear" w:color="auto" w:fill="FFFFFF" w:themeFill="background1"/>
          </w:tcPr>
          <w:p w14:paraId="43F5AFEE" w14:textId="77777777" w:rsidR="101672DE" w:rsidRPr="00153563" w:rsidRDefault="101672DE" w:rsidP="52A9D588">
            <w:pPr>
              <w:spacing w:line="259" w:lineRule="auto"/>
              <w:rPr>
                <w:rFonts w:ascii="Times New Roman" w:eastAsia="Times New Roman" w:hAnsi="Times New Roman" w:cs="Times New Roman"/>
                <w:b/>
                <w:noProof/>
                <w:sz w:val="24"/>
                <w:lang w:val="pl-PL"/>
              </w:rPr>
            </w:pPr>
            <w:r w:rsidRPr="00153563">
              <w:rPr>
                <w:rFonts w:ascii="Times New Roman" w:hAnsi="Times New Roman"/>
                <w:b/>
                <w:noProof/>
                <w:sz w:val="24"/>
                <w:lang w:val="pl-PL"/>
              </w:rPr>
              <w:t>Jakie korzyści przyniesie wdrożenie poszczególnych wariantów?</w:t>
            </w:r>
          </w:p>
        </w:tc>
      </w:tr>
      <w:tr w:rsidR="52A9D588" w:rsidRPr="008C7F5B" w14:paraId="4C4E1AC7" w14:textId="77777777" w:rsidTr="2ED4E331">
        <w:trPr>
          <w:trHeight w:val="5262"/>
        </w:trPr>
        <w:tc>
          <w:tcPr>
            <w:tcW w:w="9450" w:type="dxa"/>
            <w:shd w:val="clear" w:color="auto" w:fill="FFFFFF" w:themeFill="background1"/>
          </w:tcPr>
          <w:p w14:paraId="7C5BAE4F" w14:textId="77777777" w:rsidR="5492CCBF" w:rsidRPr="00153563" w:rsidRDefault="5492CCBF" w:rsidP="52A9D588">
            <w:pPr>
              <w:spacing w:line="259" w:lineRule="auto"/>
              <w:jc w:val="both"/>
              <w:rPr>
                <w:rFonts w:ascii="Times New Roman" w:eastAsia="Times New Roman" w:hAnsi="Times New Roman" w:cs="Times New Roman"/>
                <w:noProof/>
                <w:sz w:val="24"/>
                <w:lang w:val="pl-PL"/>
              </w:rPr>
            </w:pPr>
            <w:r w:rsidRPr="00153563">
              <w:rPr>
                <w:rFonts w:ascii="Times New Roman" w:hAnsi="Times New Roman"/>
                <w:noProof/>
                <w:sz w:val="24"/>
                <w:lang w:val="pl-PL"/>
              </w:rPr>
              <w:t xml:space="preserve">Oczekuje się, że </w:t>
            </w:r>
            <w:r w:rsidRPr="00153563">
              <w:rPr>
                <w:rFonts w:ascii="Times New Roman" w:hAnsi="Times New Roman"/>
                <w:b/>
                <w:noProof/>
                <w:sz w:val="24"/>
                <w:lang w:val="pl-PL"/>
              </w:rPr>
              <w:t>wariant nr 1</w:t>
            </w:r>
            <w:r w:rsidRPr="00153563">
              <w:rPr>
                <w:rFonts w:ascii="Times New Roman" w:hAnsi="Times New Roman"/>
                <w:noProof/>
                <w:sz w:val="24"/>
                <w:lang w:val="pl-PL"/>
              </w:rPr>
              <w:t xml:space="preserve"> przyniesie przedsiębiorstwom korzyści gospodarcze ze względu na cele stanowiące wytyczne dla rozwoju wsparcia UE. Odniosłyby one również korzyści ze zwiększonej unijnej zdolności w zakresie monitorowania zapewnianej przez sieć, a ich dywersyfikacja i budowanie odporności byłyby wspierane przez środki krajowe, jak również przez ukierunkowane wsparcie łańcucha wartości w zakresie poszukiwań, wydawania pozwoleń i finansowania. Środki dotyczące przepisów dotyczących odpadów mogłyby stanowić zachętę do dodatkowego odzysku odpadów, natomiast wymogi w zakresie deklaracji dotyczącej śladu środowiskowego i działania w zakresie norm przyczyniłyby się do poprawy jakości informacji na temat zrównoważonego rozwoju.</w:t>
            </w:r>
          </w:p>
          <w:p w14:paraId="643AFF56" w14:textId="77777777" w:rsidR="5492CCBF" w:rsidRPr="00153563" w:rsidRDefault="5492CCBF" w:rsidP="52A9D588">
            <w:pPr>
              <w:spacing w:line="259" w:lineRule="auto"/>
              <w:jc w:val="both"/>
              <w:rPr>
                <w:rFonts w:ascii="Times New Roman" w:eastAsia="Times New Roman" w:hAnsi="Times New Roman" w:cs="Times New Roman"/>
                <w:noProof/>
                <w:sz w:val="24"/>
                <w:lang w:val="pl-PL"/>
              </w:rPr>
            </w:pPr>
            <w:r w:rsidRPr="00153563">
              <w:rPr>
                <w:rFonts w:ascii="Times New Roman" w:hAnsi="Times New Roman"/>
                <w:b/>
                <w:noProof/>
                <w:sz w:val="24"/>
                <w:lang w:val="pl-PL"/>
              </w:rPr>
              <w:t>Wariant nr 2</w:t>
            </w:r>
            <w:r w:rsidRPr="00153563">
              <w:rPr>
                <w:rFonts w:ascii="Times New Roman" w:hAnsi="Times New Roman"/>
                <w:noProof/>
                <w:sz w:val="24"/>
                <w:lang w:val="pl-PL"/>
              </w:rPr>
              <w:t xml:space="preserve"> przyniósłby większe korzyści niż wariant nr 1. Mimo że działania w zakresie zarządzania, monitorowania i zapasów strategicznych są takie same jak w wariancie nr 1, działania związane ze wspieraniem łańcucha wartości zapewniają bardziej strategiczną i kompleksową reakcję na czynniki stanowiące źródło problemów. Wariant ten, zakładający rozwój projektów strategicznych, któremu towarzyszą usprawnione procedury wydawania pozwoleń i dostępu do finansowania, przyczyniłby się w większym stopniu do osiągnięcia celów UE w zakresie dostaw surowców strategicznych w całym łańcuchu wartości, zwiększając również konkurencyjność użytkowników stanowiących kolejne ogniwa łańcucha wartości. Deklaracje dotyczące śladu środowiskowego surowców krytycznych stanowiłyby lepsze źródło informacji dla konsumentów. Środki dotyczące poszukiwań lub odpadów, w szczególności te dotyczące celów w zakresie recyklingu, również umożliwiłyby dalszy rozwój silnego rynku surowców wtórnych. </w:t>
            </w:r>
          </w:p>
          <w:p w14:paraId="46628326" w14:textId="77777777" w:rsidR="5492CCBF" w:rsidRPr="00153563" w:rsidRDefault="5492CCBF" w:rsidP="52A9D588">
            <w:pPr>
              <w:spacing w:line="259" w:lineRule="auto"/>
              <w:jc w:val="both"/>
              <w:rPr>
                <w:rFonts w:ascii="Times New Roman" w:eastAsia="Times New Roman" w:hAnsi="Times New Roman" w:cs="Times New Roman"/>
                <w:noProof/>
                <w:sz w:val="24"/>
                <w:lang w:val="pl-PL"/>
              </w:rPr>
            </w:pPr>
            <w:r w:rsidRPr="00153563">
              <w:rPr>
                <w:rFonts w:ascii="Times New Roman" w:hAnsi="Times New Roman"/>
                <w:noProof/>
                <w:sz w:val="24"/>
                <w:lang w:val="pl-PL"/>
              </w:rPr>
              <w:t xml:space="preserve">Oczekuje się, że </w:t>
            </w:r>
            <w:r w:rsidRPr="00153563">
              <w:rPr>
                <w:rFonts w:ascii="Times New Roman" w:hAnsi="Times New Roman"/>
                <w:b/>
                <w:noProof/>
                <w:sz w:val="24"/>
                <w:lang w:val="pl-PL"/>
              </w:rPr>
              <w:t>wariant nr 3</w:t>
            </w:r>
            <w:r w:rsidRPr="00153563">
              <w:rPr>
                <w:rFonts w:ascii="Times New Roman" w:hAnsi="Times New Roman"/>
                <w:noProof/>
                <w:sz w:val="24"/>
                <w:lang w:val="pl-PL"/>
              </w:rPr>
              <w:t xml:space="preserve"> przyniesie przedsiębiorstwom i szerzej pojętej gospodarce jeszcze większe korzyści gospodarcze, w szczególności dzięki zapewnieniu zwiększonego wsparcia w zakresie monitorowania, zapasów strategicznych lub dywersyfikacji ryzyka, realizowanego przez zewnętrzną zdolność operacyjną. Wsparcie finansowe dla projektów strategicznych w ramach tego wariantu byłoby również możliwe dzięki funduszowi o szerszym zasięgu, natomiast projekty strategiczne wskazywano by również jako takie, których realizacja leży w nadrzędnym interesie publicznym, a państwa członkowskie miałyby większe zdolności administracyjne pozwalające na ich wsparcie. Progi dla śladów środowiskowych przyczyniłyby się do zwiększenia zrównoważonego charakteru surowców krytycznych na rynku. Warianty dotyczące odpadów, śladu środowiskowego i norm są takie same jak w przypadku wariantu nr 2.</w:t>
            </w:r>
          </w:p>
        </w:tc>
      </w:tr>
      <w:tr w:rsidR="52A9D588" w:rsidRPr="008C7F5B" w14:paraId="45FB22E8" w14:textId="77777777" w:rsidTr="2ED4E331">
        <w:trPr>
          <w:trHeight w:val="323"/>
        </w:trPr>
        <w:tc>
          <w:tcPr>
            <w:tcW w:w="9450" w:type="dxa"/>
            <w:shd w:val="clear" w:color="auto" w:fill="FFFFFF" w:themeFill="background1"/>
          </w:tcPr>
          <w:p w14:paraId="6B661331" w14:textId="77777777" w:rsidR="101672DE" w:rsidRPr="00153563" w:rsidRDefault="101672DE" w:rsidP="52A9D588">
            <w:pPr>
              <w:spacing w:line="259" w:lineRule="auto"/>
              <w:rPr>
                <w:rFonts w:ascii="Times New Roman" w:eastAsia="Times New Roman" w:hAnsi="Times New Roman" w:cs="Times New Roman"/>
                <w:b/>
                <w:noProof/>
                <w:sz w:val="24"/>
                <w:lang w:val="pl-PL"/>
              </w:rPr>
            </w:pPr>
            <w:r w:rsidRPr="00153563">
              <w:rPr>
                <w:rFonts w:ascii="Times New Roman" w:hAnsi="Times New Roman"/>
                <w:b/>
                <w:noProof/>
                <w:sz w:val="24"/>
                <w:lang w:val="pl-PL"/>
              </w:rPr>
              <w:t>Jakie są koszty poszczególnych wariantów?</w:t>
            </w:r>
          </w:p>
        </w:tc>
      </w:tr>
      <w:tr w:rsidR="52A9D588" w:rsidRPr="008C7F5B" w14:paraId="1BD0AA25" w14:textId="77777777" w:rsidTr="2ED4E331">
        <w:trPr>
          <w:trHeight w:val="323"/>
        </w:trPr>
        <w:tc>
          <w:tcPr>
            <w:tcW w:w="9450" w:type="dxa"/>
            <w:shd w:val="clear" w:color="auto" w:fill="FFFFFF" w:themeFill="background1"/>
          </w:tcPr>
          <w:p w14:paraId="4E76EB88" w14:textId="77777777" w:rsidR="70B8D772" w:rsidRPr="00153563" w:rsidRDefault="70B8D772" w:rsidP="52A9D588">
            <w:pPr>
              <w:jc w:val="both"/>
              <w:rPr>
                <w:rFonts w:ascii="Times New Roman" w:eastAsia="Times New Roman" w:hAnsi="Times New Roman" w:cs="Times New Roman"/>
                <w:noProof/>
                <w:sz w:val="24"/>
                <w:lang w:val="pl-PL"/>
              </w:rPr>
            </w:pPr>
            <w:r w:rsidRPr="00153563">
              <w:rPr>
                <w:rFonts w:ascii="Times New Roman" w:hAnsi="Times New Roman"/>
                <w:b/>
                <w:noProof/>
                <w:sz w:val="24"/>
                <w:lang w:val="pl-PL"/>
              </w:rPr>
              <w:t xml:space="preserve">Wariant nr 1 </w:t>
            </w:r>
            <w:r w:rsidRPr="00153563">
              <w:rPr>
                <w:rFonts w:ascii="Times New Roman" w:hAnsi="Times New Roman"/>
                <w:noProof/>
                <w:sz w:val="24"/>
                <w:lang w:val="pl-PL"/>
              </w:rPr>
              <w:t>pociąga za sobą minimalne koszty administracyjne dla dużych przedsiębiorstw działających w łańcuchu wartości surowców krytycznych, które musiałyby przekazywać informacje do celów monitorowania, jak również dla niektórych producentów niższego szczebla. Istnieją również koszty związane ze śladem środowiskowym, które dotyczyłyby wszystkich przedsiębiorstw sprzedających surowce krytyczne, dla których dostępne są zasady dokonywania obliczeń, oraz przedsiębiorstw, które chciałyby złożyć ogólne oświadczenia dotyczące śladu środowiskowego. Koszty ponoszone przez Komisję i państwa członkowskie są związane głównie z egzekwowaniem proponowanych środków, a w szczególności z ustanowieniem struktury zarządzania, która wykonywałaby zadania, oraz z obowiązkami sprawozdawczymi państw członkowskich (np. w zakresie poszukiwań).</w:t>
            </w:r>
          </w:p>
          <w:p w14:paraId="4336A4A9" w14:textId="77777777" w:rsidR="732CDAA7" w:rsidRPr="00153563" w:rsidRDefault="732CDAA7" w:rsidP="52A9D588">
            <w:pPr>
              <w:jc w:val="both"/>
              <w:rPr>
                <w:rFonts w:ascii="Times New Roman" w:eastAsia="Times New Roman" w:hAnsi="Times New Roman" w:cs="Times New Roman"/>
                <w:noProof/>
                <w:sz w:val="24"/>
                <w:lang w:val="pl-PL"/>
              </w:rPr>
            </w:pPr>
            <w:r w:rsidRPr="00153563">
              <w:rPr>
                <w:rFonts w:ascii="Times New Roman" w:hAnsi="Times New Roman"/>
                <w:b/>
                <w:noProof/>
                <w:sz w:val="24"/>
                <w:lang w:val="pl-PL"/>
              </w:rPr>
              <w:t xml:space="preserve">Wariant nr 2 </w:t>
            </w:r>
            <w:r w:rsidRPr="00153563">
              <w:rPr>
                <w:rFonts w:ascii="Times New Roman" w:hAnsi="Times New Roman"/>
                <w:noProof/>
                <w:sz w:val="24"/>
                <w:lang w:val="pl-PL"/>
              </w:rPr>
              <w:t>pociągałby za sobą podobne koszty dla przedsiębiorstw, do których doszłyby nowe koszty w przypadku podmiotów gospodarujących odpadami wydobywczymi i producentów sprzętu elektrycznego i elektronicznego związane z dostarczaniem informacji na temat surowców krytycznych zawartych odpowiednio w ich strumieniach odpadów i produktach. Koszty ponoszone przez państwa członkowskie wzrosłyby w związku z dodatkowymi wymogami dotyczącymi poszukiwań, jednak ich wysokość byłaby proporcjonalna do wielkości terytorialnej danego państwa. Koszty ponoszone przez Komisję obejmowałyby głównie ustanowienie skutecznego systemu zarządzania i monitorowania oraz wdrożenie innych środków, np. dotyczących obiegu zamkniętego czy śladu środowiskowego.</w:t>
            </w:r>
          </w:p>
          <w:p w14:paraId="2257C296" w14:textId="77777777" w:rsidR="29345530" w:rsidRPr="00153563" w:rsidRDefault="29345530" w:rsidP="52A9D588">
            <w:pPr>
              <w:jc w:val="both"/>
              <w:rPr>
                <w:rFonts w:ascii="Times New Roman" w:eastAsia="Times New Roman" w:hAnsi="Times New Roman" w:cs="Times New Roman"/>
                <w:noProof/>
                <w:sz w:val="24"/>
                <w:lang w:val="pl-PL"/>
              </w:rPr>
            </w:pPr>
            <w:r w:rsidRPr="00153563">
              <w:rPr>
                <w:rFonts w:ascii="Times New Roman" w:hAnsi="Times New Roman"/>
                <w:b/>
                <w:noProof/>
                <w:sz w:val="24"/>
                <w:lang w:val="pl-PL"/>
              </w:rPr>
              <w:t xml:space="preserve">Wariant nr 3 </w:t>
            </w:r>
            <w:r w:rsidRPr="00153563">
              <w:rPr>
                <w:rFonts w:ascii="Times New Roman" w:hAnsi="Times New Roman"/>
                <w:noProof/>
                <w:sz w:val="24"/>
                <w:lang w:val="pl-PL"/>
              </w:rPr>
              <w:t xml:space="preserve">pociąga za sobą znaczne koszty dla Komisji i państw członkowskich związane z utworzeniem zewnętrznej zdolności operacyjnej. Takie rozwiązanie pozwoliłoby na podjęcie szerszego zakresu działań, a tym samym umożliwiło skuteczniejsze osiągnięcie celów szczegółowych, jednak wymagałoby udzielenia znacznego wsparcia budżetowego. Wariant ten – oprócz ponoszenia kosztów podobnych jak w przypadku wariantów nr 1 i 2 – przyczyniłby się do wzrostu kosztów dla przedsiębiorstw, które musiałyby przestrzegać dodatkowych wymogów dotyczących gotowości, zapasów strategicznych lub audytów swoich łańcuchów dostaw. </w:t>
            </w:r>
          </w:p>
        </w:tc>
      </w:tr>
      <w:tr w:rsidR="52A9D588" w:rsidRPr="008C7F5B" w14:paraId="60AC856C" w14:textId="77777777" w:rsidTr="2ED4E331">
        <w:trPr>
          <w:trHeight w:val="323"/>
        </w:trPr>
        <w:tc>
          <w:tcPr>
            <w:tcW w:w="9450" w:type="dxa"/>
            <w:shd w:val="clear" w:color="auto" w:fill="FFFFFF" w:themeFill="background1"/>
          </w:tcPr>
          <w:p w14:paraId="2F1C0304" w14:textId="77777777" w:rsidR="101672DE" w:rsidRPr="00153563" w:rsidRDefault="101672DE" w:rsidP="52A9D588">
            <w:pPr>
              <w:spacing w:line="259" w:lineRule="auto"/>
              <w:rPr>
                <w:rFonts w:ascii="Times New Roman" w:eastAsia="Times New Roman" w:hAnsi="Times New Roman" w:cs="Times New Roman"/>
                <w:b/>
                <w:noProof/>
                <w:sz w:val="24"/>
                <w:lang w:val="pl-PL"/>
              </w:rPr>
            </w:pPr>
            <w:r w:rsidRPr="00153563">
              <w:rPr>
                <w:rFonts w:ascii="Times New Roman" w:hAnsi="Times New Roman"/>
                <w:b/>
                <w:noProof/>
                <w:sz w:val="24"/>
                <w:lang w:val="pl-PL"/>
              </w:rPr>
              <w:t>Jakie są skutki dla MŚP i konkurencyjności?</w:t>
            </w:r>
          </w:p>
        </w:tc>
      </w:tr>
      <w:tr w:rsidR="52A9D588" w:rsidRPr="008C7F5B" w14:paraId="2F0729E3" w14:textId="77777777" w:rsidTr="2ED4E331">
        <w:trPr>
          <w:trHeight w:val="323"/>
        </w:trPr>
        <w:tc>
          <w:tcPr>
            <w:tcW w:w="9450" w:type="dxa"/>
            <w:shd w:val="clear" w:color="auto" w:fill="FFFFFF" w:themeFill="background1"/>
          </w:tcPr>
          <w:p w14:paraId="55875953" w14:textId="77777777" w:rsidR="00DC94EB" w:rsidRPr="00153563" w:rsidRDefault="00DC94EB" w:rsidP="52A9D588">
            <w:pPr>
              <w:spacing w:line="259" w:lineRule="auto"/>
              <w:jc w:val="both"/>
              <w:rPr>
                <w:rFonts w:ascii="Times New Roman" w:eastAsia="Times New Roman" w:hAnsi="Times New Roman" w:cs="Times New Roman"/>
                <w:noProof/>
                <w:sz w:val="24"/>
                <w:lang w:val="pl-PL"/>
              </w:rPr>
            </w:pPr>
            <w:r w:rsidRPr="00153563">
              <w:rPr>
                <w:rFonts w:ascii="Times New Roman" w:hAnsi="Times New Roman"/>
                <w:noProof/>
                <w:sz w:val="24"/>
                <w:lang w:val="pl-PL"/>
              </w:rPr>
              <w:t>Dzięki preferowanym środkom MŚP, takie jak nowe przedsiębiorstwa prowadzące poszukiwania, mogłyby korzystać z dodatkowych danych i informacji dostarczanych przez państwa członkowskie. Ponadto MŚP działające w łańcuchu wartości surowców krytycznych lub w sektorach na niższych szczeblach skorzystałyby z dodatkowego monitorowania i innych środków zmniejszających ryzyko, w przypadku których istnieje mniejsze prawdopodobieństwo, że wprowadzą je samodzielnie. Nie nakłada się na nie bezpośrednich kosztów administracyjnych, takich jak obowiązki sprawozdawcze. Skorzystałyby one również z większego dostępu do finansowania.</w:t>
            </w:r>
          </w:p>
          <w:p w14:paraId="447A9DDE" w14:textId="77777777" w:rsidR="1ED3ECB5" w:rsidRPr="00153563" w:rsidRDefault="1ED3ECB5" w:rsidP="52A9D588">
            <w:pPr>
              <w:spacing w:line="259" w:lineRule="auto"/>
              <w:jc w:val="both"/>
              <w:rPr>
                <w:rFonts w:ascii="Times New Roman" w:eastAsia="Times New Roman" w:hAnsi="Times New Roman" w:cs="Times New Roman"/>
                <w:noProof/>
                <w:sz w:val="24"/>
                <w:lang w:val="pl-PL"/>
              </w:rPr>
            </w:pPr>
            <w:r w:rsidRPr="00153563">
              <w:rPr>
                <w:rFonts w:ascii="Times New Roman" w:hAnsi="Times New Roman"/>
                <w:noProof/>
                <w:sz w:val="24"/>
                <w:lang w:val="pl-PL"/>
              </w:rPr>
              <w:t>Zasadniczo konkurencyjność przemysłu unijnego byłaby wspierana przez te same środki, z których korzystają MŚP. Rozwój projektów strategicznych przyczyniłby się do zwiększenia odporności UE dzięki wzmocnieniu łańcucha wartości surowców krytycznych, w szczególności w przypadku surowców strategicznych, co umożliwiłoby sektorom niższego szczebla korzystanie z bezpieczniejszych dostaw surowców krytycznych, a tym samym uczyniłoby je bardziej konkurencyjnymi w stosunku do konkurentów w innych częściach świata.</w:t>
            </w:r>
          </w:p>
        </w:tc>
      </w:tr>
      <w:tr w:rsidR="52A9D588" w:rsidRPr="008C7F5B" w14:paraId="3AAA1385" w14:textId="77777777" w:rsidTr="2ED4E331">
        <w:trPr>
          <w:trHeight w:val="323"/>
        </w:trPr>
        <w:tc>
          <w:tcPr>
            <w:tcW w:w="9450" w:type="dxa"/>
            <w:shd w:val="clear" w:color="auto" w:fill="FFFFFF" w:themeFill="background1"/>
          </w:tcPr>
          <w:p w14:paraId="40DEB3F2" w14:textId="77777777" w:rsidR="101672DE" w:rsidRPr="00153563" w:rsidRDefault="101672DE" w:rsidP="52A9D588">
            <w:pPr>
              <w:spacing w:line="259" w:lineRule="auto"/>
              <w:rPr>
                <w:rFonts w:ascii="Times New Roman" w:eastAsia="Times New Roman" w:hAnsi="Times New Roman" w:cs="Times New Roman"/>
                <w:b/>
                <w:noProof/>
                <w:sz w:val="24"/>
                <w:lang w:val="pl-PL"/>
              </w:rPr>
            </w:pPr>
            <w:r w:rsidRPr="00153563">
              <w:rPr>
                <w:rFonts w:ascii="Times New Roman" w:hAnsi="Times New Roman"/>
                <w:b/>
                <w:noProof/>
                <w:sz w:val="24"/>
                <w:lang w:val="pl-PL"/>
              </w:rPr>
              <w:t>Czy przewiduje się znaczące skutki dla budżetów i administracji krajowych?</w:t>
            </w:r>
          </w:p>
        </w:tc>
      </w:tr>
      <w:tr w:rsidR="52A9D588" w:rsidRPr="008C7F5B" w14:paraId="2049C28F" w14:textId="77777777" w:rsidTr="2ED4E331">
        <w:trPr>
          <w:trHeight w:val="323"/>
        </w:trPr>
        <w:tc>
          <w:tcPr>
            <w:tcW w:w="9450" w:type="dxa"/>
            <w:shd w:val="clear" w:color="auto" w:fill="FFFFFF" w:themeFill="background1"/>
          </w:tcPr>
          <w:p w14:paraId="29BBAF88" w14:textId="77777777" w:rsidR="3E9AC132" w:rsidRPr="00153563" w:rsidRDefault="3E9AC132" w:rsidP="52A9D588">
            <w:pPr>
              <w:spacing w:line="259" w:lineRule="auto"/>
              <w:jc w:val="both"/>
              <w:rPr>
                <w:rFonts w:ascii="Times New Roman" w:eastAsia="Times New Roman" w:hAnsi="Times New Roman" w:cs="Times New Roman"/>
                <w:noProof/>
                <w:sz w:val="24"/>
                <w:lang w:val="pl-PL"/>
              </w:rPr>
            </w:pPr>
            <w:r w:rsidRPr="00153563">
              <w:rPr>
                <w:rFonts w:ascii="Times New Roman" w:hAnsi="Times New Roman"/>
                <w:noProof/>
                <w:sz w:val="24"/>
                <w:lang w:val="pl-PL"/>
              </w:rPr>
              <w:t>Państwa członkowskie poniosłyby koszty związane z uczestnictwem w strukturze zarządzania, z wymianą informacji z Radą ds. Surowców Krytycznych oraz z wdrażaniem środków, np. dotyczących koordynacji zapasów strategicznych, gotowości przedsiębiorstw na wypadek zagrożeń, wydawania pozwoleń, odpadów i poszukiwań.</w:t>
            </w:r>
          </w:p>
        </w:tc>
      </w:tr>
      <w:tr w:rsidR="52A9D588" w:rsidRPr="008C7F5B" w14:paraId="16247866" w14:textId="77777777" w:rsidTr="2ED4E331">
        <w:trPr>
          <w:trHeight w:val="323"/>
        </w:trPr>
        <w:tc>
          <w:tcPr>
            <w:tcW w:w="9450" w:type="dxa"/>
            <w:shd w:val="clear" w:color="auto" w:fill="FFFFFF" w:themeFill="background1"/>
          </w:tcPr>
          <w:p w14:paraId="48B9ACBC" w14:textId="77777777" w:rsidR="101672DE" w:rsidRPr="00153563" w:rsidRDefault="101672DE" w:rsidP="52A9D588">
            <w:pPr>
              <w:spacing w:line="259" w:lineRule="auto"/>
              <w:rPr>
                <w:rFonts w:ascii="Times New Roman" w:eastAsia="Times New Roman" w:hAnsi="Times New Roman" w:cs="Times New Roman"/>
                <w:b/>
                <w:noProof/>
                <w:sz w:val="24"/>
                <w:lang w:val="pl-PL"/>
              </w:rPr>
            </w:pPr>
            <w:r w:rsidRPr="00153563">
              <w:rPr>
                <w:rFonts w:ascii="Times New Roman" w:hAnsi="Times New Roman"/>
                <w:b/>
                <w:noProof/>
                <w:sz w:val="24"/>
                <w:lang w:val="pl-PL"/>
              </w:rPr>
              <w:t>Czy wystąpią inne znaczące skutki?</w:t>
            </w:r>
          </w:p>
        </w:tc>
      </w:tr>
      <w:tr w:rsidR="52A9D588" w:rsidRPr="008C7F5B" w14:paraId="73EDCB91" w14:textId="77777777" w:rsidTr="2ED4E331">
        <w:trPr>
          <w:trHeight w:val="323"/>
        </w:trPr>
        <w:tc>
          <w:tcPr>
            <w:tcW w:w="9450" w:type="dxa"/>
            <w:shd w:val="clear" w:color="auto" w:fill="FFFFFF" w:themeFill="background1"/>
          </w:tcPr>
          <w:p w14:paraId="102B9B34" w14:textId="77777777" w:rsidR="69C1B774" w:rsidRPr="00153563" w:rsidRDefault="69C1B774" w:rsidP="52A9D588">
            <w:pPr>
              <w:spacing w:line="259" w:lineRule="auto"/>
              <w:jc w:val="both"/>
              <w:rPr>
                <w:rFonts w:ascii="Times New Roman" w:eastAsia="Times New Roman" w:hAnsi="Times New Roman" w:cs="Times New Roman"/>
                <w:noProof/>
                <w:sz w:val="24"/>
                <w:lang w:val="pl-PL"/>
              </w:rPr>
            </w:pPr>
            <w:r w:rsidRPr="00153563">
              <w:rPr>
                <w:rFonts w:ascii="Times New Roman" w:hAnsi="Times New Roman"/>
                <w:noProof/>
                <w:sz w:val="24"/>
                <w:lang w:val="pl-PL"/>
              </w:rPr>
              <w:t>W ramach tej inicjatywy nie przewiduje się wystąpienia innych znaczących skutków. Oczekuje się, że nie spowoduje ona poważnych szkód w środowisku, a wręcz przeciwnie – będzie wspierać środki propagujące obieg zamknięty surowców krytycznych i ich bardziej zrównoważony charakter dzięki środkom dotyczącym śladu środowiskowego.</w:t>
            </w:r>
          </w:p>
        </w:tc>
      </w:tr>
      <w:tr w:rsidR="52A9D588" w14:paraId="24B14474" w14:textId="77777777" w:rsidTr="2ED4E331">
        <w:trPr>
          <w:trHeight w:val="323"/>
        </w:trPr>
        <w:tc>
          <w:tcPr>
            <w:tcW w:w="9450" w:type="dxa"/>
            <w:shd w:val="clear" w:color="auto" w:fill="FFFFFF" w:themeFill="background1"/>
          </w:tcPr>
          <w:p w14:paraId="04A763EE" w14:textId="77777777" w:rsidR="101672DE" w:rsidRDefault="101672DE" w:rsidP="52A9D588">
            <w:pPr>
              <w:spacing w:line="259" w:lineRule="auto"/>
              <w:rPr>
                <w:rFonts w:ascii="Times New Roman" w:eastAsia="Times New Roman" w:hAnsi="Times New Roman" w:cs="Times New Roman"/>
                <w:b/>
                <w:noProof/>
                <w:sz w:val="24"/>
              </w:rPr>
            </w:pPr>
            <w:r>
              <w:rPr>
                <w:rFonts w:ascii="Times New Roman" w:hAnsi="Times New Roman"/>
                <w:b/>
                <w:noProof/>
                <w:sz w:val="24"/>
              </w:rPr>
              <w:t>Proporcjonalność?</w:t>
            </w:r>
          </w:p>
        </w:tc>
      </w:tr>
      <w:tr w:rsidR="52A9D588" w14:paraId="5B526D5D" w14:textId="77777777" w:rsidTr="2ED4E331">
        <w:trPr>
          <w:trHeight w:val="323"/>
        </w:trPr>
        <w:tc>
          <w:tcPr>
            <w:tcW w:w="9450" w:type="dxa"/>
            <w:shd w:val="clear" w:color="auto" w:fill="FFFFFF" w:themeFill="background1"/>
          </w:tcPr>
          <w:p w14:paraId="3F9BE950" w14:textId="77777777" w:rsidR="15F28DB4" w:rsidRDefault="15F28DB4" w:rsidP="52A9D588">
            <w:pPr>
              <w:spacing w:line="259" w:lineRule="auto"/>
              <w:rPr>
                <w:rFonts w:ascii="Times New Roman" w:eastAsia="Times New Roman" w:hAnsi="Times New Roman" w:cs="Times New Roman"/>
                <w:noProof/>
                <w:sz w:val="24"/>
              </w:rPr>
            </w:pPr>
            <w:r w:rsidRPr="00153563">
              <w:rPr>
                <w:rFonts w:ascii="Times New Roman" w:hAnsi="Times New Roman"/>
                <w:noProof/>
                <w:sz w:val="24"/>
                <w:lang w:val="pl-PL"/>
              </w:rPr>
              <w:t xml:space="preserve">Preferowany wariant jest bardziej zgodny z zasadą proporcjonalności, ponieważ nie przewiduje utworzenia specjalnej zewnętrznej zdolności operacyjnej w celu egzekwowania zadań związanych z surowcami krytycznymi. </w:t>
            </w:r>
            <w:r>
              <w:rPr>
                <w:rFonts w:ascii="Times New Roman" w:hAnsi="Times New Roman"/>
                <w:noProof/>
                <w:sz w:val="24"/>
              </w:rPr>
              <w:t xml:space="preserve">Oznacza to jednak mniejszą skuteczność w osiąganiu celów szczegółowych. </w:t>
            </w:r>
          </w:p>
        </w:tc>
      </w:tr>
      <w:tr w:rsidR="52A9D588" w14:paraId="520E2175" w14:textId="77777777" w:rsidTr="2ED4E331">
        <w:trPr>
          <w:trHeight w:val="323"/>
        </w:trPr>
        <w:tc>
          <w:tcPr>
            <w:tcW w:w="9450" w:type="dxa"/>
            <w:shd w:val="clear" w:color="auto" w:fill="A5A5A5" w:themeFill="accent3"/>
          </w:tcPr>
          <w:p w14:paraId="043A77AF" w14:textId="77777777" w:rsidR="101672DE" w:rsidRDefault="101672DE" w:rsidP="52A9D588">
            <w:pPr>
              <w:spacing w:line="259" w:lineRule="auto"/>
              <w:rPr>
                <w:rFonts w:ascii="Times New Roman" w:eastAsia="Times New Roman" w:hAnsi="Times New Roman" w:cs="Times New Roman"/>
                <w:b/>
                <w:noProof/>
                <w:sz w:val="24"/>
              </w:rPr>
            </w:pPr>
            <w:r>
              <w:rPr>
                <w:rFonts w:ascii="Times New Roman" w:hAnsi="Times New Roman"/>
                <w:b/>
                <w:noProof/>
                <w:sz w:val="24"/>
              </w:rPr>
              <w:t>D. Działania następcze</w:t>
            </w:r>
          </w:p>
        </w:tc>
      </w:tr>
      <w:tr w:rsidR="52A9D588" w14:paraId="710231B3" w14:textId="77777777" w:rsidTr="2ED4E331">
        <w:trPr>
          <w:trHeight w:val="323"/>
        </w:trPr>
        <w:tc>
          <w:tcPr>
            <w:tcW w:w="9450" w:type="dxa"/>
            <w:shd w:val="clear" w:color="auto" w:fill="FFFFFF" w:themeFill="background1"/>
          </w:tcPr>
          <w:p w14:paraId="032657C7" w14:textId="77777777" w:rsidR="13706D17" w:rsidRDefault="13706D17" w:rsidP="52A9D588">
            <w:pPr>
              <w:spacing w:line="259" w:lineRule="auto"/>
              <w:jc w:val="both"/>
              <w:rPr>
                <w:rFonts w:ascii="Times New Roman" w:eastAsia="Times New Roman" w:hAnsi="Times New Roman" w:cs="Times New Roman"/>
                <w:noProof/>
                <w:sz w:val="24"/>
              </w:rPr>
            </w:pPr>
            <w:r w:rsidRPr="00153563">
              <w:rPr>
                <w:rFonts w:ascii="Times New Roman" w:hAnsi="Times New Roman"/>
                <w:noProof/>
                <w:sz w:val="24"/>
                <w:lang w:val="pl-PL"/>
              </w:rPr>
              <w:t xml:space="preserve">Komisja przeprowadzi ocenę efektywności, skuteczności, spójności, odpowiedniości i unijnej wartości dodanej tej inicjatywy ustawodawczej i przedstawi Parlamentowi Europejskiemu, Radzie, Europejskiemu Komitetowi Ekonomiczno-Społecznemu i Komitetowi Regionów sprawozdanie dotyczące głównych dokonanych ustaleń po upływie pięciu lat od daty rozpoczęcia stosowania aktu ustawodawczego. Na podstawie sprawozdania z tej oceny Komisja może zaproponować sposób ulepszenia europejskiego aktu w sprawie surowców krytycznych, przy którego wdrażaniu należy również zmierzyć osiągnięcie celów w zakresie europejskich możliwości dostaw przedstawionych w ocenie skutków. </w:t>
            </w:r>
            <w:r>
              <w:rPr>
                <w:rFonts w:ascii="Times New Roman" w:hAnsi="Times New Roman"/>
                <w:noProof/>
                <w:sz w:val="24"/>
              </w:rPr>
              <w:t>W ocenie uwzględniono wskaźniki monitorowania postępów.</w:t>
            </w:r>
          </w:p>
        </w:tc>
      </w:tr>
    </w:tbl>
    <w:p w14:paraId="7C399A02" w14:textId="77777777" w:rsidR="52A9D588" w:rsidRDefault="52A9D588" w:rsidP="52A9D588">
      <w:pPr>
        <w:rPr>
          <w:b/>
          <w:noProof/>
        </w:rPr>
      </w:pPr>
    </w:p>
    <w:sectPr w:rsidR="52A9D588" w:rsidSect="00F6213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DC3CE" w14:textId="77777777" w:rsidR="00A2492C" w:rsidRDefault="00A2492C" w:rsidP="00F6213C">
      <w:pPr>
        <w:spacing w:after="0" w:line="240" w:lineRule="auto"/>
      </w:pPr>
      <w:r>
        <w:separator/>
      </w:r>
    </w:p>
  </w:endnote>
  <w:endnote w:type="continuationSeparator" w:id="0">
    <w:p w14:paraId="6EDC9DCE" w14:textId="77777777" w:rsidR="00A2492C" w:rsidRDefault="00A2492C" w:rsidP="00F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64311" w14:textId="3B1A669A" w:rsidR="0059695F" w:rsidRPr="002F1335" w:rsidRDefault="0059695F" w:rsidP="002F1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88706" w14:textId="3798A115" w:rsidR="0059695F" w:rsidRPr="002F1335" w:rsidRDefault="002F1335" w:rsidP="002F1335">
    <w:pPr>
      <w:pStyle w:val="FooterCoverPage"/>
      <w:rPr>
        <w:rFonts w:ascii="Arial" w:hAnsi="Arial" w:cs="Arial"/>
        <w:b/>
        <w:sz w:val="48"/>
      </w:rPr>
    </w:pPr>
    <w:r w:rsidRPr="002F1335">
      <w:rPr>
        <w:rFonts w:ascii="Arial" w:hAnsi="Arial" w:cs="Arial"/>
        <w:b/>
        <w:sz w:val="48"/>
      </w:rPr>
      <w:t>PL</w:t>
    </w:r>
    <w:r w:rsidRPr="002F1335">
      <w:rPr>
        <w:rFonts w:ascii="Arial" w:hAnsi="Arial" w:cs="Arial"/>
        <w:b/>
        <w:sz w:val="48"/>
      </w:rPr>
      <w:tab/>
    </w:r>
    <w:r w:rsidRPr="002F1335">
      <w:rPr>
        <w:rFonts w:ascii="Arial" w:hAnsi="Arial" w:cs="Arial"/>
        <w:b/>
        <w:sz w:val="48"/>
      </w:rPr>
      <w:tab/>
    </w:r>
    <w:r w:rsidRPr="002F1335">
      <w:tab/>
    </w:r>
    <w:r w:rsidRPr="002F1335">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8ACA3" w14:textId="77777777" w:rsidR="002F1335" w:rsidRPr="002F1335" w:rsidRDefault="002F1335" w:rsidP="002F133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130E" w14:textId="77777777" w:rsidR="00F6213C" w:rsidRDefault="00F621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066525"/>
      <w:docPartObj>
        <w:docPartGallery w:val="Page Numbers (Bottom of Page)"/>
        <w:docPartUnique/>
      </w:docPartObj>
    </w:sdtPr>
    <w:sdtEndPr/>
    <w:sdtContent>
      <w:p w14:paraId="76F90C98" w14:textId="3044F9D0" w:rsidR="00E709DA" w:rsidRDefault="00E709DA">
        <w:pPr>
          <w:pStyle w:val="Footer"/>
          <w:jc w:val="center"/>
        </w:pPr>
        <w:r>
          <w:fldChar w:fldCharType="begin"/>
        </w:r>
        <w:r>
          <w:instrText xml:space="preserve"> PAGE   \* MERGEFORMAT </w:instrText>
        </w:r>
        <w:r>
          <w:fldChar w:fldCharType="separate"/>
        </w:r>
        <w:r w:rsidR="002F1335">
          <w:rPr>
            <w:noProof/>
          </w:rPr>
          <w:t>1</w:t>
        </w:r>
        <w:r>
          <w:fldChar w:fldCharType="end"/>
        </w:r>
      </w:p>
    </w:sdtContent>
  </w:sdt>
  <w:p w14:paraId="4B65169C" w14:textId="77777777" w:rsidR="00F6213C" w:rsidRDefault="00F621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6E024" w14:textId="77777777" w:rsidR="00F6213C" w:rsidRDefault="00F6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D698E" w14:textId="77777777" w:rsidR="00A2492C" w:rsidRDefault="00A2492C" w:rsidP="00F6213C">
      <w:pPr>
        <w:spacing w:after="0" w:line="240" w:lineRule="auto"/>
      </w:pPr>
      <w:r>
        <w:separator/>
      </w:r>
    </w:p>
  </w:footnote>
  <w:footnote w:type="continuationSeparator" w:id="0">
    <w:p w14:paraId="6CD59544" w14:textId="77777777" w:rsidR="00A2492C" w:rsidRDefault="00A2492C" w:rsidP="00F6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257A" w14:textId="77777777" w:rsidR="002F1335" w:rsidRPr="002F1335" w:rsidRDefault="002F1335" w:rsidP="002F1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6FA14" w14:textId="77777777" w:rsidR="002F1335" w:rsidRPr="002F1335" w:rsidRDefault="002F1335" w:rsidP="002F133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78C0" w14:textId="77777777" w:rsidR="002F1335" w:rsidRPr="002F1335" w:rsidRDefault="002F1335" w:rsidP="002F133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20544" w14:textId="77777777" w:rsidR="00F6213C" w:rsidRDefault="00F621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545F" w14:textId="77777777" w:rsidR="00F6213C" w:rsidRDefault="00F621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F5D5F" w14:textId="77777777" w:rsidR="00F6213C" w:rsidRDefault="00F62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warzyszący dokumentowi:"/>
    <w:docVar w:name="LW_CORRIGENDUM" w:val="&lt;UNUSED&gt;"/>
    <w:docVar w:name="LW_COVERPAGE_EXISTS" w:val="True"/>
    <w:docVar w:name="LW_COVERPAGE_GUID" w:val="1E3A71F0-2138-4BCE-8044-5D10F33EA9DC"/>
    <w:docVar w:name="LW_COVERPAGE_TYPE" w:val="1"/>
    <w:docVar w:name="LW_CROSSREFERENCE" w:val="{COM(2023) 160 final} - {SEC(2023) 360 final} - {SWD(2023) 160 final} - {SWD(2023) 161 final}"/>
    <w:docVar w:name="LW_DocType" w:val="NORMAL"/>
    <w:docVar w:name="LW_EMISSION" w:val="16.3.2023"/>
    <w:docVar w:name="LW_EMISSION_ISODATE" w:val="2023-03-16"/>
    <w:docVar w:name="LW_EMISSION_LOCATION" w:val="BRX"/>
    <w:docVar w:name="LW_EMISSION_PREFIX" w:val="Bruksela, dnia "/>
    <w:docVar w:name="LW_EMISSION_SUFFIX" w:val=" r."/>
    <w:docVar w:name="LW_ID_DOCTYPE_NONLW" w:val="CP-027"/>
    <w:docVar w:name="LW_LANGUE" w:val="PL"/>
    <w:docVar w:name="LW_LEVEL_OF_SENSITIVITY" w:val="Standard treatment"/>
    <w:docVar w:name="LW_NOM.INST" w:val="KOMISJA EUROPEJSKA"/>
    <w:docVar w:name="LW_NOM.INST_JOINTDOC" w:val="&lt;EMPTY&gt;"/>
    <w:docVar w:name="LW_OBJETACTEPRINCIPAL.CP" w:val="ustanawiającego ramy na potrzeby zapewnienia bezpiecznych i zrównoważonych dostaw surowców krytycznych oraz zmieniającego rozporządzenia (UE) nr 168/2013, (UE) 2018/858, (UE) 2018/1724 i (UE) 2019/1020"/>
    <w:docVar w:name="LW_PART_NBR" w:val="1"/>
    <w:docVar w:name="LW_PART_NBR_TOTAL" w:val="1"/>
    <w:docVar w:name="LW_REF.INST.NEW" w:val="SWD"/>
    <w:docVar w:name="LW_REF.INST.NEW_ADOPTED" w:val="final"/>
    <w:docVar w:name="LW_REF.INST.NEW_TEXT" w:val="(2023) 1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Style_Marker&gt;[…]&lt;/FMT&gt;"/>
    <w:docVar w:name="LW_TYPE.DOC.CP" w:val="DOKUMENT ROBOCZY SŁUŻB KOMISJI_x000b__x000b_STRESZCZENIE SPRAWOZDANIA Z OCENY SKUTKÓW_x000b_"/>
    <w:docVar w:name="LW_TYPEACTEPRINCIPAL.CP" w:val="wniosek w sprawie rozporządzenia Parlamentu Europejskiego i Rady"/>
    <w:docVar w:name="LwApiVersions" w:val="LW4CoDe 1.23.2.0; LW 8.0, Build 20211117"/>
  </w:docVars>
  <w:rsids>
    <w:rsidRoot w:val="09337141"/>
    <w:rsid w:val="000131AA"/>
    <w:rsid w:val="00075189"/>
    <w:rsid w:val="000F2C67"/>
    <w:rsid w:val="00153563"/>
    <w:rsid w:val="002F1335"/>
    <w:rsid w:val="004C3CE8"/>
    <w:rsid w:val="0059695F"/>
    <w:rsid w:val="005C32AA"/>
    <w:rsid w:val="006410B0"/>
    <w:rsid w:val="006727DC"/>
    <w:rsid w:val="00675393"/>
    <w:rsid w:val="00754ED8"/>
    <w:rsid w:val="007578F4"/>
    <w:rsid w:val="008935CF"/>
    <w:rsid w:val="008C7F5B"/>
    <w:rsid w:val="008E0DAF"/>
    <w:rsid w:val="008F2AB8"/>
    <w:rsid w:val="00906245"/>
    <w:rsid w:val="009555E8"/>
    <w:rsid w:val="009B295D"/>
    <w:rsid w:val="009D33D2"/>
    <w:rsid w:val="00A2492C"/>
    <w:rsid w:val="00A936E0"/>
    <w:rsid w:val="00B32CFB"/>
    <w:rsid w:val="00B72BE0"/>
    <w:rsid w:val="00B94452"/>
    <w:rsid w:val="00BE575B"/>
    <w:rsid w:val="00C16D2E"/>
    <w:rsid w:val="00C26985"/>
    <w:rsid w:val="00C70F42"/>
    <w:rsid w:val="00CEAB70"/>
    <w:rsid w:val="00D10B93"/>
    <w:rsid w:val="00DBEB4B"/>
    <w:rsid w:val="00DC94EB"/>
    <w:rsid w:val="00E4101E"/>
    <w:rsid w:val="00E5552F"/>
    <w:rsid w:val="00E709DA"/>
    <w:rsid w:val="00F464EB"/>
    <w:rsid w:val="00F6213C"/>
    <w:rsid w:val="00FE2907"/>
    <w:rsid w:val="0188F20F"/>
    <w:rsid w:val="01AADDB2"/>
    <w:rsid w:val="01AF63B8"/>
    <w:rsid w:val="01FEE721"/>
    <w:rsid w:val="0227EFB4"/>
    <w:rsid w:val="0238AC28"/>
    <w:rsid w:val="0239A518"/>
    <w:rsid w:val="027FE07F"/>
    <w:rsid w:val="02A0903A"/>
    <w:rsid w:val="02CFEB27"/>
    <w:rsid w:val="032B053E"/>
    <w:rsid w:val="034F8E2B"/>
    <w:rsid w:val="036E646D"/>
    <w:rsid w:val="039CF8BC"/>
    <w:rsid w:val="03A63CC8"/>
    <w:rsid w:val="041BB0E0"/>
    <w:rsid w:val="042BDDCD"/>
    <w:rsid w:val="04341606"/>
    <w:rsid w:val="0435C9C9"/>
    <w:rsid w:val="046BBB88"/>
    <w:rsid w:val="04953425"/>
    <w:rsid w:val="04C61563"/>
    <w:rsid w:val="04D53142"/>
    <w:rsid w:val="04FFA0B2"/>
    <w:rsid w:val="05344666"/>
    <w:rsid w:val="0598E490"/>
    <w:rsid w:val="05A45939"/>
    <w:rsid w:val="05AE1CB4"/>
    <w:rsid w:val="05C7AE2E"/>
    <w:rsid w:val="05D19A2A"/>
    <w:rsid w:val="05D8F038"/>
    <w:rsid w:val="06DEBFFA"/>
    <w:rsid w:val="06ED803C"/>
    <w:rsid w:val="0756C114"/>
    <w:rsid w:val="07A35C4A"/>
    <w:rsid w:val="07E2B1A9"/>
    <w:rsid w:val="08244CD9"/>
    <w:rsid w:val="0834C937"/>
    <w:rsid w:val="08374174"/>
    <w:rsid w:val="08B2E1E8"/>
    <w:rsid w:val="09337141"/>
    <w:rsid w:val="093F2CAB"/>
    <w:rsid w:val="098D5583"/>
    <w:rsid w:val="09AF0684"/>
    <w:rsid w:val="09B49D14"/>
    <w:rsid w:val="09BA5BEE"/>
    <w:rsid w:val="09CA41A6"/>
    <w:rsid w:val="09DEFFAF"/>
    <w:rsid w:val="0A084F01"/>
    <w:rsid w:val="0A49CB39"/>
    <w:rsid w:val="0A4DDE5E"/>
    <w:rsid w:val="0A71CA07"/>
    <w:rsid w:val="0A8E61D6"/>
    <w:rsid w:val="0AB447AE"/>
    <w:rsid w:val="0AE7882B"/>
    <w:rsid w:val="0B270968"/>
    <w:rsid w:val="0B64F5F7"/>
    <w:rsid w:val="0B722F02"/>
    <w:rsid w:val="0B914117"/>
    <w:rsid w:val="0BA41F62"/>
    <w:rsid w:val="0BD798CC"/>
    <w:rsid w:val="0BEA82AA"/>
    <w:rsid w:val="0C1393A4"/>
    <w:rsid w:val="0C2A3237"/>
    <w:rsid w:val="0D00C658"/>
    <w:rsid w:val="0D02C26F"/>
    <w:rsid w:val="0D142131"/>
    <w:rsid w:val="0DDE6F41"/>
    <w:rsid w:val="0DF859CE"/>
    <w:rsid w:val="0E11465F"/>
    <w:rsid w:val="0E970713"/>
    <w:rsid w:val="0E9C96B9"/>
    <w:rsid w:val="0EBAA2B6"/>
    <w:rsid w:val="0F228FC9"/>
    <w:rsid w:val="0F37F23F"/>
    <w:rsid w:val="0F61D2F9"/>
    <w:rsid w:val="0F6E9074"/>
    <w:rsid w:val="0F913AE1"/>
    <w:rsid w:val="0FDBC52E"/>
    <w:rsid w:val="101672DE"/>
    <w:rsid w:val="1038671A"/>
    <w:rsid w:val="10506152"/>
    <w:rsid w:val="108C6BE6"/>
    <w:rsid w:val="10943470"/>
    <w:rsid w:val="110A60D5"/>
    <w:rsid w:val="114A3E90"/>
    <w:rsid w:val="11512286"/>
    <w:rsid w:val="11A66FB0"/>
    <w:rsid w:val="11F5F7E6"/>
    <w:rsid w:val="12E66036"/>
    <w:rsid w:val="12FF461C"/>
    <w:rsid w:val="13706D17"/>
    <w:rsid w:val="137191E3"/>
    <w:rsid w:val="138D36AE"/>
    <w:rsid w:val="13B53817"/>
    <w:rsid w:val="14388319"/>
    <w:rsid w:val="1488BEEE"/>
    <w:rsid w:val="14BD2E5B"/>
    <w:rsid w:val="150BD83D"/>
    <w:rsid w:val="1538235D"/>
    <w:rsid w:val="15510878"/>
    <w:rsid w:val="15D90203"/>
    <w:rsid w:val="15E35AF5"/>
    <w:rsid w:val="15F28DB4"/>
    <w:rsid w:val="1658FEBC"/>
    <w:rsid w:val="16BB0377"/>
    <w:rsid w:val="16D3F3BE"/>
    <w:rsid w:val="16ECD8D9"/>
    <w:rsid w:val="173AEB43"/>
    <w:rsid w:val="175A707F"/>
    <w:rsid w:val="1874184F"/>
    <w:rsid w:val="18877E35"/>
    <w:rsid w:val="1893073A"/>
    <w:rsid w:val="18B554D2"/>
    <w:rsid w:val="19013519"/>
    <w:rsid w:val="199A304F"/>
    <w:rsid w:val="19B529AC"/>
    <w:rsid w:val="19F0ECC3"/>
    <w:rsid w:val="1A24799B"/>
    <w:rsid w:val="1A521DC6"/>
    <w:rsid w:val="1A9B57B5"/>
    <w:rsid w:val="1B65425A"/>
    <w:rsid w:val="1C046D31"/>
    <w:rsid w:val="1C094117"/>
    <w:rsid w:val="1C73D629"/>
    <w:rsid w:val="1C88DF9A"/>
    <w:rsid w:val="1CBFEA61"/>
    <w:rsid w:val="1CCA2637"/>
    <w:rsid w:val="1D0A4F26"/>
    <w:rsid w:val="1D38535F"/>
    <w:rsid w:val="1D6E641E"/>
    <w:rsid w:val="1DD9C18B"/>
    <w:rsid w:val="1DF0D163"/>
    <w:rsid w:val="1ED3ECB5"/>
    <w:rsid w:val="1EEE67B1"/>
    <w:rsid w:val="1F035C2E"/>
    <w:rsid w:val="1F164ED1"/>
    <w:rsid w:val="1F723701"/>
    <w:rsid w:val="1F761FFE"/>
    <w:rsid w:val="1F974158"/>
    <w:rsid w:val="1FA0AFF2"/>
    <w:rsid w:val="1FA6B6F2"/>
    <w:rsid w:val="1FB50E3F"/>
    <w:rsid w:val="1FD2B4BC"/>
    <w:rsid w:val="20787731"/>
    <w:rsid w:val="20886AB9"/>
    <w:rsid w:val="208FCF86"/>
    <w:rsid w:val="20AC06B0"/>
    <w:rsid w:val="20B430BA"/>
    <w:rsid w:val="20C24EE4"/>
    <w:rsid w:val="21287225"/>
    <w:rsid w:val="2142B180"/>
    <w:rsid w:val="218A2252"/>
    <w:rsid w:val="226B43DC"/>
    <w:rsid w:val="22942F1B"/>
    <w:rsid w:val="229DE43D"/>
    <w:rsid w:val="22C4F5DB"/>
    <w:rsid w:val="23495413"/>
    <w:rsid w:val="23796DB6"/>
    <w:rsid w:val="23E1A372"/>
    <w:rsid w:val="23FD1B92"/>
    <w:rsid w:val="2405D594"/>
    <w:rsid w:val="244C2659"/>
    <w:rsid w:val="24742115"/>
    <w:rsid w:val="253A8319"/>
    <w:rsid w:val="25729DB2"/>
    <w:rsid w:val="25F67135"/>
    <w:rsid w:val="2628E1BD"/>
    <w:rsid w:val="2648736F"/>
    <w:rsid w:val="26921306"/>
    <w:rsid w:val="269E8463"/>
    <w:rsid w:val="26AD61CA"/>
    <w:rsid w:val="26C9BE31"/>
    <w:rsid w:val="2709FFCC"/>
    <w:rsid w:val="270E6E13"/>
    <w:rsid w:val="274BF3BE"/>
    <w:rsid w:val="276805D6"/>
    <w:rsid w:val="2783C71B"/>
    <w:rsid w:val="278C4D61"/>
    <w:rsid w:val="27B1B3B8"/>
    <w:rsid w:val="27B32609"/>
    <w:rsid w:val="28583D62"/>
    <w:rsid w:val="28ACA6D2"/>
    <w:rsid w:val="2903709F"/>
    <w:rsid w:val="290578F7"/>
    <w:rsid w:val="29345530"/>
    <w:rsid w:val="2960827F"/>
    <w:rsid w:val="29940C3C"/>
    <w:rsid w:val="29D6F5F8"/>
    <w:rsid w:val="2A1EA16E"/>
    <w:rsid w:val="2A1EC3ED"/>
    <w:rsid w:val="2A839480"/>
    <w:rsid w:val="2A91311B"/>
    <w:rsid w:val="2AD007C0"/>
    <w:rsid w:val="2AE36299"/>
    <w:rsid w:val="2AED3692"/>
    <w:rsid w:val="2AF4FA7F"/>
    <w:rsid w:val="2AFFA059"/>
    <w:rsid w:val="2B144940"/>
    <w:rsid w:val="2BBA71CF"/>
    <w:rsid w:val="2BD87582"/>
    <w:rsid w:val="2BF84302"/>
    <w:rsid w:val="2C089E29"/>
    <w:rsid w:val="2C1F64E1"/>
    <w:rsid w:val="2C6BD821"/>
    <w:rsid w:val="2CB49917"/>
    <w:rsid w:val="2D41FE93"/>
    <w:rsid w:val="2D4AE8BF"/>
    <w:rsid w:val="2D6C01B5"/>
    <w:rsid w:val="2D939463"/>
    <w:rsid w:val="2DED2750"/>
    <w:rsid w:val="2E19BC6D"/>
    <w:rsid w:val="2E1B035B"/>
    <w:rsid w:val="2E6E4785"/>
    <w:rsid w:val="2E86B47D"/>
    <w:rsid w:val="2EABCC8C"/>
    <w:rsid w:val="2ED4E331"/>
    <w:rsid w:val="2EF23510"/>
    <w:rsid w:val="2FCAD827"/>
    <w:rsid w:val="2FD3117C"/>
    <w:rsid w:val="302284DE"/>
    <w:rsid w:val="3038DA56"/>
    <w:rsid w:val="3055DC78"/>
    <w:rsid w:val="3070A2A9"/>
    <w:rsid w:val="307D6024"/>
    <w:rsid w:val="307EAAF1"/>
    <w:rsid w:val="30874C20"/>
    <w:rsid w:val="309CC4D5"/>
    <w:rsid w:val="30BCCFE7"/>
    <w:rsid w:val="316EE1DD"/>
    <w:rsid w:val="3184797F"/>
    <w:rsid w:val="318FE743"/>
    <w:rsid w:val="319A4BC8"/>
    <w:rsid w:val="321184F1"/>
    <w:rsid w:val="3265995F"/>
    <w:rsid w:val="32670586"/>
    <w:rsid w:val="330AB23E"/>
    <w:rsid w:val="33361C29"/>
    <w:rsid w:val="33DAB2BF"/>
    <w:rsid w:val="33FF27D2"/>
    <w:rsid w:val="340169C0"/>
    <w:rsid w:val="34266FAA"/>
    <w:rsid w:val="347ED78C"/>
    <w:rsid w:val="347FB8C1"/>
    <w:rsid w:val="34AE4F80"/>
    <w:rsid w:val="353E5DDB"/>
    <w:rsid w:val="3550D147"/>
    <w:rsid w:val="359D3A21"/>
    <w:rsid w:val="35B09AFC"/>
    <w:rsid w:val="361AA7ED"/>
    <w:rsid w:val="36425300"/>
    <w:rsid w:val="3656C4A0"/>
    <w:rsid w:val="3689DFA0"/>
    <w:rsid w:val="3700AFD6"/>
    <w:rsid w:val="37390A82"/>
    <w:rsid w:val="3743688D"/>
    <w:rsid w:val="376E711D"/>
    <w:rsid w:val="37ABD715"/>
    <w:rsid w:val="37B75983"/>
    <w:rsid w:val="3828A510"/>
    <w:rsid w:val="390A417E"/>
    <w:rsid w:val="3979F3C2"/>
    <w:rsid w:val="39D8358B"/>
    <w:rsid w:val="39E9F027"/>
    <w:rsid w:val="39EDADF5"/>
    <w:rsid w:val="3A64421E"/>
    <w:rsid w:val="3B85C088"/>
    <w:rsid w:val="3BC012CB"/>
    <w:rsid w:val="3BD420F9"/>
    <w:rsid w:val="3C1917D6"/>
    <w:rsid w:val="3CB7B6BC"/>
    <w:rsid w:val="3D01AABF"/>
    <w:rsid w:val="3D06071E"/>
    <w:rsid w:val="3D0DA69B"/>
    <w:rsid w:val="3D20A1AE"/>
    <w:rsid w:val="3D216390"/>
    <w:rsid w:val="3D2BCFC1"/>
    <w:rsid w:val="3D82F3F3"/>
    <w:rsid w:val="3D8C7BE6"/>
    <w:rsid w:val="3DC564DF"/>
    <w:rsid w:val="3E202A2C"/>
    <w:rsid w:val="3E27453D"/>
    <w:rsid w:val="3E9AC132"/>
    <w:rsid w:val="3F37B341"/>
    <w:rsid w:val="3FACDEBD"/>
    <w:rsid w:val="3FEDD553"/>
    <w:rsid w:val="3FF32C44"/>
    <w:rsid w:val="402DD740"/>
    <w:rsid w:val="403ECBEF"/>
    <w:rsid w:val="40A7921C"/>
    <w:rsid w:val="41134205"/>
    <w:rsid w:val="41F4735C"/>
    <w:rsid w:val="4237AFB9"/>
    <w:rsid w:val="42ADA8C1"/>
    <w:rsid w:val="42F39DD5"/>
    <w:rsid w:val="43110E92"/>
    <w:rsid w:val="431F4EF7"/>
    <w:rsid w:val="4329CA45"/>
    <w:rsid w:val="43AD285B"/>
    <w:rsid w:val="43BD8FCC"/>
    <w:rsid w:val="43C20390"/>
    <w:rsid w:val="43D45D03"/>
    <w:rsid w:val="442F6AE8"/>
    <w:rsid w:val="4443D2BF"/>
    <w:rsid w:val="44C115FB"/>
    <w:rsid w:val="44EDBDB4"/>
    <w:rsid w:val="45015796"/>
    <w:rsid w:val="46418FA7"/>
    <w:rsid w:val="4702C572"/>
    <w:rsid w:val="4742983F"/>
    <w:rsid w:val="47CE8AA4"/>
    <w:rsid w:val="47EDE2D6"/>
    <w:rsid w:val="47F746D9"/>
    <w:rsid w:val="4839DAC8"/>
    <w:rsid w:val="485F411F"/>
    <w:rsid w:val="48C3F890"/>
    <w:rsid w:val="48F2C38F"/>
    <w:rsid w:val="48FAF53E"/>
    <w:rsid w:val="4905CAC9"/>
    <w:rsid w:val="493AA439"/>
    <w:rsid w:val="49B8003A"/>
    <w:rsid w:val="4A3FC941"/>
    <w:rsid w:val="4A4CF34E"/>
    <w:rsid w:val="4AB878D5"/>
    <w:rsid w:val="4AC4232F"/>
    <w:rsid w:val="4B258398"/>
    <w:rsid w:val="4BDC6C3A"/>
    <w:rsid w:val="4C877BE1"/>
    <w:rsid w:val="4D776A03"/>
    <w:rsid w:val="4DA252E4"/>
    <w:rsid w:val="4DADFD88"/>
    <w:rsid w:val="4DB0EEE6"/>
    <w:rsid w:val="4DC774FA"/>
    <w:rsid w:val="4DD368D8"/>
    <w:rsid w:val="4E5DDD3D"/>
    <w:rsid w:val="4EE0F6AD"/>
    <w:rsid w:val="4EE5B172"/>
    <w:rsid w:val="4F133A64"/>
    <w:rsid w:val="4F29D30B"/>
    <w:rsid w:val="4F698D30"/>
    <w:rsid w:val="500B4A0B"/>
    <w:rsid w:val="50170C66"/>
    <w:rsid w:val="506B1BFD"/>
    <w:rsid w:val="50AF0AC5"/>
    <w:rsid w:val="50BC34D2"/>
    <w:rsid w:val="517BBF3E"/>
    <w:rsid w:val="517C0D20"/>
    <w:rsid w:val="5184424E"/>
    <w:rsid w:val="518A0BE2"/>
    <w:rsid w:val="51A93EC6"/>
    <w:rsid w:val="51D20A89"/>
    <w:rsid w:val="5207642B"/>
    <w:rsid w:val="528D6553"/>
    <w:rsid w:val="52A9D588"/>
    <w:rsid w:val="53A1E224"/>
    <w:rsid w:val="53A56BA3"/>
    <w:rsid w:val="53AD9E2D"/>
    <w:rsid w:val="53CAD6D7"/>
    <w:rsid w:val="541F2C8E"/>
    <w:rsid w:val="54425C23"/>
    <w:rsid w:val="544F23DB"/>
    <w:rsid w:val="549195B0"/>
    <w:rsid w:val="5492CCBF"/>
    <w:rsid w:val="54AF2595"/>
    <w:rsid w:val="54B36000"/>
    <w:rsid w:val="5511A597"/>
    <w:rsid w:val="55503488"/>
    <w:rsid w:val="55AD64C9"/>
    <w:rsid w:val="560F7F67"/>
    <w:rsid w:val="561D612E"/>
    <w:rsid w:val="567023C5"/>
    <w:rsid w:val="56AD75F8"/>
    <w:rsid w:val="56DDD3A9"/>
    <w:rsid w:val="5749352A"/>
    <w:rsid w:val="57E6C657"/>
    <w:rsid w:val="58311573"/>
    <w:rsid w:val="58494659"/>
    <w:rsid w:val="586270DC"/>
    <w:rsid w:val="5867ECDA"/>
    <w:rsid w:val="591BD946"/>
    <w:rsid w:val="598017D2"/>
    <w:rsid w:val="599213C4"/>
    <w:rsid w:val="599741B9"/>
    <w:rsid w:val="5A0AD33B"/>
    <w:rsid w:val="5A85C2F2"/>
    <w:rsid w:val="5A88C372"/>
    <w:rsid w:val="5B2DC4CB"/>
    <w:rsid w:val="5B80E235"/>
    <w:rsid w:val="5C2493D3"/>
    <w:rsid w:val="5C813A61"/>
    <w:rsid w:val="5CA58D31"/>
    <w:rsid w:val="5DB43EE6"/>
    <w:rsid w:val="5DB6CDA4"/>
    <w:rsid w:val="5DCEF0F7"/>
    <w:rsid w:val="5DD74B14"/>
    <w:rsid w:val="5E12FEC4"/>
    <w:rsid w:val="5E415D92"/>
    <w:rsid w:val="5E5D6CA3"/>
    <w:rsid w:val="5E837732"/>
    <w:rsid w:val="5F2C9BFC"/>
    <w:rsid w:val="5F34B4B7"/>
    <w:rsid w:val="5F4DEE3C"/>
    <w:rsid w:val="5F731B75"/>
    <w:rsid w:val="5F747806"/>
    <w:rsid w:val="5F819CAE"/>
    <w:rsid w:val="5F88083F"/>
    <w:rsid w:val="5F9A6ECB"/>
    <w:rsid w:val="5FDD2DF3"/>
    <w:rsid w:val="5FFF51A8"/>
    <w:rsid w:val="6007CE0A"/>
    <w:rsid w:val="601BAA1A"/>
    <w:rsid w:val="60BBD161"/>
    <w:rsid w:val="60CD1C15"/>
    <w:rsid w:val="60DB8F20"/>
    <w:rsid w:val="616F27C1"/>
    <w:rsid w:val="61A4B271"/>
    <w:rsid w:val="61B2D66C"/>
    <w:rsid w:val="624E5311"/>
    <w:rsid w:val="625595B3"/>
    <w:rsid w:val="6257A1C2"/>
    <w:rsid w:val="625E6F3A"/>
    <w:rsid w:val="628F920D"/>
    <w:rsid w:val="62C2D5AF"/>
    <w:rsid w:val="62E53D20"/>
    <w:rsid w:val="62E66FE7"/>
    <w:rsid w:val="633FB889"/>
    <w:rsid w:val="6375B04B"/>
    <w:rsid w:val="6411E7C4"/>
    <w:rsid w:val="649B5666"/>
    <w:rsid w:val="64DCF84F"/>
    <w:rsid w:val="654820DC"/>
    <w:rsid w:val="661E10A9"/>
    <w:rsid w:val="66D75453"/>
    <w:rsid w:val="6792B065"/>
    <w:rsid w:val="67B606E6"/>
    <w:rsid w:val="680926F4"/>
    <w:rsid w:val="681329AC"/>
    <w:rsid w:val="68384A80"/>
    <w:rsid w:val="68BA55E5"/>
    <w:rsid w:val="68ECD2E7"/>
    <w:rsid w:val="68EE2E2E"/>
    <w:rsid w:val="69B35830"/>
    <w:rsid w:val="69C1B774"/>
    <w:rsid w:val="69CE3610"/>
    <w:rsid w:val="6A16E736"/>
    <w:rsid w:val="6A2B8AB7"/>
    <w:rsid w:val="6AA1BFC8"/>
    <w:rsid w:val="6BF9A381"/>
    <w:rsid w:val="6C780229"/>
    <w:rsid w:val="6C99465A"/>
    <w:rsid w:val="6D376C81"/>
    <w:rsid w:val="6D4E87F8"/>
    <w:rsid w:val="6DD687FE"/>
    <w:rsid w:val="6E1B4141"/>
    <w:rsid w:val="6E6F65FC"/>
    <w:rsid w:val="6E7BBC77"/>
    <w:rsid w:val="6ECEBDDA"/>
    <w:rsid w:val="6F121531"/>
    <w:rsid w:val="6F604EBB"/>
    <w:rsid w:val="6F72585F"/>
    <w:rsid w:val="701CA707"/>
    <w:rsid w:val="70B8B56D"/>
    <w:rsid w:val="70B8D772"/>
    <w:rsid w:val="70D27176"/>
    <w:rsid w:val="710E28C0"/>
    <w:rsid w:val="712B37FE"/>
    <w:rsid w:val="71709307"/>
    <w:rsid w:val="71B39B17"/>
    <w:rsid w:val="71BFC215"/>
    <w:rsid w:val="727A2D38"/>
    <w:rsid w:val="72A9F921"/>
    <w:rsid w:val="72B2ED5E"/>
    <w:rsid w:val="72CC4C0B"/>
    <w:rsid w:val="73253802"/>
    <w:rsid w:val="732CDAA7"/>
    <w:rsid w:val="73396565"/>
    <w:rsid w:val="735447C9"/>
    <w:rsid w:val="739A86A9"/>
    <w:rsid w:val="73D40719"/>
    <w:rsid w:val="73E16D9B"/>
    <w:rsid w:val="742235CD"/>
    <w:rsid w:val="7482D23D"/>
    <w:rsid w:val="755D2FD5"/>
    <w:rsid w:val="759D61DC"/>
    <w:rsid w:val="75EA8E20"/>
    <w:rsid w:val="75EFD15F"/>
    <w:rsid w:val="76270043"/>
    <w:rsid w:val="76818EDF"/>
    <w:rsid w:val="7727EB5E"/>
    <w:rsid w:val="77865E81"/>
    <w:rsid w:val="77C8892C"/>
    <w:rsid w:val="77DE7D24"/>
    <w:rsid w:val="797A4D85"/>
    <w:rsid w:val="7A63E6BB"/>
    <w:rsid w:val="7AFA7166"/>
    <w:rsid w:val="7BB61EC4"/>
    <w:rsid w:val="7C109EFA"/>
    <w:rsid w:val="7CCE4B1B"/>
    <w:rsid w:val="7D08B710"/>
    <w:rsid w:val="7D28BF09"/>
    <w:rsid w:val="7D2C3423"/>
    <w:rsid w:val="7D33E328"/>
    <w:rsid w:val="7D7E108D"/>
    <w:rsid w:val="7DAC6F5B"/>
    <w:rsid w:val="7DC9072A"/>
    <w:rsid w:val="7DCD4195"/>
    <w:rsid w:val="7DD7592F"/>
    <w:rsid w:val="7DF508BF"/>
    <w:rsid w:val="7E6815B9"/>
    <w:rsid w:val="7E91E041"/>
    <w:rsid w:val="7ED833F7"/>
    <w:rsid w:val="7EE3B120"/>
    <w:rsid w:val="7EF2B049"/>
    <w:rsid w:val="7EF9298A"/>
    <w:rsid w:val="7F409325"/>
    <w:rsid w:val="7F6258A5"/>
    <w:rsid w:val="7F68EF77"/>
    <w:rsid w:val="7F984A64"/>
    <w:rsid w:val="7FE2421E"/>
    <w:rsid w:val="7FFCB8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D410FA"/>
  <w15:chartTrackingRefBased/>
  <w15:docId w15:val="{F009F190-F4D5-446F-BA94-F26BC384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52A9D588"/>
  </w:style>
  <w:style w:type="paragraph" w:styleId="Heading1">
    <w:name w:val="heading 1"/>
    <w:basedOn w:val="Normal"/>
    <w:next w:val="Normal"/>
    <w:link w:val="Heading1Char"/>
    <w:uiPriority w:val="9"/>
    <w:qFormat/>
    <w:rsid w:val="52A9D588"/>
    <w:pPr>
      <w:keepNext/>
      <w:spacing w:before="240" w:after="0"/>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next w:val="Normal"/>
    <w:link w:val="Heading2Char"/>
    <w:uiPriority w:val="9"/>
    <w:unhideWhenUsed/>
    <w:qFormat/>
    <w:rsid w:val="52A9D588"/>
    <w:pPr>
      <w:keepNext/>
      <w:spacing w:before="40" w:after="0"/>
      <w:outlineLvl w:val="1"/>
    </w:pPr>
    <w:rPr>
      <w:rFonts w:asciiTheme="majorHAnsi" w:eastAsiaTheme="majorEastAsia" w:hAnsiTheme="majorHAnsi" w:cstheme="majorBidi"/>
      <w:color w:val="2F5496" w:themeColor="accent1" w:themeShade="BF"/>
      <w:sz w:val="26"/>
    </w:rPr>
  </w:style>
  <w:style w:type="paragraph" w:styleId="Heading3">
    <w:name w:val="heading 3"/>
    <w:basedOn w:val="Normal"/>
    <w:next w:val="Normal"/>
    <w:link w:val="Heading3Char"/>
    <w:uiPriority w:val="9"/>
    <w:unhideWhenUsed/>
    <w:qFormat/>
    <w:rsid w:val="52A9D588"/>
    <w:pPr>
      <w:keepNext/>
      <w:spacing w:before="40" w:after="0"/>
      <w:outlineLvl w:val="2"/>
    </w:pPr>
    <w:rPr>
      <w:rFonts w:asciiTheme="majorHAnsi" w:eastAsiaTheme="majorEastAsia" w:hAnsiTheme="majorHAnsi" w:cstheme="majorBidi"/>
      <w:color w:val="1F3763"/>
      <w:sz w:val="24"/>
    </w:rPr>
  </w:style>
  <w:style w:type="paragraph" w:styleId="Heading4">
    <w:name w:val="heading 4"/>
    <w:basedOn w:val="Normal"/>
    <w:next w:val="Normal"/>
    <w:link w:val="Heading4Char"/>
    <w:uiPriority w:val="9"/>
    <w:unhideWhenUsed/>
    <w:qFormat/>
    <w:rsid w:val="52A9D588"/>
    <w:pPr>
      <w:keepNext/>
      <w:spacing w:before="40" w:after="0"/>
      <w:outlineLvl w:val="3"/>
    </w:pPr>
    <w:rPr>
      <w:rFonts w:asciiTheme="majorHAnsi" w:eastAsiaTheme="majorEastAsia" w:hAnsiTheme="majorHAnsi" w:cstheme="majorBidi"/>
      <w:i/>
      <w:color w:val="2F5496" w:themeColor="accent1" w:themeShade="BF"/>
    </w:rPr>
  </w:style>
  <w:style w:type="paragraph" w:styleId="Heading5">
    <w:name w:val="heading 5"/>
    <w:basedOn w:val="Normal"/>
    <w:next w:val="Normal"/>
    <w:link w:val="Heading5Char"/>
    <w:uiPriority w:val="9"/>
    <w:unhideWhenUsed/>
    <w:qFormat/>
    <w:rsid w:val="52A9D588"/>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52A9D588"/>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52A9D588"/>
    <w:pPr>
      <w:keepNext/>
      <w:spacing w:before="40" w:after="0"/>
      <w:outlineLvl w:val="6"/>
    </w:pPr>
    <w:rPr>
      <w:rFonts w:asciiTheme="majorHAnsi" w:eastAsiaTheme="majorEastAsia" w:hAnsiTheme="majorHAnsi" w:cstheme="majorBidi"/>
      <w:i/>
      <w:color w:val="1F3763"/>
    </w:rPr>
  </w:style>
  <w:style w:type="paragraph" w:styleId="Heading8">
    <w:name w:val="heading 8"/>
    <w:basedOn w:val="Normal"/>
    <w:next w:val="Normal"/>
    <w:link w:val="Heading8Char"/>
    <w:uiPriority w:val="9"/>
    <w:unhideWhenUsed/>
    <w:qFormat/>
    <w:rsid w:val="52A9D588"/>
    <w:pPr>
      <w:keepNext/>
      <w:spacing w:before="40" w:after="0"/>
      <w:outlineLvl w:val="7"/>
    </w:pPr>
    <w:rPr>
      <w:rFonts w:asciiTheme="majorHAnsi" w:eastAsiaTheme="majorEastAsia" w:hAnsiTheme="majorHAnsi" w:cstheme="majorBidi"/>
      <w:color w:val="272727"/>
      <w:sz w:val="21"/>
    </w:rPr>
  </w:style>
  <w:style w:type="paragraph" w:styleId="Heading9">
    <w:name w:val="heading 9"/>
    <w:basedOn w:val="Normal"/>
    <w:next w:val="Normal"/>
    <w:link w:val="Heading9Char"/>
    <w:uiPriority w:val="9"/>
    <w:unhideWhenUsed/>
    <w:qFormat/>
    <w:rsid w:val="52A9D588"/>
    <w:pPr>
      <w:keepNext/>
      <w:spacing w:before="40" w:after="0"/>
      <w:outlineLvl w:val="8"/>
    </w:pPr>
    <w:rPr>
      <w:rFonts w:asciiTheme="majorHAnsi" w:eastAsiaTheme="majorEastAsia" w:hAnsiTheme="majorHAnsi" w:cstheme="majorBidi"/>
      <w:i/>
      <w:color w:val="272727"/>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52A9D588"/>
    <w:pPr>
      <w:spacing w:after="0"/>
      <w:contextualSpacing/>
    </w:pPr>
    <w:rPr>
      <w:rFonts w:asciiTheme="majorHAnsi" w:eastAsiaTheme="majorEastAsia" w:hAnsiTheme="majorHAnsi" w:cstheme="majorBidi"/>
      <w:sz w:val="56"/>
    </w:rPr>
  </w:style>
  <w:style w:type="paragraph" w:styleId="Subtitle">
    <w:name w:val="Subtitle"/>
    <w:basedOn w:val="Normal"/>
    <w:next w:val="Normal"/>
    <w:link w:val="SubtitleChar"/>
    <w:uiPriority w:val="11"/>
    <w:qFormat/>
    <w:rsid w:val="52A9D588"/>
    <w:rPr>
      <w:rFonts w:eastAsiaTheme="minorEastAsia"/>
      <w:color w:val="5A5A5A"/>
    </w:rPr>
  </w:style>
  <w:style w:type="paragraph" w:styleId="Quote">
    <w:name w:val="Quote"/>
    <w:basedOn w:val="Normal"/>
    <w:next w:val="Normal"/>
    <w:link w:val="QuoteChar"/>
    <w:uiPriority w:val="29"/>
    <w:qFormat/>
    <w:rsid w:val="52A9D588"/>
    <w:pPr>
      <w:spacing w:before="200"/>
      <w:ind w:left="864" w:right="864"/>
      <w:jc w:val="center"/>
    </w:pPr>
    <w:rPr>
      <w:i/>
      <w:color w:val="404040" w:themeColor="text1" w:themeTint="BF"/>
    </w:rPr>
  </w:style>
  <w:style w:type="paragraph" w:styleId="IntenseQuote">
    <w:name w:val="Intense Quote"/>
    <w:basedOn w:val="Normal"/>
    <w:next w:val="Normal"/>
    <w:link w:val="IntenseQuoteChar"/>
    <w:uiPriority w:val="30"/>
    <w:qFormat/>
    <w:rsid w:val="52A9D588"/>
    <w:pPr>
      <w:spacing w:before="360" w:after="360"/>
      <w:ind w:left="864" w:right="864"/>
      <w:jc w:val="center"/>
    </w:pPr>
    <w:rPr>
      <w:i/>
      <w:color w:val="4472C4" w:themeColor="accent1"/>
    </w:rPr>
  </w:style>
  <w:style w:type="paragraph" w:styleId="ListParagraph">
    <w:name w:val="List Paragraph"/>
    <w:basedOn w:val="Normal"/>
    <w:uiPriority w:val="34"/>
    <w:qFormat/>
    <w:rsid w:val="52A9D588"/>
    <w:pPr>
      <w:ind w:left="720"/>
      <w:contextualSpacing/>
    </w:pPr>
  </w:style>
  <w:style w:type="character" w:customStyle="1" w:styleId="Heading1Char">
    <w:name w:val="Heading 1 Char"/>
    <w:basedOn w:val="DefaultParagraphFont"/>
    <w:link w:val="Heading1"/>
    <w:uiPriority w:val="9"/>
    <w:rsid w:val="52A9D588"/>
    <w:rPr>
      <w:rFonts w:asciiTheme="majorHAnsi" w:eastAsiaTheme="majorEastAsia" w:hAnsiTheme="majorHAnsi" w:cstheme="majorBidi"/>
      <w:noProof w:val="0"/>
      <w:color w:val="2F5496" w:themeColor="accent1" w:themeShade="BF"/>
      <w:sz w:val="32"/>
    </w:rPr>
  </w:style>
  <w:style w:type="character" w:customStyle="1" w:styleId="Heading2Char">
    <w:name w:val="Heading 2 Char"/>
    <w:basedOn w:val="DefaultParagraphFont"/>
    <w:link w:val="Heading2"/>
    <w:uiPriority w:val="9"/>
    <w:rsid w:val="52A9D588"/>
    <w:rPr>
      <w:rFonts w:asciiTheme="majorHAnsi" w:eastAsiaTheme="majorEastAsia" w:hAnsiTheme="majorHAnsi" w:cstheme="majorBidi"/>
      <w:noProof w:val="0"/>
      <w:color w:val="2F5496" w:themeColor="accent1" w:themeShade="BF"/>
      <w:sz w:val="26"/>
    </w:rPr>
  </w:style>
  <w:style w:type="character" w:customStyle="1" w:styleId="Heading3Char">
    <w:name w:val="Heading 3 Char"/>
    <w:basedOn w:val="DefaultParagraphFont"/>
    <w:link w:val="Heading3"/>
    <w:uiPriority w:val="9"/>
    <w:rsid w:val="52A9D588"/>
    <w:rPr>
      <w:rFonts w:asciiTheme="majorHAnsi" w:eastAsiaTheme="majorEastAsia" w:hAnsiTheme="majorHAnsi" w:cstheme="majorBidi"/>
      <w:noProof w:val="0"/>
      <w:color w:val="1F3763"/>
      <w:sz w:val="24"/>
    </w:rPr>
  </w:style>
  <w:style w:type="character" w:customStyle="1" w:styleId="Heading4Char">
    <w:name w:val="Heading 4 Char"/>
    <w:basedOn w:val="DefaultParagraphFont"/>
    <w:link w:val="Heading4"/>
    <w:uiPriority w:val="9"/>
    <w:rsid w:val="52A9D588"/>
    <w:rPr>
      <w:rFonts w:asciiTheme="majorHAnsi" w:eastAsiaTheme="majorEastAsia" w:hAnsiTheme="majorHAnsi" w:cstheme="majorBidi"/>
      <w:i/>
      <w:noProof w:val="0"/>
      <w:color w:val="2F5496" w:themeColor="accent1" w:themeShade="BF"/>
    </w:rPr>
  </w:style>
  <w:style w:type="character" w:customStyle="1" w:styleId="Heading5Char">
    <w:name w:val="Heading 5 Char"/>
    <w:basedOn w:val="DefaultParagraphFont"/>
    <w:link w:val="Heading5"/>
    <w:uiPriority w:val="9"/>
    <w:rsid w:val="52A9D588"/>
    <w:rPr>
      <w:rFonts w:asciiTheme="majorHAnsi" w:eastAsiaTheme="majorEastAsia" w:hAnsiTheme="majorHAnsi" w:cstheme="majorBidi"/>
      <w:noProof w:val="0"/>
      <w:color w:val="2F5496" w:themeColor="accent1" w:themeShade="BF"/>
    </w:rPr>
  </w:style>
  <w:style w:type="character" w:customStyle="1" w:styleId="Heading6Char">
    <w:name w:val="Heading 6 Char"/>
    <w:basedOn w:val="DefaultParagraphFont"/>
    <w:link w:val="Heading6"/>
    <w:uiPriority w:val="9"/>
    <w:rsid w:val="52A9D588"/>
    <w:rPr>
      <w:rFonts w:asciiTheme="majorHAnsi" w:eastAsiaTheme="majorEastAsia" w:hAnsiTheme="majorHAnsi" w:cstheme="majorBidi"/>
      <w:noProof w:val="0"/>
      <w:color w:val="1F3763"/>
    </w:rPr>
  </w:style>
  <w:style w:type="character" w:customStyle="1" w:styleId="Heading7Char">
    <w:name w:val="Heading 7 Char"/>
    <w:basedOn w:val="DefaultParagraphFont"/>
    <w:link w:val="Heading7"/>
    <w:uiPriority w:val="9"/>
    <w:rsid w:val="52A9D588"/>
    <w:rPr>
      <w:rFonts w:asciiTheme="majorHAnsi" w:eastAsiaTheme="majorEastAsia" w:hAnsiTheme="majorHAnsi" w:cstheme="majorBidi"/>
      <w:i/>
      <w:noProof w:val="0"/>
      <w:color w:val="1F3763"/>
    </w:rPr>
  </w:style>
  <w:style w:type="character" w:customStyle="1" w:styleId="Heading8Char">
    <w:name w:val="Heading 8 Char"/>
    <w:basedOn w:val="DefaultParagraphFont"/>
    <w:link w:val="Heading8"/>
    <w:uiPriority w:val="9"/>
    <w:rsid w:val="52A9D588"/>
    <w:rPr>
      <w:rFonts w:asciiTheme="majorHAnsi" w:eastAsiaTheme="majorEastAsia" w:hAnsiTheme="majorHAnsi" w:cstheme="majorBidi"/>
      <w:noProof w:val="0"/>
      <w:color w:val="272727"/>
      <w:sz w:val="21"/>
    </w:rPr>
  </w:style>
  <w:style w:type="character" w:customStyle="1" w:styleId="Heading9Char">
    <w:name w:val="Heading 9 Char"/>
    <w:basedOn w:val="DefaultParagraphFont"/>
    <w:link w:val="Heading9"/>
    <w:uiPriority w:val="9"/>
    <w:rsid w:val="52A9D588"/>
    <w:rPr>
      <w:rFonts w:asciiTheme="majorHAnsi" w:eastAsiaTheme="majorEastAsia" w:hAnsiTheme="majorHAnsi" w:cstheme="majorBidi"/>
      <w:i/>
      <w:noProof w:val="0"/>
      <w:color w:val="272727"/>
      <w:sz w:val="21"/>
    </w:rPr>
  </w:style>
  <w:style w:type="character" w:customStyle="1" w:styleId="TitleChar">
    <w:name w:val="Title Char"/>
    <w:basedOn w:val="DefaultParagraphFont"/>
    <w:link w:val="Title"/>
    <w:uiPriority w:val="10"/>
    <w:rsid w:val="52A9D588"/>
    <w:rPr>
      <w:rFonts w:asciiTheme="majorHAnsi" w:eastAsiaTheme="majorEastAsia" w:hAnsiTheme="majorHAnsi" w:cstheme="majorBidi"/>
      <w:noProof w:val="0"/>
      <w:sz w:val="56"/>
    </w:rPr>
  </w:style>
  <w:style w:type="character" w:customStyle="1" w:styleId="SubtitleChar">
    <w:name w:val="Subtitle Char"/>
    <w:basedOn w:val="DefaultParagraphFont"/>
    <w:link w:val="Subtitle"/>
    <w:uiPriority w:val="11"/>
    <w:rsid w:val="52A9D588"/>
    <w:rPr>
      <w:rFonts w:asciiTheme="minorHAnsi" w:eastAsiaTheme="minorEastAsia" w:hAnsiTheme="minorHAnsi" w:cstheme="minorBidi"/>
      <w:noProof w:val="0"/>
      <w:color w:val="5A5A5A"/>
    </w:rPr>
  </w:style>
  <w:style w:type="character" w:customStyle="1" w:styleId="QuoteChar">
    <w:name w:val="Quote Char"/>
    <w:basedOn w:val="DefaultParagraphFont"/>
    <w:link w:val="Quote"/>
    <w:uiPriority w:val="29"/>
    <w:rsid w:val="52A9D588"/>
    <w:rPr>
      <w:i/>
      <w:noProof w:val="0"/>
      <w:color w:val="404040" w:themeColor="text1" w:themeTint="BF"/>
    </w:rPr>
  </w:style>
  <w:style w:type="character" w:customStyle="1" w:styleId="IntenseQuoteChar">
    <w:name w:val="Intense Quote Char"/>
    <w:basedOn w:val="DefaultParagraphFont"/>
    <w:link w:val="IntenseQuote"/>
    <w:uiPriority w:val="30"/>
    <w:rsid w:val="52A9D588"/>
    <w:rPr>
      <w:i/>
      <w:noProof w:val="0"/>
      <w:color w:val="4472C4" w:themeColor="accent1"/>
    </w:rPr>
  </w:style>
  <w:style w:type="paragraph" w:styleId="TOC1">
    <w:name w:val="toc 1"/>
    <w:basedOn w:val="Normal"/>
    <w:next w:val="Normal"/>
    <w:uiPriority w:val="39"/>
    <w:unhideWhenUsed/>
    <w:rsid w:val="52A9D588"/>
    <w:pPr>
      <w:spacing w:after="100"/>
    </w:pPr>
  </w:style>
  <w:style w:type="paragraph" w:styleId="TOC2">
    <w:name w:val="toc 2"/>
    <w:basedOn w:val="Normal"/>
    <w:next w:val="Normal"/>
    <w:uiPriority w:val="39"/>
    <w:unhideWhenUsed/>
    <w:rsid w:val="52A9D588"/>
    <w:pPr>
      <w:spacing w:after="100"/>
      <w:ind w:left="220"/>
    </w:pPr>
  </w:style>
  <w:style w:type="paragraph" w:styleId="TOC3">
    <w:name w:val="toc 3"/>
    <w:basedOn w:val="Normal"/>
    <w:next w:val="Normal"/>
    <w:uiPriority w:val="39"/>
    <w:unhideWhenUsed/>
    <w:rsid w:val="52A9D588"/>
    <w:pPr>
      <w:spacing w:after="100"/>
      <w:ind w:left="440"/>
    </w:pPr>
  </w:style>
  <w:style w:type="paragraph" w:styleId="TOC4">
    <w:name w:val="toc 4"/>
    <w:basedOn w:val="Normal"/>
    <w:next w:val="Normal"/>
    <w:uiPriority w:val="39"/>
    <w:unhideWhenUsed/>
    <w:rsid w:val="52A9D588"/>
    <w:pPr>
      <w:spacing w:after="100"/>
      <w:ind w:left="660"/>
    </w:pPr>
  </w:style>
  <w:style w:type="paragraph" w:styleId="TOC5">
    <w:name w:val="toc 5"/>
    <w:basedOn w:val="Normal"/>
    <w:next w:val="Normal"/>
    <w:uiPriority w:val="39"/>
    <w:unhideWhenUsed/>
    <w:rsid w:val="52A9D588"/>
    <w:pPr>
      <w:spacing w:after="100"/>
      <w:ind w:left="880"/>
    </w:pPr>
  </w:style>
  <w:style w:type="paragraph" w:styleId="TOC6">
    <w:name w:val="toc 6"/>
    <w:basedOn w:val="Normal"/>
    <w:next w:val="Normal"/>
    <w:uiPriority w:val="39"/>
    <w:unhideWhenUsed/>
    <w:rsid w:val="52A9D588"/>
    <w:pPr>
      <w:spacing w:after="100"/>
      <w:ind w:left="1100"/>
    </w:pPr>
  </w:style>
  <w:style w:type="paragraph" w:styleId="TOC7">
    <w:name w:val="toc 7"/>
    <w:basedOn w:val="Normal"/>
    <w:next w:val="Normal"/>
    <w:uiPriority w:val="39"/>
    <w:unhideWhenUsed/>
    <w:rsid w:val="52A9D588"/>
    <w:pPr>
      <w:spacing w:after="100"/>
      <w:ind w:left="1320"/>
    </w:pPr>
  </w:style>
  <w:style w:type="paragraph" w:styleId="TOC8">
    <w:name w:val="toc 8"/>
    <w:basedOn w:val="Normal"/>
    <w:next w:val="Normal"/>
    <w:uiPriority w:val="39"/>
    <w:unhideWhenUsed/>
    <w:rsid w:val="52A9D588"/>
    <w:pPr>
      <w:spacing w:after="100"/>
      <w:ind w:left="1540"/>
    </w:pPr>
  </w:style>
  <w:style w:type="paragraph" w:styleId="TOC9">
    <w:name w:val="toc 9"/>
    <w:basedOn w:val="Normal"/>
    <w:next w:val="Normal"/>
    <w:uiPriority w:val="39"/>
    <w:unhideWhenUsed/>
    <w:rsid w:val="52A9D588"/>
    <w:pPr>
      <w:spacing w:after="100"/>
      <w:ind w:left="1760"/>
    </w:pPr>
  </w:style>
  <w:style w:type="paragraph" w:styleId="EndnoteText">
    <w:name w:val="endnote text"/>
    <w:basedOn w:val="Normal"/>
    <w:link w:val="EndnoteTextChar"/>
    <w:uiPriority w:val="99"/>
    <w:semiHidden/>
    <w:unhideWhenUsed/>
    <w:rsid w:val="52A9D588"/>
    <w:pPr>
      <w:spacing w:after="0"/>
    </w:pPr>
    <w:rPr>
      <w:sz w:val="20"/>
    </w:rPr>
  </w:style>
  <w:style w:type="character" w:customStyle="1" w:styleId="EndnoteTextChar">
    <w:name w:val="Endnote Text Char"/>
    <w:basedOn w:val="DefaultParagraphFont"/>
    <w:link w:val="EndnoteText"/>
    <w:uiPriority w:val="99"/>
    <w:semiHidden/>
    <w:rsid w:val="52A9D588"/>
    <w:rPr>
      <w:noProof w:val="0"/>
      <w:sz w:val="20"/>
    </w:rPr>
  </w:style>
  <w:style w:type="paragraph" w:styleId="Footer">
    <w:name w:val="footer"/>
    <w:basedOn w:val="Normal"/>
    <w:link w:val="FooterChar"/>
    <w:uiPriority w:val="99"/>
    <w:unhideWhenUsed/>
    <w:rsid w:val="52A9D588"/>
    <w:pPr>
      <w:tabs>
        <w:tab w:val="center" w:pos="4680"/>
        <w:tab w:val="right" w:pos="9360"/>
      </w:tabs>
      <w:spacing w:after="0"/>
    </w:pPr>
  </w:style>
  <w:style w:type="character" w:customStyle="1" w:styleId="FooterChar">
    <w:name w:val="Footer Char"/>
    <w:basedOn w:val="DefaultParagraphFont"/>
    <w:link w:val="Footer"/>
    <w:uiPriority w:val="99"/>
    <w:rsid w:val="52A9D588"/>
    <w:rPr>
      <w:noProof w:val="0"/>
    </w:rPr>
  </w:style>
  <w:style w:type="paragraph" w:styleId="FootnoteText">
    <w:name w:val="footnote text"/>
    <w:basedOn w:val="Normal"/>
    <w:link w:val="FootnoteTextChar"/>
    <w:uiPriority w:val="99"/>
    <w:semiHidden/>
    <w:unhideWhenUsed/>
    <w:rsid w:val="52A9D588"/>
    <w:pPr>
      <w:spacing w:after="0"/>
    </w:pPr>
    <w:rPr>
      <w:sz w:val="20"/>
    </w:rPr>
  </w:style>
  <w:style w:type="character" w:customStyle="1" w:styleId="FootnoteTextChar">
    <w:name w:val="Footnote Text Char"/>
    <w:basedOn w:val="DefaultParagraphFont"/>
    <w:link w:val="FootnoteText"/>
    <w:uiPriority w:val="99"/>
    <w:semiHidden/>
    <w:rsid w:val="52A9D588"/>
    <w:rPr>
      <w:noProof w:val="0"/>
      <w:sz w:val="20"/>
    </w:rPr>
  </w:style>
  <w:style w:type="paragraph" w:styleId="Header">
    <w:name w:val="header"/>
    <w:basedOn w:val="Normal"/>
    <w:link w:val="HeaderChar"/>
    <w:uiPriority w:val="99"/>
    <w:unhideWhenUsed/>
    <w:rsid w:val="52A9D588"/>
    <w:pPr>
      <w:tabs>
        <w:tab w:val="center" w:pos="4680"/>
        <w:tab w:val="right" w:pos="9360"/>
      </w:tabs>
      <w:spacing w:after="0"/>
    </w:pPr>
  </w:style>
  <w:style w:type="character" w:customStyle="1" w:styleId="HeaderChar">
    <w:name w:val="Header Char"/>
    <w:basedOn w:val="DefaultParagraphFont"/>
    <w:link w:val="Header"/>
    <w:uiPriority w:val="99"/>
    <w:rsid w:val="52A9D588"/>
    <w:rPr>
      <w:noProof w:val="0"/>
    </w:rPr>
  </w:style>
  <w:style w:type="character" w:customStyle="1" w:styleId="normaltextrun">
    <w:name w:val="normaltextrun"/>
    <w:basedOn w:val="DefaultParagraphFont"/>
    <w:uiPriority w:val="1"/>
    <w:rsid w:val="52A9D58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r">
    <w:name w:val="Marker"/>
    <w:basedOn w:val="DefaultParagraphFont"/>
    <w:rsid w:val="00F6213C"/>
    <w:rPr>
      <w:color w:val="0000FF"/>
      <w:shd w:val="clear" w:color="auto" w:fill="auto"/>
    </w:rPr>
  </w:style>
  <w:style w:type="paragraph" w:customStyle="1" w:styleId="Pagedecouverture">
    <w:name w:val="Page de couverture"/>
    <w:basedOn w:val="Normal"/>
    <w:next w:val="Normal"/>
    <w:rsid w:val="00F6213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F6213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F6213C"/>
    <w:rPr>
      <w:rFonts w:ascii="Times New Roman" w:hAnsi="Times New Roman" w:cs="Times New Roman"/>
      <w:sz w:val="24"/>
    </w:rPr>
  </w:style>
  <w:style w:type="paragraph" w:customStyle="1" w:styleId="FooterSensitivity">
    <w:name w:val="Footer Sensitivity"/>
    <w:basedOn w:val="Normal"/>
    <w:link w:val="FooterSensitivityChar"/>
    <w:rsid w:val="00F6213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F6213C"/>
    <w:rPr>
      <w:rFonts w:ascii="Times New Roman" w:hAnsi="Times New Roman" w:cs="Times New Roman"/>
      <w:b/>
      <w:sz w:val="32"/>
    </w:rPr>
  </w:style>
  <w:style w:type="paragraph" w:customStyle="1" w:styleId="HeaderCoverPage">
    <w:name w:val="Header Cover Page"/>
    <w:basedOn w:val="Normal"/>
    <w:link w:val="HeaderCoverPageChar"/>
    <w:rsid w:val="00F6213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F6213C"/>
    <w:rPr>
      <w:rFonts w:ascii="Times New Roman" w:hAnsi="Times New Roman" w:cs="Times New Roman"/>
      <w:sz w:val="24"/>
    </w:rPr>
  </w:style>
  <w:style w:type="paragraph" w:customStyle="1" w:styleId="HeaderSensitivity">
    <w:name w:val="Header Sensitivity"/>
    <w:basedOn w:val="Normal"/>
    <w:link w:val="HeaderSensitivityChar"/>
    <w:rsid w:val="00F6213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F6213C"/>
    <w:rPr>
      <w:rFonts w:ascii="Times New Roman" w:hAnsi="Times New Roman" w:cs="Times New Roman"/>
      <w:b/>
      <w:sz w:val="32"/>
    </w:rPr>
  </w:style>
  <w:style w:type="paragraph" w:customStyle="1" w:styleId="HeaderSensitivityRight">
    <w:name w:val="Header Sensitivity Right"/>
    <w:basedOn w:val="Normal"/>
    <w:link w:val="HeaderSensitivityRightChar"/>
    <w:rsid w:val="00F6213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F6213C"/>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13" ma:contentTypeDescription="Create a new document." ma:contentTypeScope="" ma:versionID="d35bb5ab2258cf21e3794888219b5ce1">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9a621252dda7057d790d8fd5a94a79ed" ns2:_="" ns3:_="">
    <xsd:import namespace="cce4269c-1bca-4c47-bcbd-0ca0cb14aa6e"/>
    <xsd:import namespace="96a7f24e-e0df-4592-b6e0-4a62e251a0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f2b5cc-d2b8-4379-ade8-6c4e5ec1acf1}" ma:internalName="TaxCatchAll"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a7f24e-e0df-4592-b6e0-4a62e251a0e5" xsi:nil="true"/>
    <lcf76f155ced4ddcb4097134ff3c332f xmlns="cce4269c-1bca-4c47-bcbd-0ca0cb14aa6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01F7DCCA-4816-413E-AFEC-4FB3FEA05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4B23B-1767-4A10-87B1-DCD19D85750E}">
  <ds:schemaRefs>
    <ds:schemaRef ds:uri="http://schemas.microsoft.com/sharepoint/v3/contenttype/forms"/>
  </ds:schemaRefs>
</ds:datastoreItem>
</file>

<file path=customXml/itemProps3.xml><?xml version="1.0" encoding="utf-8"?>
<ds:datastoreItem xmlns:ds="http://schemas.openxmlformats.org/officeDocument/2006/customXml" ds:itemID="{172C952A-D4F8-453E-B31B-D5976A9ED462}">
  <ds:schemaRefs>
    <ds:schemaRef ds:uri="http://schemas.microsoft.com/office/2006/metadata/properties"/>
    <ds:schemaRef ds:uri="http://schemas.microsoft.com/office/infopath/2007/PartnerControls"/>
    <ds:schemaRef ds:uri="96a7f24e-e0df-4592-b6e0-4a62e251a0e5"/>
    <ds:schemaRef ds:uri="cce4269c-1bca-4c47-bcbd-0ca0cb14aa6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2139</Words>
  <Characters>15192</Characters>
  <Application>Microsoft Office Word</Application>
  <DocSecurity>0</DocSecurity>
  <Lines>223</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39</cp:revision>
  <dcterms:created xsi:type="dcterms:W3CDTF">2023-03-01T18:54:00Z</dcterms:created>
  <dcterms:modified xsi:type="dcterms:W3CDTF">2023-05-05T16:36:00Z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2022-12-16T18:22:57Z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8d5f9333-9b68-417d-95cf-616d4c5dcad1</vt:lpwstr>
  </property>
  <property fmtid="{D5CDD505-2E9C-101B-9397-08002B2CF9AE}" pid="8" name="MSIP_Label_6bd9ddd1-4d20-43f6-abfa-fc3c07406f94_ContentBits">
    <vt:lpwstr>0</vt:lpwstr>
  </property>
  <property fmtid="{D5CDD505-2E9C-101B-9397-08002B2CF9AE}" pid="9" name="ContentTypeId">
    <vt:lpwstr>0x0101008BA6791DDFFC024DAA4136D92359EB10</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CP-027</vt:lpwstr>
  </property>
  <property fmtid="{D5CDD505-2E9C-101B-9397-08002B2CF9AE}" pid="16" name="Last edited using">
    <vt:lpwstr>LW 9.0, Build 20230317</vt:lpwstr>
  </property>
  <property fmtid="{D5CDD505-2E9C-101B-9397-08002B2CF9AE}" pid="17" name="Created using">
    <vt:lpwstr>LW 8.1, Build 20230124</vt:lpwstr>
  </property>
</Properties>
</file>