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66B8" w:rsidRPr="005F6289" w:rsidRDefault="003E738D" w:rsidP="003E738D">
      <w:pPr>
        <w:jc w:val="center"/>
        <w:rPr>
          <w:rFonts w:ascii="Times New Roman" w:hAnsi="Times New Roman" w:cs="Times New Roman"/>
          <w:b/>
        </w:rPr>
      </w:pPr>
      <w:bookmarkStart w:id="0" w:name="_GoBack"/>
      <w:bookmarkEnd w:id="0"/>
      <w:r w:rsidRPr="005F6289">
        <w:rPr>
          <w:rFonts w:ascii="Times New Roman" w:hAnsi="Times New Roman" w:cs="Times New Roman"/>
          <w:b/>
        </w:rPr>
        <w:t>UZASADNIENIE</w:t>
      </w:r>
    </w:p>
    <w:p w:rsidR="008C3A61" w:rsidRPr="005F6289" w:rsidRDefault="003E738D" w:rsidP="008C3A61">
      <w:pPr>
        <w:jc w:val="both"/>
        <w:rPr>
          <w:rFonts w:ascii="Times New Roman" w:hAnsi="Times New Roman" w:cs="Times New Roman"/>
        </w:rPr>
      </w:pPr>
      <w:r w:rsidRPr="005F6289">
        <w:rPr>
          <w:rFonts w:ascii="Times New Roman" w:hAnsi="Times New Roman" w:cs="Times New Roman"/>
        </w:rPr>
        <w:t xml:space="preserve">Projektowana uchwała Rady Ministrów zmieniająca uchwałę w sprawie zatwierdzenia Programu Ochrony Ludności i Obrony Cywilnej na lata 2025-2026 </w:t>
      </w:r>
      <w:r w:rsidR="008C3A61" w:rsidRPr="005F6289">
        <w:rPr>
          <w:rFonts w:ascii="Times New Roman" w:hAnsi="Times New Roman" w:cs="Times New Roman"/>
        </w:rPr>
        <w:t>ma na celu umożliwienie bardziej efektywnego wydatkowania środków przewidzianych w Programie i wyeliminowanie problematycznych kwestii zidentyfikowanych w początkowej fazie jego realizacji w roku 2025.</w:t>
      </w:r>
    </w:p>
    <w:p w:rsidR="00C86D8C" w:rsidRPr="005F6289" w:rsidRDefault="008C3A61" w:rsidP="008C3A61">
      <w:pPr>
        <w:jc w:val="both"/>
        <w:rPr>
          <w:rFonts w:ascii="Times New Roman" w:hAnsi="Times New Roman" w:cs="Times New Roman"/>
        </w:rPr>
      </w:pPr>
      <w:r w:rsidRPr="005F6289">
        <w:rPr>
          <w:rFonts w:ascii="Times New Roman" w:hAnsi="Times New Roman" w:cs="Times New Roman"/>
        </w:rPr>
        <w:t>Projekt przewiduje nowelizację uchwały nr 72 Rady Ministrów z dnia 27 maja 2025 r. w sprawie zatwierdzenia Programu Ochrony Ludności i Obrony Cywilnej na lata 2025-2026 (M.P. poz. 541) w</w:t>
      </w:r>
      <w:r w:rsidR="00126665" w:rsidRPr="005F6289">
        <w:rPr>
          <w:rFonts w:ascii="Times New Roman" w:hAnsi="Times New Roman" w:cs="Times New Roman"/>
        </w:rPr>
        <w:t> </w:t>
      </w:r>
      <w:r w:rsidRPr="005F6289">
        <w:rPr>
          <w:rFonts w:ascii="Times New Roman" w:hAnsi="Times New Roman" w:cs="Times New Roman"/>
        </w:rPr>
        <w:t>zakresie załącznika „Program Ochrony Ludności i Obrony Cywilnej na lata 2025-2026”</w:t>
      </w:r>
      <w:r w:rsidR="00BF7170" w:rsidRPr="005F6289">
        <w:rPr>
          <w:rFonts w:ascii="Times New Roman" w:hAnsi="Times New Roman" w:cs="Times New Roman"/>
        </w:rPr>
        <w:t>, zwanego dalej „Programem”</w:t>
      </w:r>
      <w:r w:rsidRPr="005F6289">
        <w:rPr>
          <w:rFonts w:ascii="Times New Roman" w:hAnsi="Times New Roman" w:cs="Times New Roman"/>
        </w:rPr>
        <w:t xml:space="preserve">. Zmiany mają charakter punktowy i dotyczą kluczowych kwestii, zidentyfikowanych w toku realizacji Programu w 2025 r. Zmiany </w:t>
      </w:r>
      <w:r w:rsidR="00C86D8C" w:rsidRPr="005F6289">
        <w:rPr>
          <w:rFonts w:ascii="Times New Roman" w:hAnsi="Times New Roman" w:cs="Times New Roman"/>
        </w:rPr>
        <w:t>dotyczą następujących kwestii:</w:t>
      </w:r>
    </w:p>
    <w:p w:rsidR="00B804AE" w:rsidRPr="005F6289" w:rsidRDefault="00B804AE" w:rsidP="007C764D">
      <w:pPr>
        <w:pStyle w:val="Akapitzlist"/>
        <w:numPr>
          <w:ilvl w:val="0"/>
          <w:numId w:val="3"/>
        </w:numPr>
        <w:ind w:left="284" w:hanging="284"/>
        <w:jc w:val="both"/>
        <w:rPr>
          <w:rFonts w:ascii="Times New Roman" w:hAnsi="Times New Roman" w:cs="Times New Roman"/>
        </w:rPr>
      </w:pPr>
      <w:r w:rsidRPr="005F6289">
        <w:rPr>
          <w:rFonts w:ascii="Times New Roman" w:hAnsi="Times New Roman" w:cs="Times New Roman"/>
        </w:rPr>
        <w:t xml:space="preserve">W ust. 5 Programu aktualizuje się kwoty dotyczące wydatków </w:t>
      </w:r>
      <w:r w:rsidRPr="005F6289">
        <w:rPr>
          <w:rFonts w:ascii="Times New Roman" w:hAnsi="Times New Roman" w:cs="Times New Roman"/>
          <w:iCs/>
        </w:rPr>
        <w:t xml:space="preserve">ministra właściwego do spraw zdrowia na ratownictwo medyczne oraz działalność lotniczych zespołów ratownictwa medycznego. </w:t>
      </w:r>
    </w:p>
    <w:p w:rsidR="008C3A61" w:rsidRPr="005F6289" w:rsidRDefault="00B804AE" w:rsidP="007C764D">
      <w:pPr>
        <w:pStyle w:val="Akapitzlist"/>
        <w:numPr>
          <w:ilvl w:val="0"/>
          <w:numId w:val="3"/>
        </w:numPr>
        <w:ind w:left="284" w:hanging="284"/>
        <w:jc w:val="both"/>
        <w:rPr>
          <w:rFonts w:ascii="Times New Roman" w:hAnsi="Times New Roman" w:cs="Times New Roman"/>
        </w:rPr>
      </w:pPr>
      <w:r w:rsidRPr="005F6289">
        <w:rPr>
          <w:rFonts w:ascii="Times New Roman" w:hAnsi="Times New Roman" w:cs="Times New Roman"/>
          <w:iCs/>
        </w:rPr>
        <w:t xml:space="preserve">W </w:t>
      </w:r>
      <w:r w:rsidR="00C86D8C" w:rsidRPr="005F6289">
        <w:rPr>
          <w:rFonts w:ascii="Times New Roman" w:hAnsi="Times New Roman" w:cs="Times New Roman"/>
        </w:rPr>
        <w:t xml:space="preserve"> </w:t>
      </w:r>
      <w:r w:rsidR="003740F2" w:rsidRPr="005F6289">
        <w:rPr>
          <w:rFonts w:ascii="Times New Roman" w:hAnsi="Times New Roman" w:cs="Times New Roman"/>
        </w:rPr>
        <w:t>ust.</w:t>
      </w:r>
      <w:r w:rsidR="00C86D8C" w:rsidRPr="005F6289">
        <w:rPr>
          <w:rFonts w:ascii="Times New Roman" w:hAnsi="Times New Roman" w:cs="Times New Roman"/>
        </w:rPr>
        <w:t xml:space="preserve"> 6 </w:t>
      </w:r>
      <w:r w:rsidR="00BF7170" w:rsidRPr="005F6289">
        <w:rPr>
          <w:rFonts w:ascii="Times New Roman" w:hAnsi="Times New Roman" w:cs="Times New Roman"/>
        </w:rPr>
        <w:t xml:space="preserve">Programu </w:t>
      </w:r>
      <w:r w:rsidR="00C86D8C" w:rsidRPr="005F6289">
        <w:rPr>
          <w:rFonts w:ascii="Times New Roman" w:hAnsi="Times New Roman" w:cs="Times New Roman"/>
        </w:rPr>
        <w:t xml:space="preserve"> uszczegóławia się zapisy dotyczące </w:t>
      </w:r>
      <w:r w:rsidR="001273B3" w:rsidRPr="005F6289">
        <w:rPr>
          <w:rFonts w:ascii="Times New Roman" w:hAnsi="Times New Roman" w:cs="Times New Roman"/>
        </w:rPr>
        <w:t xml:space="preserve">procesu </w:t>
      </w:r>
      <w:r w:rsidR="00C86D8C" w:rsidRPr="005F6289">
        <w:rPr>
          <w:rFonts w:ascii="Times New Roman" w:hAnsi="Times New Roman" w:cs="Times New Roman"/>
        </w:rPr>
        <w:t xml:space="preserve">opiniowania </w:t>
      </w:r>
      <w:r w:rsidR="00BF7170" w:rsidRPr="005F6289">
        <w:rPr>
          <w:rFonts w:ascii="Times New Roman" w:hAnsi="Times New Roman" w:cs="Times New Roman"/>
        </w:rPr>
        <w:t>przez Wojewódzki Zespół Zarządzania Kryzysowego</w:t>
      </w:r>
      <w:r w:rsidR="00651D0D">
        <w:rPr>
          <w:rFonts w:ascii="Times New Roman" w:hAnsi="Times New Roman" w:cs="Times New Roman"/>
        </w:rPr>
        <w:t>,</w:t>
      </w:r>
      <w:r w:rsidR="00BF7170" w:rsidRPr="005F6289">
        <w:rPr>
          <w:rFonts w:ascii="Times New Roman" w:hAnsi="Times New Roman" w:cs="Times New Roman"/>
        </w:rPr>
        <w:t xml:space="preserve"> a następnie przez Ministra Spraw Wewnętrznych i Administracji w uzgodnieniu z Ministrem Obrony Narodowej </w:t>
      </w:r>
      <w:r w:rsidR="00B33B50" w:rsidRPr="005F6289">
        <w:rPr>
          <w:rFonts w:ascii="Times New Roman" w:hAnsi="Times New Roman" w:cs="Times New Roman"/>
        </w:rPr>
        <w:t>inwestycji</w:t>
      </w:r>
      <w:r w:rsidR="00360750">
        <w:rPr>
          <w:rFonts w:ascii="Times New Roman" w:hAnsi="Times New Roman" w:cs="Times New Roman"/>
        </w:rPr>
        <w:t xml:space="preserve"> realizowanych przez wojewodów</w:t>
      </w:r>
      <w:r w:rsidR="001273B3" w:rsidRPr="005F6289">
        <w:rPr>
          <w:rFonts w:ascii="Times New Roman" w:hAnsi="Times New Roman" w:cs="Times New Roman"/>
        </w:rPr>
        <w:t>. Przy obecnym brzmieniu zapisu pojawiły się wątpliwości interpretacyjne dotyczące zakresu inwestycji, które podlegają opiniowaniu. Proponuje się uszczegółowienie zapisu przez wskazanie, że opiniow</w:t>
      </w:r>
      <w:r w:rsidR="00651D0D">
        <w:rPr>
          <w:rFonts w:ascii="Times New Roman" w:hAnsi="Times New Roman" w:cs="Times New Roman"/>
        </w:rPr>
        <w:t>aniu podlegają inwestycje budow</w:t>
      </w:r>
      <w:r w:rsidR="001273B3" w:rsidRPr="005F6289">
        <w:rPr>
          <w:rFonts w:ascii="Times New Roman" w:hAnsi="Times New Roman" w:cs="Times New Roman"/>
        </w:rPr>
        <w:t>l</w:t>
      </w:r>
      <w:r w:rsidR="00651D0D">
        <w:rPr>
          <w:rFonts w:ascii="Times New Roman" w:hAnsi="Times New Roman" w:cs="Times New Roman"/>
        </w:rPr>
        <w:t>a</w:t>
      </w:r>
      <w:r w:rsidR="001273B3" w:rsidRPr="005F6289">
        <w:rPr>
          <w:rFonts w:ascii="Times New Roman" w:hAnsi="Times New Roman" w:cs="Times New Roman"/>
        </w:rPr>
        <w:t>ne</w:t>
      </w:r>
      <w:r w:rsidR="007C764D" w:rsidRPr="005F6289">
        <w:rPr>
          <w:rFonts w:ascii="Times New Roman" w:hAnsi="Times New Roman" w:cs="Times New Roman"/>
        </w:rPr>
        <w:t xml:space="preserve"> oraz</w:t>
      </w:r>
      <w:r w:rsidR="001273B3" w:rsidRPr="005F6289">
        <w:rPr>
          <w:rFonts w:ascii="Times New Roman" w:hAnsi="Times New Roman" w:cs="Times New Roman"/>
        </w:rPr>
        <w:t xml:space="preserve"> zakupy inwestycyjne</w:t>
      </w:r>
      <w:r w:rsidR="007C764D" w:rsidRPr="005F6289">
        <w:rPr>
          <w:rFonts w:ascii="Times New Roman" w:hAnsi="Times New Roman" w:cs="Times New Roman"/>
        </w:rPr>
        <w:t xml:space="preserve"> o wartości</w:t>
      </w:r>
      <w:r w:rsidR="00360750">
        <w:rPr>
          <w:rFonts w:ascii="Times New Roman" w:hAnsi="Times New Roman" w:cs="Times New Roman"/>
        </w:rPr>
        <w:t xml:space="preserve"> powyżej 50 tys. </w:t>
      </w:r>
      <w:r w:rsidR="007C764D" w:rsidRPr="005F6289">
        <w:rPr>
          <w:rFonts w:ascii="Times New Roman" w:hAnsi="Times New Roman" w:cs="Times New Roman"/>
        </w:rPr>
        <w:t>zł</w:t>
      </w:r>
      <w:r w:rsidR="001273B3" w:rsidRPr="005F6289">
        <w:rPr>
          <w:rFonts w:ascii="Times New Roman" w:hAnsi="Times New Roman" w:cs="Times New Roman"/>
        </w:rPr>
        <w:t xml:space="preserve">. </w:t>
      </w:r>
    </w:p>
    <w:p w:rsidR="008C3A61" w:rsidRPr="005F6289" w:rsidRDefault="00B804AE" w:rsidP="008C3A61">
      <w:pPr>
        <w:pStyle w:val="Akapitzlist"/>
        <w:numPr>
          <w:ilvl w:val="0"/>
          <w:numId w:val="3"/>
        </w:numPr>
        <w:ind w:left="284" w:hanging="284"/>
        <w:jc w:val="both"/>
        <w:rPr>
          <w:rFonts w:ascii="Times New Roman" w:hAnsi="Times New Roman" w:cs="Times New Roman"/>
        </w:rPr>
      </w:pPr>
      <w:r w:rsidRPr="005F6289">
        <w:rPr>
          <w:rFonts w:ascii="Times New Roman" w:hAnsi="Times New Roman" w:cs="Times New Roman"/>
        </w:rPr>
        <w:t>Określa się, że i</w:t>
      </w:r>
      <w:r w:rsidR="008C3A61" w:rsidRPr="005F6289">
        <w:rPr>
          <w:rFonts w:ascii="Times New Roman" w:hAnsi="Times New Roman" w:cs="Times New Roman"/>
        </w:rPr>
        <w:t>lości zasobów i sprzętu wskazan</w:t>
      </w:r>
      <w:r w:rsidR="00BF7170" w:rsidRPr="005F6289">
        <w:rPr>
          <w:rFonts w:ascii="Times New Roman" w:hAnsi="Times New Roman" w:cs="Times New Roman"/>
        </w:rPr>
        <w:t xml:space="preserve">ych </w:t>
      </w:r>
      <w:r w:rsidR="008C3A61" w:rsidRPr="005F6289">
        <w:rPr>
          <w:rFonts w:ascii="Times New Roman" w:hAnsi="Times New Roman" w:cs="Times New Roman"/>
        </w:rPr>
        <w:t>w załączniku nr 1</w:t>
      </w:r>
      <w:r w:rsidR="0071325A">
        <w:rPr>
          <w:rFonts w:ascii="Times New Roman" w:hAnsi="Times New Roman" w:cs="Times New Roman"/>
        </w:rPr>
        <w:t xml:space="preserve"> do Programu</w:t>
      </w:r>
      <w:r w:rsidRPr="005F6289">
        <w:rPr>
          <w:rFonts w:ascii="Times New Roman" w:hAnsi="Times New Roman" w:cs="Times New Roman"/>
        </w:rPr>
        <w:t>,</w:t>
      </w:r>
      <w:r w:rsidR="008C3A61" w:rsidRPr="005F6289">
        <w:rPr>
          <w:rFonts w:ascii="Times New Roman" w:hAnsi="Times New Roman" w:cs="Times New Roman"/>
        </w:rPr>
        <w:t xml:space="preserve"> w</w:t>
      </w:r>
      <w:r w:rsidR="0071325A">
        <w:rPr>
          <w:rFonts w:ascii="Times New Roman" w:hAnsi="Times New Roman" w:cs="Times New Roman"/>
        </w:rPr>
        <w:t> </w:t>
      </w:r>
      <w:r w:rsidR="008C3A61" w:rsidRPr="005F6289">
        <w:rPr>
          <w:rFonts w:ascii="Times New Roman" w:hAnsi="Times New Roman" w:cs="Times New Roman"/>
        </w:rPr>
        <w:t>szczegółowych zadaniach</w:t>
      </w:r>
      <w:r w:rsidRPr="005F6289">
        <w:rPr>
          <w:rFonts w:ascii="Times New Roman" w:hAnsi="Times New Roman" w:cs="Times New Roman"/>
        </w:rPr>
        <w:t>,</w:t>
      </w:r>
      <w:r w:rsidR="008C3A61" w:rsidRPr="005F6289">
        <w:rPr>
          <w:rFonts w:ascii="Times New Roman" w:hAnsi="Times New Roman" w:cs="Times New Roman"/>
        </w:rPr>
        <w:t xml:space="preserve"> w poszczególnych obszarach</w:t>
      </w:r>
      <w:r w:rsidRPr="005F6289">
        <w:rPr>
          <w:rFonts w:ascii="Times New Roman" w:hAnsi="Times New Roman" w:cs="Times New Roman"/>
        </w:rPr>
        <w:t>,</w:t>
      </w:r>
      <w:r w:rsidR="008C3A61" w:rsidRPr="005F6289">
        <w:rPr>
          <w:rFonts w:ascii="Times New Roman" w:hAnsi="Times New Roman" w:cs="Times New Roman"/>
        </w:rPr>
        <w:t xml:space="preserve"> są ilościami minimalnymi i mogą być zwiększane. W tabeli sta</w:t>
      </w:r>
      <w:r w:rsidR="005C0805" w:rsidRPr="005F6289">
        <w:rPr>
          <w:rFonts w:ascii="Times New Roman" w:hAnsi="Times New Roman" w:cs="Times New Roman"/>
        </w:rPr>
        <w:t xml:space="preserve">nowiącej załącznik do </w:t>
      </w:r>
      <w:r w:rsidRPr="005F6289">
        <w:rPr>
          <w:rFonts w:ascii="Times New Roman" w:hAnsi="Times New Roman" w:cs="Times New Roman"/>
        </w:rPr>
        <w:t xml:space="preserve">Programu </w:t>
      </w:r>
      <w:r w:rsidR="00360750">
        <w:rPr>
          <w:rFonts w:ascii="Times New Roman" w:hAnsi="Times New Roman" w:cs="Times New Roman"/>
        </w:rPr>
        <w:t>–</w:t>
      </w:r>
      <w:r w:rsidR="008C3A61" w:rsidRPr="005F6289">
        <w:rPr>
          <w:rFonts w:ascii="Times New Roman" w:hAnsi="Times New Roman" w:cs="Times New Roman"/>
        </w:rPr>
        <w:t xml:space="preserve"> w szczególności w obszarze </w:t>
      </w:r>
      <w:r w:rsidR="00360750">
        <w:rPr>
          <w:rFonts w:ascii="Times New Roman" w:hAnsi="Times New Roman" w:cs="Times New Roman"/>
        </w:rPr>
        <w:t>3</w:t>
      </w:r>
      <w:r w:rsidR="008C3A61" w:rsidRPr="005F6289">
        <w:rPr>
          <w:rFonts w:ascii="Times New Roman" w:hAnsi="Times New Roman" w:cs="Times New Roman"/>
        </w:rPr>
        <w:t xml:space="preserve"> </w:t>
      </w:r>
      <w:r w:rsidRPr="005F6289">
        <w:rPr>
          <w:rFonts w:ascii="Times New Roman" w:hAnsi="Times New Roman" w:cs="Times New Roman"/>
        </w:rPr>
        <w:t>pn.</w:t>
      </w:r>
      <w:r w:rsidR="00360750">
        <w:rPr>
          <w:rFonts w:ascii="Times New Roman" w:hAnsi="Times New Roman" w:cs="Times New Roman"/>
        </w:rPr>
        <w:t> </w:t>
      </w:r>
      <w:r w:rsidR="008C3A61" w:rsidRPr="005F6289">
        <w:rPr>
          <w:rFonts w:ascii="Times New Roman" w:hAnsi="Times New Roman" w:cs="Times New Roman"/>
        </w:rPr>
        <w:t>„Utrzymanie i rozwój podmiotów ochrony ludności i organizacji pozarządowych, w tym krajowego systemu ratowniczo-gaśniczego, Państwowego Ratownictwa Medycznego i</w:t>
      </w:r>
      <w:r w:rsidR="0071325A">
        <w:rPr>
          <w:rFonts w:ascii="Times New Roman" w:hAnsi="Times New Roman" w:cs="Times New Roman"/>
        </w:rPr>
        <w:t> </w:t>
      </w:r>
      <w:r w:rsidR="008C3A61" w:rsidRPr="005F6289">
        <w:rPr>
          <w:rFonts w:ascii="Times New Roman" w:hAnsi="Times New Roman" w:cs="Times New Roman"/>
        </w:rPr>
        <w:t>jedn</w:t>
      </w:r>
      <w:r w:rsidR="00CC79C0" w:rsidRPr="005F6289">
        <w:rPr>
          <w:rFonts w:ascii="Times New Roman" w:hAnsi="Times New Roman" w:cs="Times New Roman"/>
        </w:rPr>
        <w:t xml:space="preserve">ostek ochrony przeciwpożarowej” </w:t>
      </w:r>
      <w:r w:rsidR="008C3A61" w:rsidRPr="005F6289">
        <w:rPr>
          <w:rFonts w:ascii="Times New Roman" w:hAnsi="Times New Roman" w:cs="Times New Roman"/>
        </w:rPr>
        <w:t>wska</w:t>
      </w:r>
      <w:r w:rsidR="00D673B6" w:rsidRPr="005F6289">
        <w:rPr>
          <w:rFonts w:ascii="Times New Roman" w:hAnsi="Times New Roman" w:cs="Times New Roman"/>
        </w:rPr>
        <w:t>zano ilość sprzętu przewidzianego</w:t>
      </w:r>
      <w:r w:rsidR="008C3A61" w:rsidRPr="005F6289">
        <w:rPr>
          <w:rFonts w:ascii="Times New Roman" w:hAnsi="Times New Roman" w:cs="Times New Roman"/>
        </w:rPr>
        <w:t xml:space="preserve"> do zakupu w ramach Programu. Nowelizacja wprowadza zasadę, zgodnie z którą </w:t>
      </w:r>
      <w:r w:rsidR="008C3A61" w:rsidRPr="005F6289">
        <w:rPr>
          <w:rFonts w:ascii="Times New Roman" w:hAnsi="Times New Roman" w:cs="Times New Roman"/>
        </w:rPr>
        <w:lastRenderedPageBreak/>
        <w:t>wiel</w:t>
      </w:r>
      <w:r w:rsidR="00173E64" w:rsidRPr="005F6289">
        <w:rPr>
          <w:rFonts w:ascii="Times New Roman" w:hAnsi="Times New Roman" w:cs="Times New Roman"/>
        </w:rPr>
        <w:t>k</w:t>
      </w:r>
      <w:r w:rsidR="008C3A61" w:rsidRPr="005F6289">
        <w:rPr>
          <w:rFonts w:ascii="Times New Roman" w:hAnsi="Times New Roman" w:cs="Times New Roman"/>
        </w:rPr>
        <w:t xml:space="preserve">ości te są wielkościami minimalnymi, nie zaś maksymalnymi i w ramach wolnych środków można zwiększyć ilość nabywanego sprzętu. Powyższe nie wpłynie na </w:t>
      </w:r>
      <w:r w:rsidR="00357C4A" w:rsidRPr="005F6289">
        <w:rPr>
          <w:rFonts w:ascii="Times New Roman" w:hAnsi="Times New Roman" w:cs="Times New Roman"/>
        </w:rPr>
        <w:t xml:space="preserve">łączną </w:t>
      </w:r>
      <w:r w:rsidR="008C3A61" w:rsidRPr="005F6289">
        <w:rPr>
          <w:rFonts w:ascii="Times New Roman" w:hAnsi="Times New Roman" w:cs="Times New Roman"/>
        </w:rPr>
        <w:t xml:space="preserve">wysokość </w:t>
      </w:r>
      <w:r w:rsidR="00B33B50" w:rsidRPr="005F6289">
        <w:rPr>
          <w:rFonts w:ascii="Times New Roman" w:hAnsi="Times New Roman" w:cs="Times New Roman"/>
        </w:rPr>
        <w:t>środków wydatkowanych na zakupy.</w:t>
      </w:r>
    </w:p>
    <w:p w:rsidR="001F21CF" w:rsidRPr="005F6289" w:rsidRDefault="001F21CF" w:rsidP="001F21CF">
      <w:pPr>
        <w:pStyle w:val="Akapitzlist"/>
        <w:numPr>
          <w:ilvl w:val="0"/>
          <w:numId w:val="3"/>
        </w:numPr>
        <w:ind w:left="284" w:hanging="284"/>
        <w:jc w:val="both"/>
        <w:rPr>
          <w:rFonts w:ascii="Times New Roman" w:hAnsi="Times New Roman" w:cs="Times New Roman"/>
        </w:rPr>
      </w:pPr>
      <w:r w:rsidRPr="005F6289">
        <w:rPr>
          <w:rFonts w:ascii="Times New Roman" w:hAnsi="Times New Roman" w:cs="Times New Roman"/>
        </w:rPr>
        <w:t>W załącznik</w:t>
      </w:r>
      <w:r w:rsidR="00605A12" w:rsidRPr="005F6289">
        <w:rPr>
          <w:rFonts w:ascii="Times New Roman" w:hAnsi="Times New Roman" w:cs="Times New Roman"/>
        </w:rPr>
        <w:t>u nr 1 do Programu</w:t>
      </w:r>
      <w:r w:rsidRPr="005F6289">
        <w:rPr>
          <w:rFonts w:ascii="Times New Roman" w:hAnsi="Times New Roman" w:cs="Times New Roman"/>
        </w:rPr>
        <w:t xml:space="preserve"> w obszarze </w:t>
      </w:r>
      <w:r w:rsidR="00360750">
        <w:rPr>
          <w:rFonts w:ascii="Times New Roman" w:hAnsi="Times New Roman" w:cs="Times New Roman"/>
        </w:rPr>
        <w:t>1</w:t>
      </w:r>
      <w:r w:rsidR="00605A12" w:rsidRPr="005F6289">
        <w:rPr>
          <w:rFonts w:ascii="Times New Roman" w:hAnsi="Times New Roman" w:cs="Times New Roman"/>
        </w:rPr>
        <w:t xml:space="preserve"> pn. „</w:t>
      </w:r>
      <w:r w:rsidR="00605A12" w:rsidRPr="009056CE">
        <w:rPr>
          <w:rFonts w:ascii="Times New Roman" w:hAnsi="Times New Roman" w:cs="Times New Roman"/>
        </w:rPr>
        <w:t>Obiekty zbiorowej ochrony”</w:t>
      </w:r>
      <w:r w:rsidRPr="005F6289">
        <w:rPr>
          <w:rFonts w:ascii="Times New Roman" w:hAnsi="Times New Roman" w:cs="Times New Roman"/>
        </w:rPr>
        <w:t xml:space="preserve"> w dziale </w:t>
      </w:r>
      <w:r w:rsidR="00360750">
        <w:rPr>
          <w:rFonts w:ascii="Times New Roman" w:hAnsi="Times New Roman" w:cs="Times New Roman"/>
        </w:rPr>
        <w:t>pierwszym</w:t>
      </w:r>
      <w:r w:rsidR="00605A12" w:rsidRPr="005F6289">
        <w:rPr>
          <w:rFonts w:ascii="Times New Roman" w:hAnsi="Times New Roman" w:cs="Times New Roman"/>
        </w:rPr>
        <w:t xml:space="preserve"> – „</w:t>
      </w:r>
      <w:r w:rsidR="00605A12" w:rsidRPr="009056CE">
        <w:rPr>
          <w:rFonts w:ascii="Times New Roman" w:hAnsi="Times New Roman" w:cs="Times New Roman"/>
        </w:rPr>
        <w:t>BUDOWA BUDOWLI OCHRONNYCH ZAPEWNIAJĄCYCH PRZETRWANIE W</w:t>
      </w:r>
      <w:r w:rsidR="00360750">
        <w:rPr>
          <w:rFonts w:ascii="Times New Roman" w:hAnsi="Times New Roman" w:cs="Times New Roman"/>
        </w:rPr>
        <w:t> </w:t>
      </w:r>
      <w:r w:rsidR="005F6289" w:rsidRPr="005F6289">
        <w:rPr>
          <w:rFonts w:ascii="Times New Roman" w:hAnsi="Times New Roman" w:cs="Times New Roman"/>
        </w:rPr>
        <w:t>PRZYPADKU WYSTĄPIENIA SKAŻEŃ I</w:t>
      </w:r>
      <w:r w:rsidR="005F6289">
        <w:rPr>
          <w:rFonts w:ascii="Times New Roman" w:hAnsi="Times New Roman" w:cs="Times New Roman"/>
        </w:rPr>
        <w:t> </w:t>
      </w:r>
      <w:r w:rsidR="00605A12" w:rsidRPr="009056CE">
        <w:rPr>
          <w:rFonts w:ascii="Times New Roman" w:hAnsi="Times New Roman" w:cs="Times New Roman"/>
        </w:rPr>
        <w:t>UDERZEŃ Z POWIETRZA”,</w:t>
      </w:r>
      <w:r w:rsidRPr="005F6289">
        <w:rPr>
          <w:rFonts w:ascii="Times New Roman" w:hAnsi="Times New Roman" w:cs="Times New Roman"/>
        </w:rPr>
        <w:t xml:space="preserve"> w kolumnie „Szczegółowe zadania w poszczególnych obszarach” zdanie „Dokonywanie bieżących przeglądów obiektów zbiorowej ochrony oraz inwentaryzacje, oceny lub ekspertyzy techniczne dotyczące odporności i zakresu przebudowy dotychczasowych budowli ochronnych uznawanych za schrony lub ukrycia.” uzupełnia się o wyrazy „</w:t>
      </w:r>
      <w:r w:rsidR="00651D0D">
        <w:rPr>
          <w:rFonts w:ascii="Times New Roman" w:hAnsi="Times New Roman" w:cs="Times New Roman"/>
        </w:rPr>
        <w:t xml:space="preserve"> ,</w:t>
      </w:r>
      <w:r w:rsidRPr="005F6289">
        <w:rPr>
          <w:rFonts w:ascii="Times New Roman" w:hAnsi="Times New Roman" w:cs="Times New Roman"/>
        </w:rPr>
        <w:t>obiektów i</w:t>
      </w:r>
      <w:r w:rsidR="005F6289">
        <w:rPr>
          <w:rFonts w:ascii="Times New Roman" w:hAnsi="Times New Roman" w:cs="Times New Roman"/>
        </w:rPr>
        <w:t> </w:t>
      </w:r>
      <w:r w:rsidRPr="005F6289">
        <w:rPr>
          <w:rFonts w:ascii="Times New Roman" w:hAnsi="Times New Roman" w:cs="Times New Roman"/>
        </w:rPr>
        <w:t>miejsc planowanych do organizacji miejsc doraźnego schronienia oraz obiektów, które do tej pory nie peł</w:t>
      </w:r>
      <w:r w:rsidR="00651D0D">
        <w:rPr>
          <w:rFonts w:ascii="Times New Roman" w:hAnsi="Times New Roman" w:cs="Times New Roman"/>
        </w:rPr>
        <w:t xml:space="preserve">niły funkcji budowli ochronnych, </w:t>
      </w:r>
      <w:r w:rsidRPr="005F6289">
        <w:rPr>
          <w:rFonts w:ascii="Times New Roman" w:hAnsi="Times New Roman" w:cs="Times New Roman"/>
        </w:rPr>
        <w:t>ale m</w:t>
      </w:r>
      <w:r w:rsidR="00CC79C0" w:rsidRPr="005F6289">
        <w:rPr>
          <w:rFonts w:ascii="Times New Roman" w:hAnsi="Times New Roman" w:cs="Times New Roman"/>
        </w:rPr>
        <w:t xml:space="preserve">ogą tę funkcję spełniać.”. </w:t>
      </w:r>
      <w:r w:rsidRPr="005F6289">
        <w:rPr>
          <w:rFonts w:ascii="Times New Roman" w:hAnsi="Times New Roman" w:cs="Times New Roman"/>
        </w:rPr>
        <w:t>Uzupełnienie</w:t>
      </w:r>
      <w:r w:rsidR="00605A12" w:rsidRPr="005F6289">
        <w:rPr>
          <w:rFonts w:ascii="Times New Roman" w:hAnsi="Times New Roman" w:cs="Times New Roman"/>
        </w:rPr>
        <w:t xml:space="preserve"> to</w:t>
      </w:r>
      <w:r w:rsidRPr="005F6289">
        <w:rPr>
          <w:rFonts w:ascii="Times New Roman" w:hAnsi="Times New Roman" w:cs="Times New Roman"/>
        </w:rPr>
        <w:t xml:space="preserve"> pozwoli na uniknięcie wątpliwości interpretacyjnych co do możliwości finansowania ekspertyz technicznych dotyczących odporności i zakresu przebudowy wobec obiektów i miejsc, w których organy ochrony ludności potencjalnie mogłyby zaplanować organizację miejsc doraźnego schronienia oraz wobec obiektów, które do tej pory nie były budowlami ochronnymi, ale taką funkcję mogłyby spełniać.  Umożliwi to organom ochrony ludności wykonywanie zadania planowania niezbędnej liczby i</w:t>
      </w:r>
      <w:r w:rsidR="005F6289">
        <w:rPr>
          <w:rFonts w:ascii="Times New Roman" w:hAnsi="Times New Roman" w:cs="Times New Roman"/>
        </w:rPr>
        <w:t> </w:t>
      </w:r>
      <w:r w:rsidRPr="005F6289">
        <w:rPr>
          <w:rFonts w:ascii="Times New Roman" w:hAnsi="Times New Roman" w:cs="Times New Roman"/>
        </w:rPr>
        <w:t xml:space="preserve">pojemności obiektów zbiorowej ochrony na administrowanym terenie. </w:t>
      </w:r>
    </w:p>
    <w:p w:rsidR="001F21CF" w:rsidRPr="005F6289" w:rsidRDefault="001F21CF" w:rsidP="00D31B2E">
      <w:pPr>
        <w:pStyle w:val="Akapitzlist"/>
        <w:numPr>
          <w:ilvl w:val="0"/>
          <w:numId w:val="3"/>
        </w:numPr>
        <w:ind w:left="284" w:hanging="284"/>
        <w:jc w:val="both"/>
        <w:rPr>
          <w:rFonts w:ascii="Times New Roman" w:hAnsi="Times New Roman" w:cs="Times New Roman"/>
        </w:rPr>
      </w:pPr>
      <w:r w:rsidRPr="005F6289">
        <w:rPr>
          <w:rFonts w:ascii="Times New Roman" w:hAnsi="Times New Roman" w:cs="Times New Roman"/>
        </w:rPr>
        <w:t xml:space="preserve">W </w:t>
      </w:r>
      <w:r w:rsidR="00CC79C0" w:rsidRPr="005F6289">
        <w:rPr>
          <w:rFonts w:ascii="Times New Roman" w:hAnsi="Times New Roman" w:cs="Times New Roman"/>
        </w:rPr>
        <w:t>załącznik</w:t>
      </w:r>
      <w:r w:rsidR="00605A12" w:rsidRPr="005F6289">
        <w:rPr>
          <w:rFonts w:ascii="Times New Roman" w:hAnsi="Times New Roman" w:cs="Times New Roman"/>
        </w:rPr>
        <w:t>u nr 1</w:t>
      </w:r>
      <w:r w:rsidR="00CC79C0" w:rsidRPr="005F6289">
        <w:rPr>
          <w:rFonts w:ascii="Times New Roman" w:hAnsi="Times New Roman" w:cs="Times New Roman"/>
        </w:rPr>
        <w:t xml:space="preserve"> do Programu </w:t>
      </w:r>
      <w:r w:rsidRPr="005F6289">
        <w:rPr>
          <w:rFonts w:ascii="Times New Roman" w:hAnsi="Times New Roman" w:cs="Times New Roman"/>
        </w:rPr>
        <w:t xml:space="preserve">w obszarze </w:t>
      </w:r>
      <w:r w:rsidR="00360750">
        <w:rPr>
          <w:rFonts w:ascii="Times New Roman" w:hAnsi="Times New Roman" w:cs="Times New Roman"/>
        </w:rPr>
        <w:t>2</w:t>
      </w:r>
      <w:r w:rsidRPr="005F6289">
        <w:rPr>
          <w:rFonts w:ascii="Times New Roman" w:hAnsi="Times New Roman" w:cs="Times New Roman"/>
        </w:rPr>
        <w:t xml:space="preserve"> </w:t>
      </w:r>
      <w:r w:rsidR="00605A12" w:rsidRPr="005F6289">
        <w:rPr>
          <w:rFonts w:ascii="Times New Roman" w:hAnsi="Times New Roman" w:cs="Times New Roman"/>
        </w:rPr>
        <w:t>pn. „</w:t>
      </w:r>
      <w:r w:rsidR="00605A12" w:rsidRPr="009056CE">
        <w:rPr>
          <w:rFonts w:ascii="Times New Roman" w:hAnsi="Times New Roman" w:cs="Times New Roman"/>
        </w:rPr>
        <w:t>Zabezpieczenie logistyczne i zapewnienie ciągłości dostaw</w:t>
      </w:r>
      <w:r w:rsidR="00605A12" w:rsidRPr="005F6289">
        <w:rPr>
          <w:rFonts w:ascii="Times New Roman" w:hAnsi="Times New Roman" w:cs="Times New Roman"/>
        </w:rPr>
        <w:t xml:space="preserve">”, </w:t>
      </w:r>
      <w:r w:rsidRPr="005F6289">
        <w:rPr>
          <w:rFonts w:ascii="Times New Roman" w:hAnsi="Times New Roman" w:cs="Times New Roman"/>
        </w:rPr>
        <w:t xml:space="preserve">w dziale </w:t>
      </w:r>
      <w:r w:rsidR="00360750">
        <w:rPr>
          <w:rFonts w:ascii="Times New Roman" w:hAnsi="Times New Roman" w:cs="Times New Roman"/>
        </w:rPr>
        <w:t>pierwszym</w:t>
      </w:r>
      <w:r w:rsidR="00605A12" w:rsidRPr="005F6289">
        <w:rPr>
          <w:rFonts w:ascii="Times New Roman" w:hAnsi="Times New Roman" w:cs="Times New Roman"/>
        </w:rPr>
        <w:t xml:space="preserve"> – „</w:t>
      </w:r>
      <w:r w:rsidR="005F6289" w:rsidRPr="009056CE">
        <w:rPr>
          <w:rFonts w:ascii="Times New Roman" w:hAnsi="Times New Roman" w:cs="Times New Roman"/>
        </w:rPr>
        <w:t>UZUPEŁNIENIE ZASOBÓW I </w:t>
      </w:r>
      <w:r w:rsidR="00605A12" w:rsidRPr="009056CE">
        <w:rPr>
          <w:rFonts w:ascii="Times New Roman" w:hAnsi="Times New Roman" w:cs="Times New Roman"/>
        </w:rPr>
        <w:t>INFRASTRUKTURY NIEZBĘDNEJ DO REALIZACJI ZADAŃ OLiOC”</w:t>
      </w:r>
      <w:r w:rsidR="00CC79C0" w:rsidRPr="005F6289">
        <w:rPr>
          <w:rFonts w:ascii="Times New Roman" w:hAnsi="Times New Roman" w:cs="Times New Roman"/>
        </w:rPr>
        <w:t xml:space="preserve"> dodaje się z</w:t>
      </w:r>
      <w:r w:rsidRPr="005F6289">
        <w:rPr>
          <w:rFonts w:ascii="Times New Roman" w:hAnsi="Times New Roman" w:cs="Times New Roman"/>
        </w:rPr>
        <w:t>danie dotyczące zakupu materiałów i sprzętu na potrzeby rozśrodkowania i ewakuacji d</w:t>
      </w:r>
      <w:r w:rsidR="00CC79C0" w:rsidRPr="005F6289">
        <w:rPr>
          <w:rFonts w:ascii="Times New Roman" w:hAnsi="Times New Roman" w:cs="Times New Roman"/>
        </w:rPr>
        <w:t>óbr kultury. Ponadto w kolumnie</w:t>
      </w:r>
      <w:r w:rsidRPr="005F6289">
        <w:rPr>
          <w:rFonts w:ascii="Times New Roman" w:hAnsi="Times New Roman" w:cs="Times New Roman"/>
        </w:rPr>
        <w:t xml:space="preserve"> „Organy, podmioty i działy administracji rządowej realizujące zadania OLiOC” uzupełnia się katalog podmiotów realizujących zadania ochrony ludności i obrony cywilnej </w:t>
      </w:r>
      <w:r w:rsidR="00CC79C0" w:rsidRPr="005F6289">
        <w:rPr>
          <w:rFonts w:ascii="Times New Roman" w:hAnsi="Times New Roman" w:cs="Times New Roman"/>
        </w:rPr>
        <w:t>o </w:t>
      </w:r>
      <w:r w:rsidRPr="005F6289">
        <w:rPr>
          <w:rFonts w:ascii="Times New Roman" w:hAnsi="Times New Roman" w:cs="Times New Roman"/>
        </w:rPr>
        <w:t xml:space="preserve">MSWiA i podmioty ochrony ludności. Dodanie ww. zadania </w:t>
      </w:r>
      <w:r w:rsidR="00D31B2E" w:rsidRPr="005F6289">
        <w:rPr>
          <w:rFonts w:ascii="Times New Roman" w:hAnsi="Times New Roman" w:cs="Times New Roman"/>
        </w:rPr>
        <w:t xml:space="preserve">będzie podstawą dla </w:t>
      </w:r>
      <w:r w:rsidRPr="005F6289">
        <w:rPr>
          <w:rFonts w:ascii="Times New Roman" w:hAnsi="Times New Roman" w:cs="Times New Roman"/>
        </w:rPr>
        <w:t>podmio</w:t>
      </w:r>
      <w:r w:rsidR="00D31B2E" w:rsidRPr="005F6289">
        <w:rPr>
          <w:rFonts w:ascii="Times New Roman" w:hAnsi="Times New Roman" w:cs="Times New Roman"/>
        </w:rPr>
        <w:t>tów</w:t>
      </w:r>
      <w:r w:rsidRPr="005F6289">
        <w:rPr>
          <w:rFonts w:ascii="Times New Roman" w:hAnsi="Times New Roman" w:cs="Times New Roman"/>
        </w:rPr>
        <w:t xml:space="preserve"> ochrony ludności określon</w:t>
      </w:r>
      <w:r w:rsidR="00D31B2E" w:rsidRPr="005F6289">
        <w:rPr>
          <w:rFonts w:ascii="Times New Roman" w:hAnsi="Times New Roman" w:cs="Times New Roman"/>
        </w:rPr>
        <w:t>ych</w:t>
      </w:r>
      <w:r w:rsidRPr="005F6289">
        <w:rPr>
          <w:rFonts w:ascii="Times New Roman" w:hAnsi="Times New Roman" w:cs="Times New Roman"/>
        </w:rPr>
        <w:t xml:space="preserve"> w</w:t>
      </w:r>
      <w:r w:rsidR="00360750">
        <w:rPr>
          <w:rFonts w:ascii="Times New Roman" w:hAnsi="Times New Roman" w:cs="Times New Roman"/>
        </w:rPr>
        <w:t> art. </w:t>
      </w:r>
      <w:r w:rsidRPr="005F6289">
        <w:rPr>
          <w:rFonts w:ascii="Times New Roman" w:hAnsi="Times New Roman" w:cs="Times New Roman"/>
        </w:rPr>
        <w:t xml:space="preserve">17 pkt 26 ustawy z dnia 5 grudnia 2024 r. o ochronie ludności </w:t>
      </w:r>
      <w:r w:rsidR="00360750">
        <w:rPr>
          <w:rFonts w:ascii="Times New Roman" w:hAnsi="Times New Roman" w:cs="Times New Roman"/>
        </w:rPr>
        <w:t>i obronie cywilnej (Dz. U. poz. </w:t>
      </w:r>
      <w:r w:rsidRPr="005F6289">
        <w:rPr>
          <w:rFonts w:ascii="Times New Roman" w:hAnsi="Times New Roman" w:cs="Times New Roman"/>
        </w:rPr>
        <w:t>1907)</w:t>
      </w:r>
      <w:r w:rsidR="00360750">
        <w:rPr>
          <w:rFonts w:ascii="Times New Roman" w:hAnsi="Times New Roman" w:cs="Times New Roman"/>
        </w:rPr>
        <w:t>, zwanej dalej „ustawą”,</w:t>
      </w:r>
      <w:r w:rsidR="00D31B2E" w:rsidRPr="005F6289">
        <w:rPr>
          <w:rFonts w:ascii="Times New Roman" w:hAnsi="Times New Roman" w:cs="Times New Roman"/>
        </w:rPr>
        <w:t xml:space="preserve"> do występowania </w:t>
      </w:r>
      <w:r w:rsidR="00D31B2E" w:rsidRPr="005F6289">
        <w:rPr>
          <w:rFonts w:ascii="Times New Roman" w:hAnsi="Times New Roman" w:cs="Times New Roman"/>
        </w:rPr>
        <w:lastRenderedPageBreak/>
        <w:t>do właśc</w:t>
      </w:r>
      <w:r w:rsidR="00CC79C0" w:rsidRPr="005F6289">
        <w:rPr>
          <w:rFonts w:ascii="Times New Roman" w:hAnsi="Times New Roman" w:cs="Times New Roman"/>
        </w:rPr>
        <w:t>iwych organów obrony cywilnej z </w:t>
      </w:r>
      <w:r w:rsidR="00D31B2E" w:rsidRPr="005F6289">
        <w:rPr>
          <w:rFonts w:ascii="Times New Roman" w:hAnsi="Times New Roman" w:cs="Times New Roman"/>
        </w:rPr>
        <w:t>wnioskami o</w:t>
      </w:r>
      <w:r w:rsidR="00605A12" w:rsidRPr="005F6289">
        <w:rPr>
          <w:rFonts w:ascii="Times New Roman" w:hAnsi="Times New Roman" w:cs="Times New Roman"/>
        </w:rPr>
        <w:t> </w:t>
      </w:r>
      <w:r w:rsidR="00D31B2E" w:rsidRPr="005F6289">
        <w:rPr>
          <w:rFonts w:ascii="Times New Roman" w:hAnsi="Times New Roman" w:cs="Times New Roman"/>
        </w:rPr>
        <w:t>przydzielenie środków finansowych w celu zakupu niezbędnego sprzętu i materiałów do realizacji zadań ochronnych i ewakuacyjnych dóbr kultury.</w:t>
      </w:r>
    </w:p>
    <w:p w:rsidR="00356FFC" w:rsidRPr="005F6289" w:rsidRDefault="00D31B2E" w:rsidP="00367565">
      <w:pPr>
        <w:pStyle w:val="Akapitzlist"/>
        <w:numPr>
          <w:ilvl w:val="0"/>
          <w:numId w:val="3"/>
        </w:numPr>
        <w:ind w:left="284" w:hanging="284"/>
        <w:jc w:val="both"/>
        <w:rPr>
          <w:rFonts w:ascii="Times New Roman" w:hAnsi="Times New Roman" w:cs="Times New Roman"/>
        </w:rPr>
      </w:pPr>
      <w:r w:rsidRPr="005F6289">
        <w:rPr>
          <w:rFonts w:ascii="Times New Roman" w:hAnsi="Times New Roman" w:cs="Times New Roman"/>
        </w:rPr>
        <w:t xml:space="preserve">W </w:t>
      </w:r>
      <w:r w:rsidR="00CC79C0" w:rsidRPr="005F6289">
        <w:rPr>
          <w:rFonts w:ascii="Times New Roman" w:hAnsi="Times New Roman" w:cs="Times New Roman"/>
        </w:rPr>
        <w:t>załącznik</w:t>
      </w:r>
      <w:r w:rsidR="00605A12" w:rsidRPr="005F6289">
        <w:rPr>
          <w:rFonts w:ascii="Times New Roman" w:hAnsi="Times New Roman" w:cs="Times New Roman"/>
        </w:rPr>
        <w:t>u nr 1</w:t>
      </w:r>
      <w:r w:rsidR="00CC79C0" w:rsidRPr="005F6289">
        <w:rPr>
          <w:rFonts w:ascii="Times New Roman" w:hAnsi="Times New Roman" w:cs="Times New Roman"/>
        </w:rPr>
        <w:t xml:space="preserve"> do Programu</w:t>
      </w:r>
      <w:r w:rsidRPr="005F6289">
        <w:rPr>
          <w:rFonts w:ascii="Times New Roman" w:hAnsi="Times New Roman" w:cs="Times New Roman"/>
        </w:rPr>
        <w:t xml:space="preserve"> w obszarze </w:t>
      </w:r>
      <w:r w:rsidR="00360750">
        <w:rPr>
          <w:rFonts w:ascii="Times New Roman" w:hAnsi="Times New Roman" w:cs="Times New Roman"/>
        </w:rPr>
        <w:t>2</w:t>
      </w:r>
      <w:r w:rsidRPr="005F6289">
        <w:rPr>
          <w:rFonts w:ascii="Times New Roman" w:hAnsi="Times New Roman" w:cs="Times New Roman"/>
        </w:rPr>
        <w:t xml:space="preserve"> </w:t>
      </w:r>
      <w:r w:rsidR="00605A12" w:rsidRPr="005F6289">
        <w:rPr>
          <w:rFonts w:ascii="Times New Roman" w:hAnsi="Times New Roman" w:cs="Times New Roman"/>
        </w:rPr>
        <w:t>pn. „</w:t>
      </w:r>
      <w:r w:rsidR="00605A12" w:rsidRPr="009056CE">
        <w:rPr>
          <w:rFonts w:ascii="Times New Roman" w:hAnsi="Times New Roman" w:cs="Times New Roman"/>
        </w:rPr>
        <w:t>Zabezpieczenie logistyczne i zapewnienie ciągłości dostaw</w:t>
      </w:r>
      <w:r w:rsidR="00605A12" w:rsidRPr="005F6289">
        <w:rPr>
          <w:rFonts w:ascii="Times New Roman" w:hAnsi="Times New Roman" w:cs="Times New Roman"/>
        </w:rPr>
        <w:t xml:space="preserve">”, </w:t>
      </w:r>
      <w:r w:rsidRPr="005F6289">
        <w:rPr>
          <w:rFonts w:ascii="Times New Roman" w:hAnsi="Times New Roman" w:cs="Times New Roman"/>
        </w:rPr>
        <w:t xml:space="preserve">w dziale </w:t>
      </w:r>
      <w:r w:rsidR="00360750">
        <w:rPr>
          <w:rFonts w:ascii="Times New Roman" w:hAnsi="Times New Roman" w:cs="Times New Roman"/>
        </w:rPr>
        <w:t>drugim</w:t>
      </w:r>
      <w:r w:rsidR="00605A12" w:rsidRPr="005F6289">
        <w:rPr>
          <w:rFonts w:ascii="Times New Roman" w:hAnsi="Times New Roman" w:cs="Times New Roman"/>
        </w:rPr>
        <w:t xml:space="preserve"> – „</w:t>
      </w:r>
      <w:r w:rsidR="00605A12" w:rsidRPr="009056CE">
        <w:rPr>
          <w:rFonts w:ascii="Times New Roman" w:hAnsi="Times New Roman" w:cs="Times New Roman"/>
        </w:rPr>
        <w:t>ZAPEWNIENIE CIĄGŁOŚCI DOSTAW PODSTAWOWYCH USŁUG”</w:t>
      </w:r>
      <w:r w:rsidR="00605A12" w:rsidRPr="005F6289">
        <w:rPr>
          <w:rFonts w:ascii="Times New Roman" w:hAnsi="Times New Roman" w:cs="Times New Roman"/>
        </w:rPr>
        <w:t xml:space="preserve"> </w:t>
      </w:r>
      <w:r w:rsidRPr="005F6289">
        <w:rPr>
          <w:rFonts w:ascii="Times New Roman" w:hAnsi="Times New Roman" w:cs="Times New Roman"/>
        </w:rPr>
        <w:t>uzupełnia się zadanie dotyczące zapewnienia ciągłości dostaw energii elektrycznej, paliwa, łączności, usług teleinformatycznych i transportu o organizację i</w:t>
      </w:r>
      <w:r w:rsidR="00360750">
        <w:rPr>
          <w:rFonts w:ascii="Times New Roman" w:hAnsi="Times New Roman" w:cs="Times New Roman"/>
        </w:rPr>
        <w:t> </w:t>
      </w:r>
      <w:r w:rsidRPr="005F6289">
        <w:rPr>
          <w:rFonts w:ascii="Times New Roman" w:hAnsi="Times New Roman" w:cs="Times New Roman"/>
        </w:rPr>
        <w:t>utrzymanie łańcuchów dostaw artykułów pierwszej potrzeby – w szczególności żywności, wody, środków higienicznych, produktów leczniczych, odzieży i posłania. Dodanie tego szczegółowego zadania w</w:t>
      </w:r>
      <w:r w:rsidR="00605A12" w:rsidRPr="005F6289">
        <w:rPr>
          <w:rFonts w:ascii="Times New Roman" w:hAnsi="Times New Roman" w:cs="Times New Roman"/>
        </w:rPr>
        <w:t> </w:t>
      </w:r>
      <w:r w:rsidRPr="005F6289">
        <w:rPr>
          <w:rFonts w:ascii="Times New Roman" w:hAnsi="Times New Roman" w:cs="Times New Roman"/>
        </w:rPr>
        <w:t xml:space="preserve">tym obszarze koresponduje z </w:t>
      </w:r>
      <w:r w:rsidR="00605A12" w:rsidRPr="005F6289">
        <w:rPr>
          <w:rFonts w:ascii="Times New Roman" w:hAnsi="Times New Roman" w:cs="Times New Roman"/>
        </w:rPr>
        <w:t xml:space="preserve">regulacjami </w:t>
      </w:r>
      <w:r w:rsidRPr="005F6289">
        <w:rPr>
          <w:rFonts w:ascii="Times New Roman" w:hAnsi="Times New Roman" w:cs="Times New Roman"/>
        </w:rPr>
        <w:t>art. 33 ust. 1,</w:t>
      </w:r>
      <w:r w:rsidR="00CC79C0" w:rsidRPr="005F6289">
        <w:rPr>
          <w:rFonts w:ascii="Times New Roman" w:hAnsi="Times New Roman" w:cs="Times New Roman"/>
        </w:rPr>
        <w:t xml:space="preserve"> </w:t>
      </w:r>
      <w:r w:rsidRPr="005F6289">
        <w:rPr>
          <w:rFonts w:ascii="Times New Roman" w:hAnsi="Times New Roman" w:cs="Times New Roman"/>
        </w:rPr>
        <w:t>3 i 4 ustawy oraz §</w:t>
      </w:r>
      <w:r w:rsidR="00CC79C0" w:rsidRPr="005F6289">
        <w:rPr>
          <w:rFonts w:ascii="Times New Roman" w:hAnsi="Times New Roman" w:cs="Times New Roman"/>
        </w:rPr>
        <w:t xml:space="preserve"> </w:t>
      </w:r>
      <w:r w:rsidRPr="005F6289">
        <w:rPr>
          <w:rFonts w:ascii="Times New Roman" w:hAnsi="Times New Roman" w:cs="Times New Roman"/>
        </w:rPr>
        <w:t>3</w:t>
      </w:r>
      <w:r w:rsidR="00CC79C0" w:rsidRPr="005F6289">
        <w:rPr>
          <w:rFonts w:ascii="Times New Roman" w:hAnsi="Times New Roman" w:cs="Times New Roman"/>
        </w:rPr>
        <w:t xml:space="preserve"> rozporządzenia Ministra Spraw W</w:t>
      </w:r>
      <w:r w:rsidRPr="005F6289">
        <w:rPr>
          <w:rFonts w:ascii="Times New Roman" w:hAnsi="Times New Roman" w:cs="Times New Roman"/>
        </w:rPr>
        <w:t>ewnętrznych i Administracji z dnia 28 sierpnia 2025 r. w sprawie sposobu utrzymywania zasobów ochrony ludności przez obowiąza</w:t>
      </w:r>
      <w:r w:rsidR="00294B44">
        <w:rPr>
          <w:rFonts w:ascii="Times New Roman" w:hAnsi="Times New Roman" w:cs="Times New Roman"/>
        </w:rPr>
        <w:t>ne organy ochrony ludności (Dz. </w:t>
      </w:r>
      <w:r w:rsidRPr="005F6289">
        <w:rPr>
          <w:rFonts w:ascii="Times New Roman" w:hAnsi="Times New Roman" w:cs="Times New Roman"/>
        </w:rPr>
        <w:t>U. poz. 1201).</w:t>
      </w:r>
      <w:r w:rsidR="00356FFC" w:rsidRPr="005F6289">
        <w:rPr>
          <w:rFonts w:ascii="Times New Roman" w:hAnsi="Times New Roman" w:cs="Times New Roman"/>
        </w:rPr>
        <w:t xml:space="preserve"> </w:t>
      </w:r>
    </w:p>
    <w:p w:rsidR="00D31B2E" w:rsidRPr="005F6289" w:rsidRDefault="00356FFC" w:rsidP="00367565">
      <w:pPr>
        <w:pStyle w:val="Akapitzlist"/>
        <w:ind w:left="284"/>
        <w:jc w:val="both"/>
        <w:rPr>
          <w:rFonts w:ascii="Times New Roman" w:hAnsi="Times New Roman" w:cs="Times New Roman"/>
        </w:rPr>
      </w:pPr>
      <w:r w:rsidRPr="005F6289">
        <w:rPr>
          <w:rFonts w:ascii="Times New Roman" w:hAnsi="Times New Roman" w:cs="Times New Roman"/>
        </w:rPr>
        <w:t>Ponadto zadanie dotyczące wytyczenia lub rozbudowy dróg dojazdowych (oraz dróg zapasowych) do podmiotów leczniczych przewidzianych do hospitalizacji rannych uzupełnia się o budowę tych dróg oraz rozszerza katalog obiektów docelowych o obiekty planowane na miejsca pomocy doraźnej, humanitarnej i plac</w:t>
      </w:r>
      <w:r w:rsidR="00360750">
        <w:rPr>
          <w:rFonts w:ascii="Times New Roman" w:hAnsi="Times New Roman" w:cs="Times New Roman"/>
        </w:rPr>
        <w:t>e</w:t>
      </w:r>
      <w:r w:rsidRPr="005F6289">
        <w:rPr>
          <w:rFonts w:ascii="Times New Roman" w:hAnsi="Times New Roman" w:cs="Times New Roman"/>
        </w:rPr>
        <w:t xml:space="preserve"> przeładunkow</w:t>
      </w:r>
      <w:r w:rsidR="00360750">
        <w:rPr>
          <w:rFonts w:ascii="Times New Roman" w:hAnsi="Times New Roman" w:cs="Times New Roman"/>
        </w:rPr>
        <w:t>e</w:t>
      </w:r>
      <w:r w:rsidRPr="005F6289">
        <w:rPr>
          <w:rFonts w:ascii="Times New Roman" w:hAnsi="Times New Roman" w:cs="Times New Roman"/>
        </w:rPr>
        <w:t>. Wiele terytorialnych organów ochrony ludności planuje tworzenie miejsc pomocy doraźnej i humanitarn</w:t>
      </w:r>
      <w:r w:rsidR="00360750">
        <w:rPr>
          <w:rFonts w:ascii="Times New Roman" w:hAnsi="Times New Roman" w:cs="Times New Roman"/>
        </w:rPr>
        <w:t xml:space="preserve">ej oraz placów przeładunkowych </w:t>
      </w:r>
      <w:r w:rsidRPr="005F6289">
        <w:rPr>
          <w:rFonts w:ascii="Times New Roman" w:hAnsi="Times New Roman" w:cs="Times New Roman"/>
        </w:rPr>
        <w:t>na bazie obiektów będących w ich dyspozycji</w:t>
      </w:r>
      <w:r w:rsidR="00CC79C0" w:rsidRPr="005F6289">
        <w:rPr>
          <w:rFonts w:ascii="Times New Roman" w:hAnsi="Times New Roman" w:cs="Times New Roman"/>
        </w:rPr>
        <w:t>,</w:t>
      </w:r>
      <w:r w:rsidRPr="005F6289">
        <w:rPr>
          <w:rFonts w:ascii="Times New Roman" w:hAnsi="Times New Roman" w:cs="Times New Roman"/>
        </w:rPr>
        <w:t xml:space="preserve"> tj. obiektów MOSiR, stadionów, szkół, placów targowisk i innych obiektów użyteczności publicznej. W wielu przypadkach te obiekty nie były planowane pod wzmożony ruch pojazdów w szczególności wielkogabarytowych (busy i</w:t>
      </w:r>
      <w:r w:rsidR="00605A12" w:rsidRPr="005F6289">
        <w:rPr>
          <w:rFonts w:ascii="Times New Roman" w:hAnsi="Times New Roman" w:cs="Times New Roman"/>
        </w:rPr>
        <w:t> </w:t>
      </w:r>
      <w:r w:rsidRPr="005F6289">
        <w:rPr>
          <w:rFonts w:ascii="Times New Roman" w:hAnsi="Times New Roman" w:cs="Times New Roman"/>
        </w:rPr>
        <w:t>autobusy z ludnością, pojazdy ciężarowe i naczepy z dostawami artykułów pierwszej potrzeby, wodą</w:t>
      </w:r>
      <w:r w:rsidR="00294B44">
        <w:rPr>
          <w:rFonts w:ascii="Times New Roman" w:hAnsi="Times New Roman" w:cs="Times New Roman"/>
        </w:rPr>
        <w:t>,</w:t>
      </w:r>
      <w:r w:rsidRPr="005F6289">
        <w:rPr>
          <w:rFonts w:ascii="Times New Roman" w:hAnsi="Times New Roman" w:cs="Times New Roman"/>
        </w:rPr>
        <w:t xml:space="preserve"> itp.). Do treści zadania dodano wyraz „budowa” ponieważ samo wytyczenie drogi nie obejmuje jej budowy.</w:t>
      </w:r>
    </w:p>
    <w:p w:rsidR="00356FFC" w:rsidRPr="005F6289" w:rsidRDefault="00356FFC" w:rsidP="00367565">
      <w:pPr>
        <w:pStyle w:val="Akapitzlist"/>
        <w:ind w:left="284"/>
        <w:jc w:val="both"/>
        <w:rPr>
          <w:rFonts w:ascii="Times New Roman" w:hAnsi="Times New Roman" w:cs="Times New Roman"/>
        </w:rPr>
      </w:pPr>
      <w:r w:rsidRPr="005F6289">
        <w:rPr>
          <w:rFonts w:ascii="Times New Roman" w:hAnsi="Times New Roman" w:cs="Times New Roman"/>
        </w:rPr>
        <w:t>Dodaje się także nowe zadanie obejmujące dostosowanie infrastruktury lotnisk aeroklubów i lotnisk lokalnych do działań w sytuacjach kryzysowych, w szczególności w celu przyjęcia i ekspedycji: statków powietrznych z ewakuowanymi, rzeczowej pomocy humanitarnej, relokacji zasobów ochrony ludności, sprzętu ratowniczego oraz realizacji funkcji łącznikowych i rozpoznawczych na użytek ochrony ludności i obrony cywilnej.</w:t>
      </w:r>
    </w:p>
    <w:p w:rsidR="00060CC0" w:rsidRPr="005F6289" w:rsidRDefault="00CC79C0" w:rsidP="00367565">
      <w:pPr>
        <w:pStyle w:val="Akapitzlist"/>
        <w:ind w:left="284"/>
        <w:jc w:val="both"/>
        <w:rPr>
          <w:rFonts w:ascii="Times New Roman" w:hAnsi="Times New Roman" w:cs="Times New Roman"/>
        </w:rPr>
      </w:pPr>
      <w:r w:rsidRPr="005F6289">
        <w:rPr>
          <w:rFonts w:ascii="Times New Roman" w:hAnsi="Times New Roman" w:cs="Times New Roman"/>
        </w:rPr>
        <w:lastRenderedPageBreak/>
        <w:t>Ponadto w kolumnie</w:t>
      </w:r>
      <w:r w:rsidR="00060CC0" w:rsidRPr="005F6289">
        <w:rPr>
          <w:rFonts w:ascii="Times New Roman" w:hAnsi="Times New Roman" w:cs="Times New Roman"/>
        </w:rPr>
        <w:t xml:space="preserve"> „Organy, podmioty i działy administracji rządowej realizujące zadania OLiOC” uzupełnia się katalog podmiotów realizujących zadania ochrony ludności i obrony cywilnej o</w:t>
      </w:r>
      <w:r w:rsidR="00605A12" w:rsidRPr="005F6289">
        <w:rPr>
          <w:rFonts w:ascii="Times New Roman" w:hAnsi="Times New Roman" w:cs="Times New Roman"/>
        </w:rPr>
        <w:t> </w:t>
      </w:r>
      <w:r w:rsidR="00060CC0" w:rsidRPr="005F6289">
        <w:rPr>
          <w:rFonts w:ascii="Times New Roman" w:hAnsi="Times New Roman" w:cs="Times New Roman"/>
        </w:rPr>
        <w:t>MSWiA.</w:t>
      </w:r>
    </w:p>
    <w:p w:rsidR="0010523A" w:rsidRPr="005F6289" w:rsidRDefault="00B33B50" w:rsidP="00B33B50">
      <w:pPr>
        <w:pStyle w:val="Akapitzlist"/>
        <w:numPr>
          <w:ilvl w:val="0"/>
          <w:numId w:val="3"/>
        </w:numPr>
        <w:ind w:left="284" w:hanging="284"/>
        <w:jc w:val="both"/>
        <w:rPr>
          <w:rFonts w:ascii="Times New Roman" w:hAnsi="Times New Roman" w:cs="Times New Roman"/>
        </w:rPr>
      </w:pPr>
      <w:r w:rsidRPr="005F6289">
        <w:rPr>
          <w:rFonts w:ascii="Times New Roman" w:hAnsi="Times New Roman" w:cs="Times New Roman"/>
        </w:rPr>
        <w:t>W</w:t>
      </w:r>
      <w:r w:rsidR="0010523A" w:rsidRPr="005F6289">
        <w:rPr>
          <w:rFonts w:ascii="Times New Roman" w:hAnsi="Times New Roman" w:cs="Times New Roman"/>
        </w:rPr>
        <w:t xml:space="preserve"> </w:t>
      </w:r>
      <w:r w:rsidR="00CC79C0" w:rsidRPr="005F6289">
        <w:rPr>
          <w:rFonts w:ascii="Times New Roman" w:hAnsi="Times New Roman" w:cs="Times New Roman"/>
        </w:rPr>
        <w:t>załącznik</w:t>
      </w:r>
      <w:r w:rsidR="006A0CC2" w:rsidRPr="005F6289">
        <w:rPr>
          <w:rFonts w:ascii="Times New Roman" w:hAnsi="Times New Roman" w:cs="Times New Roman"/>
        </w:rPr>
        <w:t>u nr 1</w:t>
      </w:r>
      <w:r w:rsidR="00CC79C0" w:rsidRPr="005F6289">
        <w:rPr>
          <w:rFonts w:ascii="Times New Roman" w:hAnsi="Times New Roman" w:cs="Times New Roman"/>
        </w:rPr>
        <w:t xml:space="preserve"> do Programu</w:t>
      </w:r>
      <w:r w:rsidR="0010523A" w:rsidRPr="005F6289">
        <w:rPr>
          <w:rFonts w:ascii="Times New Roman" w:hAnsi="Times New Roman" w:cs="Times New Roman"/>
        </w:rPr>
        <w:t xml:space="preserve"> w obszarze </w:t>
      </w:r>
      <w:r w:rsidR="00CB3E63">
        <w:rPr>
          <w:rFonts w:ascii="Times New Roman" w:hAnsi="Times New Roman" w:cs="Times New Roman"/>
        </w:rPr>
        <w:t>3</w:t>
      </w:r>
      <w:r w:rsidR="0010523A" w:rsidRPr="005F6289">
        <w:rPr>
          <w:rFonts w:ascii="Times New Roman" w:hAnsi="Times New Roman" w:cs="Times New Roman"/>
        </w:rPr>
        <w:t xml:space="preserve"> </w:t>
      </w:r>
      <w:r w:rsidR="006A0CC2" w:rsidRPr="005F6289">
        <w:rPr>
          <w:rFonts w:ascii="Times New Roman" w:hAnsi="Times New Roman" w:cs="Times New Roman"/>
        </w:rPr>
        <w:t>pn. „</w:t>
      </w:r>
      <w:r w:rsidR="006A0CC2" w:rsidRPr="009056CE">
        <w:rPr>
          <w:rFonts w:ascii="Times New Roman" w:hAnsi="Times New Roman" w:cs="Times New Roman"/>
        </w:rPr>
        <w:t xml:space="preserve">Utrzymanie i rozwój podmiotów ochrony ludności i organizacji pozarządowych, w tym krajowego systemu ratowniczo-gaśniczego, Państwowego Ratownictwa Medycznego i jednostek ochrony przeciwpożarowej”, </w:t>
      </w:r>
      <w:r w:rsidR="0010523A" w:rsidRPr="005F6289">
        <w:rPr>
          <w:rFonts w:ascii="Times New Roman" w:hAnsi="Times New Roman" w:cs="Times New Roman"/>
        </w:rPr>
        <w:t>w</w:t>
      </w:r>
      <w:r w:rsidR="006A0CC2" w:rsidRPr="005F6289">
        <w:rPr>
          <w:rFonts w:ascii="Times New Roman" w:hAnsi="Times New Roman" w:cs="Times New Roman"/>
        </w:rPr>
        <w:t>e wszystkich wierszach, poza wierszem dotyczącym „</w:t>
      </w:r>
      <w:r w:rsidR="006A0CC2" w:rsidRPr="009056CE">
        <w:rPr>
          <w:rFonts w:ascii="Times New Roman" w:hAnsi="Times New Roman" w:cs="Times New Roman"/>
        </w:rPr>
        <w:t xml:space="preserve">REALIZACJI ZADAŃ Z ZAKRESU RATOWNICTWA MEDYCZNEGO”, </w:t>
      </w:r>
      <w:r w:rsidR="00CC79C0" w:rsidRPr="005F6289">
        <w:rPr>
          <w:rFonts w:ascii="Times New Roman" w:hAnsi="Times New Roman" w:cs="Times New Roman"/>
        </w:rPr>
        <w:t xml:space="preserve">w kolumnie </w:t>
      </w:r>
      <w:r w:rsidR="00B42E47" w:rsidRPr="005F6289">
        <w:rPr>
          <w:rFonts w:ascii="Times New Roman" w:hAnsi="Times New Roman" w:cs="Times New Roman"/>
        </w:rPr>
        <w:t xml:space="preserve">„Organy, podmioty i działy administracji rządowej realizujące zadania OLiOC” </w:t>
      </w:r>
      <w:r w:rsidR="0010523A" w:rsidRPr="005F6289">
        <w:rPr>
          <w:rFonts w:ascii="Times New Roman" w:hAnsi="Times New Roman" w:cs="Times New Roman"/>
        </w:rPr>
        <w:t>uzupełnia się katalog podmiotów realizujących zadania ochrony ludności i obrony cywilnej o podmioty ochrony ludności</w:t>
      </w:r>
      <w:r w:rsidR="00B42E47" w:rsidRPr="005F6289">
        <w:rPr>
          <w:rFonts w:ascii="Times New Roman" w:hAnsi="Times New Roman" w:cs="Times New Roman"/>
        </w:rPr>
        <w:t>.</w:t>
      </w:r>
      <w:r w:rsidR="0010523A" w:rsidRPr="005F6289">
        <w:rPr>
          <w:rFonts w:ascii="Times New Roman" w:hAnsi="Times New Roman" w:cs="Times New Roman"/>
        </w:rPr>
        <w:t xml:space="preserve"> Zgodnie z </w:t>
      </w:r>
      <w:r w:rsidR="00B42E47" w:rsidRPr="005F6289">
        <w:rPr>
          <w:rFonts w:ascii="Times New Roman" w:hAnsi="Times New Roman" w:cs="Times New Roman"/>
        </w:rPr>
        <w:t>art. 17 ust. 3 ustawy podmioty ochrony ludności wykonują zadania ochrony ludności i obrony cywilnej w ramach swojej właściwości</w:t>
      </w:r>
      <w:r w:rsidR="00045048" w:rsidRPr="005F6289">
        <w:rPr>
          <w:rFonts w:ascii="Times New Roman" w:hAnsi="Times New Roman" w:cs="Times New Roman"/>
        </w:rPr>
        <w:t>.</w:t>
      </w:r>
      <w:r w:rsidR="00B42E47" w:rsidRPr="005F6289">
        <w:rPr>
          <w:rFonts w:ascii="Times New Roman" w:hAnsi="Times New Roman" w:cs="Times New Roman"/>
        </w:rPr>
        <w:t xml:space="preserve"> </w:t>
      </w:r>
      <w:r w:rsidR="00045048" w:rsidRPr="005F6289">
        <w:rPr>
          <w:rFonts w:ascii="Times New Roman" w:hAnsi="Times New Roman" w:cs="Times New Roman"/>
        </w:rPr>
        <w:t>W</w:t>
      </w:r>
      <w:r w:rsidR="006A0CC2" w:rsidRPr="005F6289">
        <w:rPr>
          <w:rFonts w:ascii="Times New Roman" w:hAnsi="Times New Roman" w:cs="Times New Roman"/>
        </w:rPr>
        <w:t> </w:t>
      </w:r>
      <w:r w:rsidR="00882E9D" w:rsidRPr="005F6289">
        <w:rPr>
          <w:rFonts w:ascii="Times New Roman" w:hAnsi="Times New Roman" w:cs="Times New Roman"/>
        </w:rPr>
        <w:t xml:space="preserve">ramach </w:t>
      </w:r>
      <w:r w:rsidR="006A0CC2" w:rsidRPr="005F6289">
        <w:rPr>
          <w:rFonts w:ascii="Times New Roman" w:hAnsi="Times New Roman" w:cs="Times New Roman"/>
        </w:rPr>
        <w:t xml:space="preserve">ww. </w:t>
      </w:r>
      <w:r w:rsidR="00882E9D" w:rsidRPr="005F6289">
        <w:rPr>
          <w:rFonts w:ascii="Times New Roman" w:hAnsi="Times New Roman" w:cs="Times New Roman"/>
        </w:rPr>
        <w:t xml:space="preserve">obszaru </w:t>
      </w:r>
      <w:r w:rsidR="00CB3E63">
        <w:rPr>
          <w:rFonts w:ascii="Times New Roman" w:hAnsi="Times New Roman" w:cs="Times New Roman"/>
        </w:rPr>
        <w:t xml:space="preserve">3 załącznika do </w:t>
      </w:r>
      <w:r w:rsidR="00882E9D" w:rsidRPr="005F6289">
        <w:rPr>
          <w:rFonts w:ascii="Times New Roman" w:hAnsi="Times New Roman" w:cs="Times New Roman"/>
        </w:rPr>
        <w:t xml:space="preserve">Programu </w:t>
      </w:r>
      <w:r w:rsidR="00045048" w:rsidRPr="005F6289">
        <w:rPr>
          <w:rFonts w:ascii="Times New Roman" w:hAnsi="Times New Roman" w:cs="Times New Roman"/>
        </w:rPr>
        <w:t>zaplanowano doposażanie</w:t>
      </w:r>
      <w:r w:rsidR="006A0CC2" w:rsidRPr="005F6289">
        <w:rPr>
          <w:rFonts w:ascii="Times New Roman" w:hAnsi="Times New Roman" w:cs="Times New Roman"/>
        </w:rPr>
        <w:t xml:space="preserve"> podmiotów ochrony ludności</w:t>
      </w:r>
      <w:r w:rsidR="00045048" w:rsidRPr="005F6289">
        <w:rPr>
          <w:rFonts w:ascii="Times New Roman" w:hAnsi="Times New Roman" w:cs="Times New Roman"/>
        </w:rPr>
        <w:t>, natomiast nie zostały one wskazane w</w:t>
      </w:r>
      <w:r w:rsidR="005F6289">
        <w:rPr>
          <w:rFonts w:ascii="Times New Roman" w:hAnsi="Times New Roman" w:cs="Times New Roman"/>
        </w:rPr>
        <w:t> </w:t>
      </w:r>
      <w:r w:rsidR="00045048" w:rsidRPr="005F6289">
        <w:rPr>
          <w:rFonts w:ascii="Times New Roman" w:hAnsi="Times New Roman" w:cs="Times New Roman"/>
        </w:rPr>
        <w:t>katalogu podmio</w:t>
      </w:r>
      <w:r w:rsidR="00882E9D" w:rsidRPr="005F6289">
        <w:rPr>
          <w:rFonts w:ascii="Times New Roman" w:hAnsi="Times New Roman" w:cs="Times New Roman"/>
        </w:rPr>
        <w:t xml:space="preserve">tów realizujących zadania </w:t>
      </w:r>
      <w:r w:rsidR="006A0CC2" w:rsidRPr="005F6289">
        <w:rPr>
          <w:rFonts w:ascii="Times New Roman" w:hAnsi="Times New Roman" w:cs="Times New Roman"/>
        </w:rPr>
        <w:t>ochrony ludności i obrony cywilnej</w:t>
      </w:r>
      <w:r w:rsidR="00CC79C0" w:rsidRPr="005F6289">
        <w:rPr>
          <w:rFonts w:ascii="Times New Roman" w:hAnsi="Times New Roman" w:cs="Times New Roman"/>
        </w:rPr>
        <w:t>.</w:t>
      </w:r>
    </w:p>
    <w:p w:rsidR="00FC36B7" w:rsidRPr="005F6289" w:rsidRDefault="00B33B50" w:rsidP="004C6227">
      <w:pPr>
        <w:pStyle w:val="Akapitzlist"/>
        <w:numPr>
          <w:ilvl w:val="0"/>
          <w:numId w:val="3"/>
        </w:numPr>
        <w:ind w:left="284" w:hanging="284"/>
        <w:jc w:val="both"/>
        <w:rPr>
          <w:rFonts w:ascii="Times New Roman" w:hAnsi="Times New Roman" w:cs="Times New Roman"/>
        </w:rPr>
      </w:pPr>
      <w:r w:rsidRPr="005F6289">
        <w:rPr>
          <w:rFonts w:ascii="Times New Roman" w:hAnsi="Times New Roman" w:cs="Times New Roman"/>
        </w:rPr>
        <w:t>W</w:t>
      </w:r>
      <w:r w:rsidR="00E61538" w:rsidRPr="005F6289">
        <w:rPr>
          <w:rFonts w:ascii="Times New Roman" w:hAnsi="Times New Roman" w:cs="Times New Roman"/>
        </w:rPr>
        <w:t xml:space="preserve"> </w:t>
      </w:r>
      <w:r w:rsidR="00CC79C0" w:rsidRPr="005F6289">
        <w:rPr>
          <w:rFonts w:ascii="Times New Roman" w:hAnsi="Times New Roman" w:cs="Times New Roman"/>
        </w:rPr>
        <w:t>załącznik</w:t>
      </w:r>
      <w:r w:rsidR="00FC36B7" w:rsidRPr="005F6289">
        <w:rPr>
          <w:rFonts w:ascii="Times New Roman" w:hAnsi="Times New Roman" w:cs="Times New Roman"/>
        </w:rPr>
        <w:t>u</w:t>
      </w:r>
      <w:r w:rsidR="00CC79C0" w:rsidRPr="005F6289">
        <w:rPr>
          <w:rFonts w:ascii="Times New Roman" w:hAnsi="Times New Roman" w:cs="Times New Roman"/>
        </w:rPr>
        <w:t xml:space="preserve"> </w:t>
      </w:r>
      <w:r w:rsidR="00651D0D">
        <w:rPr>
          <w:rFonts w:ascii="Times New Roman" w:hAnsi="Times New Roman" w:cs="Times New Roman"/>
        </w:rPr>
        <w:t xml:space="preserve">nr 1 </w:t>
      </w:r>
      <w:r w:rsidR="00CC79C0" w:rsidRPr="005F6289">
        <w:rPr>
          <w:rFonts w:ascii="Times New Roman" w:hAnsi="Times New Roman" w:cs="Times New Roman"/>
        </w:rPr>
        <w:t>do Programu</w:t>
      </w:r>
      <w:r w:rsidR="00E61538" w:rsidRPr="005F6289">
        <w:rPr>
          <w:rFonts w:ascii="Times New Roman" w:hAnsi="Times New Roman" w:cs="Times New Roman"/>
        </w:rPr>
        <w:t xml:space="preserve"> w obszarze </w:t>
      </w:r>
      <w:r w:rsidR="00CB3E63">
        <w:rPr>
          <w:rFonts w:ascii="Times New Roman" w:hAnsi="Times New Roman" w:cs="Times New Roman"/>
        </w:rPr>
        <w:t>4</w:t>
      </w:r>
      <w:r w:rsidR="00FC36B7" w:rsidRPr="005F6289">
        <w:rPr>
          <w:rFonts w:ascii="Times New Roman" w:hAnsi="Times New Roman" w:cs="Times New Roman"/>
        </w:rPr>
        <w:t xml:space="preserve"> pn. „</w:t>
      </w:r>
      <w:r w:rsidR="00FC36B7" w:rsidRPr="009056CE">
        <w:rPr>
          <w:rFonts w:ascii="Times New Roman" w:hAnsi="Times New Roman" w:cs="Times New Roman"/>
        </w:rPr>
        <w:t>Edukacja, szkolenia oraz baza i zaplecze szkoleniowe”,</w:t>
      </w:r>
      <w:r w:rsidR="00CB3E63">
        <w:rPr>
          <w:rFonts w:ascii="Times New Roman" w:hAnsi="Times New Roman" w:cs="Times New Roman"/>
        </w:rPr>
        <w:t xml:space="preserve"> w dziale pierwszym</w:t>
      </w:r>
      <w:r w:rsidR="00FC36B7" w:rsidRPr="005F6289">
        <w:rPr>
          <w:rFonts w:ascii="Times New Roman" w:hAnsi="Times New Roman" w:cs="Times New Roman"/>
        </w:rPr>
        <w:t xml:space="preserve"> – „EDUKACJA”</w:t>
      </w:r>
      <w:r w:rsidR="00E61538" w:rsidRPr="005F6289">
        <w:rPr>
          <w:rFonts w:ascii="Times New Roman" w:hAnsi="Times New Roman" w:cs="Times New Roman"/>
        </w:rPr>
        <w:t>,</w:t>
      </w:r>
      <w:r w:rsidR="00FC36B7" w:rsidRPr="005F6289">
        <w:rPr>
          <w:rFonts w:ascii="Times New Roman" w:hAnsi="Times New Roman" w:cs="Times New Roman"/>
        </w:rPr>
        <w:t xml:space="preserve"> w dziale</w:t>
      </w:r>
      <w:r w:rsidR="00E61538" w:rsidRPr="005F6289">
        <w:rPr>
          <w:rFonts w:ascii="Times New Roman" w:hAnsi="Times New Roman" w:cs="Times New Roman"/>
        </w:rPr>
        <w:t xml:space="preserve"> </w:t>
      </w:r>
      <w:r w:rsidR="00CB3E63">
        <w:rPr>
          <w:rFonts w:ascii="Times New Roman" w:hAnsi="Times New Roman" w:cs="Times New Roman"/>
        </w:rPr>
        <w:t>drugim</w:t>
      </w:r>
      <w:r w:rsidR="00FC36B7" w:rsidRPr="005F6289">
        <w:rPr>
          <w:rFonts w:ascii="Times New Roman" w:hAnsi="Times New Roman" w:cs="Times New Roman"/>
        </w:rPr>
        <w:t xml:space="preserve"> – „SZKOLENIA”</w:t>
      </w:r>
      <w:r w:rsidR="00E61538" w:rsidRPr="005F6289">
        <w:rPr>
          <w:rFonts w:ascii="Times New Roman" w:hAnsi="Times New Roman" w:cs="Times New Roman"/>
        </w:rPr>
        <w:t xml:space="preserve"> i</w:t>
      </w:r>
      <w:r w:rsidR="00FC36B7" w:rsidRPr="005F6289">
        <w:rPr>
          <w:rFonts w:ascii="Times New Roman" w:hAnsi="Times New Roman" w:cs="Times New Roman"/>
        </w:rPr>
        <w:t xml:space="preserve"> w dziale</w:t>
      </w:r>
      <w:r w:rsidR="00E61538" w:rsidRPr="005F6289">
        <w:rPr>
          <w:rFonts w:ascii="Times New Roman" w:hAnsi="Times New Roman" w:cs="Times New Roman"/>
        </w:rPr>
        <w:t xml:space="preserve"> </w:t>
      </w:r>
      <w:r w:rsidR="00CB3E63">
        <w:rPr>
          <w:rFonts w:ascii="Times New Roman" w:hAnsi="Times New Roman" w:cs="Times New Roman"/>
        </w:rPr>
        <w:t>czwartym</w:t>
      </w:r>
      <w:r w:rsidR="00E61538" w:rsidRPr="005F6289">
        <w:rPr>
          <w:rFonts w:ascii="Times New Roman" w:hAnsi="Times New Roman" w:cs="Times New Roman"/>
        </w:rPr>
        <w:t xml:space="preserve"> </w:t>
      </w:r>
      <w:r w:rsidR="00FC36B7" w:rsidRPr="005F6289">
        <w:rPr>
          <w:rFonts w:ascii="Times New Roman" w:hAnsi="Times New Roman" w:cs="Times New Roman"/>
        </w:rPr>
        <w:t>– „</w:t>
      </w:r>
      <w:r w:rsidR="00FC36B7" w:rsidRPr="009056CE">
        <w:rPr>
          <w:rFonts w:ascii="Times New Roman" w:hAnsi="Times New Roman" w:cs="Times New Roman"/>
        </w:rPr>
        <w:t xml:space="preserve">PUBLIKACJE I PROMOCJA OCHRONY LUDNOŚCI W RAMACH OBRONY CYWILNEJ”, </w:t>
      </w:r>
      <w:r w:rsidR="00E61538" w:rsidRPr="005F6289">
        <w:rPr>
          <w:rFonts w:ascii="Times New Roman" w:hAnsi="Times New Roman" w:cs="Times New Roman"/>
        </w:rPr>
        <w:t>uszczegóławia się opis zadań do realizacji</w:t>
      </w:r>
      <w:r w:rsidR="00594160" w:rsidRPr="005F6289">
        <w:rPr>
          <w:rFonts w:ascii="Times New Roman" w:hAnsi="Times New Roman" w:cs="Times New Roman"/>
        </w:rPr>
        <w:t>:</w:t>
      </w:r>
      <w:r w:rsidR="00E61538" w:rsidRPr="005F6289">
        <w:rPr>
          <w:rFonts w:ascii="Times New Roman" w:hAnsi="Times New Roman" w:cs="Times New Roman"/>
        </w:rPr>
        <w:t xml:space="preserve"> </w:t>
      </w:r>
    </w:p>
    <w:p w:rsidR="00FC36B7" w:rsidRPr="005F6289" w:rsidRDefault="00E61538" w:rsidP="00FC36B7">
      <w:pPr>
        <w:pStyle w:val="Akapitzlist"/>
        <w:numPr>
          <w:ilvl w:val="0"/>
          <w:numId w:val="9"/>
        </w:numPr>
        <w:ind w:left="709"/>
        <w:jc w:val="both"/>
        <w:rPr>
          <w:rFonts w:ascii="Times New Roman" w:hAnsi="Times New Roman" w:cs="Times New Roman"/>
        </w:rPr>
      </w:pPr>
      <w:r w:rsidRPr="005F6289">
        <w:rPr>
          <w:rFonts w:ascii="Times New Roman" w:hAnsi="Times New Roman" w:cs="Times New Roman"/>
        </w:rPr>
        <w:t>dzia</w:t>
      </w:r>
      <w:r w:rsidR="00CB3E63">
        <w:rPr>
          <w:rFonts w:ascii="Times New Roman" w:hAnsi="Times New Roman" w:cs="Times New Roman"/>
        </w:rPr>
        <w:t>ł</w:t>
      </w:r>
      <w:r w:rsidRPr="005F6289">
        <w:rPr>
          <w:rFonts w:ascii="Times New Roman" w:hAnsi="Times New Roman" w:cs="Times New Roman"/>
        </w:rPr>
        <w:t xml:space="preserve"> </w:t>
      </w:r>
      <w:r w:rsidR="00CB3E63">
        <w:rPr>
          <w:rFonts w:ascii="Times New Roman" w:hAnsi="Times New Roman" w:cs="Times New Roman"/>
        </w:rPr>
        <w:t>pierwszy</w:t>
      </w:r>
      <w:r w:rsidRPr="005F6289">
        <w:rPr>
          <w:rFonts w:ascii="Times New Roman" w:hAnsi="Times New Roman" w:cs="Times New Roman"/>
        </w:rPr>
        <w:t xml:space="preserve"> uzupełnia się o </w:t>
      </w:r>
      <w:r w:rsidR="00CB3E63">
        <w:rPr>
          <w:rFonts w:ascii="Times New Roman" w:hAnsi="Times New Roman" w:cs="Times New Roman"/>
        </w:rPr>
        <w:t xml:space="preserve">możliwość </w:t>
      </w:r>
      <w:r w:rsidRPr="005F6289">
        <w:rPr>
          <w:rFonts w:ascii="Times New Roman" w:hAnsi="Times New Roman" w:cs="Times New Roman"/>
        </w:rPr>
        <w:t>zakup</w:t>
      </w:r>
      <w:r w:rsidR="00CB3E63">
        <w:rPr>
          <w:rFonts w:ascii="Times New Roman" w:hAnsi="Times New Roman" w:cs="Times New Roman"/>
        </w:rPr>
        <w:t>u</w:t>
      </w:r>
      <w:r w:rsidRPr="005F6289">
        <w:rPr>
          <w:rFonts w:ascii="Times New Roman" w:hAnsi="Times New Roman" w:cs="Times New Roman"/>
        </w:rPr>
        <w:t xml:space="preserve"> pomocy dydaktycznych, w tym toreb z</w:t>
      </w:r>
      <w:r w:rsidR="00CB3E63">
        <w:rPr>
          <w:rFonts w:ascii="Times New Roman" w:hAnsi="Times New Roman" w:cs="Times New Roman"/>
        </w:rPr>
        <w:t> </w:t>
      </w:r>
      <w:r w:rsidRPr="005F6289">
        <w:rPr>
          <w:rFonts w:ascii="Times New Roman" w:hAnsi="Times New Roman" w:cs="Times New Roman"/>
        </w:rPr>
        <w:t>wyposażeniem do udzielania pierwszej pomocy oraz zakup czujek dymu do prowadzenia akcji edukacyjno-profilaktycznych</w:t>
      </w:r>
      <w:r w:rsidR="00594160" w:rsidRPr="005F6289">
        <w:rPr>
          <w:rFonts w:ascii="Times New Roman" w:hAnsi="Times New Roman" w:cs="Times New Roman"/>
        </w:rPr>
        <w:t xml:space="preserve">, </w:t>
      </w:r>
      <w:r w:rsidR="00367565" w:rsidRPr="005F6289">
        <w:rPr>
          <w:rFonts w:ascii="Times New Roman" w:hAnsi="Times New Roman" w:cs="Times New Roman"/>
        </w:rPr>
        <w:t xml:space="preserve">a także wprowadza się zadanie dotyczące </w:t>
      </w:r>
      <w:r w:rsidR="00FF47E8" w:rsidRPr="005F6289">
        <w:rPr>
          <w:rFonts w:ascii="Times New Roman" w:hAnsi="Times New Roman" w:cs="Times New Roman"/>
        </w:rPr>
        <w:t xml:space="preserve">edukacji w zakresie  </w:t>
      </w:r>
      <w:r w:rsidR="00367565" w:rsidRPr="005F6289">
        <w:rPr>
          <w:rFonts w:ascii="Times New Roman" w:hAnsi="Times New Roman" w:cs="Times New Roman"/>
        </w:rPr>
        <w:t xml:space="preserve">przeciwdziałania dezinformacji, </w:t>
      </w:r>
    </w:p>
    <w:p w:rsidR="00FC36B7" w:rsidRPr="005F6289" w:rsidRDefault="00594160" w:rsidP="00FC36B7">
      <w:pPr>
        <w:pStyle w:val="Akapitzlist"/>
        <w:numPr>
          <w:ilvl w:val="0"/>
          <w:numId w:val="9"/>
        </w:numPr>
        <w:ind w:left="709"/>
        <w:jc w:val="both"/>
        <w:rPr>
          <w:rFonts w:ascii="Times New Roman" w:hAnsi="Times New Roman" w:cs="Times New Roman"/>
        </w:rPr>
      </w:pPr>
      <w:r w:rsidRPr="005F6289">
        <w:rPr>
          <w:rFonts w:ascii="Times New Roman" w:hAnsi="Times New Roman" w:cs="Times New Roman"/>
        </w:rPr>
        <w:t>dzia</w:t>
      </w:r>
      <w:r w:rsidR="00CB3E63">
        <w:rPr>
          <w:rFonts w:ascii="Times New Roman" w:hAnsi="Times New Roman" w:cs="Times New Roman"/>
        </w:rPr>
        <w:t>ł drugi</w:t>
      </w:r>
      <w:r w:rsidRPr="005F6289">
        <w:rPr>
          <w:rFonts w:ascii="Times New Roman" w:hAnsi="Times New Roman" w:cs="Times New Roman"/>
        </w:rPr>
        <w:t xml:space="preserve"> uzupełnia się o</w:t>
      </w:r>
      <w:r w:rsidR="00CB3E63">
        <w:rPr>
          <w:rFonts w:ascii="Times New Roman" w:hAnsi="Times New Roman" w:cs="Times New Roman"/>
        </w:rPr>
        <w:t xml:space="preserve"> możliwość</w:t>
      </w:r>
      <w:r w:rsidRPr="005F6289">
        <w:rPr>
          <w:rFonts w:ascii="Times New Roman" w:hAnsi="Times New Roman" w:cs="Times New Roman"/>
        </w:rPr>
        <w:t> zakup</w:t>
      </w:r>
      <w:r w:rsidR="00CB3E63">
        <w:rPr>
          <w:rFonts w:ascii="Times New Roman" w:hAnsi="Times New Roman" w:cs="Times New Roman"/>
        </w:rPr>
        <w:t>u</w:t>
      </w:r>
      <w:r w:rsidRPr="005F6289">
        <w:rPr>
          <w:rFonts w:ascii="Times New Roman" w:hAnsi="Times New Roman" w:cs="Times New Roman"/>
        </w:rPr>
        <w:t xml:space="preserve"> pomocy szkoleniowych, </w:t>
      </w:r>
    </w:p>
    <w:p w:rsidR="00FC36B7" w:rsidRPr="005F6289" w:rsidRDefault="00594160" w:rsidP="00FC36B7">
      <w:pPr>
        <w:pStyle w:val="Akapitzlist"/>
        <w:numPr>
          <w:ilvl w:val="0"/>
          <w:numId w:val="9"/>
        </w:numPr>
        <w:ind w:left="709"/>
        <w:jc w:val="both"/>
        <w:rPr>
          <w:rFonts w:ascii="Times New Roman" w:hAnsi="Times New Roman" w:cs="Times New Roman"/>
        </w:rPr>
      </w:pPr>
      <w:r w:rsidRPr="005F6289">
        <w:rPr>
          <w:rFonts w:ascii="Times New Roman" w:hAnsi="Times New Roman" w:cs="Times New Roman"/>
        </w:rPr>
        <w:t>dzia</w:t>
      </w:r>
      <w:r w:rsidR="00CB3E63">
        <w:rPr>
          <w:rFonts w:ascii="Times New Roman" w:hAnsi="Times New Roman" w:cs="Times New Roman"/>
        </w:rPr>
        <w:t xml:space="preserve">ł czwarty uzupełnia się </w:t>
      </w:r>
      <w:r w:rsidRPr="005F6289">
        <w:rPr>
          <w:rFonts w:ascii="Times New Roman" w:hAnsi="Times New Roman" w:cs="Times New Roman"/>
        </w:rPr>
        <w:t xml:space="preserve">o </w:t>
      </w:r>
      <w:r w:rsidR="00CB3E63">
        <w:rPr>
          <w:rFonts w:ascii="Times New Roman" w:hAnsi="Times New Roman" w:cs="Times New Roman"/>
        </w:rPr>
        <w:t xml:space="preserve">zadanie dotyczące </w:t>
      </w:r>
      <w:r w:rsidRPr="005F6289">
        <w:rPr>
          <w:rFonts w:ascii="Times New Roman" w:hAnsi="Times New Roman" w:cs="Times New Roman"/>
        </w:rPr>
        <w:t>finansowani</w:t>
      </w:r>
      <w:r w:rsidR="00CB3E63">
        <w:rPr>
          <w:rFonts w:ascii="Times New Roman" w:hAnsi="Times New Roman" w:cs="Times New Roman"/>
        </w:rPr>
        <w:t>a</w:t>
      </w:r>
      <w:r w:rsidRPr="005F6289">
        <w:rPr>
          <w:rFonts w:ascii="Times New Roman" w:hAnsi="Times New Roman" w:cs="Times New Roman"/>
        </w:rPr>
        <w:t xml:space="preserve"> działań promujących realizację zadań ochrony ludności i obrony cywilnej. </w:t>
      </w:r>
    </w:p>
    <w:p w:rsidR="00E61538" w:rsidRPr="005F6289" w:rsidRDefault="00594160" w:rsidP="00FC36B7">
      <w:pPr>
        <w:pStyle w:val="Akapitzlist"/>
        <w:ind w:left="284"/>
        <w:jc w:val="both"/>
        <w:rPr>
          <w:rFonts w:ascii="Times New Roman" w:hAnsi="Times New Roman" w:cs="Times New Roman"/>
        </w:rPr>
      </w:pPr>
      <w:r w:rsidRPr="005F6289">
        <w:rPr>
          <w:rFonts w:ascii="Times New Roman" w:hAnsi="Times New Roman" w:cs="Times New Roman"/>
        </w:rPr>
        <w:t xml:space="preserve">Uzupełnienie opisu zadań pozwoli na uniknięcie wątpliwości </w:t>
      </w:r>
      <w:r w:rsidR="004C6227" w:rsidRPr="005F6289">
        <w:rPr>
          <w:rFonts w:ascii="Times New Roman" w:hAnsi="Times New Roman" w:cs="Times New Roman"/>
        </w:rPr>
        <w:t>co do możliwości</w:t>
      </w:r>
      <w:r w:rsidRPr="005F6289">
        <w:rPr>
          <w:rFonts w:ascii="Times New Roman" w:hAnsi="Times New Roman" w:cs="Times New Roman"/>
        </w:rPr>
        <w:t xml:space="preserve"> finansowani</w:t>
      </w:r>
      <w:r w:rsidR="004C6227" w:rsidRPr="005F6289">
        <w:rPr>
          <w:rFonts w:ascii="Times New Roman" w:hAnsi="Times New Roman" w:cs="Times New Roman"/>
        </w:rPr>
        <w:t>a</w:t>
      </w:r>
      <w:r w:rsidRPr="005F6289">
        <w:rPr>
          <w:rFonts w:ascii="Times New Roman" w:hAnsi="Times New Roman" w:cs="Times New Roman"/>
        </w:rPr>
        <w:t xml:space="preserve"> </w:t>
      </w:r>
      <w:r w:rsidR="004C6227" w:rsidRPr="005F6289">
        <w:rPr>
          <w:rFonts w:ascii="Times New Roman" w:hAnsi="Times New Roman" w:cs="Times New Roman"/>
        </w:rPr>
        <w:t>w</w:t>
      </w:r>
      <w:r w:rsidR="005F6289" w:rsidRPr="005F6289">
        <w:rPr>
          <w:rFonts w:ascii="Times New Roman" w:hAnsi="Times New Roman" w:cs="Times New Roman"/>
        </w:rPr>
        <w:t> </w:t>
      </w:r>
      <w:r w:rsidR="004C6227" w:rsidRPr="005F6289">
        <w:rPr>
          <w:rFonts w:ascii="Times New Roman" w:hAnsi="Times New Roman" w:cs="Times New Roman"/>
        </w:rPr>
        <w:t xml:space="preserve">ramach Programu </w:t>
      </w:r>
      <w:r w:rsidRPr="005F6289">
        <w:rPr>
          <w:rFonts w:ascii="Times New Roman" w:hAnsi="Times New Roman" w:cs="Times New Roman"/>
        </w:rPr>
        <w:t>zakupu pomocy dydak</w:t>
      </w:r>
      <w:r w:rsidRPr="005F6289">
        <w:rPr>
          <w:rFonts w:ascii="Times New Roman" w:hAnsi="Times New Roman" w:cs="Times New Roman"/>
        </w:rPr>
        <w:lastRenderedPageBreak/>
        <w:t xml:space="preserve">tycznych i szkoleniowych wykorzystywanych w trakcie działań edukacyjnych, profilaktycznych i szkoleniowych. </w:t>
      </w:r>
      <w:r w:rsidR="004C6227" w:rsidRPr="005F6289">
        <w:rPr>
          <w:rFonts w:ascii="Times New Roman" w:hAnsi="Times New Roman" w:cs="Times New Roman"/>
        </w:rPr>
        <w:t xml:space="preserve">Czujki dymu </w:t>
      </w:r>
      <w:r w:rsidR="001212D7" w:rsidRPr="005F6289">
        <w:rPr>
          <w:rFonts w:ascii="Times New Roman" w:hAnsi="Times New Roman" w:cs="Times New Roman"/>
        </w:rPr>
        <w:t xml:space="preserve">oraz tlenku węgla </w:t>
      </w:r>
      <w:r w:rsidR="004C6227" w:rsidRPr="005F6289">
        <w:rPr>
          <w:rFonts w:ascii="Times New Roman" w:hAnsi="Times New Roman" w:cs="Times New Roman"/>
        </w:rPr>
        <w:t xml:space="preserve">będą wykorzystane w programie edukacyjno-profilaktycznym mającym na celu poprawę bezpieczeństwa pożarowego na terenach wiejskich, </w:t>
      </w:r>
      <w:r w:rsidR="004C6368" w:rsidRPr="005F6289">
        <w:rPr>
          <w:rFonts w:ascii="Times New Roman" w:hAnsi="Times New Roman" w:cs="Times New Roman"/>
        </w:rPr>
        <w:t>połączonym z montażem czujek w </w:t>
      </w:r>
      <w:r w:rsidR="00651D0D">
        <w:rPr>
          <w:rFonts w:ascii="Times New Roman" w:hAnsi="Times New Roman" w:cs="Times New Roman"/>
        </w:rPr>
        <w:t xml:space="preserve">domach określonych </w:t>
      </w:r>
      <w:r w:rsidR="004C6227" w:rsidRPr="005F6289">
        <w:rPr>
          <w:rFonts w:ascii="Times New Roman" w:hAnsi="Times New Roman" w:cs="Times New Roman"/>
        </w:rPr>
        <w:t xml:space="preserve">grup ludności. </w:t>
      </w:r>
    </w:p>
    <w:p w:rsidR="00FC36B7" w:rsidRPr="005F6289" w:rsidRDefault="00FC36B7" w:rsidP="004C6368">
      <w:pPr>
        <w:pStyle w:val="Akapitzlist"/>
        <w:numPr>
          <w:ilvl w:val="0"/>
          <w:numId w:val="3"/>
        </w:numPr>
        <w:ind w:left="284" w:hanging="284"/>
        <w:jc w:val="both"/>
        <w:rPr>
          <w:rFonts w:ascii="Times New Roman" w:hAnsi="Times New Roman" w:cs="Times New Roman"/>
        </w:rPr>
      </w:pPr>
      <w:r w:rsidRPr="005F6289">
        <w:rPr>
          <w:rFonts w:ascii="Times New Roman" w:eastAsia="Calibri" w:hAnsi="Times New Roman" w:cs="Times New Roman"/>
        </w:rPr>
        <w:t xml:space="preserve">W </w:t>
      </w:r>
      <w:r w:rsidRPr="005F6289">
        <w:rPr>
          <w:rFonts w:ascii="Times New Roman" w:hAnsi="Times New Roman" w:cs="Times New Roman"/>
        </w:rPr>
        <w:t xml:space="preserve">załączniku </w:t>
      </w:r>
      <w:r w:rsidR="00651D0D">
        <w:rPr>
          <w:rFonts w:ascii="Times New Roman" w:hAnsi="Times New Roman" w:cs="Times New Roman"/>
        </w:rPr>
        <w:t xml:space="preserve">nr 1 </w:t>
      </w:r>
      <w:r w:rsidRPr="005F6289">
        <w:rPr>
          <w:rFonts w:ascii="Times New Roman" w:hAnsi="Times New Roman" w:cs="Times New Roman"/>
        </w:rPr>
        <w:t xml:space="preserve">do Programu w obszarze </w:t>
      </w:r>
      <w:r w:rsidR="00CB3E63">
        <w:rPr>
          <w:rFonts w:ascii="Times New Roman" w:hAnsi="Times New Roman" w:cs="Times New Roman"/>
        </w:rPr>
        <w:t>4</w:t>
      </w:r>
      <w:r w:rsidRPr="005F6289">
        <w:rPr>
          <w:rFonts w:ascii="Times New Roman" w:hAnsi="Times New Roman" w:cs="Times New Roman"/>
        </w:rPr>
        <w:t xml:space="preserve"> pn. „Edukacja, szkolenia oraz baza i zaplecze szkoleniowe”, w dziale </w:t>
      </w:r>
      <w:r w:rsidR="00CB3E63">
        <w:rPr>
          <w:rFonts w:ascii="Times New Roman" w:hAnsi="Times New Roman" w:cs="Times New Roman"/>
        </w:rPr>
        <w:t>trzecim</w:t>
      </w:r>
      <w:r w:rsidRPr="005F6289">
        <w:rPr>
          <w:rFonts w:ascii="Times New Roman" w:hAnsi="Times New Roman" w:cs="Times New Roman"/>
        </w:rPr>
        <w:t xml:space="preserve"> – „ZAPEWNIENIE DOSTĘPNOŚCI KIEROWCÓW NA POTRZEBY OCHRONY LUDNOŚCI I OBRONY NARODOWEJ” </w:t>
      </w:r>
      <w:r w:rsidR="00651D0D">
        <w:rPr>
          <w:rFonts w:ascii="Times New Roman" w:eastAsia="Calibri" w:hAnsi="Times New Roman" w:cs="Times New Roman"/>
        </w:rPr>
        <w:t>dodaje się zdanie</w:t>
      </w:r>
      <w:r w:rsidRPr="005F6289">
        <w:rPr>
          <w:rFonts w:ascii="Times New Roman" w:eastAsia="Calibri" w:hAnsi="Times New Roman" w:cs="Times New Roman"/>
        </w:rPr>
        <w:t xml:space="preserve"> „</w:t>
      </w:r>
      <w:r w:rsidRPr="005F6289">
        <w:rPr>
          <w:rFonts w:ascii="Times New Roman" w:eastAsia="Calibri" w:hAnsi="Times New Roman" w:cs="Times New Roman"/>
          <w:bCs/>
        </w:rPr>
        <w:t>Szkolenie operatorów dronów i urządzeń antydronowych na potrzeby ochrony ludności i obrony cywilnej, obrony Ojczyzny oraz reagowania kryzysowego - w tym ochrony infrastruktury krytyczn</w:t>
      </w:r>
      <w:r w:rsidR="00651D0D">
        <w:rPr>
          <w:rFonts w:ascii="Times New Roman" w:eastAsia="Calibri" w:hAnsi="Times New Roman" w:cs="Times New Roman"/>
          <w:bCs/>
        </w:rPr>
        <w:t xml:space="preserve">ej oraz działań poszukiwawczo- </w:t>
      </w:r>
      <w:r w:rsidRPr="005F6289">
        <w:rPr>
          <w:rFonts w:ascii="Times New Roman" w:eastAsia="Calibri" w:hAnsi="Times New Roman" w:cs="Times New Roman"/>
          <w:bCs/>
        </w:rPr>
        <w:t>ratowniczych</w:t>
      </w:r>
      <w:r w:rsidR="00651D0D">
        <w:rPr>
          <w:rFonts w:ascii="Times New Roman" w:eastAsia="Calibri" w:hAnsi="Times New Roman" w:cs="Times New Roman"/>
          <w:bCs/>
        </w:rPr>
        <w:t>.</w:t>
      </w:r>
      <w:r w:rsidRPr="005F6289">
        <w:rPr>
          <w:rFonts w:ascii="Times New Roman" w:eastAsia="Calibri" w:hAnsi="Times New Roman" w:cs="Times New Roman"/>
        </w:rPr>
        <w:t>”. Potrzeba dodania nowego zadania w zakresie szkolenia operatorów dronów i urządzeń antydronowych wynika z obecnych zagrożeń powodowanych przez bezzałogowe statki powietrzne we wschodniej części Polski oraz potrzeby zapewnienia zasobów osobowych zdolnych do obsługi różnego rodzaju dronów pozyskiwanych w ramach Programu.</w:t>
      </w:r>
    </w:p>
    <w:p w:rsidR="004C6368" w:rsidRPr="005F6289" w:rsidRDefault="004C6368" w:rsidP="004C6368">
      <w:pPr>
        <w:pStyle w:val="Akapitzlist"/>
        <w:numPr>
          <w:ilvl w:val="0"/>
          <w:numId w:val="3"/>
        </w:numPr>
        <w:ind w:left="284" w:hanging="284"/>
        <w:jc w:val="both"/>
        <w:rPr>
          <w:rFonts w:ascii="Times New Roman" w:hAnsi="Times New Roman" w:cs="Times New Roman"/>
        </w:rPr>
      </w:pPr>
      <w:r w:rsidRPr="005F6289">
        <w:rPr>
          <w:rFonts w:ascii="Times New Roman" w:hAnsi="Times New Roman" w:cs="Times New Roman"/>
        </w:rPr>
        <w:t xml:space="preserve">Uszczegóławia się </w:t>
      </w:r>
      <w:r w:rsidR="00CB3E63">
        <w:rPr>
          <w:rFonts w:ascii="Times New Roman" w:hAnsi="Times New Roman" w:cs="Times New Roman"/>
        </w:rPr>
        <w:t>regulacje</w:t>
      </w:r>
      <w:r w:rsidRPr="005F6289">
        <w:rPr>
          <w:rFonts w:ascii="Times New Roman" w:hAnsi="Times New Roman" w:cs="Times New Roman"/>
        </w:rPr>
        <w:t xml:space="preserve"> dotyczące realizacji zadań o charakterze obronnym, finansowanych zgodnie z art. 155 ust. 2 pkt 3 ustawy w ramach Programu jako infrastruktury podwójnego wykorzystania, powiązanej z realizacją Narodowego Programu Odstraszania i Obrony „Tarcza Wschód”:</w:t>
      </w:r>
    </w:p>
    <w:p w:rsidR="004C6368" w:rsidRPr="005F6289" w:rsidRDefault="00FC36B7" w:rsidP="004C6368">
      <w:pPr>
        <w:pStyle w:val="Akapitzlist"/>
        <w:numPr>
          <w:ilvl w:val="0"/>
          <w:numId w:val="5"/>
        </w:numPr>
        <w:ind w:left="567" w:hanging="283"/>
        <w:jc w:val="both"/>
        <w:rPr>
          <w:rFonts w:ascii="Times New Roman" w:hAnsi="Times New Roman" w:cs="Times New Roman"/>
        </w:rPr>
      </w:pPr>
      <w:r w:rsidRPr="005F6289">
        <w:rPr>
          <w:rFonts w:ascii="Times New Roman" w:hAnsi="Times New Roman" w:cs="Times New Roman"/>
        </w:rPr>
        <w:t xml:space="preserve">w obszarze </w:t>
      </w:r>
      <w:r w:rsidR="00CB3E63">
        <w:rPr>
          <w:rFonts w:ascii="Times New Roman" w:hAnsi="Times New Roman" w:cs="Times New Roman"/>
        </w:rPr>
        <w:t>2</w:t>
      </w:r>
      <w:r w:rsidRPr="005F6289">
        <w:rPr>
          <w:rFonts w:ascii="Times New Roman" w:hAnsi="Times New Roman" w:cs="Times New Roman"/>
        </w:rPr>
        <w:t xml:space="preserve"> pn. „Zabezpieczenie logistyczne i zapewnienie ciągłości dostaw”, w dziale </w:t>
      </w:r>
      <w:r w:rsidR="00CB3E63">
        <w:rPr>
          <w:rFonts w:ascii="Times New Roman" w:hAnsi="Times New Roman" w:cs="Times New Roman"/>
        </w:rPr>
        <w:t>pierwszym</w:t>
      </w:r>
      <w:r w:rsidRPr="005F6289">
        <w:rPr>
          <w:rFonts w:ascii="Times New Roman" w:hAnsi="Times New Roman" w:cs="Times New Roman"/>
        </w:rPr>
        <w:t xml:space="preserve"> – „UZUPEŁNIENIE ZASOBÓW I INFRASTRUKTURY NIEZBĘDNEJ DO REALIZACJI ZADAŃ OLiOC” </w:t>
      </w:r>
      <w:r w:rsidR="004C6368" w:rsidRPr="005F6289">
        <w:rPr>
          <w:rFonts w:ascii="Times New Roman" w:hAnsi="Times New Roman" w:cs="Times New Roman"/>
        </w:rPr>
        <w:t>dodaje się zadanie dotyczące budowy obiektów magazynowych i miejsc składowania jako infrastruktury podwójnego wykorzystania (na potrzeby ochrony ludności i</w:t>
      </w:r>
      <w:r w:rsidR="00D94804" w:rsidRPr="005F6289">
        <w:rPr>
          <w:rFonts w:ascii="Times New Roman" w:hAnsi="Times New Roman" w:cs="Times New Roman"/>
        </w:rPr>
        <w:t> </w:t>
      </w:r>
      <w:r w:rsidR="004C6368" w:rsidRPr="005F6289">
        <w:rPr>
          <w:rFonts w:ascii="Times New Roman" w:hAnsi="Times New Roman" w:cs="Times New Roman"/>
        </w:rPr>
        <w:t xml:space="preserve">obrony cywilnej i realizacji </w:t>
      </w:r>
      <w:r w:rsidR="00EF776F" w:rsidRPr="005F6289">
        <w:rPr>
          <w:rFonts w:ascii="Times New Roman" w:hAnsi="Times New Roman" w:cs="Times New Roman"/>
        </w:rPr>
        <w:t xml:space="preserve">Narodowego Programu Odstraszania i Obrony </w:t>
      </w:r>
      <w:r w:rsidR="004C6368" w:rsidRPr="005F6289">
        <w:rPr>
          <w:rFonts w:ascii="Times New Roman" w:hAnsi="Times New Roman" w:cs="Times New Roman"/>
        </w:rPr>
        <w:t>„Tarcza Wschód”),</w:t>
      </w:r>
    </w:p>
    <w:p w:rsidR="004C6368" w:rsidRPr="005F6289" w:rsidRDefault="004C6368" w:rsidP="004C6368">
      <w:pPr>
        <w:pStyle w:val="Akapitzlist"/>
        <w:numPr>
          <w:ilvl w:val="0"/>
          <w:numId w:val="5"/>
        </w:numPr>
        <w:ind w:left="567" w:hanging="283"/>
        <w:jc w:val="both"/>
        <w:rPr>
          <w:rFonts w:ascii="Times New Roman" w:hAnsi="Times New Roman" w:cs="Times New Roman"/>
        </w:rPr>
      </w:pPr>
      <w:r w:rsidRPr="005F6289">
        <w:rPr>
          <w:rFonts w:ascii="Times New Roman" w:hAnsi="Times New Roman" w:cs="Times New Roman"/>
        </w:rPr>
        <w:t xml:space="preserve">w obszarze </w:t>
      </w:r>
      <w:r w:rsidR="00CB3E63">
        <w:rPr>
          <w:rFonts w:ascii="Times New Roman" w:hAnsi="Times New Roman" w:cs="Times New Roman"/>
        </w:rPr>
        <w:t>3</w:t>
      </w:r>
      <w:r w:rsidR="00D94804" w:rsidRPr="005F6289">
        <w:rPr>
          <w:rFonts w:ascii="Times New Roman" w:hAnsi="Times New Roman" w:cs="Times New Roman"/>
        </w:rPr>
        <w:t xml:space="preserve"> pn. „Utrzymanie i rozwój podmiotów ochrony ludności i organizacji pozarządowych, w tym krajowego systemu ratowniczo-gaśniczego, Państwowego Ratownictwa Medycznego i jednostek ochrony przeciwpożarowej”</w:t>
      </w:r>
      <w:r w:rsidRPr="005F6289">
        <w:rPr>
          <w:rFonts w:ascii="Times New Roman" w:hAnsi="Times New Roman" w:cs="Times New Roman"/>
        </w:rPr>
        <w:t xml:space="preserve"> w dziale </w:t>
      </w:r>
      <w:r w:rsidR="00CB3E63">
        <w:rPr>
          <w:rFonts w:ascii="Times New Roman" w:hAnsi="Times New Roman" w:cs="Times New Roman"/>
        </w:rPr>
        <w:t>drugim</w:t>
      </w:r>
      <w:r w:rsidR="00D94804" w:rsidRPr="005F6289">
        <w:rPr>
          <w:rFonts w:ascii="Times New Roman" w:hAnsi="Times New Roman" w:cs="Times New Roman"/>
        </w:rPr>
        <w:t xml:space="preserve"> – </w:t>
      </w:r>
      <w:r w:rsidR="00D94804" w:rsidRPr="005F6289">
        <w:rPr>
          <w:rFonts w:ascii="Times New Roman" w:hAnsi="Times New Roman" w:cs="Times New Roman"/>
        </w:rPr>
        <w:lastRenderedPageBreak/>
        <w:t>„SPRZĘT DO DZIAŁAŃ RATOWNICZYCH”</w:t>
      </w:r>
      <w:r w:rsidRPr="005F6289">
        <w:rPr>
          <w:rFonts w:ascii="Times New Roman" w:hAnsi="Times New Roman" w:cs="Times New Roman"/>
        </w:rPr>
        <w:t xml:space="preserve"> dodaje się zadanie w zakresie doposażenia w samochody pożarnicze i sprzęt do działań ratowniczych jednostek organizacyjnych Wojskowej Ochrony Przeciwpożarowej</w:t>
      </w:r>
      <w:r w:rsidR="00EF776F" w:rsidRPr="005F6289">
        <w:rPr>
          <w:rFonts w:ascii="Times New Roman" w:hAnsi="Times New Roman" w:cs="Times New Roman"/>
        </w:rPr>
        <w:t>,</w:t>
      </w:r>
    </w:p>
    <w:p w:rsidR="00EF776F" w:rsidRPr="005F6289" w:rsidRDefault="00EF776F" w:rsidP="00EF776F">
      <w:pPr>
        <w:pStyle w:val="Akapitzlist"/>
        <w:numPr>
          <w:ilvl w:val="0"/>
          <w:numId w:val="5"/>
        </w:numPr>
        <w:ind w:left="567" w:hanging="283"/>
        <w:jc w:val="both"/>
        <w:rPr>
          <w:rFonts w:ascii="Times New Roman" w:hAnsi="Times New Roman" w:cs="Times New Roman"/>
        </w:rPr>
      </w:pPr>
      <w:r w:rsidRPr="005F6289">
        <w:rPr>
          <w:rFonts w:ascii="Times New Roman" w:hAnsi="Times New Roman" w:cs="Times New Roman"/>
        </w:rPr>
        <w:t xml:space="preserve">w obszarze </w:t>
      </w:r>
      <w:r w:rsidR="00CB3E63">
        <w:rPr>
          <w:rFonts w:ascii="Times New Roman" w:hAnsi="Times New Roman" w:cs="Times New Roman"/>
        </w:rPr>
        <w:t>4</w:t>
      </w:r>
      <w:r w:rsidR="00E678F7" w:rsidRPr="005F6289">
        <w:rPr>
          <w:rFonts w:ascii="Times New Roman" w:hAnsi="Times New Roman" w:cs="Times New Roman"/>
        </w:rPr>
        <w:t xml:space="preserve"> pn. „Edukacja, szkolenia oraz baza i zaplecze szkoleniowe”,</w:t>
      </w:r>
      <w:r w:rsidRPr="005F6289">
        <w:rPr>
          <w:rFonts w:ascii="Times New Roman" w:hAnsi="Times New Roman" w:cs="Times New Roman"/>
        </w:rPr>
        <w:t xml:space="preserve"> w dziale </w:t>
      </w:r>
      <w:r w:rsidR="00CB3E63">
        <w:rPr>
          <w:rFonts w:ascii="Times New Roman" w:hAnsi="Times New Roman" w:cs="Times New Roman"/>
        </w:rPr>
        <w:t>szóstym</w:t>
      </w:r>
      <w:r w:rsidR="00E678F7" w:rsidRPr="005F6289">
        <w:rPr>
          <w:rFonts w:ascii="Times New Roman" w:hAnsi="Times New Roman" w:cs="Times New Roman"/>
        </w:rPr>
        <w:t xml:space="preserve"> – „BAZA I ZAPLECZE POLIGONOWE”</w:t>
      </w:r>
      <w:r w:rsidRPr="005F6289">
        <w:rPr>
          <w:rFonts w:ascii="Times New Roman" w:hAnsi="Times New Roman" w:cs="Times New Roman"/>
        </w:rPr>
        <w:t xml:space="preserve"> dodaje się zadanie dotyczące budowy ośrodków lub miejsc szkolenia jako infrastruktury podwójnego wykorzystania na potrzeby szkoleniowe ochrony ludności i obrony cywilnej oraz pododdziałów wojskowych </w:t>
      </w:r>
      <w:r w:rsidR="00E678F7" w:rsidRPr="005F6289">
        <w:rPr>
          <w:rFonts w:ascii="Times New Roman" w:hAnsi="Times New Roman" w:cs="Times New Roman"/>
        </w:rPr>
        <w:t>–</w:t>
      </w:r>
      <w:r w:rsidRPr="005F6289">
        <w:rPr>
          <w:rFonts w:ascii="Times New Roman" w:hAnsi="Times New Roman" w:cs="Times New Roman"/>
        </w:rPr>
        <w:t xml:space="preserve"> tym szczególnie jednostek WOT,</w:t>
      </w:r>
    </w:p>
    <w:p w:rsidR="00FF47E8" w:rsidRPr="00294B44" w:rsidRDefault="00EF776F" w:rsidP="00294B44">
      <w:pPr>
        <w:pStyle w:val="Akapitzlist"/>
        <w:numPr>
          <w:ilvl w:val="0"/>
          <w:numId w:val="5"/>
        </w:numPr>
        <w:ind w:left="568" w:hanging="284"/>
        <w:contextualSpacing w:val="0"/>
        <w:jc w:val="both"/>
        <w:rPr>
          <w:rFonts w:ascii="Times New Roman" w:hAnsi="Times New Roman" w:cs="Times New Roman"/>
        </w:rPr>
      </w:pPr>
      <w:r w:rsidRPr="005F6289">
        <w:rPr>
          <w:rFonts w:ascii="Times New Roman" w:hAnsi="Times New Roman" w:cs="Times New Roman"/>
        </w:rPr>
        <w:t>w obszarze</w:t>
      </w:r>
      <w:r w:rsidR="00CB3E63">
        <w:rPr>
          <w:rFonts w:ascii="Times New Roman" w:hAnsi="Times New Roman" w:cs="Times New Roman"/>
        </w:rPr>
        <w:t xml:space="preserve"> 5</w:t>
      </w:r>
      <w:r w:rsidRPr="005F6289">
        <w:rPr>
          <w:rFonts w:ascii="Times New Roman" w:hAnsi="Times New Roman" w:cs="Times New Roman"/>
        </w:rPr>
        <w:t xml:space="preserve"> </w:t>
      </w:r>
      <w:r w:rsidR="00E678F7" w:rsidRPr="005F6289">
        <w:rPr>
          <w:rFonts w:ascii="Times New Roman" w:hAnsi="Times New Roman" w:cs="Times New Roman"/>
        </w:rPr>
        <w:t xml:space="preserve">pn. „Bezpieczna Łączność Państwowa oraz alarmowanie, ostrzeganie i powiadamianie” </w:t>
      </w:r>
      <w:r w:rsidRPr="005F6289">
        <w:rPr>
          <w:rFonts w:ascii="Times New Roman" w:hAnsi="Times New Roman" w:cs="Times New Roman"/>
        </w:rPr>
        <w:t xml:space="preserve">w dziale </w:t>
      </w:r>
      <w:r w:rsidR="00CB3E63">
        <w:rPr>
          <w:rFonts w:ascii="Times New Roman" w:hAnsi="Times New Roman" w:cs="Times New Roman"/>
        </w:rPr>
        <w:t>drugim – „ALARMOWANIE, OSTRZEGANIE I </w:t>
      </w:r>
      <w:r w:rsidR="00E678F7" w:rsidRPr="005F6289">
        <w:rPr>
          <w:rFonts w:ascii="Times New Roman" w:hAnsi="Times New Roman" w:cs="Times New Roman"/>
        </w:rPr>
        <w:t>POWIADAMIANIE”</w:t>
      </w:r>
      <w:r w:rsidRPr="005F6289">
        <w:rPr>
          <w:rFonts w:ascii="Times New Roman" w:hAnsi="Times New Roman" w:cs="Times New Roman"/>
        </w:rPr>
        <w:t xml:space="preserve"> dodaje się zadanie dotyczące budowy</w:t>
      </w:r>
      <w:r w:rsidR="00997042">
        <w:rPr>
          <w:rFonts w:ascii="Times New Roman" w:hAnsi="Times New Roman" w:cs="Times New Roman"/>
        </w:rPr>
        <w:t xml:space="preserve"> wież przeciwpożarowych (wraz z </w:t>
      </w:r>
      <w:r w:rsidRPr="005F6289">
        <w:rPr>
          <w:rFonts w:ascii="Times New Roman" w:hAnsi="Times New Roman" w:cs="Times New Roman"/>
        </w:rPr>
        <w:t>urządzeniami do wy</w:t>
      </w:r>
      <w:r w:rsidR="00CC79C0" w:rsidRPr="005F6289">
        <w:rPr>
          <w:rFonts w:ascii="Times New Roman" w:hAnsi="Times New Roman" w:cs="Times New Roman"/>
        </w:rPr>
        <w:t>krywania i</w:t>
      </w:r>
      <w:r w:rsidR="00E678F7" w:rsidRPr="005F6289">
        <w:rPr>
          <w:rFonts w:ascii="Times New Roman" w:hAnsi="Times New Roman" w:cs="Times New Roman"/>
        </w:rPr>
        <w:t> </w:t>
      </w:r>
      <w:r w:rsidR="00CC79C0" w:rsidRPr="005F6289">
        <w:rPr>
          <w:rFonts w:ascii="Times New Roman" w:hAnsi="Times New Roman" w:cs="Times New Roman"/>
        </w:rPr>
        <w:t xml:space="preserve">lokalizacji pożarów) </w:t>
      </w:r>
      <w:r w:rsidRPr="005F6289">
        <w:rPr>
          <w:rFonts w:ascii="Times New Roman" w:hAnsi="Times New Roman" w:cs="Times New Roman"/>
        </w:rPr>
        <w:t xml:space="preserve">jako infrastruktury podwójnego wykorzystania na potrzeby ochrony ludności i obrony cywilnej (ochrony przeciwpożarowej) oraz rozpoznania zagrożeń z powietrza w ramach Narodowego Programu Odstraszania i Obrony „Tarcza Wschód” (wykrywania, ostrzegania i śledzenia w ramach realizacji funkcji przeciwzaskoczeniowej). </w:t>
      </w:r>
    </w:p>
    <w:p w:rsidR="008C3A61" w:rsidRPr="005F6289" w:rsidRDefault="00294B44" w:rsidP="00882E9D">
      <w:pPr>
        <w:pStyle w:val="Akapitzlist"/>
        <w:numPr>
          <w:ilvl w:val="0"/>
          <w:numId w:val="3"/>
        </w:numPr>
        <w:ind w:left="284" w:hanging="284"/>
        <w:jc w:val="both"/>
        <w:rPr>
          <w:rFonts w:ascii="Times New Roman" w:hAnsi="Times New Roman" w:cs="Times New Roman"/>
        </w:rPr>
      </w:pPr>
      <w:r>
        <w:rPr>
          <w:rFonts w:ascii="Times New Roman" w:hAnsi="Times New Roman" w:cs="Times New Roman"/>
        </w:rPr>
        <w:t xml:space="preserve"> </w:t>
      </w:r>
      <w:r w:rsidR="004C6368" w:rsidRPr="005F6289">
        <w:rPr>
          <w:rFonts w:ascii="Times New Roman" w:hAnsi="Times New Roman" w:cs="Times New Roman"/>
        </w:rPr>
        <w:t>W</w:t>
      </w:r>
      <w:r w:rsidR="00D673B6" w:rsidRPr="005F6289">
        <w:rPr>
          <w:rFonts w:ascii="Times New Roman" w:hAnsi="Times New Roman" w:cs="Times New Roman"/>
        </w:rPr>
        <w:t>prowadza się</w:t>
      </w:r>
      <w:r w:rsidR="008C3A61" w:rsidRPr="005F6289">
        <w:rPr>
          <w:rFonts w:ascii="Times New Roman" w:hAnsi="Times New Roman" w:cs="Times New Roman"/>
        </w:rPr>
        <w:t xml:space="preserve"> możli</w:t>
      </w:r>
      <w:r w:rsidR="00D673B6" w:rsidRPr="005F6289">
        <w:rPr>
          <w:rFonts w:ascii="Times New Roman" w:hAnsi="Times New Roman" w:cs="Times New Roman"/>
        </w:rPr>
        <w:t>wość</w:t>
      </w:r>
      <w:r w:rsidR="008C3A61" w:rsidRPr="005F6289">
        <w:rPr>
          <w:rFonts w:ascii="Times New Roman" w:hAnsi="Times New Roman" w:cs="Times New Roman"/>
        </w:rPr>
        <w:t xml:space="preserve"> przenoszenia</w:t>
      </w:r>
      <w:r w:rsidR="00B01AD5" w:rsidRPr="005F6289">
        <w:rPr>
          <w:rFonts w:ascii="Times New Roman" w:hAnsi="Times New Roman" w:cs="Times New Roman"/>
        </w:rPr>
        <w:t xml:space="preserve"> w 2025 r.</w:t>
      </w:r>
      <w:r w:rsidR="008C3A61" w:rsidRPr="005F6289">
        <w:rPr>
          <w:rFonts w:ascii="Times New Roman" w:hAnsi="Times New Roman" w:cs="Times New Roman"/>
        </w:rPr>
        <w:t xml:space="preserve"> wydatków między obszarami: </w:t>
      </w:r>
      <w:r w:rsidR="00997042">
        <w:rPr>
          <w:rFonts w:ascii="Times New Roman" w:hAnsi="Times New Roman" w:cs="Times New Roman"/>
        </w:rPr>
        <w:t>1</w:t>
      </w:r>
      <w:r w:rsidR="008C3A61" w:rsidRPr="005F6289">
        <w:rPr>
          <w:rFonts w:ascii="Times New Roman" w:hAnsi="Times New Roman" w:cs="Times New Roman"/>
        </w:rPr>
        <w:t xml:space="preserve"> </w:t>
      </w:r>
      <w:r w:rsidR="00E678F7" w:rsidRPr="005F6289">
        <w:rPr>
          <w:rFonts w:ascii="Times New Roman" w:hAnsi="Times New Roman" w:cs="Times New Roman"/>
        </w:rPr>
        <w:t xml:space="preserve">pn. </w:t>
      </w:r>
      <w:r w:rsidR="008C3A61" w:rsidRPr="005F6289">
        <w:rPr>
          <w:rFonts w:ascii="Times New Roman" w:hAnsi="Times New Roman" w:cs="Times New Roman"/>
        </w:rPr>
        <w:t xml:space="preserve">„Obiekty zbiorowej ochrony”, </w:t>
      </w:r>
      <w:r w:rsidR="00997042">
        <w:rPr>
          <w:rFonts w:ascii="Times New Roman" w:hAnsi="Times New Roman" w:cs="Times New Roman"/>
        </w:rPr>
        <w:t>2</w:t>
      </w:r>
      <w:r w:rsidR="00E678F7" w:rsidRPr="005F6289">
        <w:rPr>
          <w:rFonts w:ascii="Times New Roman" w:hAnsi="Times New Roman" w:cs="Times New Roman"/>
        </w:rPr>
        <w:t xml:space="preserve"> pn. </w:t>
      </w:r>
      <w:r w:rsidR="008C3A61" w:rsidRPr="005F6289">
        <w:rPr>
          <w:rFonts w:ascii="Times New Roman" w:hAnsi="Times New Roman" w:cs="Times New Roman"/>
        </w:rPr>
        <w:t>„Zabezpieczenie logistyczne i zapewnienie ciągłości dostaw”</w:t>
      </w:r>
      <w:r w:rsidR="00367565" w:rsidRPr="005F6289">
        <w:rPr>
          <w:rFonts w:ascii="Times New Roman" w:hAnsi="Times New Roman" w:cs="Times New Roman"/>
        </w:rPr>
        <w:t>,</w:t>
      </w:r>
      <w:r w:rsidR="008C3A61" w:rsidRPr="005F6289">
        <w:rPr>
          <w:rFonts w:ascii="Times New Roman" w:hAnsi="Times New Roman" w:cs="Times New Roman"/>
        </w:rPr>
        <w:t> </w:t>
      </w:r>
      <w:r w:rsidR="00997042">
        <w:rPr>
          <w:rFonts w:ascii="Times New Roman" w:hAnsi="Times New Roman" w:cs="Times New Roman"/>
        </w:rPr>
        <w:t>3 pn. </w:t>
      </w:r>
      <w:r w:rsidR="00367565" w:rsidRPr="005F6289">
        <w:rPr>
          <w:rFonts w:ascii="Times New Roman" w:hAnsi="Times New Roman" w:cs="Times New Roman"/>
        </w:rPr>
        <w:t>„</w:t>
      </w:r>
      <w:r w:rsidR="008C3A61" w:rsidRPr="005F6289">
        <w:rPr>
          <w:rFonts w:ascii="Times New Roman" w:hAnsi="Times New Roman" w:cs="Times New Roman"/>
        </w:rPr>
        <w:t>Utrzymanie i rozwój podmiotów ochrony ludności i organizacji pozarządowych, w</w:t>
      </w:r>
      <w:r w:rsidR="00997042">
        <w:rPr>
          <w:rFonts w:ascii="Times New Roman" w:hAnsi="Times New Roman" w:cs="Times New Roman"/>
        </w:rPr>
        <w:t> </w:t>
      </w:r>
      <w:r w:rsidR="008C3A61" w:rsidRPr="005F6289">
        <w:rPr>
          <w:rFonts w:ascii="Times New Roman" w:hAnsi="Times New Roman" w:cs="Times New Roman"/>
        </w:rPr>
        <w:t>tym krajowego systemu ratowniczo-gaśniczego, Państ</w:t>
      </w:r>
      <w:r w:rsidR="00FF47E8" w:rsidRPr="005F6289">
        <w:rPr>
          <w:rFonts w:ascii="Times New Roman" w:hAnsi="Times New Roman" w:cs="Times New Roman"/>
        </w:rPr>
        <w:t>wowego Ratownictwa Medycznego i </w:t>
      </w:r>
      <w:r w:rsidR="008C3A61" w:rsidRPr="005F6289">
        <w:rPr>
          <w:rFonts w:ascii="Times New Roman" w:hAnsi="Times New Roman" w:cs="Times New Roman"/>
        </w:rPr>
        <w:t>jednostek ochrony przeciwpożarowej”</w:t>
      </w:r>
      <w:r w:rsidR="005B5004" w:rsidRPr="005F6289">
        <w:rPr>
          <w:rFonts w:ascii="Times New Roman" w:hAnsi="Times New Roman" w:cs="Times New Roman"/>
        </w:rPr>
        <w:t xml:space="preserve"> oraz obszarem </w:t>
      </w:r>
      <w:r w:rsidR="00997042">
        <w:rPr>
          <w:rFonts w:ascii="Times New Roman" w:hAnsi="Times New Roman" w:cs="Times New Roman"/>
        </w:rPr>
        <w:t>5</w:t>
      </w:r>
      <w:r w:rsidR="00367565" w:rsidRPr="005F6289">
        <w:rPr>
          <w:rFonts w:ascii="Times New Roman" w:hAnsi="Times New Roman" w:cs="Times New Roman"/>
        </w:rPr>
        <w:t xml:space="preserve"> </w:t>
      </w:r>
      <w:r w:rsidR="00E678F7" w:rsidRPr="005F6289">
        <w:rPr>
          <w:rFonts w:ascii="Times New Roman" w:hAnsi="Times New Roman" w:cs="Times New Roman"/>
        </w:rPr>
        <w:t xml:space="preserve">pn. </w:t>
      </w:r>
      <w:r w:rsidR="00367565" w:rsidRPr="005F6289">
        <w:rPr>
          <w:rFonts w:ascii="Times New Roman" w:hAnsi="Times New Roman" w:cs="Times New Roman"/>
        </w:rPr>
        <w:t>„Bezpieczna Łączność Państwowa</w:t>
      </w:r>
      <w:r w:rsidR="00651D0D">
        <w:rPr>
          <w:rFonts w:ascii="Times New Roman" w:hAnsi="Times New Roman" w:cs="Times New Roman"/>
        </w:rPr>
        <w:t xml:space="preserve"> oraz alarmowanie, ostrzeganie i powiadamianie</w:t>
      </w:r>
      <w:r w:rsidR="00367565" w:rsidRPr="005F6289">
        <w:rPr>
          <w:rFonts w:ascii="Times New Roman" w:hAnsi="Times New Roman" w:cs="Times New Roman"/>
        </w:rPr>
        <w:t>”</w:t>
      </w:r>
      <w:r w:rsidR="008C3A61" w:rsidRPr="005F6289">
        <w:rPr>
          <w:rFonts w:ascii="Times New Roman" w:hAnsi="Times New Roman" w:cs="Times New Roman"/>
        </w:rPr>
        <w:t>. Obecnie możliwe jest łączenie wydatków z</w:t>
      </w:r>
      <w:r w:rsidR="00446F0B" w:rsidRPr="005F6289">
        <w:rPr>
          <w:rFonts w:ascii="Times New Roman" w:hAnsi="Times New Roman" w:cs="Times New Roman"/>
        </w:rPr>
        <w:t xml:space="preserve"> działów</w:t>
      </w:r>
      <w:r w:rsidR="008C3A61" w:rsidRPr="005F6289">
        <w:rPr>
          <w:rFonts w:ascii="Times New Roman" w:hAnsi="Times New Roman" w:cs="Times New Roman"/>
        </w:rPr>
        <w:t xml:space="preserve"> obszaru </w:t>
      </w:r>
      <w:r w:rsidR="00997042">
        <w:rPr>
          <w:rFonts w:ascii="Times New Roman" w:hAnsi="Times New Roman" w:cs="Times New Roman"/>
        </w:rPr>
        <w:t>1 i 2</w:t>
      </w:r>
      <w:r w:rsidR="008C3A61" w:rsidRPr="005F6289">
        <w:rPr>
          <w:rFonts w:ascii="Times New Roman" w:hAnsi="Times New Roman" w:cs="Times New Roman"/>
        </w:rPr>
        <w:t xml:space="preserve">. </w:t>
      </w:r>
      <w:r w:rsidR="00D673B6" w:rsidRPr="005F6289">
        <w:rPr>
          <w:rFonts w:ascii="Times New Roman" w:hAnsi="Times New Roman" w:cs="Times New Roman"/>
        </w:rPr>
        <w:t>Dla uelastycznienia wydatkowania</w:t>
      </w:r>
      <w:r w:rsidR="008C3A61" w:rsidRPr="005F6289">
        <w:rPr>
          <w:rFonts w:ascii="Times New Roman" w:hAnsi="Times New Roman" w:cs="Times New Roman"/>
        </w:rPr>
        <w:t xml:space="preserve"> zasadne jest również przenoszenie wydatków z i do obszaru </w:t>
      </w:r>
      <w:r w:rsidR="00997042">
        <w:rPr>
          <w:rFonts w:ascii="Times New Roman" w:hAnsi="Times New Roman" w:cs="Times New Roman"/>
        </w:rPr>
        <w:t>3 i 5</w:t>
      </w:r>
      <w:r w:rsidR="008C3A61" w:rsidRPr="005F6289">
        <w:rPr>
          <w:rFonts w:ascii="Times New Roman" w:hAnsi="Times New Roman" w:cs="Times New Roman"/>
        </w:rPr>
        <w:t xml:space="preserve">. W tym przypadku również nie wpływa to na łączną wysokość wydatków. </w:t>
      </w:r>
    </w:p>
    <w:p w:rsidR="005B5004" w:rsidRPr="005F6289" w:rsidRDefault="00B727CF" w:rsidP="005B5004">
      <w:pPr>
        <w:jc w:val="both"/>
        <w:rPr>
          <w:rFonts w:ascii="Times New Roman" w:hAnsi="Times New Roman" w:cs="Times New Roman"/>
        </w:rPr>
      </w:pPr>
      <w:r w:rsidRPr="005F6289">
        <w:rPr>
          <w:rFonts w:ascii="Times New Roman" w:hAnsi="Times New Roman" w:cs="Times New Roman"/>
        </w:rPr>
        <w:t>1</w:t>
      </w:r>
      <w:r w:rsidR="005F6289">
        <w:rPr>
          <w:rFonts w:ascii="Times New Roman" w:hAnsi="Times New Roman" w:cs="Times New Roman"/>
        </w:rPr>
        <w:t>2</w:t>
      </w:r>
      <w:r w:rsidR="005B5004" w:rsidRPr="005F6289">
        <w:rPr>
          <w:rFonts w:ascii="Times New Roman" w:hAnsi="Times New Roman" w:cs="Times New Roman"/>
        </w:rPr>
        <w:t xml:space="preserve">. Zgodnie z postulatem strony samorządowej doprecyzowano i rozszerzono możliwość realizacji zadań w zakresie: </w:t>
      </w:r>
    </w:p>
    <w:p w:rsidR="005B5004" w:rsidRPr="005F6289" w:rsidRDefault="005B5004" w:rsidP="005F6289">
      <w:pPr>
        <w:pStyle w:val="Akapitzlist"/>
        <w:numPr>
          <w:ilvl w:val="0"/>
          <w:numId w:val="10"/>
        </w:numPr>
        <w:ind w:left="284" w:hanging="284"/>
        <w:jc w:val="both"/>
        <w:rPr>
          <w:rFonts w:ascii="Times New Roman" w:hAnsi="Times New Roman" w:cs="Times New Roman"/>
        </w:rPr>
      </w:pPr>
      <w:r w:rsidRPr="005F6289">
        <w:rPr>
          <w:rFonts w:ascii="Times New Roman" w:hAnsi="Times New Roman" w:cs="Times New Roman"/>
        </w:rPr>
        <w:lastRenderedPageBreak/>
        <w:t>przeglądów obiektów i miejsc planowanych do organizacji miejsc doraźnego schronienia oraz obiektów, które do tej pory nie pełniły funkcji budowli ochronnych</w:t>
      </w:r>
      <w:r w:rsidR="00CC79C0" w:rsidRPr="005F6289">
        <w:rPr>
          <w:rFonts w:ascii="Times New Roman" w:hAnsi="Times New Roman" w:cs="Times New Roman"/>
        </w:rPr>
        <w:t>,</w:t>
      </w:r>
      <w:r w:rsidRPr="005F6289">
        <w:rPr>
          <w:rFonts w:ascii="Times New Roman" w:hAnsi="Times New Roman" w:cs="Times New Roman"/>
        </w:rPr>
        <w:t xml:space="preserve"> ale mogą tę funkcję spełniać,</w:t>
      </w:r>
    </w:p>
    <w:p w:rsidR="005B5004" w:rsidRPr="005F6289" w:rsidRDefault="005B5004" w:rsidP="005F6289">
      <w:pPr>
        <w:pStyle w:val="Akapitzlist"/>
        <w:numPr>
          <w:ilvl w:val="0"/>
          <w:numId w:val="10"/>
        </w:numPr>
        <w:ind w:left="284" w:hanging="284"/>
        <w:jc w:val="both"/>
        <w:rPr>
          <w:rFonts w:ascii="Times New Roman" w:hAnsi="Times New Roman" w:cs="Times New Roman"/>
        </w:rPr>
      </w:pPr>
      <w:r w:rsidRPr="005F6289">
        <w:rPr>
          <w:rFonts w:ascii="Times New Roman" w:hAnsi="Times New Roman" w:cs="Times New Roman"/>
        </w:rPr>
        <w:t>organizacji i utrzymania łańcuchów dostaw artykułów pierwszej potrzeby – w szczególności żywności, wody, środków higienicznych, produktów leczniczych, odzieży i posłania,</w:t>
      </w:r>
    </w:p>
    <w:p w:rsidR="005B5004" w:rsidRPr="005F6289" w:rsidRDefault="005B5004" w:rsidP="005F6289">
      <w:pPr>
        <w:pStyle w:val="Akapitzlist"/>
        <w:numPr>
          <w:ilvl w:val="0"/>
          <w:numId w:val="10"/>
        </w:numPr>
        <w:ind w:left="284" w:hanging="284"/>
        <w:jc w:val="both"/>
        <w:rPr>
          <w:rFonts w:ascii="Times New Roman" w:hAnsi="Times New Roman" w:cs="Times New Roman"/>
        </w:rPr>
      </w:pPr>
      <w:r w:rsidRPr="005F6289">
        <w:rPr>
          <w:rFonts w:ascii="Times New Roman" w:hAnsi="Times New Roman" w:cs="Times New Roman"/>
        </w:rPr>
        <w:t xml:space="preserve">dostosowania infrastruktury lotnisk aeroklubów </w:t>
      </w:r>
      <w:r w:rsidR="00367565" w:rsidRPr="005F6289">
        <w:rPr>
          <w:rFonts w:ascii="Times New Roman" w:hAnsi="Times New Roman" w:cs="Times New Roman"/>
        </w:rPr>
        <w:t xml:space="preserve">i lotnisk lokalnych </w:t>
      </w:r>
      <w:r w:rsidRPr="005F6289">
        <w:rPr>
          <w:rFonts w:ascii="Times New Roman" w:hAnsi="Times New Roman" w:cs="Times New Roman"/>
        </w:rPr>
        <w:t>do działań na okoliczność sytuacji kryzysowych.</w:t>
      </w:r>
    </w:p>
    <w:p w:rsidR="008C3A61" w:rsidRPr="005F6289" w:rsidRDefault="008C3A61" w:rsidP="008C3A61">
      <w:pPr>
        <w:jc w:val="both"/>
        <w:rPr>
          <w:rFonts w:ascii="Times New Roman" w:hAnsi="Times New Roman" w:cs="Times New Roman"/>
        </w:rPr>
      </w:pPr>
      <w:r w:rsidRPr="005F6289">
        <w:rPr>
          <w:rFonts w:ascii="Times New Roman" w:hAnsi="Times New Roman" w:cs="Times New Roman"/>
        </w:rPr>
        <w:t>Uelastycznienie zasad wydatkowania środków</w:t>
      </w:r>
      <w:r w:rsidR="00E678F7" w:rsidRPr="005F6289">
        <w:rPr>
          <w:rFonts w:ascii="Times New Roman" w:hAnsi="Times New Roman" w:cs="Times New Roman"/>
        </w:rPr>
        <w:t xml:space="preserve"> w ramach</w:t>
      </w:r>
      <w:r w:rsidRPr="005F6289">
        <w:rPr>
          <w:rFonts w:ascii="Times New Roman" w:hAnsi="Times New Roman" w:cs="Times New Roman"/>
        </w:rPr>
        <w:t xml:space="preserve"> </w:t>
      </w:r>
      <w:r w:rsidR="00E678F7" w:rsidRPr="005F6289">
        <w:rPr>
          <w:rFonts w:ascii="Times New Roman" w:hAnsi="Times New Roman" w:cs="Times New Roman"/>
        </w:rPr>
        <w:t xml:space="preserve">Programu </w:t>
      </w:r>
      <w:r w:rsidRPr="005F6289">
        <w:rPr>
          <w:rFonts w:ascii="Times New Roman" w:hAnsi="Times New Roman" w:cs="Times New Roman"/>
        </w:rPr>
        <w:t>pozwoli na racjonalny zakup większej ilości zasobów ochrony ludności – w tym zasobów magazynowych dla organów i podmiotów ochrony ludności oraz zapasów, które będą mogły być wykorzystane w sytuacji zagrożenia. Doposażenie podmiotów ochrony ludności (np. straży pożarnych) pozytywnie wpłynie na stopień realizacji zadań oraz poziom bezpieczeństwa obywateli</w:t>
      </w:r>
      <w:r w:rsidR="00427870" w:rsidRPr="005F6289">
        <w:rPr>
          <w:rFonts w:ascii="Times New Roman" w:hAnsi="Times New Roman" w:cs="Times New Roman"/>
        </w:rPr>
        <w:t>.</w:t>
      </w:r>
    </w:p>
    <w:p w:rsidR="00FF47E8" w:rsidRPr="005F6289" w:rsidRDefault="00FF47E8" w:rsidP="008C3A61">
      <w:pPr>
        <w:jc w:val="both"/>
        <w:rPr>
          <w:rFonts w:ascii="Times New Roman" w:hAnsi="Times New Roman" w:cs="Times New Roman"/>
        </w:rPr>
      </w:pPr>
      <w:r w:rsidRPr="005F6289">
        <w:rPr>
          <w:rFonts w:ascii="Times New Roman" w:hAnsi="Times New Roman" w:cs="Times New Roman"/>
        </w:rPr>
        <w:t>Dodatkowo uaktualniono kwoty dotyczące wydatków w 2026 r. na Lotnicze Pogotowie Ratunkowe, finansowanych przez Ministra Zdrowia z części 46 – Zdrowie, zgodnie z art. 48 ust. 1 ustawy z dnia 8 września 2006 r. o Państwowym Ratownictwie Medycznym</w:t>
      </w:r>
      <w:r w:rsidR="00E678F7" w:rsidRPr="005F6289">
        <w:rPr>
          <w:rFonts w:ascii="Times New Roman" w:hAnsi="Times New Roman" w:cs="Times New Roman"/>
        </w:rPr>
        <w:t xml:space="preserve"> (Dz. U. z 2025 r. poz. 91, z późn. zm.)</w:t>
      </w:r>
      <w:r w:rsidRPr="005F6289">
        <w:rPr>
          <w:rFonts w:ascii="Times New Roman" w:hAnsi="Times New Roman" w:cs="Times New Roman"/>
        </w:rPr>
        <w:t xml:space="preserve">.  </w:t>
      </w:r>
    </w:p>
    <w:p w:rsidR="00427870" w:rsidRPr="00F25B0A" w:rsidRDefault="00427870" w:rsidP="00427870">
      <w:pPr>
        <w:spacing w:line="240" w:lineRule="auto"/>
        <w:jc w:val="both"/>
        <w:rPr>
          <w:rFonts w:ascii="Times New Roman" w:hAnsi="Times New Roman" w:cs="Times New Roman"/>
        </w:rPr>
      </w:pPr>
      <w:r w:rsidRPr="009056CE">
        <w:rPr>
          <w:rFonts w:ascii="Times New Roman" w:hAnsi="Times New Roman" w:cs="Times New Roman"/>
        </w:rPr>
        <w:t>Proponowana noweliza</w:t>
      </w:r>
      <w:r w:rsidR="00651D0D">
        <w:rPr>
          <w:rFonts w:ascii="Times New Roman" w:hAnsi="Times New Roman" w:cs="Times New Roman"/>
        </w:rPr>
        <w:t>cja nie zmienia łącznego limitu</w:t>
      </w:r>
      <w:r w:rsidRPr="009056CE">
        <w:rPr>
          <w:rFonts w:ascii="Times New Roman" w:hAnsi="Times New Roman" w:cs="Times New Roman"/>
        </w:rPr>
        <w:t xml:space="preserve"> środków przewidzianych na realizację zadań Programu</w:t>
      </w:r>
      <w:r w:rsidRPr="00113480">
        <w:rPr>
          <w:rFonts w:ascii="Times New Roman" w:hAnsi="Times New Roman" w:cs="Times New Roman"/>
        </w:rPr>
        <w:t>, a jedynie zmienia zasady ich wydatkowania i łączenia grup wydatków.</w:t>
      </w:r>
      <w:r w:rsidR="00446F0B" w:rsidRPr="00F25B0A">
        <w:rPr>
          <w:rFonts w:ascii="Times New Roman" w:hAnsi="Times New Roman" w:cs="Times New Roman"/>
        </w:rPr>
        <w:t xml:space="preserve"> Tym samym u</w:t>
      </w:r>
      <w:r w:rsidR="005F6289" w:rsidRPr="00F25B0A">
        <w:rPr>
          <w:rFonts w:ascii="Times New Roman" w:hAnsi="Times New Roman" w:cs="Times New Roman"/>
        </w:rPr>
        <w:t xml:space="preserve">chwała </w:t>
      </w:r>
      <w:r w:rsidR="00446F0B" w:rsidRPr="00F25B0A">
        <w:rPr>
          <w:rFonts w:ascii="Times New Roman" w:hAnsi="Times New Roman" w:cs="Times New Roman"/>
        </w:rPr>
        <w:t xml:space="preserve">nie ma wpływu na sektor finansów publicznych. </w:t>
      </w:r>
    </w:p>
    <w:p w:rsidR="003E738D" w:rsidRPr="005F6289" w:rsidRDefault="003E738D" w:rsidP="003E738D">
      <w:pPr>
        <w:jc w:val="both"/>
        <w:rPr>
          <w:rFonts w:ascii="Times New Roman" w:hAnsi="Times New Roman" w:cs="Times New Roman"/>
        </w:rPr>
      </w:pPr>
      <w:r w:rsidRPr="005F6289">
        <w:rPr>
          <w:rFonts w:ascii="Times New Roman" w:hAnsi="Times New Roman" w:cs="Times New Roman"/>
        </w:rPr>
        <w:t xml:space="preserve">W celu wykonania obowiązku wynikającego z art. 5 ustawy z dnia 7 lipca 2005 r. o działalności lobbingowej w procesie </w:t>
      </w:r>
      <w:r w:rsidR="00D673B6" w:rsidRPr="005F6289">
        <w:rPr>
          <w:rFonts w:ascii="Times New Roman" w:hAnsi="Times New Roman" w:cs="Times New Roman"/>
        </w:rPr>
        <w:t>stanowienia prawa (Dz. U. z 2025 r. poz. 677</w:t>
      </w:r>
      <w:r w:rsidRPr="005F6289">
        <w:rPr>
          <w:rFonts w:ascii="Times New Roman" w:hAnsi="Times New Roman" w:cs="Times New Roman"/>
        </w:rPr>
        <w:t>) projekt zostanie umieszczony w</w:t>
      </w:r>
      <w:r w:rsidR="009E4D0D" w:rsidRPr="005F6289">
        <w:rPr>
          <w:rFonts w:ascii="Times New Roman" w:hAnsi="Times New Roman" w:cs="Times New Roman"/>
        </w:rPr>
        <w:t> </w:t>
      </w:r>
      <w:r w:rsidRPr="005F6289">
        <w:rPr>
          <w:rFonts w:ascii="Times New Roman" w:hAnsi="Times New Roman" w:cs="Times New Roman"/>
        </w:rPr>
        <w:t xml:space="preserve">Biuletynie Informacji Publicznej MSWiA. </w:t>
      </w:r>
    </w:p>
    <w:p w:rsidR="003E738D" w:rsidRPr="005F6289" w:rsidRDefault="003E738D" w:rsidP="003E738D">
      <w:pPr>
        <w:jc w:val="both"/>
        <w:rPr>
          <w:rFonts w:ascii="Times New Roman" w:hAnsi="Times New Roman" w:cs="Times New Roman"/>
        </w:rPr>
      </w:pPr>
      <w:r w:rsidRPr="005F6289">
        <w:rPr>
          <w:rFonts w:ascii="Times New Roman" w:hAnsi="Times New Roman" w:cs="Times New Roman"/>
        </w:rPr>
        <w:t xml:space="preserve">Ustawa z dnia 5 grudnia 2024 r. </w:t>
      </w:r>
      <w:r w:rsidR="003B4AE1" w:rsidRPr="005F6289">
        <w:rPr>
          <w:rFonts w:ascii="Times New Roman" w:hAnsi="Times New Roman" w:cs="Times New Roman"/>
        </w:rPr>
        <w:t xml:space="preserve">o ochronie ludności i obronie cywilnej </w:t>
      </w:r>
      <w:r w:rsidRPr="005F6289">
        <w:rPr>
          <w:rFonts w:ascii="Times New Roman" w:hAnsi="Times New Roman" w:cs="Times New Roman"/>
        </w:rPr>
        <w:t>przewiduje szczególny tryb uzgodnienia uchwały w sprawie Programu Ochrony Ludności i Obrony Cywilnej. Zgodnie z art. 156 ust. 4 proj</w:t>
      </w:r>
      <w:r w:rsidR="008C3A61" w:rsidRPr="005F6289">
        <w:rPr>
          <w:rFonts w:ascii="Times New Roman" w:hAnsi="Times New Roman" w:cs="Times New Roman"/>
        </w:rPr>
        <w:t>ekt Programu Ochrony Ludności i </w:t>
      </w:r>
      <w:r w:rsidRPr="005F6289">
        <w:rPr>
          <w:rFonts w:ascii="Times New Roman" w:hAnsi="Times New Roman" w:cs="Times New Roman"/>
        </w:rPr>
        <w:t>Obrony Cywilnej:</w:t>
      </w:r>
    </w:p>
    <w:p w:rsidR="003E738D" w:rsidRPr="005F6289" w:rsidRDefault="003E738D" w:rsidP="003E738D">
      <w:pPr>
        <w:pStyle w:val="Akapitzlist"/>
        <w:numPr>
          <w:ilvl w:val="0"/>
          <w:numId w:val="2"/>
        </w:numPr>
        <w:jc w:val="both"/>
        <w:rPr>
          <w:rFonts w:ascii="Times New Roman" w:hAnsi="Times New Roman" w:cs="Times New Roman"/>
        </w:rPr>
      </w:pPr>
      <w:r w:rsidRPr="005F6289">
        <w:rPr>
          <w:rFonts w:ascii="Times New Roman" w:hAnsi="Times New Roman" w:cs="Times New Roman"/>
        </w:rPr>
        <w:lastRenderedPageBreak/>
        <w:t>podlega uzgodnieniu z Ministrem Obrony Narodowej i Przewodniczącym Komitetu do spraw Pożytku Publicznego;</w:t>
      </w:r>
    </w:p>
    <w:p w:rsidR="003E738D" w:rsidRPr="005F6289" w:rsidRDefault="003E738D" w:rsidP="003E738D">
      <w:pPr>
        <w:pStyle w:val="Akapitzlist"/>
        <w:numPr>
          <w:ilvl w:val="0"/>
          <w:numId w:val="2"/>
        </w:numPr>
        <w:jc w:val="both"/>
        <w:rPr>
          <w:rFonts w:ascii="Times New Roman" w:hAnsi="Times New Roman" w:cs="Times New Roman"/>
        </w:rPr>
      </w:pPr>
      <w:r w:rsidRPr="005F6289">
        <w:rPr>
          <w:rFonts w:ascii="Times New Roman" w:hAnsi="Times New Roman" w:cs="Times New Roman"/>
        </w:rPr>
        <w:t>jest opiniowany przez Rządowy Zespół Ochrony Lud</w:t>
      </w:r>
      <w:r w:rsidR="008C3A61" w:rsidRPr="005F6289">
        <w:rPr>
          <w:rFonts w:ascii="Times New Roman" w:hAnsi="Times New Roman" w:cs="Times New Roman"/>
        </w:rPr>
        <w:t>ności i Komisję Wspólną Rządu i </w:t>
      </w:r>
      <w:r w:rsidRPr="005F6289">
        <w:rPr>
          <w:rFonts w:ascii="Times New Roman" w:hAnsi="Times New Roman" w:cs="Times New Roman"/>
        </w:rPr>
        <w:t>Samorządu Terytorialnego.</w:t>
      </w:r>
    </w:p>
    <w:p w:rsidR="005F6289" w:rsidRPr="005F6289" w:rsidRDefault="005F6289" w:rsidP="005F6289">
      <w:pPr>
        <w:pStyle w:val="Akapitzlist"/>
        <w:ind w:left="0"/>
        <w:jc w:val="both"/>
        <w:rPr>
          <w:rFonts w:ascii="Times New Roman" w:hAnsi="Times New Roman" w:cs="Times New Roman"/>
        </w:rPr>
      </w:pPr>
      <w:r w:rsidRPr="005F6289">
        <w:rPr>
          <w:rFonts w:ascii="Times New Roman" w:hAnsi="Times New Roman" w:cs="Times New Roman"/>
        </w:rPr>
        <w:t xml:space="preserve">W związku z powyższym projekt uchwały został uzgodniony z Ministrem Obrony Narodowej oraz Przewodniczącym Komitetu do spraw Pożytku Publicznego, jak również uzyskał pozytywną opinię Komisji Wspólnej Rządu i Samorządu Terytorialnego oraz Rządowego Zespołu Ochrony Ludności.  </w:t>
      </w:r>
    </w:p>
    <w:p w:rsidR="003E738D" w:rsidRPr="005F6289" w:rsidRDefault="003E738D" w:rsidP="003E738D">
      <w:pPr>
        <w:jc w:val="both"/>
        <w:rPr>
          <w:rFonts w:ascii="Times New Roman" w:hAnsi="Times New Roman" w:cs="Times New Roman"/>
        </w:rPr>
      </w:pPr>
      <w:r w:rsidRPr="005F6289">
        <w:rPr>
          <w:rFonts w:ascii="Times New Roman" w:hAnsi="Times New Roman" w:cs="Times New Roman"/>
        </w:rPr>
        <w:t xml:space="preserve">Projekt uchwały nie jest </w:t>
      </w:r>
      <w:r w:rsidR="00357C4A" w:rsidRPr="005F6289">
        <w:rPr>
          <w:rFonts w:ascii="Times New Roman" w:hAnsi="Times New Roman" w:cs="Times New Roman"/>
        </w:rPr>
        <w:t>objęty</w:t>
      </w:r>
      <w:r w:rsidR="00D673B6" w:rsidRPr="005F6289">
        <w:rPr>
          <w:rFonts w:ascii="Times New Roman" w:hAnsi="Times New Roman" w:cs="Times New Roman"/>
        </w:rPr>
        <w:t xml:space="preserve"> </w:t>
      </w:r>
      <w:r w:rsidRPr="005F6289">
        <w:rPr>
          <w:rFonts w:ascii="Times New Roman" w:hAnsi="Times New Roman" w:cs="Times New Roman"/>
        </w:rPr>
        <w:t>prawem Unii Europejskiej.</w:t>
      </w:r>
    </w:p>
    <w:p w:rsidR="003E738D" w:rsidRPr="005F6289" w:rsidRDefault="003E738D" w:rsidP="003E738D">
      <w:pPr>
        <w:jc w:val="both"/>
        <w:rPr>
          <w:rFonts w:ascii="Times New Roman" w:hAnsi="Times New Roman" w:cs="Times New Roman"/>
        </w:rPr>
      </w:pPr>
      <w:r w:rsidRPr="005F6289">
        <w:rPr>
          <w:rFonts w:ascii="Times New Roman" w:hAnsi="Times New Roman" w:cs="Times New Roman"/>
        </w:rPr>
        <w:t>Projekt uchwały nie podlega procedurze notyfikacji aktów prawnych określonej w przepisach rozporządzenia Rady Ministrów z dnia 23 grudnia 2002 r. w sprawie sposobu funkcjonowania krajowego systemu notyfikacji norm i aktów prawnych (Dz. U. poz. 2039, z późn. zm.).</w:t>
      </w:r>
    </w:p>
    <w:p w:rsidR="003E738D" w:rsidRPr="005F6289" w:rsidRDefault="003E738D" w:rsidP="003E738D">
      <w:pPr>
        <w:jc w:val="both"/>
        <w:rPr>
          <w:rFonts w:ascii="Times New Roman" w:hAnsi="Times New Roman" w:cs="Times New Roman"/>
        </w:rPr>
      </w:pPr>
      <w:r w:rsidRPr="005F6289">
        <w:rPr>
          <w:rFonts w:ascii="Times New Roman" w:hAnsi="Times New Roman" w:cs="Times New Roman"/>
        </w:rPr>
        <w:t>Projektowana regulacja nie wymaga przedstawienia właściwym organom i instytucjom Unii Europejskiej, w tym Europejskiemu Bankowi Centralnemu, w celu uzyskania opinii, dokonania powiadomienia, konsultacji albo uzgodnienia.</w:t>
      </w:r>
    </w:p>
    <w:p w:rsidR="003E738D" w:rsidRPr="005F6289" w:rsidRDefault="003E738D" w:rsidP="003E738D">
      <w:pPr>
        <w:jc w:val="both"/>
        <w:rPr>
          <w:rFonts w:ascii="Times New Roman" w:hAnsi="Times New Roman" w:cs="Times New Roman"/>
        </w:rPr>
      </w:pPr>
      <w:r w:rsidRPr="005F6289">
        <w:rPr>
          <w:rFonts w:ascii="Times New Roman" w:hAnsi="Times New Roman" w:cs="Times New Roman"/>
        </w:rPr>
        <w:t>Projektowana regulacja nie stwarza zagrożeń korupcyjnych.</w:t>
      </w:r>
    </w:p>
    <w:sectPr w:rsidR="003E738D" w:rsidRPr="005F62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erif">
    <w:altName w:val="Times New Roman"/>
    <w:charset w:val="00"/>
    <w:family w:val="roman"/>
    <w:pitch w:val="variable"/>
    <w:sig w:usb0="00000001" w:usb1="500078FF" w:usb2="00000029"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E612E"/>
    <w:multiLevelType w:val="hybridMultilevel"/>
    <w:tmpl w:val="0832E8FC"/>
    <w:lvl w:ilvl="0" w:tplc="A1108790">
      <w:start w:val="1"/>
      <w:numFmt w:val="decimal"/>
      <w:lvlText w:val="%1)"/>
      <w:lvlJc w:val="left"/>
      <w:pPr>
        <w:ind w:left="720" w:hanging="360"/>
      </w:pPr>
      <w:rPr>
        <w:rFonts w:ascii="Noto Serif" w:hAnsi="Noto Serif" w:cs="Noto Serif" w:hint="default"/>
        <w:color w:val="333333"/>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1E429A3"/>
    <w:multiLevelType w:val="hybridMultilevel"/>
    <w:tmpl w:val="033A333C"/>
    <w:lvl w:ilvl="0" w:tplc="0415000F">
      <w:start w:val="1"/>
      <w:numFmt w:val="decimal"/>
      <w:lvlText w:val="%1."/>
      <w:lvlJc w:val="left"/>
      <w:pPr>
        <w:ind w:left="305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135327"/>
    <w:multiLevelType w:val="hybridMultilevel"/>
    <w:tmpl w:val="09683A5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12A1AAE"/>
    <w:multiLevelType w:val="hybridMultilevel"/>
    <w:tmpl w:val="57886D5A"/>
    <w:lvl w:ilvl="0" w:tplc="066005CE">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4" w15:restartNumberingAfterBreak="0">
    <w:nsid w:val="1BB94F50"/>
    <w:multiLevelType w:val="hybridMultilevel"/>
    <w:tmpl w:val="D444BCA8"/>
    <w:lvl w:ilvl="0" w:tplc="C9EAB880">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 w15:restartNumberingAfterBreak="0">
    <w:nsid w:val="38891495"/>
    <w:multiLevelType w:val="hybridMultilevel"/>
    <w:tmpl w:val="44828EF8"/>
    <w:lvl w:ilvl="0" w:tplc="30A0AF30">
      <w:start w:val="1"/>
      <w:numFmt w:val="decimal"/>
      <w:lvlText w:val="%1."/>
      <w:lvlJc w:val="left"/>
      <w:pPr>
        <w:ind w:left="810" w:hanging="4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B9971A1"/>
    <w:multiLevelType w:val="hybridMultilevel"/>
    <w:tmpl w:val="203E41D4"/>
    <w:lvl w:ilvl="0" w:tplc="45543030">
      <w:start w:val="1"/>
      <w:numFmt w:val="lowerLetter"/>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7" w15:restartNumberingAfterBreak="0">
    <w:nsid w:val="5DC6458A"/>
    <w:multiLevelType w:val="hybridMultilevel"/>
    <w:tmpl w:val="E682BB12"/>
    <w:lvl w:ilvl="0" w:tplc="066005CE">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8" w15:restartNumberingAfterBreak="0">
    <w:nsid w:val="60833F1A"/>
    <w:multiLevelType w:val="hybridMultilevel"/>
    <w:tmpl w:val="2094299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FB65EF8"/>
    <w:multiLevelType w:val="hybridMultilevel"/>
    <w:tmpl w:val="49B4FA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2"/>
  </w:num>
  <w:num w:numId="3">
    <w:abstractNumId w:val="1"/>
  </w:num>
  <w:num w:numId="4">
    <w:abstractNumId w:val="5"/>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8"/>
  </w:num>
  <w:num w:numId="9">
    <w:abstractNumId w:val="7"/>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778"/>
    <w:rsid w:val="00045048"/>
    <w:rsid w:val="00060CC0"/>
    <w:rsid w:val="0010523A"/>
    <w:rsid w:val="00113480"/>
    <w:rsid w:val="001212D7"/>
    <w:rsid w:val="00126665"/>
    <w:rsid w:val="001273B3"/>
    <w:rsid w:val="00144687"/>
    <w:rsid w:val="001612AD"/>
    <w:rsid w:val="00173E64"/>
    <w:rsid w:val="001F21CF"/>
    <w:rsid w:val="00294B44"/>
    <w:rsid w:val="00356FFC"/>
    <w:rsid w:val="00357C4A"/>
    <w:rsid w:val="00360750"/>
    <w:rsid w:val="00367565"/>
    <w:rsid w:val="003740F2"/>
    <w:rsid w:val="003B4AE1"/>
    <w:rsid w:val="003E738D"/>
    <w:rsid w:val="003F302C"/>
    <w:rsid w:val="00427870"/>
    <w:rsid w:val="00446F0B"/>
    <w:rsid w:val="004C6227"/>
    <w:rsid w:val="004C6368"/>
    <w:rsid w:val="00594160"/>
    <w:rsid w:val="005B5004"/>
    <w:rsid w:val="005C0805"/>
    <w:rsid w:val="005F080E"/>
    <w:rsid w:val="005F6289"/>
    <w:rsid w:val="006023BC"/>
    <w:rsid w:val="00605A12"/>
    <w:rsid w:val="00651D0D"/>
    <w:rsid w:val="006A0CC2"/>
    <w:rsid w:val="0071325A"/>
    <w:rsid w:val="007666B2"/>
    <w:rsid w:val="007C764D"/>
    <w:rsid w:val="00882E9D"/>
    <w:rsid w:val="008C3A61"/>
    <w:rsid w:val="009056CE"/>
    <w:rsid w:val="00997042"/>
    <w:rsid w:val="009A0485"/>
    <w:rsid w:val="009E4D0D"/>
    <w:rsid w:val="00A35AA3"/>
    <w:rsid w:val="00A52778"/>
    <w:rsid w:val="00B01AD5"/>
    <w:rsid w:val="00B238AC"/>
    <w:rsid w:val="00B33B50"/>
    <w:rsid w:val="00B42E47"/>
    <w:rsid w:val="00B727CF"/>
    <w:rsid w:val="00B804AE"/>
    <w:rsid w:val="00BF7170"/>
    <w:rsid w:val="00C756B2"/>
    <w:rsid w:val="00C86D8C"/>
    <w:rsid w:val="00CB395F"/>
    <w:rsid w:val="00CB3E63"/>
    <w:rsid w:val="00CC79C0"/>
    <w:rsid w:val="00CD6D13"/>
    <w:rsid w:val="00CF687D"/>
    <w:rsid w:val="00D31B2E"/>
    <w:rsid w:val="00D673B6"/>
    <w:rsid w:val="00D94804"/>
    <w:rsid w:val="00DD64BD"/>
    <w:rsid w:val="00DF66B8"/>
    <w:rsid w:val="00E61538"/>
    <w:rsid w:val="00E64EEE"/>
    <w:rsid w:val="00E678F7"/>
    <w:rsid w:val="00EF776F"/>
    <w:rsid w:val="00F25B0A"/>
    <w:rsid w:val="00FC36B7"/>
    <w:rsid w:val="00FF47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C87B8B-0F30-4330-9821-32F02B42A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F47E8"/>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E738D"/>
    <w:pPr>
      <w:ind w:left="720"/>
      <w:contextualSpacing/>
    </w:pPr>
  </w:style>
  <w:style w:type="paragraph" w:styleId="Tekstdymka">
    <w:name w:val="Balloon Text"/>
    <w:basedOn w:val="Normalny"/>
    <w:link w:val="TekstdymkaZnak"/>
    <w:uiPriority w:val="99"/>
    <w:semiHidden/>
    <w:unhideWhenUsed/>
    <w:rsid w:val="001F21C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F21CF"/>
    <w:rPr>
      <w:rFonts w:ascii="Segoe UI" w:hAnsi="Segoe UI" w:cs="Segoe UI"/>
      <w:sz w:val="18"/>
      <w:szCs w:val="18"/>
    </w:rPr>
  </w:style>
  <w:style w:type="character" w:customStyle="1" w:styleId="Nagwek1Znak">
    <w:name w:val="Nagłówek 1 Znak"/>
    <w:basedOn w:val="Domylnaczcionkaakapitu"/>
    <w:link w:val="Nagwek1"/>
    <w:uiPriority w:val="9"/>
    <w:rsid w:val="00FF47E8"/>
    <w:rPr>
      <w:rFonts w:asciiTheme="majorHAnsi" w:eastAsiaTheme="majorEastAsia" w:hAnsiTheme="majorHAnsi" w:cstheme="majorBidi"/>
      <w:color w:val="2E74B5" w:themeColor="accent1" w:themeShade="BF"/>
      <w:kern w:val="2"/>
      <w:sz w:val="40"/>
      <w:szCs w:val="4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2242</Words>
  <Characters>13456</Characters>
  <Application>Microsoft Office Word</Application>
  <DocSecurity>0</DocSecurity>
  <Lines>112</Lines>
  <Paragraphs>31</Paragraphs>
  <ScaleCrop>false</ScaleCrop>
  <HeadingPairs>
    <vt:vector size="2" baseType="variant">
      <vt:variant>
        <vt:lpstr>Tytuł</vt:lpstr>
      </vt:variant>
      <vt:variant>
        <vt:i4>1</vt:i4>
      </vt:variant>
    </vt:vector>
  </HeadingPairs>
  <TitlesOfParts>
    <vt:vector size="1" baseType="lpstr">
      <vt:lpstr/>
    </vt:vector>
  </TitlesOfParts>
  <Company>MSWiA</Company>
  <LinksUpToDate>false</LinksUpToDate>
  <CharactersWithSpaces>15667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Chomicz Ewa</dc:creator>
  <cp:keywords/>
  <dc:description/>
  <cp:lastModifiedBy>Kolasinski Jakub</cp:lastModifiedBy>
  <cp:revision>2</cp:revision>
  <dcterms:created xsi:type="dcterms:W3CDTF">2025-10-31T16:50:00Z</dcterms:created>
  <dcterms:modified xsi:type="dcterms:W3CDTF">2025-10-31T16:50:00Z</dcterms:modified>
</cp:coreProperties>
</file>