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93C" w:rsidRPr="00EA693C" w:rsidRDefault="00EA693C" w:rsidP="00EA693C">
      <w:pPr>
        <w:spacing w:after="0" w:line="276" w:lineRule="auto"/>
        <w:rPr>
          <w:rFonts w:ascii="Lato" w:hAnsi="Lato"/>
        </w:rPr>
      </w:pPr>
      <w:bookmarkStart w:id="0" w:name="_GoBack"/>
      <w:bookmarkEnd w:id="0"/>
      <w:r w:rsidRPr="00EA693C">
        <w:rPr>
          <w:rFonts w:ascii="Lato" w:hAnsi="Lato"/>
        </w:rPr>
        <w:t>Departament Obywatelstwa i Repatriacji</w:t>
      </w:r>
    </w:p>
    <w:p w:rsidR="00EA693C" w:rsidRPr="00EA693C" w:rsidRDefault="00EA693C" w:rsidP="00EA693C">
      <w:pPr>
        <w:spacing w:after="0" w:line="276" w:lineRule="auto"/>
        <w:rPr>
          <w:rFonts w:ascii="Lato" w:hAnsi="Lato"/>
        </w:rPr>
      </w:pPr>
    </w:p>
    <w:p w:rsidR="00736FD1" w:rsidRPr="00C62DBC" w:rsidRDefault="00736FD1" w:rsidP="00736FD1">
      <w:pPr>
        <w:spacing w:after="0" w:line="240" w:lineRule="auto"/>
        <w:jc w:val="both"/>
        <w:rPr>
          <w:rFonts w:ascii="Lato" w:hAnsi="Lato"/>
        </w:rPr>
      </w:pPr>
      <w:r w:rsidRPr="00C62DBC">
        <w:rPr>
          <w:rFonts w:ascii="Lato" w:hAnsi="Lato"/>
        </w:rPr>
        <w:t>DOiR-I-093-1/2022 (poprzednio DOiR-I-620-28/2022)</w:t>
      </w:r>
    </w:p>
    <w:p w:rsidR="00736FD1" w:rsidRPr="00D52DA3" w:rsidRDefault="00736FD1" w:rsidP="00736FD1">
      <w:pPr>
        <w:spacing w:after="0" w:line="240" w:lineRule="auto"/>
        <w:jc w:val="both"/>
        <w:rPr>
          <w:rFonts w:ascii="Lato" w:hAnsi="Lato"/>
        </w:rPr>
      </w:pPr>
      <w:r w:rsidRPr="00C62DBC">
        <w:rPr>
          <w:rFonts w:ascii="Lato" w:hAnsi="Lato"/>
        </w:rPr>
        <w:t xml:space="preserve">Warszawa, </w:t>
      </w:r>
      <w:r w:rsidR="00D20CCA">
        <w:rPr>
          <w:rFonts w:ascii="Lato" w:hAnsi="Lato"/>
        </w:rPr>
        <w:t xml:space="preserve"> 6</w:t>
      </w:r>
      <w:r>
        <w:rPr>
          <w:rFonts w:ascii="Lato" w:hAnsi="Lato"/>
        </w:rPr>
        <w:t xml:space="preserve"> lutego </w:t>
      </w:r>
      <w:r w:rsidRPr="00C62DBC">
        <w:rPr>
          <w:rFonts w:ascii="Lato" w:hAnsi="Lato"/>
        </w:rPr>
        <w:t xml:space="preserve">2023 r. </w:t>
      </w:r>
    </w:p>
    <w:p w:rsidR="00EA693C" w:rsidRPr="00EA693C" w:rsidRDefault="00EA693C" w:rsidP="00EA693C">
      <w:pPr>
        <w:spacing w:after="0" w:line="276" w:lineRule="auto"/>
        <w:rPr>
          <w:rFonts w:ascii="Lato" w:hAnsi="Lato"/>
        </w:rPr>
      </w:pPr>
    </w:p>
    <w:p w:rsidR="00EA693C" w:rsidRPr="00EA693C" w:rsidRDefault="00EA693C" w:rsidP="00EA693C">
      <w:pPr>
        <w:spacing w:after="0" w:line="276" w:lineRule="auto"/>
        <w:jc w:val="both"/>
        <w:rPr>
          <w:rFonts w:ascii="Lato" w:hAnsi="Lato"/>
          <w:b/>
          <w:i/>
        </w:rPr>
      </w:pPr>
      <w:r w:rsidRPr="00EA693C">
        <w:rPr>
          <w:rFonts w:ascii="Lato" w:hAnsi="Lato"/>
          <w:b/>
        </w:rPr>
        <w:t xml:space="preserve">Informacja o wynikach kontroli na temat: </w:t>
      </w:r>
      <w:r w:rsidRPr="00EA693C">
        <w:rPr>
          <w:rFonts w:ascii="Lato" w:hAnsi="Lato"/>
          <w:b/>
          <w:i/>
        </w:rPr>
        <w:t xml:space="preserve">Prawidłowość potwierdzania posiadania lub utraty obywatelstwa polskiego oraz uznawania za obywatela polskiego </w:t>
      </w:r>
      <w:r w:rsidRPr="00EA693C">
        <w:rPr>
          <w:rFonts w:ascii="Lato" w:hAnsi="Lato"/>
          <w:b/>
          <w:i/>
        </w:rPr>
        <w:br/>
        <w:t xml:space="preserve">w </w:t>
      </w:r>
      <w:r w:rsidR="00736FD1">
        <w:rPr>
          <w:rFonts w:ascii="Lato" w:hAnsi="Lato"/>
          <w:b/>
          <w:i/>
        </w:rPr>
        <w:t xml:space="preserve">Łódzkim </w:t>
      </w:r>
      <w:r w:rsidRPr="00EA693C">
        <w:rPr>
          <w:rFonts w:ascii="Lato" w:hAnsi="Lato"/>
          <w:b/>
          <w:i/>
        </w:rPr>
        <w:t xml:space="preserve">Urzędzie Wojewódzkim w </w:t>
      </w:r>
      <w:r w:rsidR="00736FD1">
        <w:rPr>
          <w:rFonts w:ascii="Lato" w:hAnsi="Lato"/>
          <w:b/>
          <w:i/>
        </w:rPr>
        <w:t>Łodzi</w:t>
      </w:r>
      <w:r w:rsidRPr="00EA693C">
        <w:rPr>
          <w:rFonts w:ascii="Lato" w:hAnsi="Lato"/>
          <w:b/>
          <w:i/>
        </w:rPr>
        <w:t>.</w:t>
      </w:r>
    </w:p>
    <w:p w:rsidR="00EA693C" w:rsidRPr="00EA693C" w:rsidRDefault="00EA693C" w:rsidP="00EA693C">
      <w:pPr>
        <w:tabs>
          <w:tab w:val="center" w:pos="3968"/>
        </w:tabs>
        <w:spacing w:after="0" w:line="276" w:lineRule="auto"/>
        <w:jc w:val="both"/>
        <w:rPr>
          <w:rFonts w:ascii="Lato" w:hAnsi="Lato"/>
        </w:rPr>
      </w:pPr>
    </w:p>
    <w:p w:rsidR="00EA693C" w:rsidRPr="00EA693C" w:rsidRDefault="00EA693C" w:rsidP="00EA693C">
      <w:pPr>
        <w:spacing w:after="120" w:line="276" w:lineRule="auto"/>
        <w:jc w:val="both"/>
        <w:rPr>
          <w:rFonts w:ascii="Lato" w:hAnsi="Lato"/>
          <w:b/>
        </w:rPr>
      </w:pPr>
      <w:r w:rsidRPr="00EA693C">
        <w:rPr>
          <w:rFonts w:ascii="Lato" w:hAnsi="Lato"/>
          <w:b/>
        </w:rPr>
        <w:t xml:space="preserve">I. Podstawa prawna </w:t>
      </w:r>
    </w:p>
    <w:p w:rsidR="00EA693C" w:rsidRPr="00EA693C" w:rsidRDefault="00EA693C" w:rsidP="00EA693C">
      <w:pPr>
        <w:spacing w:after="120" w:line="276" w:lineRule="auto"/>
        <w:jc w:val="both"/>
        <w:rPr>
          <w:rFonts w:ascii="Lato" w:hAnsi="Lato"/>
        </w:rPr>
      </w:pPr>
      <w:r w:rsidRPr="00EA693C">
        <w:rPr>
          <w:rFonts w:ascii="Lato" w:hAnsi="Lato"/>
        </w:rPr>
        <w:t>Czynności kontrolne zostały przeprowadzone na podstawie ustawy z dnia 15 lipca 2011 r. o kontroli w administracji rządowej</w:t>
      </w:r>
      <w:r w:rsidRPr="00EA693C">
        <w:rPr>
          <w:rFonts w:ascii="Lato" w:hAnsi="Lato"/>
          <w:vertAlign w:val="superscript"/>
        </w:rPr>
        <w:footnoteReference w:id="1"/>
      </w:r>
      <w:r w:rsidR="00736FD1">
        <w:rPr>
          <w:rFonts w:ascii="Lato" w:hAnsi="Lato"/>
        </w:rPr>
        <w:t>.</w:t>
      </w:r>
    </w:p>
    <w:p w:rsidR="00EA693C" w:rsidRPr="00EA693C" w:rsidRDefault="00EA693C" w:rsidP="00EA693C">
      <w:pPr>
        <w:spacing w:after="120" w:line="276" w:lineRule="auto"/>
        <w:jc w:val="both"/>
        <w:rPr>
          <w:rFonts w:ascii="Lato" w:hAnsi="Lato"/>
          <w:b/>
        </w:rPr>
      </w:pPr>
      <w:r w:rsidRPr="00EA693C">
        <w:rPr>
          <w:rFonts w:ascii="Lato" w:hAnsi="Lato"/>
          <w:b/>
        </w:rPr>
        <w:t xml:space="preserve">II. Tryb kontroli </w:t>
      </w:r>
    </w:p>
    <w:p w:rsidR="00EA693C" w:rsidRPr="00EA693C" w:rsidRDefault="00EA693C" w:rsidP="00EA693C">
      <w:pPr>
        <w:spacing w:after="120" w:line="276" w:lineRule="auto"/>
        <w:jc w:val="both"/>
        <w:rPr>
          <w:rFonts w:ascii="Lato" w:hAnsi="Lato"/>
          <w:i/>
        </w:rPr>
      </w:pPr>
      <w:r w:rsidRPr="00EA693C">
        <w:rPr>
          <w:rFonts w:ascii="Lato" w:hAnsi="Lato"/>
        </w:rPr>
        <w:t xml:space="preserve">Kontrola została przeprowadzona przez Departament Obywatelstwa i Repatriacji Ministerstwa Spraw Wewnętrznych i Administracji w trybie zwykłym, zgodnie </w:t>
      </w:r>
      <w:r w:rsidRPr="00EA693C">
        <w:rPr>
          <w:rFonts w:ascii="Lato" w:hAnsi="Lato"/>
        </w:rPr>
        <w:br/>
        <w:t xml:space="preserve">z </w:t>
      </w:r>
      <w:r w:rsidRPr="00EA693C">
        <w:rPr>
          <w:rFonts w:ascii="Lato" w:hAnsi="Lato"/>
          <w:i/>
        </w:rPr>
        <w:t xml:space="preserve">Planem kontroli Ministerstwa Spraw Wewnętrznych i Administracji na rok 2022. </w:t>
      </w:r>
    </w:p>
    <w:p w:rsidR="00EA693C" w:rsidRPr="00EA693C" w:rsidRDefault="00EA693C" w:rsidP="00EA693C">
      <w:pPr>
        <w:spacing w:after="120" w:line="276" w:lineRule="auto"/>
        <w:jc w:val="both"/>
        <w:rPr>
          <w:rFonts w:ascii="Lato" w:hAnsi="Lato"/>
        </w:rPr>
      </w:pPr>
      <w:r w:rsidRPr="00EA693C">
        <w:rPr>
          <w:rFonts w:ascii="Lato" w:hAnsi="Lato"/>
          <w:b/>
        </w:rPr>
        <w:t>III. Termin kontroli</w:t>
      </w:r>
      <w:r w:rsidRPr="00EA693C">
        <w:rPr>
          <w:rFonts w:ascii="Lato" w:hAnsi="Lato"/>
        </w:rPr>
        <w:t xml:space="preserve"> </w:t>
      </w:r>
    </w:p>
    <w:p w:rsidR="00EA693C" w:rsidRPr="00EA693C" w:rsidRDefault="00EA693C" w:rsidP="00EA693C">
      <w:pPr>
        <w:spacing w:after="120" w:line="276" w:lineRule="auto"/>
        <w:jc w:val="both"/>
        <w:rPr>
          <w:rFonts w:ascii="Lato" w:hAnsi="Lato"/>
        </w:rPr>
      </w:pPr>
      <w:r w:rsidRPr="00EA693C">
        <w:rPr>
          <w:rFonts w:ascii="Lato" w:hAnsi="Lato"/>
        </w:rPr>
        <w:t xml:space="preserve">Od </w:t>
      </w:r>
      <w:r w:rsidR="00736FD1">
        <w:rPr>
          <w:rFonts w:ascii="Lato" w:hAnsi="Lato"/>
        </w:rPr>
        <w:t>17 października</w:t>
      </w:r>
      <w:r w:rsidRPr="00EA693C">
        <w:rPr>
          <w:rFonts w:ascii="Lato" w:hAnsi="Lato"/>
        </w:rPr>
        <w:t xml:space="preserve"> 2022 r. do </w:t>
      </w:r>
      <w:r w:rsidR="00736FD1">
        <w:rPr>
          <w:rFonts w:ascii="Lato" w:hAnsi="Lato"/>
        </w:rPr>
        <w:t>23 listopada</w:t>
      </w:r>
      <w:r w:rsidRPr="00EA693C">
        <w:rPr>
          <w:rFonts w:ascii="Lato" w:hAnsi="Lato"/>
        </w:rPr>
        <w:t xml:space="preserve"> 2022 r. </w:t>
      </w:r>
    </w:p>
    <w:p w:rsidR="00EA693C" w:rsidRPr="00EA693C" w:rsidRDefault="00EA693C" w:rsidP="00EA693C">
      <w:pPr>
        <w:spacing w:after="120" w:line="276" w:lineRule="auto"/>
        <w:jc w:val="both"/>
        <w:rPr>
          <w:rFonts w:ascii="Lato" w:hAnsi="Lato"/>
        </w:rPr>
      </w:pPr>
      <w:r w:rsidRPr="00EA693C">
        <w:rPr>
          <w:rFonts w:ascii="Lato" w:hAnsi="Lato"/>
          <w:b/>
        </w:rPr>
        <w:t>IV. Zakres kontroli obejmował następujące zagadnienia:</w:t>
      </w:r>
      <w:r w:rsidRPr="00EA693C">
        <w:rPr>
          <w:rFonts w:ascii="Lato" w:hAnsi="Lato"/>
        </w:rPr>
        <w:t xml:space="preserve"> </w:t>
      </w:r>
    </w:p>
    <w:p w:rsidR="00EA693C" w:rsidRPr="00EA693C" w:rsidRDefault="00EA693C" w:rsidP="00EA693C">
      <w:pPr>
        <w:spacing w:after="120" w:line="276" w:lineRule="auto"/>
        <w:jc w:val="both"/>
        <w:rPr>
          <w:rFonts w:ascii="Lato" w:hAnsi="Lato"/>
        </w:rPr>
      </w:pPr>
      <w:r w:rsidRPr="00EA693C">
        <w:rPr>
          <w:rFonts w:ascii="Lato" w:hAnsi="Lato"/>
        </w:rPr>
        <w:t xml:space="preserve">1) Prawidłowość i terminowość rozpoznawania spraw o potwierdzenie posiadania lub utraty obywatelstwa polskiego. </w:t>
      </w:r>
    </w:p>
    <w:p w:rsidR="00EA693C" w:rsidRPr="00EA693C" w:rsidRDefault="00EA693C" w:rsidP="00EA693C">
      <w:pPr>
        <w:spacing w:after="120" w:line="276" w:lineRule="auto"/>
        <w:jc w:val="both"/>
        <w:rPr>
          <w:rFonts w:ascii="Lato" w:hAnsi="Lato"/>
        </w:rPr>
      </w:pPr>
      <w:r w:rsidRPr="00EA693C">
        <w:rPr>
          <w:rFonts w:ascii="Lato" w:hAnsi="Lato"/>
        </w:rPr>
        <w:t xml:space="preserve">2) Prawidłowość i terminowość rozpoznawania spraw o uznanie za obywatela polskiego. </w:t>
      </w:r>
    </w:p>
    <w:p w:rsidR="00EA693C" w:rsidRPr="00EA693C" w:rsidRDefault="00EA693C" w:rsidP="00EA693C">
      <w:pPr>
        <w:spacing w:after="120" w:line="276" w:lineRule="auto"/>
        <w:jc w:val="both"/>
        <w:rPr>
          <w:rFonts w:ascii="Lato" w:hAnsi="Lato"/>
        </w:rPr>
      </w:pPr>
      <w:r w:rsidRPr="00EA693C">
        <w:rPr>
          <w:rFonts w:ascii="Lato" w:hAnsi="Lato"/>
        </w:rPr>
        <w:t>3) Sprawowanie nadzoru nad rozpoznawaniem spraw o potwierdzenie posiadania lub utraty obywatelstwa polskiego oraz o uznanie za obywatela polskiego, w tym zapewnienie rozwiązań organizacyjnych gwarantujących należytą realizację zadań.</w:t>
      </w:r>
    </w:p>
    <w:p w:rsidR="00EA693C" w:rsidRDefault="00EA693C" w:rsidP="00EA693C">
      <w:pPr>
        <w:spacing w:after="120" w:line="276" w:lineRule="auto"/>
        <w:jc w:val="both"/>
        <w:rPr>
          <w:rFonts w:ascii="Lato" w:hAnsi="Lato"/>
          <w:b/>
        </w:rPr>
      </w:pPr>
      <w:r w:rsidRPr="00EA693C">
        <w:rPr>
          <w:rFonts w:ascii="Lato" w:hAnsi="Lato"/>
          <w:b/>
        </w:rPr>
        <w:t>V. Kontrolą objęto okres od 1 stycznia 2020 r. do 29 lipca 2022 r.</w:t>
      </w:r>
      <w:r w:rsidRPr="00EA693C">
        <w:rPr>
          <w:rFonts w:ascii="Lato" w:hAnsi="Lato"/>
          <w:b/>
          <w:vertAlign w:val="superscript"/>
        </w:rPr>
        <w:footnoteReference w:id="2"/>
      </w:r>
    </w:p>
    <w:p w:rsidR="00736FD1" w:rsidRPr="00EA693C" w:rsidRDefault="00736FD1" w:rsidP="00EA693C">
      <w:pPr>
        <w:spacing w:after="120" w:line="276" w:lineRule="auto"/>
        <w:jc w:val="both"/>
        <w:rPr>
          <w:rFonts w:ascii="Lato" w:hAnsi="Lato"/>
          <w:b/>
        </w:rPr>
      </w:pPr>
    </w:p>
    <w:p w:rsidR="00EA693C" w:rsidRPr="00EA693C" w:rsidRDefault="00EA693C" w:rsidP="00EA693C">
      <w:pPr>
        <w:spacing w:after="120" w:line="276" w:lineRule="auto"/>
        <w:jc w:val="both"/>
        <w:rPr>
          <w:rFonts w:ascii="Lato" w:hAnsi="Lato"/>
          <w:b/>
        </w:rPr>
      </w:pPr>
      <w:r w:rsidRPr="00EA693C">
        <w:rPr>
          <w:rFonts w:ascii="Lato" w:hAnsi="Lato"/>
          <w:b/>
        </w:rPr>
        <w:t>VI. Ustalenia kontroli – ocena kontrolowanej działalności</w:t>
      </w:r>
    </w:p>
    <w:p w:rsidR="00736FD1" w:rsidRPr="00736FD1" w:rsidRDefault="00736FD1" w:rsidP="00736FD1">
      <w:pPr>
        <w:suppressAutoHyphens/>
        <w:jc w:val="both"/>
        <w:rPr>
          <w:rFonts w:ascii="Lato" w:eastAsia="Times New Roman" w:hAnsi="Lato" w:cs="Calibri"/>
          <w:b/>
          <w:lang w:eastAsia="pl-PL"/>
        </w:rPr>
      </w:pPr>
      <w:r w:rsidRPr="0063639D">
        <w:rPr>
          <w:rFonts w:ascii="Lato" w:hAnsi="Lato" w:cs="Calibri"/>
        </w:rPr>
        <w:t xml:space="preserve">Działania </w:t>
      </w:r>
      <w:r w:rsidRPr="0063639D">
        <w:rPr>
          <w:rFonts w:ascii="Lato" w:eastAsia="Times New Roman" w:hAnsi="Lato" w:cs="Calibri"/>
          <w:lang w:eastAsia="pl-PL"/>
        </w:rPr>
        <w:t xml:space="preserve">Łódzkiego Urzędu Wojewódzkiego w Łodzi </w:t>
      </w:r>
      <w:r w:rsidRPr="0063639D">
        <w:rPr>
          <w:rFonts w:ascii="Lato" w:hAnsi="Lato" w:cs="Calibri"/>
        </w:rPr>
        <w:t xml:space="preserve">w zakresie realizacji zadań związanych z </w:t>
      </w:r>
      <w:r w:rsidRPr="0063639D">
        <w:rPr>
          <w:rFonts w:ascii="Lato" w:eastAsia="Times New Roman" w:hAnsi="Lato" w:cs="Calibri"/>
          <w:lang w:eastAsia="pl-PL"/>
        </w:rPr>
        <w:t>potwierdzeniem posiadania lub utraty obywatelstwa polskiego oraz uznaniem z</w:t>
      </w:r>
      <w:r>
        <w:rPr>
          <w:rFonts w:ascii="Lato" w:eastAsia="Times New Roman" w:hAnsi="Lato" w:cs="Calibri"/>
          <w:lang w:eastAsia="pl-PL"/>
        </w:rPr>
        <w:t>a obywatela polskiego oceniono</w:t>
      </w:r>
      <w:r w:rsidRPr="0063639D">
        <w:rPr>
          <w:rFonts w:ascii="Lato" w:eastAsia="Times New Roman" w:hAnsi="Lato" w:cs="Calibri"/>
          <w:lang w:eastAsia="pl-PL"/>
        </w:rPr>
        <w:t xml:space="preserve"> </w:t>
      </w:r>
      <w:r w:rsidRPr="0063639D">
        <w:rPr>
          <w:rFonts w:ascii="Lato" w:eastAsia="Times New Roman" w:hAnsi="Lato" w:cs="Calibri"/>
          <w:b/>
          <w:lang w:eastAsia="pl-PL"/>
        </w:rPr>
        <w:t>negatywnie.</w:t>
      </w:r>
    </w:p>
    <w:p w:rsidR="00736FD1" w:rsidRPr="0063639D" w:rsidRDefault="00736FD1" w:rsidP="00736FD1">
      <w:pPr>
        <w:suppressAutoHyphens/>
        <w:jc w:val="both"/>
        <w:rPr>
          <w:rFonts w:ascii="Lato" w:hAnsi="Lato" w:cs="Calibri"/>
        </w:rPr>
      </w:pPr>
      <w:r>
        <w:rPr>
          <w:rFonts w:ascii="Lato" w:hAnsi="Lato" w:cs="Calibri"/>
          <w:b/>
        </w:rPr>
        <w:lastRenderedPageBreak/>
        <w:t xml:space="preserve">Ocenę uzasadniało m.in. stwierdzenie </w:t>
      </w:r>
      <w:r w:rsidRPr="00382A8A">
        <w:rPr>
          <w:rFonts w:ascii="Lato" w:hAnsi="Lato" w:cs="Calibri"/>
        </w:rPr>
        <w:t>w</w:t>
      </w:r>
      <w:r w:rsidRPr="0063639D">
        <w:rPr>
          <w:rFonts w:ascii="Lato" w:hAnsi="Lato" w:cs="Calibri"/>
          <w:b/>
        </w:rPr>
        <w:t xml:space="preserve"> </w:t>
      </w:r>
      <w:r w:rsidRPr="0063639D">
        <w:rPr>
          <w:rFonts w:ascii="Lato" w:hAnsi="Lato" w:cs="Calibri"/>
          <w:iCs/>
        </w:rPr>
        <w:t xml:space="preserve">obszarze związanym z </w:t>
      </w:r>
      <w:r w:rsidRPr="0063639D">
        <w:rPr>
          <w:rFonts w:ascii="Lato" w:hAnsi="Lato" w:cs="Calibri"/>
        </w:rPr>
        <w:t xml:space="preserve">rozpoznawaniem spraw o potwierdzenie posiadania lub utraty obywatelstwa polskiego </w:t>
      </w:r>
      <w:r w:rsidRPr="0063639D">
        <w:rPr>
          <w:rFonts w:ascii="Lato" w:eastAsia="Times New Roman" w:hAnsi="Lato" w:cs="Calibri"/>
          <w:lang w:eastAsia="pl-PL"/>
        </w:rPr>
        <w:t>oraz uznaniem za obywatela polskiego</w:t>
      </w:r>
      <w:r>
        <w:rPr>
          <w:rFonts w:ascii="Lato" w:hAnsi="Lato" w:cs="Calibri"/>
          <w:b/>
        </w:rPr>
        <w:t xml:space="preserve"> następujących licznych i istotnych</w:t>
      </w:r>
      <w:r w:rsidRPr="0063639D">
        <w:rPr>
          <w:rFonts w:ascii="Lato" w:hAnsi="Lato" w:cs="Calibri"/>
          <w:b/>
        </w:rPr>
        <w:t xml:space="preserve"> nieprawidłowości</w:t>
      </w:r>
      <w:r>
        <w:rPr>
          <w:rFonts w:ascii="Lato" w:hAnsi="Lato" w:cs="Calibri"/>
          <w:b/>
        </w:rPr>
        <w:t>, naruszeń i uchybień</w:t>
      </w:r>
      <w:r w:rsidRPr="0063639D">
        <w:rPr>
          <w:rFonts w:ascii="Lato" w:hAnsi="Lato" w:cs="Calibri"/>
        </w:rPr>
        <w:t>:</w:t>
      </w:r>
    </w:p>
    <w:p w:rsidR="00736FD1" w:rsidRPr="0063639D" w:rsidRDefault="00736FD1" w:rsidP="00736FD1">
      <w:pPr>
        <w:numPr>
          <w:ilvl w:val="0"/>
          <w:numId w:val="3"/>
        </w:numPr>
        <w:suppressAutoHyphens/>
        <w:spacing w:after="120" w:line="276" w:lineRule="auto"/>
        <w:ind w:left="709" w:hanging="296"/>
        <w:jc w:val="both"/>
        <w:rPr>
          <w:rFonts w:ascii="Lato" w:hAnsi="Lato" w:cs="Calibri"/>
          <w:lang w:eastAsia="pl-PL"/>
        </w:rPr>
      </w:pPr>
      <w:r w:rsidRPr="0063639D">
        <w:rPr>
          <w:rFonts w:ascii="Lato" w:hAnsi="Lato" w:cs="Calibri"/>
        </w:rPr>
        <w:t>wydanie decyzji administracyjnej w sprawie uznania za obywatela polskiego obejmującej małoletnie dzieci pomimo wadliwości protokołu, o którym mowa w art. 9 ust. 1 ustawy o obywatelstwie polskim,</w:t>
      </w:r>
    </w:p>
    <w:p w:rsidR="00736FD1" w:rsidRPr="0063639D" w:rsidRDefault="00736FD1" w:rsidP="00736FD1">
      <w:pPr>
        <w:numPr>
          <w:ilvl w:val="0"/>
          <w:numId w:val="3"/>
        </w:numPr>
        <w:suppressAutoHyphens/>
        <w:spacing w:after="120" w:line="276" w:lineRule="auto"/>
        <w:ind w:left="709" w:hanging="296"/>
        <w:jc w:val="both"/>
        <w:rPr>
          <w:rFonts w:ascii="Lato" w:hAnsi="Lato" w:cs="Calibri"/>
          <w:lang w:eastAsia="pl-PL"/>
        </w:rPr>
      </w:pPr>
      <w:r w:rsidRPr="0063639D">
        <w:rPr>
          <w:rFonts w:ascii="Lato" w:hAnsi="Lato" w:cs="Calibri"/>
        </w:rPr>
        <w:t xml:space="preserve">brak </w:t>
      </w:r>
      <w:r w:rsidRPr="0063639D">
        <w:rPr>
          <w:rFonts w:ascii="Lato" w:hAnsi="Lato" w:cs="Calibri"/>
          <w:lang w:eastAsia="pl-PL"/>
        </w:rPr>
        <w:t xml:space="preserve">wnikliwej analizy spełnienia przez cudzoziemca ubiegającego się o uznanie za obywatela polskiego przesłanek nieprzerwanego pobytu, o których </w:t>
      </w:r>
      <w:r w:rsidRPr="0063639D">
        <w:rPr>
          <w:rFonts w:ascii="Lato" w:hAnsi="Lato" w:cs="Calibri"/>
        </w:rPr>
        <w:t>mowa w art. 30 ust. 3 ustawy o obywatelstwie polskim,</w:t>
      </w:r>
    </w:p>
    <w:p w:rsidR="00736FD1" w:rsidRPr="0063639D" w:rsidRDefault="00736FD1" w:rsidP="00736FD1">
      <w:pPr>
        <w:numPr>
          <w:ilvl w:val="0"/>
          <w:numId w:val="3"/>
        </w:numPr>
        <w:suppressAutoHyphens/>
        <w:spacing w:after="120" w:line="276" w:lineRule="auto"/>
        <w:ind w:left="709" w:hanging="296"/>
        <w:jc w:val="both"/>
        <w:rPr>
          <w:rFonts w:ascii="Lato" w:hAnsi="Lato" w:cs="Calibri"/>
          <w:lang w:eastAsia="pl-PL"/>
        </w:rPr>
      </w:pPr>
      <w:r w:rsidRPr="0063639D">
        <w:rPr>
          <w:rFonts w:ascii="Lato" w:hAnsi="Lato" w:cs="Calibri"/>
          <w:lang w:eastAsia="pl-PL"/>
        </w:rPr>
        <w:t xml:space="preserve">brak weryfikacji powoływania się przez cudzoziemca ubiegającego się o uznanie za obywatela polskiego na </w:t>
      </w:r>
      <w:r w:rsidRPr="0063639D">
        <w:rPr>
          <w:rFonts w:ascii="Lato" w:hAnsi="Lato" w:cs="Calibri"/>
          <w:i/>
          <w:lang w:eastAsia="pl-PL"/>
        </w:rPr>
        <w:t>trudne do przezwyciężenia przeszkod</w:t>
      </w:r>
      <w:r w:rsidRPr="0063639D">
        <w:rPr>
          <w:rFonts w:ascii="Lato" w:hAnsi="Lato" w:cs="Calibri"/>
          <w:lang w:eastAsia="pl-PL"/>
        </w:rPr>
        <w:t>y,</w:t>
      </w:r>
    </w:p>
    <w:p w:rsidR="00736FD1" w:rsidRPr="0063639D" w:rsidRDefault="00736FD1" w:rsidP="00736FD1">
      <w:pPr>
        <w:numPr>
          <w:ilvl w:val="0"/>
          <w:numId w:val="3"/>
        </w:numPr>
        <w:suppressAutoHyphens/>
        <w:spacing w:after="120" w:line="276" w:lineRule="auto"/>
        <w:ind w:left="709" w:hanging="296"/>
        <w:jc w:val="both"/>
        <w:rPr>
          <w:rFonts w:ascii="Lato" w:hAnsi="Lato" w:cs="Calibri"/>
          <w:lang w:eastAsia="pl-PL"/>
        </w:rPr>
      </w:pPr>
      <w:r w:rsidRPr="0063639D">
        <w:rPr>
          <w:rFonts w:ascii="Lato" w:hAnsi="Lato" w:cs="Calibri"/>
        </w:rPr>
        <w:t>niepodjęcie przez organ działań zmierzających do wyczerpującego wyjaśnienia spraw, skutkujące nierzetelnym zgromadzeniem materiału dowodowego, będącego podstawą do wydania decyzji administracyjnej,</w:t>
      </w:r>
    </w:p>
    <w:p w:rsidR="00736FD1" w:rsidRPr="0063639D" w:rsidRDefault="00736FD1" w:rsidP="00736FD1">
      <w:pPr>
        <w:numPr>
          <w:ilvl w:val="0"/>
          <w:numId w:val="3"/>
        </w:numPr>
        <w:suppressAutoHyphens/>
        <w:spacing w:after="120" w:line="276" w:lineRule="auto"/>
        <w:ind w:left="709" w:hanging="296"/>
        <w:jc w:val="both"/>
        <w:rPr>
          <w:rFonts w:ascii="Lato" w:hAnsi="Lato" w:cs="Calibri"/>
          <w:lang w:eastAsia="pl-PL"/>
        </w:rPr>
      </w:pPr>
      <w:r w:rsidRPr="0063639D">
        <w:rPr>
          <w:rFonts w:ascii="Lato" w:hAnsi="Lato"/>
          <w:color w:val="000000"/>
          <w:lang w:eastAsia="pl-PL"/>
        </w:rPr>
        <w:t>wadliwe zakończenie postępowań poprzez wydanie decyzji administracyjnej pomimo nie uiszczenia przez Stronę postępowania opłaty skarbowej,</w:t>
      </w:r>
    </w:p>
    <w:p w:rsidR="00736FD1" w:rsidRPr="0063639D" w:rsidRDefault="00736FD1" w:rsidP="00736FD1">
      <w:pPr>
        <w:numPr>
          <w:ilvl w:val="0"/>
          <w:numId w:val="3"/>
        </w:numPr>
        <w:suppressAutoHyphens/>
        <w:spacing w:after="120" w:line="276" w:lineRule="auto"/>
        <w:jc w:val="both"/>
        <w:rPr>
          <w:rFonts w:ascii="Lato" w:hAnsi="Lato" w:cs="Calibri"/>
          <w:lang w:eastAsia="pl-PL"/>
        </w:rPr>
      </w:pPr>
      <w:r w:rsidRPr="0063639D">
        <w:rPr>
          <w:rFonts w:ascii="Lato" w:hAnsi="Lato" w:cs="Calibri"/>
          <w:lang w:eastAsia="pl-PL"/>
        </w:rPr>
        <w:t>naruszenie przez organ prawa proceduralnego poprzez zaniechanie uprzedniego rozpatrzenia wniosku o zawieszenie postępowania,</w:t>
      </w:r>
    </w:p>
    <w:p w:rsidR="00736FD1" w:rsidRPr="0063639D" w:rsidRDefault="00736FD1" w:rsidP="00736FD1">
      <w:pPr>
        <w:numPr>
          <w:ilvl w:val="0"/>
          <w:numId w:val="3"/>
        </w:numPr>
        <w:suppressAutoHyphens/>
        <w:spacing w:after="120" w:line="276" w:lineRule="auto"/>
        <w:ind w:left="709" w:hanging="296"/>
        <w:jc w:val="both"/>
        <w:rPr>
          <w:rFonts w:ascii="Lato" w:hAnsi="Lato" w:cs="Calibri"/>
          <w:lang w:eastAsia="pl-PL"/>
        </w:rPr>
      </w:pPr>
      <w:r w:rsidRPr="0063639D">
        <w:rPr>
          <w:rFonts w:ascii="Lato" w:hAnsi="Lato" w:cs="Calibri"/>
          <w:lang w:eastAsia="pl-PL"/>
        </w:rPr>
        <w:t xml:space="preserve">niewypełnienie obligatoryjnego obowiązku określonego w art. 79a </w:t>
      </w:r>
      <w:r w:rsidRPr="0063639D">
        <w:rPr>
          <w:rFonts w:ascii="Lato" w:hAnsi="Lato" w:cs="Calibri"/>
          <w:i/>
          <w:lang w:eastAsia="pl-PL"/>
        </w:rPr>
        <w:t>Kodeksu postępowania administracyjnego</w:t>
      </w:r>
      <w:r w:rsidRPr="0063639D">
        <w:rPr>
          <w:rFonts w:ascii="Lato" w:hAnsi="Lato" w:cs="Calibri"/>
          <w:lang w:eastAsia="pl-PL"/>
        </w:rPr>
        <w:t>, zgodnie z którym w postępowaniu wszczętym na żądanie strony, organ administracji publicznej informując o możliwości wypowiedzenia się co do zebranych dowodów i materiałów oraz zgłoszonych żądań jest obowiązany do wskazania przesłanek zależnych od strony, które nie zostały na dzień wysłania informacji spełnione lub wykazane, co może skutkować wydaniem decyzji niezgodnej z żądaniem strony,</w:t>
      </w:r>
    </w:p>
    <w:p w:rsidR="00736FD1" w:rsidRPr="0063639D" w:rsidRDefault="00736FD1" w:rsidP="00736FD1">
      <w:pPr>
        <w:numPr>
          <w:ilvl w:val="0"/>
          <w:numId w:val="3"/>
        </w:numPr>
        <w:suppressAutoHyphens/>
        <w:spacing w:after="120" w:line="276" w:lineRule="auto"/>
        <w:ind w:left="709" w:hanging="296"/>
        <w:jc w:val="both"/>
        <w:rPr>
          <w:rFonts w:ascii="Lato" w:hAnsi="Lato" w:cs="Calibri"/>
          <w:lang w:eastAsia="pl-PL"/>
        </w:rPr>
      </w:pPr>
      <w:r w:rsidRPr="0063639D">
        <w:rPr>
          <w:rFonts w:ascii="Lato" w:hAnsi="Lato"/>
          <w:color w:val="000000"/>
          <w:lang w:eastAsia="pl-PL"/>
        </w:rPr>
        <w:t>wadliwe zakończenie postępowań poprzez nie uznanie za stronę wnioskodawcy,</w:t>
      </w:r>
    </w:p>
    <w:p w:rsidR="00736FD1" w:rsidRPr="0063639D" w:rsidRDefault="00736FD1" w:rsidP="00736FD1">
      <w:pPr>
        <w:numPr>
          <w:ilvl w:val="0"/>
          <w:numId w:val="3"/>
        </w:numPr>
        <w:suppressAutoHyphens/>
        <w:spacing w:after="120" w:line="276" w:lineRule="auto"/>
        <w:jc w:val="both"/>
        <w:rPr>
          <w:rFonts w:ascii="Lato" w:hAnsi="Lato" w:cs="Calibri"/>
          <w:lang w:eastAsia="pl-PL"/>
        </w:rPr>
      </w:pPr>
      <w:r w:rsidRPr="0063639D">
        <w:rPr>
          <w:rFonts w:ascii="Lato" w:hAnsi="Lato" w:cs="Calibri"/>
        </w:rPr>
        <w:t>przekroczenie wyznaczonych przez organ terminów załatwienia spraw,</w:t>
      </w:r>
    </w:p>
    <w:p w:rsidR="00736FD1" w:rsidRPr="0063639D" w:rsidRDefault="00736FD1" w:rsidP="00736FD1">
      <w:pPr>
        <w:numPr>
          <w:ilvl w:val="0"/>
          <w:numId w:val="3"/>
        </w:numPr>
        <w:suppressAutoHyphens/>
        <w:spacing w:after="120" w:line="276" w:lineRule="auto"/>
        <w:jc w:val="both"/>
        <w:rPr>
          <w:rFonts w:ascii="Lato" w:hAnsi="Lato" w:cs="Calibri"/>
          <w:lang w:eastAsia="pl-PL"/>
        </w:rPr>
      </w:pPr>
      <w:r w:rsidRPr="0063639D">
        <w:rPr>
          <w:rFonts w:ascii="Lato" w:hAnsi="Lato" w:cs="Calibri"/>
        </w:rPr>
        <w:t>nierzetelne gromadzenie materiału dowodowego,</w:t>
      </w:r>
    </w:p>
    <w:p w:rsidR="00736FD1" w:rsidRPr="0063639D" w:rsidRDefault="00736FD1" w:rsidP="00736FD1">
      <w:pPr>
        <w:numPr>
          <w:ilvl w:val="0"/>
          <w:numId w:val="3"/>
        </w:numPr>
        <w:suppressAutoHyphens/>
        <w:spacing w:after="120" w:line="276" w:lineRule="auto"/>
        <w:jc w:val="both"/>
        <w:rPr>
          <w:rFonts w:ascii="Lato" w:hAnsi="Lato" w:cs="Calibri"/>
          <w:lang w:eastAsia="pl-PL"/>
        </w:rPr>
      </w:pPr>
      <w:r w:rsidRPr="0063639D">
        <w:rPr>
          <w:rFonts w:ascii="Lato" w:hAnsi="Lato" w:cs="Calibri"/>
        </w:rPr>
        <w:t>pozostawianie w aktach sprawy jedynie zawiadomienia o przekazaniu wniosku według właściwości,</w:t>
      </w:r>
    </w:p>
    <w:p w:rsidR="00736FD1" w:rsidRPr="0063639D" w:rsidRDefault="00736FD1" w:rsidP="00736FD1">
      <w:pPr>
        <w:numPr>
          <w:ilvl w:val="0"/>
          <w:numId w:val="3"/>
        </w:numPr>
        <w:suppressAutoHyphens/>
        <w:spacing w:after="120" w:line="276" w:lineRule="auto"/>
        <w:ind w:left="709" w:hanging="296"/>
        <w:jc w:val="both"/>
        <w:rPr>
          <w:rFonts w:ascii="Lato" w:hAnsi="Lato" w:cs="Calibri"/>
          <w:lang w:eastAsia="pl-PL"/>
        </w:rPr>
      </w:pPr>
      <w:r w:rsidRPr="0063639D">
        <w:rPr>
          <w:rFonts w:ascii="Lato" w:hAnsi="Lato" w:cs="Calibri"/>
          <w:lang w:eastAsia="pl-PL"/>
        </w:rPr>
        <w:t xml:space="preserve">brak weryfikacji skuteczności doręczania rozstrzygnięć przekazywanych stronom </w:t>
      </w:r>
      <w:r w:rsidRPr="0063639D">
        <w:rPr>
          <w:rFonts w:ascii="Lato" w:hAnsi="Lato" w:cs="Calibri"/>
          <w:color w:val="000000"/>
        </w:rPr>
        <w:t xml:space="preserve">(co miało wpływ na ustalenie ostateczności decyzji), </w:t>
      </w:r>
    </w:p>
    <w:p w:rsidR="00736FD1" w:rsidRPr="0063639D" w:rsidRDefault="00736FD1" w:rsidP="00736FD1">
      <w:pPr>
        <w:numPr>
          <w:ilvl w:val="0"/>
          <w:numId w:val="3"/>
        </w:numPr>
        <w:suppressAutoHyphens/>
        <w:spacing w:after="120" w:line="276" w:lineRule="auto"/>
        <w:ind w:left="709" w:hanging="296"/>
        <w:jc w:val="both"/>
        <w:rPr>
          <w:rFonts w:ascii="Lato" w:hAnsi="Lato" w:cs="Calibri"/>
          <w:lang w:eastAsia="pl-PL"/>
        </w:rPr>
      </w:pPr>
      <w:r w:rsidRPr="0063639D">
        <w:rPr>
          <w:rFonts w:ascii="Lato" w:hAnsi="Lato" w:cs="Calibri"/>
        </w:rPr>
        <w:lastRenderedPageBreak/>
        <w:t xml:space="preserve">brak obligatoryjnego wezwania Strony do </w:t>
      </w:r>
      <w:r w:rsidRPr="0063639D">
        <w:rPr>
          <w:rFonts w:ascii="Lato" w:hAnsi="Lato"/>
          <w:lang w:eastAsia="pl-PL"/>
        </w:rPr>
        <w:t>uiszczenia opłaty skarbowej za złożenie wniosku na podstawie art. 261 § 1 kpa</w:t>
      </w:r>
      <w:r w:rsidRPr="0063639D">
        <w:rPr>
          <w:rFonts w:ascii="Lato" w:hAnsi="Lato"/>
          <w:i/>
          <w:lang w:eastAsia="pl-PL"/>
        </w:rPr>
        <w:t xml:space="preserve"> </w:t>
      </w:r>
      <w:r w:rsidRPr="0063639D">
        <w:rPr>
          <w:rFonts w:ascii="Lato" w:hAnsi="Lato"/>
          <w:lang w:eastAsia="pl-PL"/>
        </w:rPr>
        <w:t>pod rygorem zwrotu wniosku,</w:t>
      </w:r>
    </w:p>
    <w:p w:rsidR="00736FD1" w:rsidRPr="00891992" w:rsidRDefault="00736FD1" w:rsidP="00736FD1">
      <w:pPr>
        <w:numPr>
          <w:ilvl w:val="0"/>
          <w:numId w:val="3"/>
        </w:numPr>
        <w:suppressAutoHyphens/>
        <w:spacing w:after="120" w:line="276" w:lineRule="auto"/>
        <w:ind w:left="709" w:hanging="296"/>
        <w:jc w:val="both"/>
        <w:rPr>
          <w:rFonts w:ascii="Lato" w:hAnsi="Lato" w:cs="Calibri"/>
          <w:lang w:eastAsia="pl-PL"/>
        </w:rPr>
      </w:pPr>
      <w:r w:rsidRPr="0063639D">
        <w:rPr>
          <w:rFonts w:ascii="Lato" w:eastAsia="Times New Roman" w:hAnsi="Lato" w:cs="Calibri"/>
          <w:lang w:eastAsia="pl-PL"/>
        </w:rPr>
        <w:t xml:space="preserve">stosowanie niejednolitej procedury prowadzenia spraw, w których zachodzi konieczność wystąpienia do placówek konsularnych RP z zapytaniem czy wnioskodawca </w:t>
      </w:r>
      <w:r w:rsidRPr="0063639D">
        <w:rPr>
          <w:rFonts w:ascii="Lato" w:hAnsi="Lato"/>
        </w:rPr>
        <w:t>nie ubiegał się o zezwolenie na zmianę obywatelstwa polskiego na obce lub o wyrażenie zgody na zrzeczenie się obywatelstwa polskiego</w:t>
      </w:r>
      <w:r w:rsidRPr="0063639D">
        <w:rPr>
          <w:rFonts w:ascii="Lato" w:hAnsi="Lato" w:cstheme="minorHAnsi"/>
          <w:b/>
        </w:rPr>
        <w:t xml:space="preserve">. </w:t>
      </w:r>
    </w:p>
    <w:p w:rsidR="00736FD1" w:rsidRPr="00FD5270" w:rsidRDefault="00736FD1" w:rsidP="00736FD1">
      <w:pPr>
        <w:jc w:val="both"/>
        <w:rPr>
          <w:rFonts w:ascii="Lato" w:eastAsia="Times New Roman" w:hAnsi="Lato" w:cs="Calibri"/>
          <w:b/>
          <w:lang w:eastAsia="pl-PL"/>
        </w:rPr>
      </w:pPr>
      <w:r w:rsidRPr="0063639D">
        <w:rPr>
          <w:rFonts w:ascii="Lato" w:eastAsia="Times New Roman" w:hAnsi="Lato" w:cs="Calibri"/>
          <w:lang w:eastAsia="pl-PL"/>
        </w:rPr>
        <w:t xml:space="preserve">Stwierdzono, iż  w toku przeprowadzanych czynności kontrolnych w ŁUW zespołowi kontrolerów nie przedstawiono do kontroli całości akt sprawy objętych postępowaniem kontrolnym. Powyższe oceniono </w:t>
      </w:r>
      <w:r w:rsidRPr="0063639D">
        <w:rPr>
          <w:rFonts w:ascii="Lato" w:eastAsia="Times New Roman" w:hAnsi="Lato" w:cs="Calibri"/>
          <w:b/>
          <w:lang w:eastAsia="pl-PL"/>
        </w:rPr>
        <w:t>negatywnie.</w:t>
      </w:r>
    </w:p>
    <w:p w:rsidR="00736FD1" w:rsidRPr="00FD5270" w:rsidRDefault="00736FD1" w:rsidP="00736FD1">
      <w:pPr>
        <w:suppressAutoHyphens/>
        <w:jc w:val="both"/>
        <w:rPr>
          <w:rFonts w:ascii="Lato" w:hAnsi="Lato" w:cs="Calibri"/>
          <w:color w:val="000000"/>
        </w:rPr>
      </w:pPr>
      <w:r w:rsidRPr="0063639D">
        <w:rPr>
          <w:rFonts w:ascii="Lato" w:hAnsi="Lato" w:cs="Calibri"/>
        </w:rPr>
        <w:t xml:space="preserve">Za </w:t>
      </w:r>
      <w:r w:rsidRPr="0063639D">
        <w:rPr>
          <w:rFonts w:ascii="Lato" w:hAnsi="Lato" w:cs="Calibri"/>
          <w:b/>
        </w:rPr>
        <w:t xml:space="preserve">pozytywne </w:t>
      </w:r>
      <w:r w:rsidRPr="0063639D">
        <w:rPr>
          <w:rFonts w:ascii="Lato" w:hAnsi="Lato" w:cs="Calibri"/>
        </w:rPr>
        <w:t xml:space="preserve">w obszarach związanych z rozpoznawaniem spraw o potwierdzenie posiadania lub utraty obywatelstwa polskiego oraz spraw o uznanie za obywatela polskiego uznano </w:t>
      </w:r>
      <w:r w:rsidRPr="0063639D">
        <w:rPr>
          <w:rFonts w:ascii="Lato" w:hAnsi="Lato" w:cs="Calibri"/>
          <w:b/>
        </w:rPr>
        <w:t>jedynie</w:t>
      </w:r>
      <w:r w:rsidRPr="0063639D">
        <w:rPr>
          <w:rFonts w:ascii="Lato" w:hAnsi="Lato" w:cs="Calibri"/>
        </w:rPr>
        <w:t xml:space="preserve"> </w:t>
      </w:r>
      <w:r w:rsidRPr="0063639D">
        <w:rPr>
          <w:rFonts w:ascii="Lato" w:hAnsi="Lato" w:cs="Calibri"/>
          <w:color w:val="000000"/>
        </w:rPr>
        <w:t>niezwłoczne podejmowanie czynności w sprawach,</w:t>
      </w:r>
      <w:r w:rsidRPr="0063639D">
        <w:rPr>
          <w:rFonts w:ascii="Lato" w:hAnsi="Lato" w:cs="Calibri"/>
        </w:rPr>
        <w:t xml:space="preserve"> zapewnienie stronom czynnego udziału w każdym stadium postępowania zgodnie z art. 10 kpa</w:t>
      </w:r>
      <w:r w:rsidRPr="0063639D">
        <w:rPr>
          <w:rFonts w:ascii="Lato" w:hAnsi="Lato" w:cs="Calibri"/>
          <w:color w:val="000000"/>
        </w:rPr>
        <w:t xml:space="preserve"> oraz przestrzeganie terminów załatwienia większości badanych spraw.</w:t>
      </w:r>
    </w:p>
    <w:p w:rsidR="00736FD1" w:rsidRPr="0063639D" w:rsidRDefault="00736FD1" w:rsidP="00736FD1">
      <w:pPr>
        <w:jc w:val="both"/>
        <w:rPr>
          <w:rFonts w:ascii="Lato" w:hAnsi="Lato"/>
          <w:b/>
        </w:rPr>
      </w:pPr>
      <w:r w:rsidRPr="0063639D">
        <w:rPr>
          <w:rFonts w:ascii="Lato" w:hAnsi="Lato" w:cs="Calibri"/>
        </w:rPr>
        <w:t xml:space="preserve">Obszar związany ze sprawowaniem nadzoru nad rozpoznawaniem spraw o potwierdzenie posiadania lub utraty obywatelstwa polskiego oraz o uznanie za obywatela polskiego, w tym zapewnieniem rozwiązań organizacyjnych gwarantujących należytą realizację zadań, </w:t>
      </w:r>
      <w:r w:rsidRPr="0063639D">
        <w:rPr>
          <w:rFonts w:ascii="Lato" w:hAnsi="Lato"/>
        </w:rPr>
        <w:t xml:space="preserve">oceniono również </w:t>
      </w:r>
      <w:r w:rsidRPr="0063639D">
        <w:rPr>
          <w:rFonts w:ascii="Lato" w:hAnsi="Lato"/>
          <w:b/>
        </w:rPr>
        <w:t xml:space="preserve">negatywnie. </w:t>
      </w:r>
    </w:p>
    <w:p w:rsidR="00736FD1" w:rsidRPr="00FD5270" w:rsidRDefault="00736FD1" w:rsidP="00736FD1">
      <w:pPr>
        <w:jc w:val="both"/>
        <w:rPr>
          <w:rFonts w:ascii="Lato" w:hAnsi="Lato" w:cs="Calibri"/>
          <w:iCs/>
          <w:color w:val="000000"/>
        </w:rPr>
      </w:pPr>
      <w:r w:rsidRPr="0063639D">
        <w:rPr>
          <w:rFonts w:ascii="Lato" w:hAnsi="Lato" w:cs="Calibri"/>
          <w:iCs/>
          <w:color w:val="000000"/>
        </w:rPr>
        <w:t xml:space="preserve">Stwierdzono </w:t>
      </w:r>
      <w:r w:rsidRPr="0063639D">
        <w:rPr>
          <w:rFonts w:ascii="Lato" w:hAnsi="Lato" w:cs="Calibri"/>
          <w:b/>
          <w:iCs/>
          <w:color w:val="000000"/>
        </w:rPr>
        <w:t>niewystarczający</w:t>
      </w:r>
      <w:r w:rsidRPr="0063639D">
        <w:rPr>
          <w:rFonts w:ascii="Lato" w:hAnsi="Lato" w:cs="Calibri"/>
          <w:iCs/>
          <w:color w:val="000000"/>
        </w:rPr>
        <w:t xml:space="preserve"> nadzór nad realizacją zadań związanych z</w:t>
      </w:r>
      <w:r w:rsidRPr="0063639D">
        <w:rPr>
          <w:rFonts w:ascii="Lato" w:hAnsi="Lato"/>
        </w:rPr>
        <w:t xml:space="preserve"> </w:t>
      </w:r>
      <w:r w:rsidRPr="0063639D">
        <w:rPr>
          <w:rFonts w:ascii="Lato" w:hAnsi="Lato" w:cs="Calibri"/>
        </w:rPr>
        <w:t>potwierdzeniem posiadania lub utraty obywatelstwa polskiego oraz o uznaniem za obywatela polskiego</w:t>
      </w:r>
      <w:r w:rsidRPr="0063639D">
        <w:rPr>
          <w:rFonts w:ascii="Lato" w:hAnsi="Lato" w:cs="Calibri"/>
          <w:iCs/>
          <w:color w:val="000000"/>
        </w:rPr>
        <w:t xml:space="preserve"> oraz nadzór nad kwestiami organizacyjnymi realizowanymi w tym obszarze.</w:t>
      </w:r>
    </w:p>
    <w:p w:rsidR="00736FD1" w:rsidRPr="0063639D" w:rsidRDefault="00736FD1" w:rsidP="00736FD1">
      <w:pPr>
        <w:jc w:val="both"/>
        <w:rPr>
          <w:rFonts w:ascii="Lato" w:hAnsi="Lato"/>
        </w:rPr>
      </w:pPr>
      <w:r w:rsidRPr="0063639D">
        <w:rPr>
          <w:rFonts w:ascii="Lato" w:hAnsi="Lato"/>
        </w:rPr>
        <w:t>Struktura etatowa była adekwatna do ilości realizowanych zadań. B</w:t>
      </w:r>
      <w:r w:rsidRPr="0063639D">
        <w:rPr>
          <w:rFonts w:ascii="Lato" w:hAnsi="Lato" w:cs="Calibri"/>
        </w:rPr>
        <w:t xml:space="preserve">iorąc jednakże pod uwagę </w:t>
      </w:r>
      <w:r w:rsidRPr="0063639D">
        <w:rPr>
          <w:rFonts w:ascii="Lato" w:hAnsi="Lato" w:cs="Calibri"/>
          <w:color w:val="000000"/>
        </w:rPr>
        <w:t xml:space="preserve">stwierdzone w toku kontroli liczne nieprawidłowości i uchybienia, w tym związane z </w:t>
      </w:r>
      <w:r w:rsidRPr="0063639D">
        <w:rPr>
          <w:rFonts w:ascii="Lato" w:hAnsi="Lato" w:cs="Calibri"/>
        </w:rPr>
        <w:t xml:space="preserve">brakiem </w:t>
      </w:r>
      <w:r w:rsidRPr="0063639D">
        <w:rPr>
          <w:rFonts w:ascii="Lato" w:hAnsi="Lato"/>
        </w:rPr>
        <w:t xml:space="preserve">wyczerpującego zgromadzenia materiału dowodowego niezbędnego do wyjaśnienia stanu faktycznego i rozstrzygnięcia sprawy uznano, że posiadana przez ww. pracowników wiedza, wnikliwość i umiejętności w zakresie dokonywania właściwej wykładni przepisów prawa okazały się </w:t>
      </w:r>
      <w:r w:rsidRPr="0063639D">
        <w:rPr>
          <w:rFonts w:ascii="Lato" w:hAnsi="Lato"/>
          <w:b/>
        </w:rPr>
        <w:t>niewystarczające</w:t>
      </w:r>
      <w:r w:rsidRPr="0063639D">
        <w:rPr>
          <w:rFonts w:ascii="Lato" w:hAnsi="Lato"/>
        </w:rPr>
        <w:t xml:space="preserve"> do stopnia skomplikowania tych spraw.</w:t>
      </w:r>
    </w:p>
    <w:p w:rsidR="00736FD1" w:rsidRPr="0063639D" w:rsidRDefault="00736FD1" w:rsidP="00736FD1">
      <w:pPr>
        <w:jc w:val="both"/>
        <w:rPr>
          <w:rFonts w:ascii="Lato" w:hAnsi="Lato" w:cs="Calibri"/>
        </w:rPr>
      </w:pPr>
      <w:r w:rsidRPr="0063639D">
        <w:rPr>
          <w:rFonts w:ascii="Lato" w:hAnsi="Lato"/>
        </w:rPr>
        <w:t xml:space="preserve">Za </w:t>
      </w:r>
      <w:r w:rsidRPr="0063639D">
        <w:rPr>
          <w:rFonts w:ascii="Lato" w:hAnsi="Lato"/>
          <w:b/>
        </w:rPr>
        <w:t xml:space="preserve">niewystarczający </w:t>
      </w:r>
      <w:r w:rsidRPr="0063639D">
        <w:rPr>
          <w:rFonts w:ascii="Lato" w:hAnsi="Lato"/>
        </w:rPr>
        <w:t xml:space="preserve">uznano także zakres szkoleń, na które skierowano pracowników wykonujących zadania objęte kontrolą, tj. dotyczący jedynie </w:t>
      </w:r>
      <w:r w:rsidRPr="0063639D">
        <w:rPr>
          <w:rFonts w:ascii="Lato" w:eastAsia="Calibri" w:hAnsi="Lato"/>
          <w:color w:val="000000"/>
          <w:lang w:eastAsia="ar-SA"/>
        </w:rPr>
        <w:t>ustawy o doręczeniach elektronicznych i zmian w Kpa.</w:t>
      </w:r>
      <w:r w:rsidRPr="0063639D">
        <w:rPr>
          <w:rFonts w:ascii="Lato" w:hAnsi="Lato"/>
        </w:rPr>
        <w:t xml:space="preserve"> </w:t>
      </w:r>
      <w:r w:rsidRPr="0063639D">
        <w:rPr>
          <w:rFonts w:ascii="Lato" w:hAnsi="Lato" w:cs="Calibri"/>
        </w:rPr>
        <w:t xml:space="preserve">Osoby sprawujące nadzór nad realizacją zadań informowane są przez naczelnika Wydziału do Spraw Obywatelstwa DOiR o aktualnym orzecznictwie w sprawach objętych kontrolą oraz innych ważnych aspektach związanych ze sprawami objętymi kontrolą. </w:t>
      </w:r>
    </w:p>
    <w:p w:rsidR="00736FD1" w:rsidRPr="0063639D" w:rsidRDefault="00736FD1" w:rsidP="00736FD1">
      <w:pPr>
        <w:autoSpaceDE w:val="0"/>
        <w:autoSpaceDN w:val="0"/>
        <w:adjustRightInd w:val="0"/>
        <w:jc w:val="both"/>
        <w:rPr>
          <w:rFonts w:ascii="Lato" w:hAnsi="Lato" w:cs="Calibri"/>
        </w:rPr>
      </w:pPr>
      <w:r w:rsidRPr="0063639D">
        <w:rPr>
          <w:rFonts w:ascii="Lato" w:hAnsi="Lato" w:cs="Calibri"/>
          <w:iCs/>
          <w:color w:val="000000"/>
        </w:rPr>
        <w:t xml:space="preserve">Ustalono, że </w:t>
      </w:r>
      <w:r w:rsidRPr="0063639D">
        <w:rPr>
          <w:rFonts w:ascii="Lato" w:hAnsi="Lato" w:cs="Calibri"/>
          <w:b/>
        </w:rPr>
        <w:t>nierzetelnie</w:t>
      </w:r>
      <w:r w:rsidRPr="0063639D">
        <w:rPr>
          <w:rFonts w:ascii="Lato" w:hAnsi="Lato" w:cs="Calibri"/>
        </w:rPr>
        <w:t xml:space="preserve"> prowadzono spisy spraw dotyczących potwierdzenia posiadania lub utraty obywatelstwa polskiego oraz uznania za obywatela polskiego, </w:t>
      </w:r>
      <w:r w:rsidRPr="0063639D">
        <w:rPr>
          <w:rFonts w:ascii="Lato" w:hAnsi="Lato" w:cs="Calibri"/>
        </w:rPr>
        <w:lastRenderedPageBreak/>
        <w:t xml:space="preserve">co utrudniało prawidłową weryfikację faktycznej liczby wpływających w tym zakresie wniosków oraz sposobów zakończenia sprawy. </w:t>
      </w:r>
    </w:p>
    <w:p w:rsidR="00736FD1" w:rsidRPr="0063639D" w:rsidRDefault="00736FD1" w:rsidP="00736FD1">
      <w:pPr>
        <w:suppressAutoHyphens/>
        <w:jc w:val="both"/>
        <w:rPr>
          <w:rFonts w:ascii="Lato" w:hAnsi="Lato" w:cs="Calibri"/>
        </w:rPr>
      </w:pPr>
      <w:r w:rsidRPr="0063639D">
        <w:rPr>
          <w:rFonts w:ascii="Lato" w:hAnsi="Lato" w:cs="Calibri"/>
          <w:b/>
        </w:rPr>
        <w:t>Pozytywnie</w:t>
      </w:r>
      <w:r w:rsidRPr="0063639D">
        <w:rPr>
          <w:rFonts w:ascii="Lato" w:hAnsi="Lato" w:cs="Calibri"/>
        </w:rPr>
        <w:t xml:space="preserve"> w obszarze związanym ze sprawowaniem nadzoru nad rozpoznawaniem spraw o potwierdzenie posiadania lub utraty obywatelstwa polskiego oraz o uznanie za obywatela polskiego oceniono </w:t>
      </w:r>
      <w:r w:rsidRPr="0063639D">
        <w:rPr>
          <w:rFonts w:ascii="Lato" w:hAnsi="Lato" w:cs="Calibri"/>
          <w:b/>
        </w:rPr>
        <w:t xml:space="preserve">jedynie </w:t>
      </w:r>
      <w:r w:rsidRPr="0063639D">
        <w:rPr>
          <w:rFonts w:ascii="Lato" w:hAnsi="Lato" w:cs="Calibri"/>
        </w:rPr>
        <w:t>zapewnienie ciągłości realizacji zadań poprzez ustanowienie systemu zastępstw.</w:t>
      </w:r>
    </w:p>
    <w:p w:rsidR="00736FD1" w:rsidRDefault="00736FD1" w:rsidP="00EA693C">
      <w:pPr>
        <w:spacing w:after="120" w:line="276" w:lineRule="auto"/>
        <w:jc w:val="both"/>
        <w:rPr>
          <w:rFonts w:ascii="Lato" w:hAnsi="Lato"/>
          <w:b/>
        </w:rPr>
      </w:pPr>
    </w:p>
    <w:p w:rsidR="00EA693C" w:rsidRPr="00EA693C" w:rsidRDefault="00EA693C" w:rsidP="00EA693C">
      <w:pPr>
        <w:spacing w:after="120" w:line="276" w:lineRule="auto"/>
        <w:jc w:val="both"/>
        <w:rPr>
          <w:rFonts w:ascii="Lato" w:hAnsi="Lato"/>
          <w:b/>
        </w:rPr>
      </w:pPr>
      <w:r w:rsidRPr="00EA693C">
        <w:rPr>
          <w:rFonts w:ascii="Lato" w:hAnsi="Lato"/>
          <w:b/>
        </w:rPr>
        <w:t>VII. Wnioski i zalecenia pokontrolne</w:t>
      </w:r>
    </w:p>
    <w:p w:rsidR="00EA693C" w:rsidRPr="00EA693C" w:rsidRDefault="00EA693C" w:rsidP="00EA693C">
      <w:pPr>
        <w:spacing w:after="120" w:line="276" w:lineRule="auto"/>
        <w:jc w:val="both"/>
        <w:rPr>
          <w:rFonts w:ascii="Lato" w:hAnsi="Lato"/>
        </w:rPr>
      </w:pPr>
      <w:r w:rsidRPr="00EA693C">
        <w:rPr>
          <w:rFonts w:ascii="Lato" w:hAnsi="Lato"/>
        </w:rPr>
        <w:t>W celu wyeliminowania stwierdzonych w toku kontroli uchybień oraz usprawnienia funkcjonowania jednostki kontrolowanej wnioskowano o:</w:t>
      </w:r>
    </w:p>
    <w:p w:rsidR="00736FD1" w:rsidRPr="00A1226A" w:rsidRDefault="00736FD1" w:rsidP="00736FD1">
      <w:pPr>
        <w:pStyle w:val="Akapitzlist"/>
        <w:numPr>
          <w:ilvl w:val="0"/>
          <w:numId w:val="4"/>
        </w:numPr>
        <w:suppressAutoHyphens/>
        <w:spacing w:line="259" w:lineRule="auto"/>
        <w:jc w:val="both"/>
        <w:rPr>
          <w:rFonts w:ascii="Lato" w:hAnsi="Lato"/>
        </w:rPr>
      </w:pPr>
      <w:r w:rsidRPr="00A1226A">
        <w:rPr>
          <w:rFonts w:ascii="Lato" w:hAnsi="Lato"/>
        </w:rPr>
        <w:t xml:space="preserve">Zachowanie należytej staranności przy przyjmowaniu oświadczenia wymaganego na podstawie art. 9 ust. 1 ustawy o obywatelskie polskim w sprawach związanych z nabyciem lub utratą obywatelstwa polskiego, z uwzględnieniem konieczności złożenia podpisu pod protokołem przez osobę składającą oraz przyjmującą protokół. </w:t>
      </w:r>
    </w:p>
    <w:p w:rsidR="00736FD1" w:rsidRDefault="00736FD1" w:rsidP="00736FD1">
      <w:pPr>
        <w:pStyle w:val="Akapitzlist"/>
        <w:numPr>
          <w:ilvl w:val="0"/>
          <w:numId w:val="4"/>
        </w:numPr>
        <w:suppressAutoHyphens/>
        <w:spacing w:line="259" w:lineRule="auto"/>
        <w:jc w:val="both"/>
        <w:rPr>
          <w:rFonts w:ascii="Lato" w:hAnsi="Lato"/>
        </w:rPr>
      </w:pPr>
      <w:r w:rsidRPr="00A1226A">
        <w:rPr>
          <w:rFonts w:ascii="Lato" w:hAnsi="Lato"/>
        </w:rPr>
        <w:t>Podejmowanie przez organ działań zmierzających do wyczerpującego wyjaśnienia spraw o potwierdzenie posiadania obywatelstwa polskiego, w tym występowanie do polskich placówek konsularnych z zapytaniem, czy wnioskodawca lub jego wstępni występowali z wnioskiem o udzielenie zgody na zmianę obywatelstwa polskiego na obce.</w:t>
      </w:r>
    </w:p>
    <w:p w:rsidR="00736FD1" w:rsidRDefault="00736FD1" w:rsidP="00736FD1">
      <w:pPr>
        <w:pStyle w:val="Akapitzlist"/>
        <w:numPr>
          <w:ilvl w:val="0"/>
          <w:numId w:val="4"/>
        </w:numPr>
        <w:suppressAutoHyphens/>
        <w:spacing w:line="259" w:lineRule="auto"/>
        <w:jc w:val="both"/>
        <w:rPr>
          <w:rFonts w:ascii="Lato" w:hAnsi="Lato"/>
        </w:rPr>
      </w:pPr>
      <w:r w:rsidRPr="00A1226A">
        <w:rPr>
          <w:rFonts w:ascii="Lato" w:hAnsi="Lato"/>
        </w:rPr>
        <w:t xml:space="preserve">Każdorazowe dokonywanie analizy wniosków pod kątem spełnienia przez wnioskodawcę obowiązku uiszczenia opłaty skarbowej od złożonego wniosku w sprawie o potwierdzenie posiadania lub utraty obywatelstwa polskiego oraz uznania za obywatela polskiego. W przypadku braku potwierdzenia dokonania opłaty skarbowej, zobowiązanie strony do jej uiszczenia i przedłożenia potwierdzenia do akt sprawy pod rygorem zwrotu wniosku zgodnie z art. 261 § 1 Kpa.  </w:t>
      </w:r>
    </w:p>
    <w:p w:rsidR="00736FD1" w:rsidRDefault="00736FD1" w:rsidP="00736FD1">
      <w:pPr>
        <w:pStyle w:val="Akapitzlist"/>
        <w:numPr>
          <w:ilvl w:val="0"/>
          <w:numId w:val="4"/>
        </w:numPr>
        <w:suppressAutoHyphens/>
        <w:spacing w:line="259" w:lineRule="auto"/>
        <w:jc w:val="both"/>
        <w:rPr>
          <w:rFonts w:ascii="Lato" w:hAnsi="Lato"/>
        </w:rPr>
      </w:pPr>
      <w:r w:rsidRPr="00A1226A">
        <w:rPr>
          <w:rFonts w:ascii="Lato" w:hAnsi="Lato"/>
        </w:rPr>
        <w:t>Każdorazowe rozpatrywanie żądań Strony, w tym wniosków o zawieszenie postępowania na podstawie art. 98 § 1 Kpa, przed wydaniem decyzji kończącej postępowanie w sprawach o potwierdzenie posiadania lub utraty obywatela polskiego oraz uznania za obywatela polskiego. W tym, o ile zachodzi taka konieczność, zobowiązanie Strony do uzupełnienia braków formalnych we wnio</w:t>
      </w:r>
      <w:r>
        <w:rPr>
          <w:rFonts w:ascii="Lato" w:hAnsi="Lato"/>
        </w:rPr>
        <w:t>sku o zawieszenie postępowania.</w:t>
      </w:r>
    </w:p>
    <w:p w:rsidR="00736FD1" w:rsidRDefault="00736FD1" w:rsidP="00736FD1">
      <w:pPr>
        <w:pStyle w:val="Akapitzlist"/>
        <w:numPr>
          <w:ilvl w:val="0"/>
          <w:numId w:val="4"/>
        </w:numPr>
        <w:suppressAutoHyphens/>
        <w:spacing w:line="259" w:lineRule="auto"/>
        <w:jc w:val="both"/>
        <w:rPr>
          <w:rFonts w:ascii="Lato" w:hAnsi="Lato"/>
        </w:rPr>
      </w:pPr>
      <w:r w:rsidRPr="00A1226A">
        <w:rPr>
          <w:rFonts w:ascii="Lato" w:hAnsi="Lato"/>
        </w:rPr>
        <w:t xml:space="preserve">Uznawanie za Strony w postępowaniu o potwierdzenie posiadania obywatelstwa polskiego osoby nieżyjącej, bezpośrednich zstępnych. Uwzględniając w tym zakresie orzecznictwo sądowo-administracyjne w podobnych sprawach. </w:t>
      </w:r>
    </w:p>
    <w:p w:rsidR="00736FD1" w:rsidRDefault="00736FD1" w:rsidP="00736FD1">
      <w:pPr>
        <w:pStyle w:val="Akapitzlist"/>
        <w:numPr>
          <w:ilvl w:val="0"/>
          <w:numId w:val="4"/>
        </w:numPr>
        <w:suppressAutoHyphens/>
        <w:spacing w:line="259" w:lineRule="auto"/>
        <w:jc w:val="both"/>
        <w:rPr>
          <w:rFonts w:ascii="Lato" w:hAnsi="Lato"/>
        </w:rPr>
      </w:pPr>
      <w:r w:rsidRPr="00A1226A">
        <w:rPr>
          <w:rFonts w:ascii="Lato" w:hAnsi="Lato"/>
        </w:rPr>
        <w:t>Zagwarantowanie pełnej realizacji zasady czynnego udziału strony w postępowaniu poprzez wskazywanie - zgodnie z art. 79a kpa - przesłanek zależnych od strony, które nie zostały na dzień wysłania informacji spełnione lub wykazane.</w:t>
      </w:r>
    </w:p>
    <w:p w:rsidR="00736FD1" w:rsidRPr="00891992" w:rsidRDefault="00736FD1" w:rsidP="00736FD1">
      <w:pPr>
        <w:pStyle w:val="Akapitzlist"/>
        <w:numPr>
          <w:ilvl w:val="0"/>
          <w:numId w:val="4"/>
        </w:numPr>
        <w:suppressAutoHyphens/>
        <w:spacing w:line="259" w:lineRule="auto"/>
        <w:jc w:val="both"/>
        <w:rPr>
          <w:rFonts w:ascii="Lato" w:hAnsi="Lato"/>
        </w:rPr>
      </w:pPr>
      <w:r w:rsidRPr="00A1226A">
        <w:rPr>
          <w:rFonts w:ascii="Lato" w:hAnsi="Lato"/>
        </w:rPr>
        <w:lastRenderedPageBreak/>
        <w:t>Podjęcie działań zmierzających do załatwiania spraw w wyznaczonych terminach, zgodnie z art. 35 § 3 Kodeksu postępowania administracyjnego oraz zawiadamiania stron o każdym przypadku niezałatwienia sprawy w terminie z podaniem przyczyny zwłoki, wskazaniem nowego terminu załatwienia sprawy oraz pouczeniem o prawie do wniesienia ponaglenia.</w:t>
      </w:r>
    </w:p>
    <w:p w:rsidR="00736FD1" w:rsidRDefault="00736FD1" w:rsidP="00736FD1">
      <w:pPr>
        <w:pStyle w:val="Akapitzlist"/>
        <w:numPr>
          <w:ilvl w:val="0"/>
          <w:numId w:val="4"/>
        </w:numPr>
        <w:suppressAutoHyphens/>
        <w:spacing w:line="259" w:lineRule="auto"/>
        <w:jc w:val="both"/>
        <w:rPr>
          <w:rFonts w:ascii="Lato" w:hAnsi="Lato"/>
        </w:rPr>
      </w:pPr>
      <w:r w:rsidRPr="00A1226A">
        <w:rPr>
          <w:rFonts w:ascii="Lato" w:hAnsi="Lato"/>
        </w:rPr>
        <w:t xml:space="preserve">Wprowadzenie rozwiązań gwarantujących prawidłowe wszczęcie i zakończenie spraw związanych z potwierdzaniem posiadania lub utraty obywatelstwa polskiego oraz uznaniem za obywatela polskiego, z zachowaniem szczególnej dbałości o zgromadzenie, kompletowanie wymaganego materiału dowodowego oraz właściwego kwalifikowania wpływającej do organu dokumentacji. Urząd nie może dopuszczać do sytuacji, w której dokumenty będące uzupełnieniem do toczącego się już postępowania, stanowią podstawę do wszczęcia odrębnego postępowania w tożsamej/ tej samej sprawie. </w:t>
      </w:r>
    </w:p>
    <w:p w:rsidR="00736FD1" w:rsidRDefault="00736FD1" w:rsidP="00736FD1">
      <w:pPr>
        <w:pStyle w:val="Akapitzlist"/>
        <w:numPr>
          <w:ilvl w:val="0"/>
          <w:numId w:val="4"/>
        </w:numPr>
        <w:suppressAutoHyphens/>
        <w:spacing w:line="259" w:lineRule="auto"/>
        <w:jc w:val="both"/>
        <w:rPr>
          <w:rFonts w:ascii="Lato" w:hAnsi="Lato"/>
        </w:rPr>
      </w:pPr>
      <w:r w:rsidRPr="00A1226A">
        <w:rPr>
          <w:rFonts w:ascii="Lato" w:hAnsi="Lato"/>
        </w:rPr>
        <w:t>Prowadzenie wnikliwej analizy nieprzerwanego pobytu cudzoziemców przy wykorzystaniu wszystkich możliwych narzędzi (tj. informacja ze Straży Granicznej, oświadczenie cudzoziemca o nieprzerwanych pobycie na terytorium RP, analiza pieczęci w paszporcie Zainteresowanego) wraz ze szczegółowymi wyliczeniami dotyczącymi pobytu na terytorium RP /najnowsze orzecznictwo WSA/.</w:t>
      </w:r>
    </w:p>
    <w:p w:rsidR="00736FD1" w:rsidRDefault="00736FD1" w:rsidP="00736FD1">
      <w:pPr>
        <w:pStyle w:val="Akapitzlist"/>
        <w:numPr>
          <w:ilvl w:val="0"/>
          <w:numId w:val="4"/>
        </w:numPr>
        <w:suppressAutoHyphens/>
        <w:spacing w:line="259" w:lineRule="auto"/>
        <w:jc w:val="both"/>
        <w:rPr>
          <w:rFonts w:ascii="Lato" w:hAnsi="Lato"/>
        </w:rPr>
      </w:pPr>
      <w:r>
        <w:rPr>
          <w:rFonts w:ascii="Lato" w:hAnsi="Lato"/>
        </w:rPr>
        <w:t>W sprawach</w:t>
      </w:r>
      <w:r w:rsidRPr="00A1226A">
        <w:rPr>
          <w:rFonts w:ascii="Lato" w:hAnsi="Lato"/>
        </w:rPr>
        <w:t xml:space="preserve"> o uznanie za obywatela polskiego, dokonywanie adnotacji o pustych stronach w paszporcie lub zobowiązanie strony do przedłożenia kserokopii całego dokumentu.</w:t>
      </w:r>
    </w:p>
    <w:p w:rsidR="00736FD1" w:rsidRDefault="00736FD1" w:rsidP="00736FD1">
      <w:pPr>
        <w:pStyle w:val="Akapitzlist"/>
        <w:numPr>
          <w:ilvl w:val="0"/>
          <w:numId w:val="4"/>
        </w:numPr>
        <w:suppressAutoHyphens/>
        <w:spacing w:line="259" w:lineRule="auto"/>
        <w:jc w:val="both"/>
        <w:rPr>
          <w:rFonts w:ascii="Lato" w:hAnsi="Lato"/>
        </w:rPr>
      </w:pPr>
      <w:r w:rsidRPr="00D73E0D">
        <w:rPr>
          <w:rFonts w:ascii="Lato" w:hAnsi="Lato"/>
        </w:rPr>
        <w:t>W sprawach przekazywanych wg właściwości do innego organy, pozostawianie w aktach szczątkowych wszelkich dokumentów, które odzwierciedlają przebieg załatwienia i rozstrzygnięcia danej sprawy, m.in. zawiadomienie o przekazaniu wniosku, dokumenty pozwalające na potwierdzenie wpływu oraz rodzaju wniosku, osoby jakiej on dotyczy, spis załączników (kartę przeglądową) oraz dokumenty potwierdzające zasadność przekazania wniosku na podstawie art. 65 § 1 kpa.</w:t>
      </w:r>
    </w:p>
    <w:p w:rsidR="00736FD1" w:rsidRDefault="00736FD1" w:rsidP="00736FD1">
      <w:pPr>
        <w:pStyle w:val="Akapitzlist"/>
        <w:numPr>
          <w:ilvl w:val="0"/>
          <w:numId w:val="4"/>
        </w:numPr>
        <w:suppressAutoHyphens/>
        <w:spacing w:line="259" w:lineRule="auto"/>
        <w:jc w:val="both"/>
        <w:rPr>
          <w:rFonts w:ascii="Lato" w:hAnsi="Lato"/>
        </w:rPr>
      </w:pPr>
      <w:r w:rsidRPr="00D73E0D">
        <w:rPr>
          <w:rFonts w:ascii="Lato" w:hAnsi="Lato"/>
        </w:rPr>
        <w:t>Weryfikowanie trudnych do przezwyciężenia przeszkód w pozyskiwaniu przez Stronę materiału dowodowego, w tym zobowiązanie cudzoziemca do ich udowodnienia i wykazania podjętych aktywności w sprawie uzyskania wymaganych dokumentów.</w:t>
      </w:r>
    </w:p>
    <w:p w:rsidR="00736FD1" w:rsidRDefault="00736FD1" w:rsidP="00736FD1">
      <w:pPr>
        <w:pStyle w:val="Akapitzlist"/>
        <w:numPr>
          <w:ilvl w:val="0"/>
          <w:numId w:val="4"/>
        </w:numPr>
        <w:suppressAutoHyphens/>
        <w:spacing w:line="259" w:lineRule="auto"/>
        <w:jc w:val="both"/>
        <w:rPr>
          <w:rFonts w:ascii="Lato" w:hAnsi="Lato"/>
        </w:rPr>
      </w:pPr>
      <w:r w:rsidRPr="00D73E0D">
        <w:rPr>
          <w:rFonts w:ascii="Lato" w:hAnsi="Lato"/>
        </w:rPr>
        <w:t>Zapewnienie nadzoru nad właściwym doręczaniem korespondencji stronom, w szczególności każdorazowe weryfikowanie skuteczności doręczania rozstrzygnięć przekazywanych stronom.</w:t>
      </w:r>
    </w:p>
    <w:p w:rsidR="00736FD1" w:rsidRDefault="00736FD1" w:rsidP="00736FD1">
      <w:pPr>
        <w:pStyle w:val="Akapitzlist"/>
        <w:numPr>
          <w:ilvl w:val="0"/>
          <w:numId w:val="4"/>
        </w:numPr>
        <w:suppressAutoHyphens/>
        <w:spacing w:line="259" w:lineRule="auto"/>
        <w:jc w:val="both"/>
        <w:rPr>
          <w:rFonts w:ascii="Lato" w:hAnsi="Lato"/>
        </w:rPr>
      </w:pPr>
      <w:r w:rsidRPr="00D73E0D">
        <w:rPr>
          <w:rFonts w:ascii="Lato" w:hAnsi="Lato"/>
        </w:rPr>
        <w:t xml:space="preserve">Weryfikowanie wpływających do WSOC ŁUW wniosków, pod kątem ich skutecznego wniesienia do organu właściwego miejscowo, stosując się przy tym do przepisu art. 36 § 1 w sprawach o uznanie za obywatela polskiego, art. 55 § 1 w sprawach o potwierdzenie posiadania lub utraty obywatelstwa polskiego ustawy o obywatelstwie polskim. W przypadku powzięcia wątpliwości dotyczących swojej właściwości, podjęcie czynności wyjaśniających, jak np.: zobowiązanie Strony do przedłożenia wyjaśnień lub </w:t>
      </w:r>
      <w:r w:rsidRPr="00D73E0D">
        <w:rPr>
          <w:rFonts w:ascii="Lato" w:hAnsi="Lato"/>
        </w:rPr>
        <w:lastRenderedPageBreak/>
        <w:t xml:space="preserve">właściwego oświadczenia dotyczącego jego pobytu oraz centrum życiowego. W przypadku uznania swojej niewłaściwości do rozpatrzenia podania, przekazanie wniosku zgodnie z właściwością w oparciu o art. 65 § 1 Kpa. </w:t>
      </w:r>
    </w:p>
    <w:p w:rsidR="00736FD1" w:rsidRPr="00736FD1" w:rsidRDefault="00736FD1" w:rsidP="00736FD1">
      <w:pPr>
        <w:pStyle w:val="Akapitzlist"/>
        <w:numPr>
          <w:ilvl w:val="0"/>
          <w:numId w:val="4"/>
        </w:numPr>
        <w:suppressAutoHyphens/>
        <w:spacing w:line="259" w:lineRule="auto"/>
        <w:jc w:val="both"/>
        <w:rPr>
          <w:rFonts w:ascii="Lato" w:hAnsi="Lato"/>
        </w:rPr>
      </w:pPr>
      <w:r w:rsidRPr="00390008">
        <w:rPr>
          <w:rFonts w:ascii="Lato" w:hAnsi="Lato"/>
        </w:rPr>
        <w:t xml:space="preserve">Uwzględnienie żądania Wnioskodawcy o przedłużenie zakończenia postępowania, w każdym przypadku gdy zdaniem organu jest to uzasadnione słusznym interesem Strony zgodnie z art. 7 Kpa. W przypadku nieuwzględnienia podania w sprawie przedłużenia terminu rozpatrzenia wniosku, poinformowanie Strony o tym fakcie. </w:t>
      </w:r>
    </w:p>
    <w:p w:rsidR="00736FD1" w:rsidRDefault="00736FD1" w:rsidP="00736FD1">
      <w:pPr>
        <w:pStyle w:val="Akapitzlist"/>
        <w:numPr>
          <w:ilvl w:val="0"/>
          <w:numId w:val="4"/>
        </w:numPr>
        <w:suppressAutoHyphens/>
        <w:spacing w:line="259" w:lineRule="auto"/>
        <w:jc w:val="both"/>
        <w:rPr>
          <w:rFonts w:ascii="Lato" w:hAnsi="Lato"/>
        </w:rPr>
      </w:pPr>
      <w:r w:rsidRPr="00390008">
        <w:rPr>
          <w:rFonts w:ascii="Lato" w:hAnsi="Lato"/>
        </w:rPr>
        <w:t xml:space="preserve">Przywoływanie właściwej podstawy prawnej w wydawanych przez WSOC ŁUW rozstrzygnięciach administracyjnych, która odpowiada podstawie wszczęcia postępowania oraz będącej podstawą jego sposobu oraz formy zakończenia. W przypadku wątpliwości związanej z zastosowaniem właściwej podstawy prawnej, podjęcie konsultacji w tym zakresie z DOiR MSWiA. </w:t>
      </w:r>
    </w:p>
    <w:p w:rsidR="00736FD1" w:rsidRDefault="00736FD1" w:rsidP="00736FD1">
      <w:pPr>
        <w:pStyle w:val="Akapitzlist"/>
        <w:numPr>
          <w:ilvl w:val="0"/>
          <w:numId w:val="4"/>
        </w:numPr>
        <w:suppressAutoHyphens/>
        <w:spacing w:line="259" w:lineRule="auto"/>
        <w:jc w:val="both"/>
        <w:rPr>
          <w:rFonts w:ascii="Lato" w:hAnsi="Lato"/>
        </w:rPr>
      </w:pPr>
      <w:r w:rsidRPr="00390008">
        <w:rPr>
          <w:rFonts w:ascii="Lato" w:hAnsi="Lato"/>
        </w:rPr>
        <w:t xml:space="preserve">Prowadzenie rejestrów spraw dotyczących potwierdzenia posiadania lub utraty obywatelstwa polskiego oraz uznania za obywatela polskiego w sposób gwarantujący prawidłową weryfikację faktycznej liczby wpływających w tym zakresie wniosków. Rozważenie zastosowania innej formy rejestrowania wpływających do </w:t>
      </w:r>
      <w:r>
        <w:rPr>
          <w:rFonts w:ascii="Lato" w:hAnsi="Lato"/>
        </w:rPr>
        <w:t>u</w:t>
      </w:r>
      <w:r w:rsidRPr="00390008">
        <w:rPr>
          <w:rFonts w:ascii="Lato" w:hAnsi="Lato"/>
        </w:rPr>
        <w:t xml:space="preserve">rzędu zapytań, uzupełnień i innych pism poprzez przykładowo wyodrębnienie podteczek. </w:t>
      </w:r>
    </w:p>
    <w:p w:rsidR="00736FD1" w:rsidRDefault="00736FD1" w:rsidP="00736FD1">
      <w:pPr>
        <w:pStyle w:val="Akapitzlist"/>
        <w:numPr>
          <w:ilvl w:val="0"/>
          <w:numId w:val="4"/>
        </w:numPr>
        <w:suppressAutoHyphens/>
        <w:spacing w:line="259" w:lineRule="auto"/>
        <w:jc w:val="both"/>
        <w:rPr>
          <w:rFonts w:ascii="Lato" w:hAnsi="Lato"/>
        </w:rPr>
      </w:pPr>
      <w:r w:rsidRPr="00390008">
        <w:rPr>
          <w:rFonts w:ascii="Lato" w:hAnsi="Lato"/>
        </w:rPr>
        <w:t>Wdrożenie skutecznych narzędzi nadzoru nad rzetelnym zbieraniem i wyczerpującym rozpatrywaniem całego materiału dowodowego przez pracowników realizujących zadania związane z potwierdzaniem posiadania lub utraty obywatelstwa polskiego oraz uznaniem za obywatela polskiego.</w:t>
      </w:r>
    </w:p>
    <w:p w:rsidR="00736FD1" w:rsidRDefault="00736FD1" w:rsidP="00736FD1">
      <w:pPr>
        <w:pStyle w:val="Akapitzlist"/>
        <w:numPr>
          <w:ilvl w:val="0"/>
          <w:numId w:val="4"/>
        </w:numPr>
        <w:suppressAutoHyphens/>
        <w:spacing w:line="259" w:lineRule="auto"/>
        <w:jc w:val="both"/>
        <w:rPr>
          <w:rFonts w:ascii="Lato" w:hAnsi="Lato"/>
        </w:rPr>
      </w:pPr>
      <w:r w:rsidRPr="00390008">
        <w:rPr>
          <w:rFonts w:ascii="Lato" w:hAnsi="Lato"/>
        </w:rPr>
        <w:t>Udostępnianie pracownikom WSO</w:t>
      </w:r>
      <w:r>
        <w:rPr>
          <w:rFonts w:ascii="Lato" w:hAnsi="Lato"/>
        </w:rPr>
        <w:t>C</w:t>
      </w:r>
      <w:r w:rsidRPr="00390008">
        <w:rPr>
          <w:rFonts w:ascii="Lato" w:hAnsi="Lato"/>
        </w:rPr>
        <w:t xml:space="preserve"> ŁUW oraz wykorzystywanie w sprawach o potwierdzenie posiadania lub utraty obywatelstwa polskiego oraz uznania za obywatela polskiego, aktualnego orzecznictwa</w:t>
      </w:r>
      <w:r>
        <w:rPr>
          <w:rFonts w:ascii="Lato" w:hAnsi="Lato"/>
        </w:rPr>
        <w:t xml:space="preserve"> i wyjaśnień przekazywanych </w:t>
      </w:r>
      <w:r w:rsidRPr="00390008">
        <w:rPr>
          <w:rFonts w:ascii="Lato" w:hAnsi="Lato"/>
        </w:rPr>
        <w:t>DOiR MSWiA.</w:t>
      </w:r>
    </w:p>
    <w:p w:rsidR="00736FD1" w:rsidRDefault="00736FD1" w:rsidP="00736FD1">
      <w:pPr>
        <w:pStyle w:val="Akapitzlist"/>
        <w:numPr>
          <w:ilvl w:val="0"/>
          <w:numId w:val="4"/>
        </w:numPr>
        <w:suppressAutoHyphens/>
        <w:spacing w:line="259" w:lineRule="auto"/>
        <w:jc w:val="both"/>
        <w:rPr>
          <w:rFonts w:ascii="Lato" w:hAnsi="Lato"/>
        </w:rPr>
      </w:pPr>
      <w:r w:rsidRPr="00390008">
        <w:rPr>
          <w:rFonts w:ascii="Lato" w:hAnsi="Lato"/>
        </w:rPr>
        <w:t xml:space="preserve">Prowadzenie w ramach Oddziału szkoleń, warsztatów lub spotkań roboczych w celu poszerzania wiedzy pracowników z zakresu przepisów ustaw o obywatelskie polskim i Kpa oraz w celu pogłębiania umiejętności zespołu w zakresie dokonywania właściwej oraz jednolitej wykładni przepisów. </w:t>
      </w:r>
    </w:p>
    <w:p w:rsidR="00736FD1" w:rsidRPr="00335469" w:rsidRDefault="00736FD1" w:rsidP="00736FD1">
      <w:pPr>
        <w:spacing w:after="0" w:line="276" w:lineRule="auto"/>
        <w:jc w:val="both"/>
        <w:rPr>
          <w:rFonts w:ascii="Lato" w:hAnsi="Lato"/>
          <w:b/>
        </w:rPr>
      </w:pPr>
    </w:p>
    <w:p w:rsidR="000E5D5D" w:rsidRPr="000E5D5D" w:rsidRDefault="000E5D5D" w:rsidP="00EA693C">
      <w:pPr>
        <w:spacing w:after="0" w:line="240" w:lineRule="auto"/>
        <w:rPr>
          <w:rFonts w:ascii="Lato" w:hAnsi="Lato"/>
          <w:sz w:val="20"/>
          <w:szCs w:val="20"/>
        </w:rPr>
      </w:pPr>
    </w:p>
    <w:sectPr w:rsidR="000E5D5D" w:rsidRPr="000E5D5D" w:rsidSect="00C6421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773" w:rsidRDefault="00DC0773" w:rsidP="009276B2">
      <w:pPr>
        <w:spacing w:after="0" w:line="240" w:lineRule="auto"/>
      </w:pPr>
      <w:r>
        <w:separator/>
      </w:r>
    </w:p>
  </w:endnote>
  <w:endnote w:type="continuationSeparator" w:id="0">
    <w:p w:rsidR="00DC0773" w:rsidRDefault="00DC0773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16500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E5D5D" w:rsidRPr="0035672F" w:rsidRDefault="000E5D5D" w:rsidP="000E5D5D">
            <w:pPr>
              <w:pStyle w:val="Stopka"/>
              <w:tabs>
                <w:tab w:val="clear" w:pos="4536"/>
                <w:tab w:val="clear" w:pos="9072"/>
                <w:tab w:val="left" w:pos="3119"/>
              </w:tabs>
              <w:contextualSpacing/>
              <w:rPr>
                <w:rFonts w:ascii="Lato" w:hAnsi="Lato"/>
                <w:sz w:val="14"/>
                <w:szCs w:val="16"/>
              </w:rPr>
            </w:pPr>
            <w:r w:rsidRPr="0035672F">
              <w:rPr>
                <w:rFonts w:ascii="Lato" w:hAnsi="Lato"/>
                <w:noProof/>
                <w:sz w:val="14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637A289" wp14:editId="4F636006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11430</wp:posOffset>
                      </wp:positionV>
                      <wp:extent cx="5039995" cy="0"/>
                      <wp:effectExtent l="0" t="0" r="27305" b="19050"/>
                      <wp:wrapNone/>
                      <wp:docPr id="13" name="Łącznik prosty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399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34FC3951" id="Łącznik prosty 1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9pt" to="396.8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" strokecolor="windowText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35672F">
              <w:rPr>
                <w:rFonts w:ascii="Lato" w:hAnsi="Lato"/>
                <w:sz w:val="14"/>
                <w:szCs w:val="16"/>
              </w:rPr>
              <w:t xml:space="preserve">                                                   </w:t>
            </w:r>
            <w:r>
              <w:rPr>
                <w:rFonts w:ascii="Lato" w:hAnsi="Lato"/>
                <w:sz w:val="14"/>
                <w:szCs w:val="16"/>
              </w:rPr>
              <w:t xml:space="preserve">                                                                                   </w:t>
            </w:r>
            <w:r w:rsidRPr="00DA6665">
              <w:rPr>
                <w:rFonts w:ascii="Lato" w:hAnsi="Lato"/>
                <w:sz w:val="14"/>
                <w:szCs w:val="16"/>
              </w:rPr>
              <w:t xml:space="preserve">Ministerstwo Spraw Wewnętrznych i Administracji  </w:t>
            </w:r>
          </w:p>
          <w:p w:rsidR="000E5D5D" w:rsidRPr="0035672F" w:rsidRDefault="000E5D5D" w:rsidP="000E5D5D">
            <w:pPr>
              <w:pStyle w:val="Stopka"/>
              <w:tabs>
                <w:tab w:val="clear" w:pos="4536"/>
                <w:tab w:val="clear" w:pos="9072"/>
                <w:tab w:val="left" w:pos="5954"/>
              </w:tabs>
              <w:contextualSpacing/>
              <w:rPr>
                <w:rFonts w:ascii="Lato" w:hAnsi="Lato"/>
                <w:sz w:val="14"/>
                <w:szCs w:val="16"/>
              </w:rPr>
            </w:pPr>
            <w:r>
              <w:rPr>
                <w:rFonts w:ascii="Lato" w:hAnsi="Lato"/>
                <w:sz w:val="14"/>
                <w:szCs w:val="16"/>
              </w:rPr>
              <w:t xml:space="preserve">telefon: +48 22 60 139 35                                                                                                          </w:t>
            </w:r>
            <w:r w:rsidRPr="0035672F">
              <w:rPr>
                <w:rFonts w:ascii="Lato" w:hAnsi="Lato"/>
                <w:sz w:val="14"/>
                <w:szCs w:val="16"/>
              </w:rPr>
              <w:t>Departament Obywatelstwa i Repatriacji</w:t>
            </w:r>
          </w:p>
          <w:p w:rsidR="000E5D5D" w:rsidRPr="0035672F" w:rsidRDefault="000E5D5D" w:rsidP="000E5D5D">
            <w:pPr>
              <w:pStyle w:val="Stopka"/>
              <w:tabs>
                <w:tab w:val="clear" w:pos="4536"/>
                <w:tab w:val="clear" w:pos="9072"/>
                <w:tab w:val="left" w:pos="5954"/>
              </w:tabs>
              <w:contextualSpacing/>
              <w:rPr>
                <w:rFonts w:ascii="Lato" w:hAnsi="Lato"/>
                <w:sz w:val="14"/>
                <w:szCs w:val="16"/>
              </w:rPr>
            </w:pPr>
            <w:r w:rsidRPr="0035672F">
              <w:rPr>
                <w:rFonts w:ascii="Lato" w:hAnsi="Lato"/>
                <w:sz w:val="14"/>
                <w:szCs w:val="16"/>
              </w:rPr>
              <w:t xml:space="preserve">adres email: </w:t>
            </w:r>
            <w:hyperlink r:id="rId1" w:history="1">
              <w:r w:rsidR="00646D29" w:rsidRPr="000D5380">
                <w:rPr>
                  <w:rStyle w:val="Hipercze"/>
                  <w:rFonts w:ascii="Lato" w:hAnsi="Lato"/>
                  <w:sz w:val="14"/>
                  <w:szCs w:val="16"/>
                </w:rPr>
                <w:t>obywatelstwo@mswia.gov.pl</w:t>
              </w:r>
            </w:hyperlink>
            <w:r w:rsidRPr="0035672F">
              <w:rPr>
                <w:rFonts w:ascii="Lato" w:hAnsi="Lato"/>
                <w:sz w:val="14"/>
                <w:szCs w:val="16"/>
              </w:rPr>
              <w:t xml:space="preserve"> </w:t>
            </w:r>
            <w:r w:rsidRPr="0035672F">
              <w:rPr>
                <w:rFonts w:ascii="Lato" w:hAnsi="Lato"/>
                <w:sz w:val="14"/>
                <w:szCs w:val="16"/>
              </w:rPr>
              <w:tab/>
            </w:r>
            <w:r>
              <w:rPr>
                <w:rFonts w:ascii="Lato" w:hAnsi="Lato"/>
                <w:sz w:val="14"/>
                <w:szCs w:val="16"/>
              </w:rPr>
              <w:t xml:space="preserve">                 </w:t>
            </w:r>
            <w:r w:rsidRPr="0035672F">
              <w:rPr>
                <w:rFonts w:ascii="Lato" w:hAnsi="Lato"/>
                <w:sz w:val="14"/>
                <w:szCs w:val="16"/>
              </w:rPr>
              <w:t>ul. Stefana Batorego 5</w:t>
            </w:r>
          </w:p>
          <w:p w:rsidR="000E5D5D" w:rsidRPr="0035672F" w:rsidRDefault="00DC0773" w:rsidP="000E5D5D">
            <w:pPr>
              <w:pStyle w:val="Stopka"/>
              <w:contextualSpacing/>
              <w:rPr>
                <w:rFonts w:ascii="Lato" w:hAnsi="Lato"/>
                <w:sz w:val="14"/>
                <w:szCs w:val="16"/>
              </w:rPr>
            </w:pPr>
            <w:hyperlink r:id="rId2" w:history="1">
              <w:r w:rsidR="000E5D5D" w:rsidRPr="0035672F">
                <w:rPr>
                  <w:rStyle w:val="Hipercze"/>
                  <w:rFonts w:ascii="Lato" w:hAnsi="Lato"/>
                  <w:sz w:val="14"/>
                  <w:szCs w:val="16"/>
                </w:rPr>
                <w:t>gov.pl/mswia</w:t>
              </w:r>
            </w:hyperlink>
            <w:r w:rsidR="000E5D5D">
              <w:rPr>
                <w:rStyle w:val="Hipercze"/>
                <w:rFonts w:ascii="Lato" w:hAnsi="Lato"/>
                <w:sz w:val="14"/>
                <w:szCs w:val="16"/>
              </w:rPr>
              <w:t xml:space="preserve"> </w:t>
            </w:r>
            <w:r w:rsidR="000E5D5D">
              <w:rPr>
                <w:rStyle w:val="Hipercze"/>
                <w:rFonts w:ascii="Lato" w:hAnsi="Lato"/>
                <w:sz w:val="14"/>
                <w:szCs w:val="16"/>
                <w:u w:val="none"/>
              </w:rPr>
              <w:t xml:space="preserve">                                                                                                                                                        </w:t>
            </w:r>
            <w:r w:rsidR="000E5D5D" w:rsidRPr="0035672F">
              <w:rPr>
                <w:rFonts w:ascii="Lato" w:hAnsi="Lato"/>
                <w:sz w:val="14"/>
                <w:szCs w:val="16"/>
              </w:rPr>
              <w:t>02-591 Warszawa, Polska</w:t>
            </w:r>
          </w:p>
          <w:p w:rsidR="00D33A1B" w:rsidRPr="000E5D5D" w:rsidRDefault="00D33A1B" w:rsidP="000E5D5D">
            <w:pPr>
              <w:pStyle w:val="Stopka"/>
              <w:tabs>
                <w:tab w:val="clear" w:pos="4536"/>
                <w:tab w:val="clear" w:pos="9072"/>
                <w:tab w:val="left" w:pos="5954"/>
              </w:tabs>
              <w:ind w:right="-2"/>
              <w:jc w:val="center"/>
            </w:pPr>
            <w:r w:rsidRPr="00A169EB">
              <w:rPr>
                <w:rFonts w:ascii="Lato" w:hAnsi="Lato"/>
                <w:sz w:val="14"/>
                <w:szCs w:val="14"/>
              </w:rPr>
              <w:t xml:space="preserve">Strona </w:t>
            </w:r>
            <w:r w:rsidRPr="00A169EB">
              <w:rPr>
                <w:rFonts w:ascii="Lato" w:hAnsi="Lato"/>
                <w:bCs/>
                <w:sz w:val="14"/>
                <w:szCs w:val="14"/>
              </w:rPr>
              <w:fldChar w:fldCharType="begin"/>
            </w:r>
            <w:r w:rsidRPr="00A169EB">
              <w:rPr>
                <w:rFonts w:ascii="Lato" w:hAnsi="Lato"/>
                <w:bCs/>
                <w:sz w:val="14"/>
                <w:szCs w:val="14"/>
              </w:rPr>
              <w:instrText>PAGE</w:instrText>
            </w:r>
            <w:r w:rsidRPr="00A169EB">
              <w:rPr>
                <w:rFonts w:ascii="Lato" w:hAnsi="Lato"/>
                <w:bCs/>
                <w:sz w:val="14"/>
                <w:szCs w:val="14"/>
              </w:rPr>
              <w:fldChar w:fldCharType="separate"/>
            </w:r>
            <w:r w:rsidR="002E4252">
              <w:rPr>
                <w:rFonts w:ascii="Lato" w:hAnsi="Lato"/>
                <w:bCs/>
                <w:noProof/>
                <w:sz w:val="14"/>
                <w:szCs w:val="14"/>
              </w:rPr>
              <w:t>4</w:t>
            </w:r>
            <w:r w:rsidRPr="00A169EB">
              <w:rPr>
                <w:rFonts w:ascii="Lato" w:hAnsi="Lato"/>
                <w:bCs/>
                <w:sz w:val="14"/>
                <w:szCs w:val="14"/>
              </w:rPr>
              <w:fldChar w:fldCharType="end"/>
            </w:r>
            <w:r w:rsidRPr="00A169EB">
              <w:rPr>
                <w:rFonts w:ascii="Lato" w:hAnsi="Lato"/>
                <w:sz w:val="14"/>
                <w:szCs w:val="14"/>
              </w:rPr>
              <w:t xml:space="preserve"> z </w:t>
            </w:r>
            <w:r w:rsidRPr="00A169EB">
              <w:rPr>
                <w:rFonts w:ascii="Lato" w:hAnsi="Lato"/>
                <w:bCs/>
                <w:sz w:val="14"/>
                <w:szCs w:val="14"/>
              </w:rPr>
              <w:fldChar w:fldCharType="begin"/>
            </w:r>
            <w:r w:rsidRPr="00A169EB">
              <w:rPr>
                <w:rFonts w:ascii="Lato" w:hAnsi="Lato"/>
                <w:bCs/>
                <w:sz w:val="14"/>
                <w:szCs w:val="14"/>
              </w:rPr>
              <w:instrText>NUMPAGES</w:instrText>
            </w:r>
            <w:r w:rsidRPr="00A169EB">
              <w:rPr>
                <w:rFonts w:ascii="Lato" w:hAnsi="Lato"/>
                <w:bCs/>
                <w:sz w:val="14"/>
                <w:szCs w:val="14"/>
              </w:rPr>
              <w:fldChar w:fldCharType="separate"/>
            </w:r>
            <w:r w:rsidR="002E4252">
              <w:rPr>
                <w:rFonts w:ascii="Lato" w:hAnsi="Lato"/>
                <w:bCs/>
                <w:noProof/>
                <w:sz w:val="14"/>
                <w:szCs w:val="14"/>
              </w:rPr>
              <w:t>6</w:t>
            </w:r>
            <w:r w:rsidRPr="00A169EB">
              <w:rPr>
                <w:rFonts w:ascii="Lato" w:hAnsi="Lato"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A1B" w:rsidRPr="0035672F" w:rsidRDefault="000E5D5D" w:rsidP="00DA6665">
    <w:pPr>
      <w:pStyle w:val="Stopka"/>
      <w:tabs>
        <w:tab w:val="clear" w:pos="4536"/>
        <w:tab w:val="clear" w:pos="9072"/>
        <w:tab w:val="left" w:pos="3119"/>
      </w:tabs>
      <w:rPr>
        <w:rFonts w:ascii="Lato" w:hAnsi="Lato"/>
        <w:sz w:val="14"/>
        <w:szCs w:val="16"/>
      </w:rPr>
    </w:pPr>
    <w:r w:rsidRPr="0035672F">
      <w:rPr>
        <w:rFonts w:ascii="Lato" w:hAnsi="Lato"/>
        <w:noProof/>
        <w:sz w:val="14"/>
        <w:szCs w:val="16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58034B7" wp14:editId="12731472">
              <wp:simplePos x="0" y="0"/>
              <wp:positionH relativeFrom="margin">
                <wp:align>left</wp:align>
              </wp:positionH>
              <wp:positionV relativeFrom="paragraph">
                <wp:posOffset>-21590</wp:posOffset>
              </wp:positionV>
              <wp:extent cx="5039995" cy="9525"/>
              <wp:effectExtent l="0" t="0" r="27305" b="28575"/>
              <wp:wrapNone/>
              <wp:docPr id="18" name="Łącznik prosty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95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2226E4A2" id="Łącznik prosty 1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1.7pt" to="396.8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" strokecolor="black [3213]" strokeweight=".5pt">
              <v:stroke joinstyle="miter"/>
              <w10:wrap anchorx="margin"/>
            </v:line>
          </w:pict>
        </mc:Fallback>
      </mc:AlternateContent>
    </w:r>
    <w:r w:rsidR="00D33A1B" w:rsidRPr="0035672F">
      <w:rPr>
        <w:rFonts w:ascii="Lato" w:hAnsi="Lato"/>
        <w:sz w:val="14"/>
        <w:szCs w:val="16"/>
      </w:rPr>
      <w:t xml:space="preserve">                                                   </w:t>
    </w:r>
    <w:r w:rsidR="00DA6665">
      <w:rPr>
        <w:rFonts w:ascii="Lato" w:hAnsi="Lato"/>
        <w:sz w:val="14"/>
        <w:szCs w:val="16"/>
      </w:rPr>
      <w:t xml:space="preserve">                                                                            </w:t>
    </w:r>
    <w:r w:rsidR="006119A2">
      <w:rPr>
        <w:rFonts w:ascii="Lato" w:hAnsi="Lato"/>
        <w:sz w:val="14"/>
        <w:szCs w:val="16"/>
      </w:rPr>
      <w:t xml:space="preserve">       </w:t>
    </w:r>
    <w:r w:rsidR="00DA6665" w:rsidRPr="00DA6665">
      <w:rPr>
        <w:rFonts w:ascii="Lato" w:hAnsi="Lato"/>
        <w:sz w:val="14"/>
        <w:szCs w:val="16"/>
      </w:rPr>
      <w:t xml:space="preserve">Ministerstwo Spraw Wewnętrznych i Administracji  </w:t>
    </w:r>
  </w:p>
  <w:p w:rsidR="00D33A1B" w:rsidRPr="0035672F" w:rsidRDefault="00DA6665" w:rsidP="00C64219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6"/>
      </w:rPr>
    </w:pPr>
    <w:r>
      <w:rPr>
        <w:rFonts w:ascii="Lato" w:hAnsi="Lato"/>
        <w:sz w:val="14"/>
        <w:szCs w:val="16"/>
      </w:rPr>
      <w:t xml:space="preserve">telefon: +48 22 60 139 35                                                                                                   </w:t>
    </w:r>
    <w:r w:rsidR="006119A2">
      <w:rPr>
        <w:rFonts w:ascii="Lato" w:hAnsi="Lato"/>
        <w:sz w:val="14"/>
        <w:szCs w:val="16"/>
      </w:rPr>
      <w:t xml:space="preserve">       </w:t>
    </w:r>
    <w:r w:rsidRPr="0035672F">
      <w:rPr>
        <w:rFonts w:ascii="Lato" w:hAnsi="Lato"/>
        <w:sz w:val="14"/>
        <w:szCs w:val="16"/>
      </w:rPr>
      <w:t>Departament Obywatelstwa i Repatriacji</w:t>
    </w:r>
  </w:p>
  <w:p w:rsidR="00D33A1B" w:rsidRPr="0035672F" w:rsidRDefault="00D33A1B" w:rsidP="00C64219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6"/>
      </w:rPr>
    </w:pPr>
    <w:r w:rsidRPr="0035672F">
      <w:rPr>
        <w:rFonts w:ascii="Lato" w:hAnsi="Lato"/>
        <w:sz w:val="14"/>
        <w:szCs w:val="16"/>
      </w:rPr>
      <w:t xml:space="preserve">adres email: </w:t>
    </w:r>
    <w:hyperlink r:id="rId1" w:history="1">
      <w:r w:rsidR="00646D29" w:rsidRPr="000D5380">
        <w:rPr>
          <w:rStyle w:val="Hipercze"/>
          <w:rFonts w:ascii="Lato" w:hAnsi="Lato"/>
          <w:sz w:val="14"/>
          <w:szCs w:val="16"/>
        </w:rPr>
        <w:t>obywatelstwo@mswia.gov.pl</w:t>
      </w:r>
    </w:hyperlink>
    <w:r w:rsidRPr="0035672F">
      <w:rPr>
        <w:rFonts w:ascii="Lato" w:hAnsi="Lato"/>
        <w:sz w:val="14"/>
        <w:szCs w:val="16"/>
      </w:rPr>
      <w:t xml:space="preserve"> </w:t>
    </w:r>
    <w:r w:rsidRPr="0035672F">
      <w:rPr>
        <w:rFonts w:ascii="Lato" w:hAnsi="Lato"/>
        <w:sz w:val="14"/>
        <w:szCs w:val="16"/>
      </w:rPr>
      <w:tab/>
    </w:r>
    <w:r w:rsidR="00DA6665">
      <w:rPr>
        <w:rFonts w:ascii="Lato" w:hAnsi="Lato"/>
        <w:sz w:val="14"/>
        <w:szCs w:val="16"/>
      </w:rPr>
      <w:t xml:space="preserve">        </w:t>
    </w:r>
    <w:r w:rsidR="006119A2">
      <w:rPr>
        <w:rFonts w:ascii="Lato" w:hAnsi="Lato"/>
        <w:sz w:val="14"/>
        <w:szCs w:val="16"/>
      </w:rPr>
      <w:t xml:space="preserve">       </w:t>
    </w:r>
    <w:r w:rsidR="00DA6665">
      <w:rPr>
        <w:rFonts w:ascii="Lato" w:hAnsi="Lato"/>
        <w:sz w:val="14"/>
        <w:szCs w:val="16"/>
      </w:rPr>
      <w:t xml:space="preserve">  </w:t>
    </w:r>
    <w:r w:rsidR="00DA6665" w:rsidRPr="0035672F">
      <w:rPr>
        <w:rFonts w:ascii="Lato" w:hAnsi="Lato"/>
        <w:sz w:val="14"/>
        <w:szCs w:val="16"/>
      </w:rPr>
      <w:t>ul. Stefana Batorego 5</w:t>
    </w:r>
  </w:p>
  <w:p w:rsidR="00D33A1B" w:rsidRPr="0035672F" w:rsidRDefault="00DC0773" w:rsidP="00C64219">
    <w:pPr>
      <w:pStyle w:val="Stopka"/>
      <w:rPr>
        <w:rFonts w:ascii="Lato" w:hAnsi="Lato"/>
        <w:sz w:val="14"/>
        <w:szCs w:val="16"/>
      </w:rPr>
    </w:pPr>
    <w:hyperlink r:id="rId2" w:history="1">
      <w:r w:rsidR="00D33A1B" w:rsidRPr="0035672F">
        <w:rPr>
          <w:rStyle w:val="Hipercze"/>
          <w:rFonts w:ascii="Lato" w:hAnsi="Lato"/>
          <w:sz w:val="14"/>
          <w:szCs w:val="16"/>
        </w:rPr>
        <w:t>gov.pl/mswia</w:t>
      </w:r>
    </w:hyperlink>
    <w:r w:rsidR="00DA6665">
      <w:rPr>
        <w:rStyle w:val="Hipercze"/>
        <w:rFonts w:ascii="Lato" w:hAnsi="Lato"/>
        <w:sz w:val="14"/>
        <w:szCs w:val="16"/>
      </w:rPr>
      <w:t xml:space="preserve"> </w:t>
    </w:r>
    <w:r w:rsidR="00DA6665">
      <w:rPr>
        <w:rStyle w:val="Hipercze"/>
        <w:rFonts w:ascii="Lato" w:hAnsi="Lato"/>
        <w:sz w:val="14"/>
        <w:szCs w:val="16"/>
        <w:u w:val="none"/>
      </w:rPr>
      <w:t xml:space="preserve">                                                                                                                                              </w:t>
    </w:r>
    <w:r w:rsidR="006119A2">
      <w:rPr>
        <w:rStyle w:val="Hipercze"/>
        <w:rFonts w:ascii="Lato" w:hAnsi="Lato"/>
        <w:sz w:val="14"/>
        <w:szCs w:val="16"/>
        <w:u w:val="none"/>
      </w:rPr>
      <w:t xml:space="preserve">      </w:t>
    </w:r>
    <w:r w:rsidR="00DA6665">
      <w:rPr>
        <w:rStyle w:val="Hipercze"/>
        <w:rFonts w:ascii="Lato" w:hAnsi="Lato"/>
        <w:sz w:val="14"/>
        <w:szCs w:val="16"/>
        <w:u w:val="none"/>
      </w:rPr>
      <w:t xml:space="preserve">    </w:t>
    </w:r>
    <w:r w:rsidR="00DA6665" w:rsidRPr="0035672F">
      <w:rPr>
        <w:rFonts w:ascii="Lato" w:hAnsi="Lato"/>
        <w:sz w:val="14"/>
        <w:szCs w:val="16"/>
      </w:rPr>
      <w:t>02-591 Warszawa, Polska</w:t>
    </w:r>
  </w:p>
  <w:p w:rsidR="00D33A1B" w:rsidRDefault="000E5D5D" w:rsidP="000E5D5D">
    <w:pPr>
      <w:pStyle w:val="Stopka"/>
      <w:tabs>
        <w:tab w:val="clear" w:pos="9072"/>
        <w:tab w:val="right" w:pos="7938"/>
      </w:tabs>
      <w:ind w:right="-2"/>
      <w:jc w:val="center"/>
    </w:pPr>
    <w:r w:rsidRPr="00A169EB">
      <w:rPr>
        <w:rFonts w:ascii="Lato" w:hAnsi="Lato"/>
        <w:sz w:val="14"/>
        <w:szCs w:val="14"/>
      </w:rPr>
      <w:t xml:space="preserve">Strona </w:t>
    </w:r>
    <w:r w:rsidRPr="00A169EB">
      <w:rPr>
        <w:rFonts w:ascii="Lato" w:hAnsi="Lato"/>
        <w:bCs/>
        <w:sz w:val="14"/>
        <w:szCs w:val="14"/>
      </w:rPr>
      <w:fldChar w:fldCharType="begin"/>
    </w:r>
    <w:r w:rsidRPr="00A169EB">
      <w:rPr>
        <w:rFonts w:ascii="Lato" w:hAnsi="Lato"/>
        <w:bCs/>
        <w:sz w:val="14"/>
        <w:szCs w:val="14"/>
      </w:rPr>
      <w:instrText>PAGE</w:instrText>
    </w:r>
    <w:r w:rsidRPr="00A169EB">
      <w:rPr>
        <w:rFonts w:ascii="Lato" w:hAnsi="Lato"/>
        <w:bCs/>
        <w:sz w:val="14"/>
        <w:szCs w:val="14"/>
      </w:rPr>
      <w:fldChar w:fldCharType="separate"/>
    </w:r>
    <w:r w:rsidR="002E4252">
      <w:rPr>
        <w:rFonts w:ascii="Lato" w:hAnsi="Lato"/>
        <w:bCs/>
        <w:noProof/>
        <w:sz w:val="14"/>
        <w:szCs w:val="14"/>
      </w:rPr>
      <w:t>1</w:t>
    </w:r>
    <w:r w:rsidRPr="00A169EB">
      <w:rPr>
        <w:rFonts w:ascii="Lato" w:hAnsi="Lato"/>
        <w:bCs/>
        <w:sz w:val="14"/>
        <w:szCs w:val="14"/>
      </w:rPr>
      <w:fldChar w:fldCharType="end"/>
    </w:r>
    <w:r w:rsidRPr="00A169EB">
      <w:rPr>
        <w:rFonts w:ascii="Lato" w:hAnsi="Lato"/>
        <w:sz w:val="14"/>
        <w:szCs w:val="14"/>
      </w:rPr>
      <w:t xml:space="preserve"> z </w:t>
    </w:r>
    <w:r w:rsidRPr="00A169EB">
      <w:rPr>
        <w:rFonts w:ascii="Lato" w:hAnsi="Lato"/>
        <w:bCs/>
        <w:sz w:val="14"/>
        <w:szCs w:val="14"/>
      </w:rPr>
      <w:fldChar w:fldCharType="begin"/>
    </w:r>
    <w:r w:rsidRPr="00A169EB">
      <w:rPr>
        <w:rFonts w:ascii="Lato" w:hAnsi="Lato"/>
        <w:bCs/>
        <w:sz w:val="14"/>
        <w:szCs w:val="14"/>
      </w:rPr>
      <w:instrText>NUMPAGES</w:instrText>
    </w:r>
    <w:r w:rsidRPr="00A169EB">
      <w:rPr>
        <w:rFonts w:ascii="Lato" w:hAnsi="Lato"/>
        <w:bCs/>
        <w:sz w:val="14"/>
        <w:szCs w:val="14"/>
      </w:rPr>
      <w:fldChar w:fldCharType="separate"/>
    </w:r>
    <w:r w:rsidR="002E4252">
      <w:rPr>
        <w:rFonts w:ascii="Lato" w:hAnsi="Lato"/>
        <w:bCs/>
        <w:noProof/>
        <w:sz w:val="14"/>
        <w:szCs w:val="14"/>
      </w:rPr>
      <w:t>6</w:t>
    </w:r>
    <w:r w:rsidRPr="00A169EB">
      <w:rPr>
        <w:rFonts w:ascii="Lato" w:hAnsi="Lato"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773" w:rsidRDefault="00DC0773" w:rsidP="009276B2">
      <w:pPr>
        <w:spacing w:after="0" w:line="240" w:lineRule="auto"/>
      </w:pPr>
      <w:r>
        <w:separator/>
      </w:r>
    </w:p>
  </w:footnote>
  <w:footnote w:type="continuationSeparator" w:id="0">
    <w:p w:rsidR="00DC0773" w:rsidRDefault="00DC0773" w:rsidP="009276B2">
      <w:pPr>
        <w:spacing w:after="0" w:line="240" w:lineRule="auto"/>
      </w:pPr>
      <w:r>
        <w:continuationSeparator/>
      </w:r>
    </w:p>
  </w:footnote>
  <w:footnote w:id="1">
    <w:p w:rsidR="00EA693C" w:rsidRPr="0044771E" w:rsidRDefault="00EA693C" w:rsidP="00EA693C">
      <w:pPr>
        <w:pStyle w:val="Tekstprzypisudolnego"/>
        <w:rPr>
          <w:rFonts w:ascii="Lato" w:hAnsi="Lato"/>
          <w:sz w:val="16"/>
          <w:szCs w:val="16"/>
        </w:rPr>
      </w:pPr>
      <w:r w:rsidRPr="0044771E">
        <w:rPr>
          <w:rStyle w:val="Odwoanieprzypisudolnego"/>
          <w:rFonts w:ascii="Lato" w:hAnsi="Lato"/>
          <w:sz w:val="16"/>
          <w:szCs w:val="16"/>
        </w:rPr>
        <w:footnoteRef/>
      </w:r>
      <w:r w:rsidRPr="0044771E">
        <w:rPr>
          <w:rFonts w:ascii="Lato" w:hAnsi="Lato"/>
          <w:sz w:val="16"/>
          <w:szCs w:val="16"/>
        </w:rPr>
        <w:t xml:space="preserve"> t.j. Dz.U. z 2020, poz. 224.</w:t>
      </w:r>
    </w:p>
  </w:footnote>
  <w:footnote w:id="2">
    <w:p w:rsidR="00EA693C" w:rsidRPr="0044771E" w:rsidRDefault="00EA693C" w:rsidP="00EA693C">
      <w:pPr>
        <w:pStyle w:val="Tekstprzypisudolnego"/>
        <w:jc w:val="both"/>
        <w:rPr>
          <w:sz w:val="16"/>
          <w:szCs w:val="16"/>
        </w:rPr>
      </w:pPr>
      <w:r w:rsidRPr="0044771E">
        <w:rPr>
          <w:rStyle w:val="Odwoanieprzypisudolnego"/>
          <w:rFonts w:ascii="Lato" w:hAnsi="Lato"/>
          <w:sz w:val="16"/>
          <w:szCs w:val="16"/>
        </w:rPr>
        <w:footnoteRef/>
      </w:r>
      <w:r w:rsidRPr="0044771E">
        <w:rPr>
          <w:rFonts w:ascii="Lato" w:hAnsi="Lato"/>
          <w:sz w:val="16"/>
          <w:szCs w:val="16"/>
        </w:rPr>
        <w:t xml:space="preserve"> Badaniami kontrolnymi objęte zostały również zdarzenia i dokumenty sprzed 1 stycznia 2020 r. i po 29 lipca </w:t>
      </w:r>
      <w:r>
        <w:rPr>
          <w:rFonts w:ascii="Lato" w:hAnsi="Lato"/>
          <w:sz w:val="16"/>
          <w:szCs w:val="16"/>
        </w:rPr>
        <w:br/>
      </w:r>
      <w:r w:rsidRPr="0044771E">
        <w:rPr>
          <w:rFonts w:ascii="Lato" w:hAnsi="Lato"/>
          <w:sz w:val="16"/>
          <w:szCs w:val="16"/>
        </w:rPr>
        <w:t xml:space="preserve">2022 r. w przypadkach, gdy miały one wpływ lub miały związek ze zjawiskami będącymi przedmiotem kontroli, </w:t>
      </w:r>
      <w:r>
        <w:rPr>
          <w:rFonts w:ascii="Lato" w:hAnsi="Lato"/>
          <w:sz w:val="16"/>
          <w:szCs w:val="16"/>
        </w:rPr>
        <w:br/>
      </w:r>
      <w:r w:rsidRPr="0044771E">
        <w:rPr>
          <w:rFonts w:ascii="Lato" w:hAnsi="Lato"/>
          <w:sz w:val="16"/>
          <w:szCs w:val="16"/>
        </w:rPr>
        <w:t>a ich wyłączenie z kontroli nie pozwoliłoby na ocenę kontrolowanej działalności.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A1B" w:rsidRDefault="00D33A1B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A1B" w:rsidRDefault="00D33A1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707D7F8" wp14:editId="52F50AED">
          <wp:simplePos x="0" y="0"/>
          <wp:positionH relativeFrom="column">
            <wp:posOffset>-895350</wp:posOffset>
          </wp:positionH>
          <wp:positionV relativeFrom="paragraph">
            <wp:posOffset>-48260</wp:posOffset>
          </wp:positionV>
          <wp:extent cx="4018915" cy="1061720"/>
          <wp:effectExtent l="0" t="0" r="0" b="0"/>
          <wp:wrapThrough wrapText="bothSides">
            <wp:wrapPolygon edited="0">
              <wp:start x="2048" y="2713"/>
              <wp:lineTo x="1331" y="3876"/>
              <wp:lineTo x="614" y="7364"/>
              <wp:lineTo x="614" y="9689"/>
              <wp:lineTo x="1126" y="15890"/>
              <wp:lineTo x="1126" y="17053"/>
              <wp:lineTo x="2764" y="18215"/>
              <wp:lineTo x="4710" y="18990"/>
              <wp:lineTo x="20887" y="18990"/>
              <wp:lineTo x="20784" y="9689"/>
              <wp:lineTo x="13003" y="9689"/>
              <wp:lineTo x="13003" y="5426"/>
              <wp:lineTo x="3276" y="2713"/>
              <wp:lineTo x="2048" y="2713"/>
            </wp:wrapPolygon>
          </wp:wrapThrough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F628A"/>
    <w:multiLevelType w:val="hybridMultilevel"/>
    <w:tmpl w:val="4C281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F0C2A"/>
    <w:multiLevelType w:val="hybridMultilevel"/>
    <w:tmpl w:val="D2B4F562"/>
    <w:lvl w:ilvl="0" w:tplc="DCA4261E">
      <w:start w:val="1"/>
      <w:numFmt w:val="bullet"/>
      <w:lvlText w:val="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1DBC5AAB"/>
    <w:multiLevelType w:val="hybridMultilevel"/>
    <w:tmpl w:val="3154BC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53469"/>
    <w:multiLevelType w:val="hybridMultilevel"/>
    <w:tmpl w:val="FB14DBB2"/>
    <w:lvl w:ilvl="0" w:tplc="E43EA5F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3265A"/>
    <w:rsid w:val="00050C97"/>
    <w:rsid w:val="00055F10"/>
    <w:rsid w:val="000B3CA3"/>
    <w:rsid w:val="000D1C80"/>
    <w:rsid w:val="000E5D5D"/>
    <w:rsid w:val="000F1EFA"/>
    <w:rsid w:val="00100315"/>
    <w:rsid w:val="001074E5"/>
    <w:rsid w:val="001236B0"/>
    <w:rsid w:val="00166A88"/>
    <w:rsid w:val="00176180"/>
    <w:rsid w:val="00183B62"/>
    <w:rsid w:val="001953A4"/>
    <w:rsid w:val="001B70EB"/>
    <w:rsid w:val="001E25DF"/>
    <w:rsid w:val="00200774"/>
    <w:rsid w:val="00235FCB"/>
    <w:rsid w:val="00257C62"/>
    <w:rsid w:val="002E0C9D"/>
    <w:rsid w:val="002E4252"/>
    <w:rsid w:val="002F2F6E"/>
    <w:rsid w:val="00307A1F"/>
    <w:rsid w:val="00307ED4"/>
    <w:rsid w:val="00317C13"/>
    <w:rsid w:val="003443D6"/>
    <w:rsid w:val="00351E7F"/>
    <w:rsid w:val="0035672F"/>
    <w:rsid w:val="003C5722"/>
    <w:rsid w:val="003E2A3A"/>
    <w:rsid w:val="003F216A"/>
    <w:rsid w:val="00400B2A"/>
    <w:rsid w:val="0041245D"/>
    <w:rsid w:val="004177B0"/>
    <w:rsid w:val="00453E42"/>
    <w:rsid w:val="004A2223"/>
    <w:rsid w:val="004B2F6F"/>
    <w:rsid w:val="004F59AB"/>
    <w:rsid w:val="004F5D02"/>
    <w:rsid w:val="004F782C"/>
    <w:rsid w:val="005241AF"/>
    <w:rsid w:val="005368DB"/>
    <w:rsid w:val="00590C4E"/>
    <w:rsid w:val="0059434A"/>
    <w:rsid w:val="005A0399"/>
    <w:rsid w:val="005B6A97"/>
    <w:rsid w:val="005D01A8"/>
    <w:rsid w:val="006119A2"/>
    <w:rsid w:val="0063019A"/>
    <w:rsid w:val="006469F8"/>
    <w:rsid w:val="00646D29"/>
    <w:rsid w:val="00673E82"/>
    <w:rsid w:val="006C6409"/>
    <w:rsid w:val="006C7435"/>
    <w:rsid w:val="0070631E"/>
    <w:rsid w:val="00710CE6"/>
    <w:rsid w:val="00716214"/>
    <w:rsid w:val="00736FD1"/>
    <w:rsid w:val="00762865"/>
    <w:rsid w:val="007877C4"/>
    <w:rsid w:val="00797577"/>
    <w:rsid w:val="008B10E0"/>
    <w:rsid w:val="00917771"/>
    <w:rsid w:val="009276B2"/>
    <w:rsid w:val="009E411A"/>
    <w:rsid w:val="00A07EDB"/>
    <w:rsid w:val="00A10352"/>
    <w:rsid w:val="00A169EB"/>
    <w:rsid w:val="00A25B74"/>
    <w:rsid w:val="00A55974"/>
    <w:rsid w:val="00AA57D9"/>
    <w:rsid w:val="00AC4826"/>
    <w:rsid w:val="00AD6984"/>
    <w:rsid w:val="00AE6415"/>
    <w:rsid w:val="00B20AD8"/>
    <w:rsid w:val="00B3671C"/>
    <w:rsid w:val="00B84D3E"/>
    <w:rsid w:val="00B87744"/>
    <w:rsid w:val="00BE6444"/>
    <w:rsid w:val="00C62437"/>
    <w:rsid w:val="00C64219"/>
    <w:rsid w:val="00C8064A"/>
    <w:rsid w:val="00C84ECE"/>
    <w:rsid w:val="00C85D56"/>
    <w:rsid w:val="00CB15FB"/>
    <w:rsid w:val="00CB23D3"/>
    <w:rsid w:val="00CF21C3"/>
    <w:rsid w:val="00D132C0"/>
    <w:rsid w:val="00D20CCA"/>
    <w:rsid w:val="00D33A1B"/>
    <w:rsid w:val="00D73437"/>
    <w:rsid w:val="00D85891"/>
    <w:rsid w:val="00DA46CC"/>
    <w:rsid w:val="00DA501C"/>
    <w:rsid w:val="00DA6665"/>
    <w:rsid w:val="00DC0773"/>
    <w:rsid w:val="00DC31D2"/>
    <w:rsid w:val="00E3400A"/>
    <w:rsid w:val="00E5544B"/>
    <w:rsid w:val="00E626A1"/>
    <w:rsid w:val="00E80E1D"/>
    <w:rsid w:val="00E87BE1"/>
    <w:rsid w:val="00EA693C"/>
    <w:rsid w:val="00F05F16"/>
    <w:rsid w:val="00F13890"/>
    <w:rsid w:val="00F40743"/>
    <w:rsid w:val="00F71215"/>
    <w:rsid w:val="00FA6BD4"/>
    <w:rsid w:val="00FB2392"/>
    <w:rsid w:val="00FC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6D29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FB239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FC2325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FB2392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B2392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2392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B23D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0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C9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69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69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693C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736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mswia" TargetMode="External"/><Relationship Id="rId1" Type="http://schemas.openxmlformats.org/officeDocument/2006/relationships/hyperlink" Target="mailto:obywatelstwo@mswia.gov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mswia" TargetMode="External"/><Relationship Id="rId1" Type="http://schemas.openxmlformats.org/officeDocument/2006/relationships/hyperlink" Target="mailto:obywatelstwo@mswia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5F1FF-4FF9-4566-A974-950DF4FCF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1959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Kolasinski Jakub</cp:lastModifiedBy>
  <cp:revision>2</cp:revision>
  <cp:lastPrinted>2022-12-05T10:37:00Z</cp:lastPrinted>
  <dcterms:created xsi:type="dcterms:W3CDTF">2023-02-06T13:46:00Z</dcterms:created>
  <dcterms:modified xsi:type="dcterms:W3CDTF">2023-02-06T13:46:00Z</dcterms:modified>
</cp:coreProperties>
</file>