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61E3838" w14:textId="60481AF8" w:rsidR="000B373D" w:rsidRPr="000B373D" w:rsidRDefault="008159C8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38483E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7052480" r:id="rId6"/>
        </w:object>
      </w:r>
    </w:p>
    <w:p w14:paraId="605FAA90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11F3792" w14:textId="72AB4900" w:rsidR="000B373D" w:rsidRPr="001E67FD" w:rsidRDefault="001E67FD" w:rsidP="001E67FD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1E67FD">
        <w:rPr>
          <w:rFonts w:asciiTheme="minorHAnsi" w:eastAsia="Lucida Sans Unicode" w:hAnsiTheme="minorHAnsi" w:cstheme="minorHAnsi"/>
          <w:color w:val="auto"/>
          <w:sz w:val="32"/>
          <w:szCs w:val="32"/>
        </w:rPr>
        <w:t>Regionalny Dyrektor Ochrony Środowiska w Olsztynie</w:t>
      </w:r>
    </w:p>
    <w:p w14:paraId="35A3AD0A" w14:textId="5F125DE9" w:rsidR="00F432E6" w:rsidRPr="001E67FD" w:rsidRDefault="006021BE" w:rsidP="009F0EDF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1E67FD">
        <w:rPr>
          <w:rFonts w:eastAsia="Lucida Sans Unicode" w:cstheme="minorHAnsi"/>
          <w:bCs/>
          <w:kern w:val="28"/>
          <w:sz w:val="24"/>
          <w:szCs w:val="24"/>
        </w:rPr>
        <w:t>WOOŚ.</w:t>
      </w:r>
      <w:r w:rsidR="00267220" w:rsidRPr="001E67FD">
        <w:rPr>
          <w:rFonts w:eastAsia="Lucida Sans Unicode" w:cstheme="minorHAnsi"/>
          <w:bCs/>
          <w:kern w:val="28"/>
          <w:sz w:val="24"/>
          <w:szCs w:val="24"/>
        </w:rPr>
        <w:t>420.</w:t>
      </w:r>
      <w:r w:rsidR="000824D2">
        <w:rPr>
          <w:rFonts w:eastAsia="Lucida Sans Unicode" w:cstheme="minorHAnsi"/>
          <w:bCs/>
          <w:kern w:val="28"/>
          <w:sz w:val="24"/>
          <w:szCs w:val="24"/>
        </w:rPr>
        <w:t>16.2025.KT.9</w:t>
      </w:r>
    </w:p>
    <w:p w14:paraId="633219AB" w14:textId="7CDFD410" w:rsidR="00E74C48" w:rsidRPr="001E67FD" w:rsidRDefault="00267220" w:rsidP="00C503ED">
      <w:pPr>
        <w:widowControl w:val="0"/>
        <w:suppressAutoHyphens/>
        <w:spacing w:after="100" w:afterAutospacing="1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1E67FD">
        <w:rPr>
          <w:rFonts w:eastAsia="Lucida Sans Unicode" w:cstheme="minorHAnsi"/>
          <w:bCs/>
          <w:kern w:val="28"/>
          <w:sz w:val="24"/>
          <w:szCs w:val="24"/>
        </w:rPr>
        <w:t xml:space="preserve">Olsztyn, </w:t>
      </w:r>
      <w:r w:rsidR="00075C4A">
        <w:rPr>
          <w:rFonts w:eastAsia="Lucida Sans Unicode" w:cstheme="minorHAnsi"/>
          <w:bCs/>
          <w:kern w:val="28"/>
          <w:sz w:val="24"/>
          <w:szCs w:val="24"/>
        </w:rPr>
        <w:t>12 grudnia 2025 r.</w:t>
      </w:r>
    </w:p>
    <w:p w14:paraId="140FA870" w14:textId="77777777" w:rsidR="00AA7C36" w:rsidRDefault="00FA64F5" w:rsidP="00403DE4">
      <w:pPr>
        <w:pStyle w:val="Nagwek1"/>
        <w:spacing w:before="0" w:after="100" w:afterAutospacing="1" w:line="360" w:lineRule="auto"/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</w:pPr>
      <w:r w:rsidRPr="00080B48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 xml:space="preserve">Decyzja </w:t>
      </w:r>
      <w:r w:rsidR="00AA7C36" w:rsidRPr="00080B48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 xml:space="preserve">o środowiskowych uwarunkowaniach </w:t>
      </w:r>
    </w:p>
    <w:p w14:paraId="31865C21" w14:textId="79A78D47" w:rsidR="00075C4A" w:rsidRPr="00C81923" w:rsidRDefault="00075C4A" w:rsidP="00C81923">
      <w:pPr>
        <w:spacing w:after="100" w:afterAutospacing="1" w:line="360" w:lineRule="auto"/>
        <w:jc w:val="both"/>
        <w:rPr>
          <w:sz w:val="24"/>
          <w:szCs w:val="24"/>
          <w:lang w:eastAsia="zh-CN" w:bidi="hi-IN"/>
        </w:rPr>
      </w:pPr>
      <w:r w:rsidRPr="00075C4A">
        <w:rPr>
          <w:sz w:val="24"/>
          <w:szCs w:val="24"/>
          <w:lang w:eastAsia="zh-CN" w:bidi="hi-IN"/>
        </w:rPr>
        <w:t xml:space="preserve">Na podstawie art. 71 ust. 2 pkt 2, art. 75 ust. 1 pkt 1 lit. d, art. 84 i art. 85 ust. 1 ustawy z dnia 3 października 2008 r. o udostępnianiu informacji o środowisku i jego ochronie, udziale społeczeństwa w ochronie środowiska oraz o ocenach oddziaływania na środowisko (Dz. U. z 2024 r. poz. 1112, z </w:t>
      </w:r>
      <w:proofErr w:type="spellStart"/>
      <w:r w:rsidRPr="00075C4A">
        <w:rPr>
          <w:sz w:val="24"/>
          <w:szCs w:val="24"/>
          <w:lang w:eastAsia="zh-CN" w:bidi="hi-IN"/>
        </w:rPr>
        <w:t>późn</w:t>
      </w:r>
      <w:proofErr w:type="spellEnd"/>
      <w:r w:rsidRPr="00075C4A">
        <w:rPr>
          <w:sz w:val="24"/>
          <w:szCs w:val="24"/>
          <w:lang w:eastAsia="zh-CN" w:bidi="hi-IN"/>
        </w:rPr>
        <w:t xml:space="preserve">. zm.) oraz § 3 ust. 1 pkt 88 lit. c rozporządzenia Rady Ministrów z dnia 10 września 2019 r. w sprawie przedsięwzięć mogących znacząco oddziaływać na środowisko (Dz. U. z 2019 r. poz. 1839, z </w:t>
      </w:r>
      <w:proofErr w:type="spellStart"/>
      <w:r w:rsidRPr="00075C4A">
        <w:rPr>
          <w:sz w:val="24"/>
          <w:szCs w:val="24"/>
          <w:lang w:eastAsia="zh-CN" w:bidi="hi-IN"/>
        </w:rPr>
        <w:t>późn</w:t>
      </w:r>
      <w:proofErr w:type="spellEnd"/>
      <w:r w:rsidRPr="00075C4A">
        <w:rPr>
          <w:sz w:val="24"/>
          <w:szCs w:val="24"/>
          <w:lang w:eastAsia="zh-CN" w:bidi="hi-IN"/>
        </w:rPr>
        <w:t>. zm.), w związku z art. 104 ustawy z dnia 14 czerwca 1960 r. Kodeks postępowania administracyjnego (Dz. U. z 2025 r. poz. 1691), po rozpatrzeniu wniosku złożonego przez pełnomocnika – (</w:t>
      </w:r>
      <w:proofErr w:type="spellStart"/>
      <w:r w:rsidRPr="00075C4A">
        <w:rPr>
          <w:sz w:val="24"/>
          <w:szCs w:val="24"/>
          <w:lang w:eastAsia="zh-CN" w:bidi="hi-IN"/>
        </w:rPr>
        <w:t>anonimizacja</w:t>
      </w:r>
      <w:proofErr w:type="spellEnd"/>
      <w:r w:rsidRPr="00075C4A">
        <w:rPr>
          <w:sz w:val="24"/>
          <w:szCs w:val="24"/>
          <w:lang w:eastAsia="zh-CN" w:bidi="hi-IN"/>
        </w:rPr>
        <w:t>), w imieniu Inwestora – (</w:t>
      </w:r>
      <w:proofErr w:type="spellStart"/>
      <w:r w:rsidRPr="00075C4A">
        <w:rPr>
          <w:sz w:val="24"/>
          <w:szCs w:val="24"/>
          <w:lang w:eastAsia="zh-CN" w:bidi="hi-IN"/>
        </w:rPr>
        <w:t>anonimizacja</w:t>
      </w:r>
      <w:proofErr w:type="spellEnd"/>
      <w:r w:rsidRPr="00075C4A">
        <w:rPr>
          <w:sz w:val="24"/>
          <w:szCs w:val="24"/>
          <w:lang w:eastAsia="zh-CN" w:bidi="hi-IN"/>
        </w:rPr>
        <w:t>) oraz po zasięgnięciu opinii Państwowego Gospodarstwa Wodnego Wody Polskie Zarządu Zlewni w Giżycku (opinia z dnia 27.10.2025 r., znak: BG.ZZŚ.4901.269.2025.MK),</w:t>
      </w:r>
    </w:p>
    <w:p w14:paraId="7FA60CD8" w14:textId="22F3F637" w:rsidR="00AA7C36" w:rsidRDefault="00525E0D" w:rsidP="00463EB7">
      <w:pPr>
        <w:pStyle w:val="Nagwek1"/>
        <w:spacing w:before="0" w:after="100" w:afterAutospacing="1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orzekam</w:t>
      </w:r>
    </w:p>
    <w:p w14:paraId="3557786A" w14:textId="42F311EB" w:rsidR="00DF6D00" w:rsidRPr="00DF6D00" w:rsidRDefault="00DF6D00" w:rsidP="00DF6D00">
      <w:pPr>
        <w:numPr>
          <w:ilvl w:val="0"/>
          <w:numId w:val="58"/>
        </w:numPr>
        <w:spacing w:after="0" w:line="360" w:lineRule="auto"/>
        <w:ind w:left="1003" w:hanging="357"/>
        <w:rPr>
          <w:sz w:val="24"/>
          <w:szCs w:val="24"/>
        </w:rPr>
      </w:pPr>
      <w:r w:rsidRPr="00DF6D00">
        <w:rPr>
          <w:sz w:val="24"/>
          <w:szCs w:val="24"/>
        </w:rPr>
        <w:t>Brak potrzeby przeprowadzenia oceny oddziaływania na środowisko dla</w:t>
      </w:r>
      <w:r>
        <w:rPr>
          <w:sz w:val="24"/>
          <w:szCs w:val="24"/>
        </w:rPr>
        <w:t xml:space="preserve"> </w:t>
      </w:r>
      <w:r w:rsidRPr="00DF6D00">
        <w:rPr>
          <w:sz w:val="24"/>
          <w:szCs w:val="24"/>
        </w:rPr>
        <w:t xml:space="preserve">przedsięwzięcia polegającego na </w:t>
      </w:r>
      <w:bookmarkStart w:id="1" w:name="_Hlk213157273"/>
      <w:r w:rsidRPr="00DF6D00">
        <w:rPr>
          <w:sz w:val="24"/>
          <w:szCs w:val="24"/>
        </w:rPr>
        <w:t>zmianie lasu o pow. 0,1430 ha na użytek rolny, położonego na terenie działki nr 127/13, obręb 0012 Karwik, gm. Pisz, pow. piski, woj. warmińsko-mazurskie</w:t>
      </w:r>
      <w:bookmarkEnd w:id="1"/>
      <w:r w:rsidRPr="00DF6D00">
        <w:rPr>
          <w:sz w:val="24"/>
          <w:szCs w:val="24"/>
        </w:rPr>
        <w:t>.</w:t>
      </w:r>
    </w:p>
    <w:p w14:paraId="77B350AC" w14:textId="77777777" w:rsidR="00DF6D00" w:rsidRPr="00DF6D00" w:rsidRDefault="00DF6D00" w:rsidP="00DF6D00">
      <w:pPr>
        <w:numPr>
          <w:ilvl w:val="0"/>
          <w:numId w:val="58"/>
        </w:numPr>
        <w:spacing w:after="0" w:line="360" w:lineRule="auto"/>
        <w:ind w:left="1003" w:hanging="357"/>
        <w:rPr>
          <w:sz w:val="24"/>
          <w:szCs w:val="24"/>
        </w:rPr>
      </w:pPr>
      <w:r w:rsidRPr="00DF6D00">
        <w:rPr>
          <w:sz w:val="24"/>
          <w:szCs w:val="24"/>
        </w:rPr>
        <w:t>Charakterystyka przedsięwzięcia stanowi załącznik nr 1 do niniejszej decyzji.</w:t>
      </w:r>
      <w:bookmarkStart w:id="2" w:name="_Hlk215650140"/>
    </w:p>
    <w:p w14:paraId="01A140E0" w14:textId="5C44CE94" w:rsidR="00DF6D00" w:rsidRPr="0090144B" w:rsidRDefault="00DF6D00" w:rsidP="00F67E14">
      <w:pPr>
        <w:numPr>
          <w:ilvl w:val="0"/>
          <w:numId w:val="58"/>
        </w:numPr>
        <w:spacing w:after="100" w:afterAutospacing="1" w:line="360" w:lineRule="auto"/>
        <w:ind w:left="1003" w:hanging="357"/>
        <w:rPr>
          <w:sz w:val="24"/>
          <w:szCs w:val="24"/>
        </w:rPr>
      </w:pPr>
      <w:bookmarkStart w:id="3" w:name="_Hlk216253607"/>
      <w:bookmarkEnd w:id="2"/>
      <w:r w:rsidRPr="00DF6D00">
        <w:rPr>
          <w:sz w:val="24"/>
          <w:szCs w:val="24"/>
        </w:rPr>
        <w:t>Teren przeznaczony do zmiany lasu na użytek rolny</w:t>
      </w:r>
      <w:bookmarkEnd w:id="3"/>
      <w:r w:rsidRPr="00DF6D00">
        <w:rPr>
          <w:sz w:val="24"/>
          <w:szCs w:val="24"/>
        </w:rPr>
        <w:t>, przedstawia załącznik nr 2 do niniejszej decyzji.</w:t>
      </w:r>
    </w:p>
    <w:p w14:paraId="73758174" w14:textId="77777777" w:rsidR="00AA7C36" w:rsidRDefault="00F83E03" w:rsidP="00F83E0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Uzasadnienie</w:t>
      </w:r>
    </w:p>
    <w:p w14:paraId="4CA7B3B2" w14:textId="567E1891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W dniu 20.08.2025 r. wpłynął do Regionalnego Dyrektora Ochrony Środowiska w Olsztynie wniosek z dnia 11.08.2025 r. o wydanie decyzji o środowiskowych uwarunkowaniach dla</w:t>
      </w:r>
      <w:r>
        <w:rPr>
          <w:sz w:val="24"/>
          <w:szCs w:val="24"/>
          <w:lang w:eastAsia="zh-CN"/>
        </w:rPr>
        <w:t xml:space="preserve"> </w:t>
      </w:r>
      <w:r w:rsidRPr="003B53A8">
        <w:rPr>
          <w:sz w:val="24"/>
          <w:szCs w:val="24"/>
          <w:lang w:eastAsia="zh-CN"/>
        </w:rPr>
        <w:lastRenderedPageBreak/>
        <w:t xml:space="preserve">przedsięwzięcia polegającego na zmianie użytku leśnego na użytek rolny na części działki o nr </w:t>
      </w:r>
      <w:proofErr w:type="spellStart"/>
      <w:r w:rsidRPr="003B53A8">
        <w:rPr>
          <w:sz w:val="24"/>
          <w:szCs w:val="24"/>
          <w:lang w:eastAsia="zh-CN"/>
        </w:rPr>
        <w:t>ewid</w:t>
      </w:r>
      <w:proofErr w:type="spellEnd"/>
      <w:r w:rsidRPr="003B53A8">
        <w:rPr>
          <w:sz w:val="24"/>
          <w:szCs w:val="24"/>
          <w:lang w:eastAsia="zh-CN"/>
        </w:rPr>
        <w:t>. 127/13 w miejscowości Karwik (wniosek nie został podpisany przez wnoszącego).</w:t>
      </w:r>
    </w:p>
    <w:p w14:paraId="58A59405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Działając zgodnie z art. 64 § 2 ustawy z dnia 14 czerwca 1960 r. Kodeks postępowania administracyjnego (Dz. U. z 2025 r. poz. 1691), Regionalny Dyrektor Ochrony Środowiska w Olsztynie, pismem z dnia 27.08.2025 r., znak: WOOŚ.420.16.2025.KT.1, wezwał pełnomocnika do usunięcia braków formalnych wniosku. Uzupełnienie przedłożono pismem z dnia 11.09.2025 r. (data wpływu do RDOŚ w Olsztynie: 17.09.2025 r.) i pismem z 25.09.2025 r. (data wpływu do RDOŚ w Olsztynie: 29.09.2025 r.). Do wniosku o wydanie decyzji o środowiskowych uwarunkowaniach dołączono m.in.:</w:t>
      </w:r>
    </w:p>
    <w:p w14:paraId="632C7448" w14:textId="77777777" w:rsidR="003B53A8" w:rsidRPr="003B53A8" w:rsidRDefault="003B53A8" w:rsidP="003B53A8">
      <w:pPr>
        <w:pStyle w:val="Akapitzlist"/>
        <w:numPr>
          <w:ilvl w:val="0"/>
          <w:numId w:val="65"/>
        </w:num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Kartę informacyjną planowanego przedsięwzięcia pn. „Zmiana użytku leśnego na użytek rolny na części działki o nr </w:t>
      </w:r>
      <w:proofErr w:type="spellStart"/>
      <w:r w:rsidRPr="003B53A8">
        <w:rPr>
          <w:sz w:val="24"/>
          <w:szCs w:val="24"/>
          <w:lang w:eastAsia="zh-CN"/>
        </w:rPr>
        <w:t>ewid</w:t>
      </w:r>
      <w:proofErr w:type="spellEnd"/>
      <w:r w:rsidRPr="003B53A8">
        <w:rPr>
          <w:sz w:val="24"/>
          <w:szCs w:val="24"/>
          <w:lang w:eastAsia="zh-CN"/>
        </w:rPr>
        <w:t>. 127/13 w miejscowości Karwik”, opracowaną przez mgr Annę Sumarę (opracowanie z sierpnia 2025 r.).</w:t>
      </w:r>
    </w:p>
    <w:p w14:paraId="3B75E0A6" w14:textId="77777777" w:rsidR="003B53A8" w:rsidRPr="003B53A8" w:rsidRDefault="003B53A8" w:rsidP="003B53A8">
      <w:pPr>
        <w:numPr>
          <w:ilvl w:val="0"/>
          <w:numId w:val="64"/>
        </w:num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Inwentaryzację przyrodniczą przeprowadzoną na terenie działki inwestycyjnej nr 127/13, obręb Karwik, gmina Pisz, powiat piski, województwo warmińsko-mazurskie, wykonaną przez zespół pod kierownictwem mgr inż. Elżbiety Mikuły-Kocikowskiej (opracowanie z sierpnia 2025 r.).</w:t>
      </w:r>
    </w:p>
    <w:p w14:paraId="343808C3" w14:textId="77777777" w:rsidR="003B53A8" w:rsidRPr="003B53A8" w:rsidRDefault="003B53A8" w:rsidP="003B53A8">
      <w:pPr>
        <w:numPr>
          <w:ilvl w:val="0"/>
          <w:numId w:val="64"/>
        </w:num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Informację o braku miejscowego planu zagospodarowania przestrzennego - zaświadczenie z dnia 21.07.2025 r., znak: ZPN.6727.464.2025.PC, wydane przez Burmistrza Pisza.</w:t>
      </w:r>
    </w:p>
    <w:p w14:paraId="64B4ED1D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W myśl art. 75 ust. 1 pkt 1 lit. d ustawy z dnia 3 października 2008 r. o udostępnianiu informacji o środowisku i jego ochronie, udziale społeczeństwa w ochronie środowiska oraz o ocenach oddziaływania na środowisko (Dz. U. z 2024 r. poz. 1112, z </w:t>
      </w:r>
      <w:proofErr w:type="spellStart"/>
      <w:r w:rsidRPr="003B53A8">
        <w:rPr>
          <w:sz w:val="24"/>
          <w:szCs w:val="24"/>
          <w:lang w:eastAsia="zh-CN"/>
        </w:rPr>
        <w:t>późn</w:t>
      </w:r>
      <w:proofErr w:type="spellEnd"/>
      <w:r w:rsidRPr="003B53A8">
        <w:rPr>
          <w:sz w:val="24"/>
          <w:szCs w:val="24"/>
          <w:lang w:eastAsia="zh-CN"/>
        </w:rPr>
        <w:t xml:space="preserve">. zm.) – dalej: ustawa </w:t>
      </w:r>
      <w:proofErr w:type="spellStart"/>
      <w:r w:rsidRPr="003B53A8">
        <w:rPr>
          <w:sz w:val="24"/>
          <w:szCs w:val="24"/>
          <w:lang w:eastAsia="zh-CN"/>
        </w:rPr>
        <w:t>ooś</w:t>
      </w:r>
      <w:proofErr w:type="spellEnd"/>
      <w:r w:rsidRPr="003B53A8">
        <w:rPr>
          <w:sz w:val="24"/>
          <w:szCs w:val="24"/>
          <w:lang w:eastAsia="zh-CN"/>
        </w:rPr>
        <w:t>, organem właściwym do wydania decyzji o środowiskowych uwarunkowaniach dla zmiany lasu, niestanowiącego własności Skarbu Państwa, na użytek rolny jest regionalny dyrektor ochrony środowiska.</w:t>
      </w:r>
    </w:p>
    <w:p w14:paraId="0BF96E4B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Zgodnie z § 3 ust. 1 pkt 88 lit. c rozporządzenia Rady Ministrów z dnia 10 września 2019 r. w sprawie przedsięwzięć mogących znacząco oddziaływać na środowisko (Dz. U. z 2019 r. poz. 1839, z </w:t>
      </w:r>
      <w:proofErr w:type="spellStart"/>
      <w:r w:rsidRPr="003B53A8">
        <w:rPr>
          <w:sz w:val="24"/>
          <w:szCs w:val="24"/>
          <w:lang w:eastAsia="zh-CN"/>
        </w:rPr>
        <w:t>późn</w:t>
      </w:r>
      <w:proofErr w:type="spellEnd"/>
      <w:r w:rsidRPr="003B53A8">
        <w:rPr>
          <w:sz w:val="24"/>
          <w:szCs w:val="24"/>
          <w:lang w:eastAsia="zh-CN"/>
        </w:rPr>
        <w:t xml:space="preserve"> zm.) do przedsięwzięć mogących potencjalnie znacząco oddziaływać na środowisko zalicza się zmianę lasu, innego gruntu o zwartej powierzchni co najmniej 0,10 ha pokrytego roślinnością leśną - drzewami i krzewami oraz runem leśnym - lub nieużytku na użytek rolny lub wylesienie mające na celu zmianę sposobu użytkowania terenu:</w:t>
      </w:r>
    </w:p>
    <w:p w14:paraId="7B08F747" w14:textId="77777777" w:rsidR="003B53A8" w:rsidRPr="003B53A8" w:rsidRDefault="003B53A8" w:rsidP="003B53A8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jeżeli dotyczy lasów łęgowych, olsów lub lasów na siedliskach bagiennych,</w:t>
      </w:r>
    </w:p>
    <w:p w14:paraId="22035C4D" w14:textId="77777777" w:rsidR="003B53A8" w:rsidRPr="003B53A8" w:rsidRDefault="003B53A8" w:rsidP="003B53A8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jeżeli dotyczy enklaw pośród użytków rolnych lub nieużytków,</w:t>
      </w:r>
    </w:p>
    <w:p w14:paraId="75F8B309" w14:textId="77777777" w:rsidR="003B53A8" w:rsidRPr="003B53A8" w:rsidRDefault="003B53A8" w:rsidP="003B53A8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lastRenderedPageBreak/>
        <w:t>na obszarach objętych formami ochrony przyrody, o których mowa w art. 6 ust. 1 pkt 1-5, 8 i 9 ustawy z dnia 16 kwietnia 2004 r. o ochronie przyrody, lub w otulinach form ochrony przyrody, o których mowa w art. 6 ust. 1 pkt 1-3 tej ustawy,</w:t>
      </w:r>
    </w:p>
    <w:p w14:paraId="60F961E5" w14:textId="77777777" w:rsidR="003B53A8" w:rsidRPr="003B53A8" w:rsidRDefault="003B53A8" w:rsidP="003B53A8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w granicach administracyjnych miast,</w:t>
      </w:r>
    </w:p>
    <w:p w14:paraId="5A2D7152" w14:textId="77777777" w:rsidR="003B53A8" w:rsidRPr="003B53A8" w:rsidRDefault="003B53A8" w:rsidP="003B53A8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o powierzchni nie mniejszej niż 1 ha, inne niż wymienione w lit. a-d.</w:t>
      </w:r>
    </w:p>
    <w:p w14:paraId="1C613C8B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Zgodnie z art. 71 ust. 2 pkt 2 ustawy z dnia 3 października 2008 r. ustawy </w:t>
      </w:r>
      <w:proofErr w:type="spellStart"/>
      <w:r w:rsidRPr="003B53A8">
        <w:rPr>
          <w:sz w:val="24"/>
          <w:szCs w:val="24"/>
          <w:lang w:eastAsia="zh-CN"/>
        </w:rPr>
        <w:t>ooś</w:t>
      </w:r>
      <w:proofErr w:type="spellEnd"/>
      <w:r w:rsidRPr="003B53A8">
        <w:rPr>
          <w:sz w:val="24"/>
          <w:szCs w:val="24"/>
          <w:lang w:eastAsia="zh-CN"/>
        </w:rPr>
        <w:t>, przedsięwzięcie mogące potencjalnie znacząco oddziaływać na środowisko wymaga uzyskania decyzji o środowiskowych uwarunkowaniach.</w:t>
      </w:r>
    </w:p>
    <w:p w14:paraId="595C6D99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Zgodnie z zapisem art. 2 pkt 5 ustawy z dnia 11 kwietnia 2003 r. o kształtowaniu ustroju rolnego (Dz. U. z 2025 r. poz. 1653), ilekroć w ustawie jest mowa o "użytkach rolnych" należy przez to rozumieć grunty orne, sady, łąki trwałe, pastwiska trwałe, grunty rolne zabudowane, grunty pod stawami i grunty pod rowami. Również zgodnie z § 9 ust. 1 pkt 1 rozporządzenia Ministra Rozwoju, Pracy i Technologii z dnia 27 lipca 2021 r. w sprawie ewidencji gruntów i budynków (Dz. U. z 2024 r. poz. 219, z </w:t>
      </w:r>
      <w:proofErr w:type="spellStart"/>
      <w:r w:rsidRPr="003B53A8">
        <w:rPr>
          <w:sz w:val="24"/>
          <w:szCs w:val="24"/>
          <w:lang w:eastAsia="zh-CN"/>
        </w:rPr>
        <w:t>późn</w:t>
      </w:r>
      <w:proofErr w:type="spellEnd"/>
      <w:r w:rsidRPr="003B53A8">
        <w:rPr>
          <w:sz w:val="24"/>
          <w:szCs w:val="24"/>
          <w:lang w:eastAsia="zh-CN"/>
        </w:rPr>
        <w:t>. zm.), do użytków rolnych zalicza się: grunty orne (R), sady (S), łąki trwałe (Ł), pastwiska trwałe (</w:t>
      </w:r>
      <w:proofErr w:type="spellStart"/>
      <w:r w:rsidRPr="003B53A8">
        <w:rPr>
          <w:sz w:val="24"/>
          <w:szCs w:val="24"/>
          <w:lang w:eastAsia="zh-CN"/>
        </w:rPr>
        <w:t>Ps</w:t>
      </w:r>
      <w:proofErr w:type="spellEnd"/>
      <w:r w:rsidRPr="003B53A8">
        <w:rPr>
          <w:sz w:val="24"/>
          <w:szCs w:val="24"/>
          <w:lang w:eastAsia="zh-CN"/>
        </w:rPr>
        <w:t>), grunty rolne zabudowane (Br), grunty pod stawami (</w:t>
      </w:r>
      <w:proofErr w:type="spellStart"/>
      <w:r w:rsidRPr="003B53A8">
        <w:rPr>
          <w:sz w:val="24"/>
          <w:szCs w:val="24"/>
          <w:lang w:eastAsia="zh-CN"/>
        </w:rPr>
        <w:t>Wsr</w:t>
      </w:r>
      <w:proofErr w:type="spellEnd"/>
      <w:r w:rsidRPr="003B53A8">
        <w:rPr>
          <w:sz w:val="24"/>
          <w:szCs w:val="24"/>
          <w:lang w:eastAsia="zh-CN"/>
        </w:rPr>
        <w:t>), grunty pod rowami (W), grunty zadrzewione i zakrzewione na użytkach rolnych (</w:t>
      </w:r>
      <w:proofErr w:type="spellStart"/>
      <w:r w:rsidRPr="003B53A8">
        <w:rPr>
          <w:sz w:val="24"/>
          <w:szCs w:val="24"/>
          <w:lang w:eastAsia="zh-CN"/>
        </w:rPr>
        <w:t>Lzr</w:t>
      </w:r>
      <w:proofErr w:type="spellEnd"/>
      <w:r w:rsidRPr="003B53A8">
        <w:rPr>
          <w:sz w:val="24"/>
          <w:szCs w:val="24"/>
          <w:lang w:eastAsia="zh-CN"/>
        </w:rPr>
        <w:t>).</w:t>
      </w:r>
    </w:p>
    <w:p w14:paraId="49E55CE6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Działając zgodnie z art. 61 § 4 ustawy z dnia 14 czerwca 1960 r. Kodeks postępowania administracyjnego, Regionalny Dyrektor Ochrony Środowiska w Olsztynie, pismem z dnia 10.10.2025 r., znak: WOOŚ.420.16.2025.KT.2 oraz obwieszczeniem z dnia 10.10.2025 r., znak: WOOŚ.420.16.2025.KT.4, zawiadomił strony postępowania o wszczęciu postępowania administracyjnego w sprawie wydania decyzji o środowiskowych uwarunkowaniach. Wymienione obwieszczenie udostępnione zostało w Biuletynie Informacji Publicznej tutejszego organu oraz na tablicy ogłoszeń w siedzibie tutejszego organu w terminie od 10.10.2025 r. do 24.10.2025 r. Jednocześnie, Regionalny Dyrektor Ochrony Środowiska w Olsztynie, pismem z dnia 10.10.2025 r., znak: WOOŚ.420.16.2025.KT.3, na podstawie art. 64 ust. 1 pkt 4 ustawy </w:t>
      </w:r>
      <w:proofErr w:type="spellStart"/>
      <w:r w:rsidRPr="003B53A8">
        <w:rPr>
          <w:sz w:val="24"/>
          <w:szCs w:val="24"/>
          <w:lang w:eastAsia="zh-CN"/>
        </w:rPr>
        <w:t>ooś</w:t>
      </w:r>
      <w:proofErr w:type="spellEnd"/>
      <w:r w:rsidRPr="003B53A8">
        <w:rPr>
          <w:sz w:val="24"/>
          <w:szCs w:val="24"/>
          <w:lang w:eastAsia="zh-CN"/>
        </w:rPr>
        <w:t xml:space="preserve">, wystąpił do Państwowego Gospodarstwa Wodnego (PGW) Wody Polskie Zarządu Zlewni w Giżycku o opinię w sprawie potrzeby przeprowadzenia oceny oddziaływania na środowisko dla przedmiotowego przedsięwzięcia. O powyższym wystąpieniu poinformowano strony postępowania również w ww. obwieszczeniu. Równocześnie, działając na podstawie art. 74 ust. 3aa ustawy </w:t>
      </w:r>
      <w:proofErr w:type="spellStart"/>
      <w:r w:rsidRPr="003B53A8">
        <w:rPr>
          <w:sz w:val="24"/>
          <w:szCs w:val="24"/>
          <w:lang w:eastAsia="zh-CN"/>
        </w:rPr>
        <w:t>ooś</w:t>
      </w:r>
      <w:proofErr w:type="spellEnd"/>
      <w:r w:rsidRPr="003B53A8">
        <w:rPr>
          <w:sz w:val="24"/>
          <w:szCs w:val="24"/>
          <w:lang w:eastAsia="zh-CN"/>
        </w:rPr>
        <w:t>, o powyższych czynnościach powiadomiono Burmistrza Pisza - powiadomienie Regionalnego Dyrektora Ochrony Środowiska w Olsztynie z dnia 10.10.2025 r., znak: WOOŚ.420.16.2025.KT.5.</w:t>
      </w:r>
    </w:p>
    <w:p w14:paraId="7F29C6FB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lastRenderedPageBreak/>
        <w:t xml:space="preserve">PGW Wody Polskie Zarząd Zlewni w Giżycku w opinii z dnia 27.10.2025 r., znak: BG.ZZŚ.4901.269.2025.MK (data wpływu do RDOŚ w Olsztynie: 30.10.2025 r.), nie stwierdził potrzeby przeprowadzenia oceny oddziaływania przedsięwzięcia na środowisko. </w:t>
      </w:r>
    </w:p>
    <w:p w14:paraId="00C38CD0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Przed wydaniem decyzji o środowiskowych uwarunkowaniach, zgodnie z art. 10 § 1 ustawy z dnia 14 czerwca 1960 r. Kodeks postępowania administracyjnego, Regionalny Dyrektor Ochrony Środowiska w Olsztynie, pismem z dnia 6.11.2025 r., znak: WOOŚ.420.16.2025.KT.6 oraz obwieszczeniem z dnia 6.11.2025 r., znak: WOOŚ.420.16.2025.KT.7, zawiadomił strony o zebraniu materiału dowodowego, a także o możliwości zapoznania się z aktami sprawy oraz wypowiedzenia się co do zebranych dowodów i materiałów oraz zgłoszonych żądań w terminie 7 dni od dnia doręczenia zawiadomienia. Równocześnie, działając na podstawie art. 74 ust. 3aa ustawy </w:t>
      </w:r>
      <w:proofErr w:type="spellStart"/>
      <w:r w:rsidRPr="003B53A8">
        <w:rPr>
          <w:sz w:val="24"/>
          <w:szCs w:val="24"/>
          <w:lang w:eastAsia="zh-CN"/>
        </w:rPr>
        <w:t>ooś</w:t>
      </w:r>
      <w:proofErr w:type="spellEnd"/>
      <w:r w:rsidRPr="003B53A8">
        <w:rPr>
          <w:sz w:val="24"/>
          <w:szCs w:val="24"/>
          <w:lang w:eastAsia="zh-CN"/>
        </w:rPr>
        <w:t>, o powyższym powiadomiono Burmistrza Pisza - powiadomienie Regionalnego Dyrektora Ochrony Środowiska w Olsztynie z dnia 6.11.2025 r., znak: WOOŚ.420.16.2025.KT.8. W wyznaczonym terminie strony nie wniosły uwag i wniosków do planowanego przedsięwzięcia.</w:t>
      </w:r>
    </w:p>
    <w:p w14:paraId="68FDC454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Regionalny Dyrektor Ochrony Środowiska w Olsztynie, po przeanalizowaniu KIP oraz uwzględnieniu łącznych uwarunkowań określonych w art. 63 ust. 1 ww. ustawy </w:t>
      </w:r>
      <w:proofErr w:type="spellStart"/>
      <w:r w:rsidRPr="003B53A8">
        <w:rPr>
          <w:sz w:val="24"/>
          <w:szCs w:val="24"/>
          <w:lang w:eastAsia="zh-CN"/>
        </w:rPr>
        <w:t>ooś</w:t>
      </w:r>
      <w:proofErr w:type="spellEnd"/>
      <w:r w:rsidRPr="003B53A8">
        <w:rPr>
          <w:sz w:val="24"/>
          <w:szCs w:val="24"/>
          <w:lang w:eastAsia="zh-CN"/>
        </w:rPr>
        <w:t>, a w szczególności rodzaju, charakteru, usytuowania oraz skali możliwego oddziaływania przedsięwzięcia stwierdził, że dla planowanego przedsięwzięcia nie istnieje konieczność przeprowadzenia oceny oddziaływania na środowisko.</w:t>
      </w:r>
    </w:p>
    <w:p w14:paraId="6A61B044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Planowane przedsięwzięcie polega na zmianie lasu o pow. 0,1430 ha na użytek rolny (trwałe użytki zielone), na terenie działki nr 127/13, obręb 0012 Karwik, gm. Pisz, pow. piski, woj. warmińsko-mazurskie. Teren, na którym planuje się realizację przedsięwzięcia, nie jest objęty miejscowym planem zagospodarowania przestrzennego. Wymieniona działka położona jest na obszarach objętych formami ochrony przyrody: Obszar Chronionego Krajobrazu Otuliny Mazurskiego Parku Krajobrazowego – Wschód oraz obszar Natura 2000 Puszcza Piska PLB280008, a także w otulinie formy ochrony przyrody, tj. w otulinie Mazurskiego Parku Krajobrazowego.</w:t>
      </w:r>
    </w:p>
    <w:p w14:paraId="40B41FA2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Zgodnie z uproszczonym wypisem z rejestru gruntów na wyżej wymienionej działce nr 127/13 o powierzchni 1,44 ha znajdują się: lasy (</w:t>
      </w:r>
      <w:proofErr w:type="spellStart"/>
      <w:r w:rsidRPr="003B53A8">
        <w:rPr>
          <w:sz w:val="24"/>
          <w:szCs w:val="24"/>
          <w:lang w:eastAsia="zh-CN"/>
        </w:rPr>
        <w:t>LsV</w:t>
      </w:r>
      <w:proofErr w:type="spellEnd"/>
      <w:r w:rsidRPr="003B53A8">
        <w:rPr>
          <w:sz w:val="24"/>
          <w:szCs w:val="24"/>
          <w:lang w:eastAsia="zh-CN"/>
        </w:rPr>
        <w:t>) – 0,39 ha, grunty orne (RVI) – 0,48 ha, pastwiska trwałe (</w:t>
      </w:r>
      <w:proofErr w:type="spellStart"/>
      <w:r w:rsidRPr="003B53A8">
        <w:rPr>
          <w:sz w:val="24"/>
          <w:szCs w:val="24"/>
          <w:lang w:eastAsia="zh-CN"/>
        </w:rPr>
        <w:t>PsV</w:t>
      </w:r>
      <w:proofErr w:type="spellEnd"/>
      <w:r w:rsidRPr="003B53A8">
        <w:rPr>
          <w:sz w:val="24"/>
          <w:szCs w:val="24"/>
          <w:lang w:eastAsia="zh-CN"/>
        </w:rPr>
        <w:t>) – 0,37 ha, grunty rolne zabudowane (Br-RVI) – 0,16 ha, tereny mieszkaniowe (B) – 0,04 ha.</w:t>
      </w:r>
    </w:p>
    <w:p w14:paraId="592E5827" w14:textId="741CF11D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Do zmiany na użytek rolny zaplanowano 0,1430 ha lasu, który graniczy bezpośrednio z istniejącą zabudową, zlokalizowaną w południowo-wschodniej części działki. Przekształcenie ma na celu uporządkowanie funkcji przestrzennej działki, która w obecnym stanie łączy elementy zabudowy </w:t>
      </w:r>
      <w:r w:rsidRPr="003B53A8">
        <w:rPr>
          <w:sz w:val="24"/>
          <w:szCs w:val="24"/>
          <w:lang w:eastAsia="zh-CN"/>
        </w:rPr>
        <w:lastRenderedPageBreak/>
        <w:t>gospodarczej z gruntami leśnymi niepełniącymi już funkcji produkcyjnych. Teren lasu planowany do zmiany na użytek rolny faktycznie stanowi użytek zielony w typie łąki, który</w:t>
      </w:r>
      <w:r>
        <w:rPr>
          <w:sz w:val="24"/>
          <w:szCs w:val="24"/>
          <w:lang w:eastAsia="zh-CN"/>
        </w:rPr>
        <w:t xml:space="preserve"> </w:t>
      </w:r>
      <w:r w:rsidRPr="003B53A8">
        <w:rPr>
          <w:sz w:val="24"/>
          <w:szCs w:val="24"/>
          <w:lang w:eastAsia="zh-CN"/>
        </w:rPr>
        <w:t>od kilkudziesięciu lat pozostaje w tej kulturze (grunt jest użytkowany i utrzymywany jako łąka). Brak jest na nim zwartej roślinności drzewiastej, krzewiastej oraz runa leśnego. Teren będzie wykorzystywany zgodnie z dotychczasowym sposobem zagospodarowania.</w:t>
      </w:r>
    </w:p>
    <w:p w14:paraId="61F8A2E3" w14:textId="7D847375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Skala inwestycji jest niewielka – zmiana dotyczy wyłącznie ograniczonego obszaru</w:t>
      </w:r>
      <w:r w:rsidR="009F39F1">
        <w:rPr>
          <w:sz w:val="24"/>
          <w:szCs w:val="24"/>
          <w:lang w:eastAsia="zh-CN"/>
        </w:rPr>
        <w:t xml:space="preserve"> </w:t>
      </w:r>
      <w:r w:rsidRPr="003B53A8">
        <w:rPr>
          <w:sz w:val="24"/>
          <w:szCs w:val="24"/>
          <w:lang w:eastAsia="zh-CN"/>
        </w:rPr>
        <w:t xml:space="preserve">przylegającego do istniejącej zabudowy i faktycznie ma wyłącznie charakter formalno-administracyjny, wynikający z konieczności dostosowania zapisów ewidencyjnych do aktualnego oraz planowanego sposobu użytkowania terenu. W związku z tym realizacja przedsięwzięcia nie wymaga ingerencji w środowisko przyrodnicze – brak wycinki drzew, krzewów, przekształceń terenu, prac ziemnych lub budowalnych. </w:t>
      </w:r>
    </w:p>
    <w:p w14:paraId="1A8DCCB0" w14:textId="1FCD8A82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Planowana zmiana lasu na użytek rolny nie będzie wiązała się z wykonywaniem żadnych prac w terenie, w tym z wykonywaniem wycinki drzew i krzewów (stan obecny na wnioskowanej powierzchni pozostanie bez zmian). Etap realizacji planowanego przedsięwzięcia nie będzie więc wiązał się z emisją hałasu i zanieczyszczeń do środowiska, powstawaniem ścieków oraz</w:t>
      </w:r>
      <w:r w:rsidR="009F39F1">
        <w:rPr>
          <w:sz w:val="24"/>
          <w:szCs w:val="24"/>
          <w:lang w:eastAsia="zh-CN"/>
        </w:rPr>
        <w:t xml:space="preserve"> </w:t>
      </w:r>
      <w:r w:rsidRPr="003B53A8">
        <w:rPr>
          <w:sz w:val="24"/>
          <w:szCs w:val="24"/>
          <w:lang w:eastAsia="zh-CN"/>
        </w:rPr>
        <w:t>odpadów. Etap eksploatacji przedsięwzięcia, czyli rolniczego użytkowania gruntu (np. koszenia lub utrzymania łąk), będzie ograniczać się do okazjonalnego wykorzystania sprzętu rolniczego – np. ciągnika lub kosiarki.</w:t>
      </w:r>
    </w:p>
    <w:p w14:paraId="4CF236D5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bookmarkStart w:id="4" w:name="_Hlk131513490"/>
      <w:r w:rsidRPr="003B53A8">
        <w:rPr>
          <w:sz w:val="24"/>
          <w:szCs w:val="24"/>
          <w:lang w:eastAsia="zh-CN"/>
        </w:rPr>
        <w:t>Przedmiotowe przedsięwzięcie nie jest zlokalizowane na: obszarach wybrzeży i środowiska morskiego, obszarach górskich, obszarach wodno-błotnych, innych obszarach o płytkim zaleganiu wód podziemnych, w tym siedliskach łęgowych oraz ujściach rzek, obszarach przylegających do jezior, w strefach ochronnych ujęć wód i obszarach ochronnych zbiorników wód śródlądowych, obszarach o krajobrazie mającym znaczenie historyczne, kulturowe lub archeologiczne, uzdrowiskach i obszarach ochrony uzdrowiskowej.</w:t>
      </w:r>
    </w:p>
    <w:p w14:paraId="032E5A61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Planowane przedsięwzięcie zlokalizowane jest na obszarze specjalnej ochrony ptaków Puszcza Piska PLB280008. Dla specjalnego obszaru ochrony ptaków Puszcza Piska PLB280008 nie ustanowiono zarządzenia regionalnego dyrektora ochrony środowiska w sprawie planu zadań ochronnych (PZO). </w:t>
      </w:r>
      <w:r w:rsidRPr="003B53A8">
        <w:rPr>
          <w:sz w:val="24"/>
          <w:szCs w:val="24"/>
          <w:lang w:eastAsia="zh-CN" w:bidi="pl-PL"/>
        </w:rPr>
        <w:t>Przedsięwzięcie nie jest bezpośrednio związane z ochroną tego obszaru, ani nie wynika z tej ochrony.</w:t>
      </w:r>
    </w:p>
    <w:p w14:paraId="244DFC47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Zgodnie ze Standardowym Formularzem Danych sporządzonym dla obszaru Natura 2000 Puszcza Piska (aktualizacja marzec 2024 r.), na terenie tego obszaru występują 52 gatunki ptaków z Załącznika I Dyrektywy Ptasiej, w tym 12 gatunków z Polskiej Czerwonej Księgi Zwierząt (PCKZ). W okresie lęgowym obszar zasiedla ok. 13%-22% populacji krajowej rybołowa </w:t>
      </w:r>
      <w:proofErr w:type="spellStart"/>
      <w:r w:rsidRPr="003B53A8">
        <w:rPr>
          <w:sz w:val="24"/>
          <w:szCs w:val="24"/>
          <w:lang w:eastAsia="zh-CN"/>
        </w:rPr>
        <w:t>Pandion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lastRenderedPageBreak/>
        <w:t>haliaetus</w:t>
      </w:r>
      <w:proofErr w:type="spellEnd"/>
      <w:r w:rsidRPr="003B53A8">
        <w:rPr>
          <w:sz w:val="24"/>
          <w:szCs w:val="24"/>
          <w:lang w:eastAsia="zh-CN"/>
        </w:rPr>
        <w:t xml:space="preserve"> (PCKZ), 2,4% - 4,9% orlika krzykliwego </w:t>
      </w:r>
      <w:proofErr w:type="spellStart"/>
      <w:r w:rsidRPr="003B53A8">
        <w:rPr>
          <w:sz w:val="24"/>
          <w:szCs w:val="24"/>
          <w:lang w:eastAsia="zh-CN"/>
        </w:rPr>
        <w:t>Aquila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pomarina</w:t>
      </w:r>
      <w:proofErr w:type="spellEnd"/>
      <w:r w:rsidRPr="003B53A8">
        <w:rPr>
          <w:sz w:val="24"/>
          <w:szCs w:val="24"/>
          <w:lang w:eastAsia="zh-CN"/>
        </w:rPr>
        <w:t xml:space="preserve"> (PCKZ), 1,9-2,8% bielika </w:t>
      </w:r>
      <w:proofErr w:type="spellStart"/>
      <w:r w:rsidRPr="003B53A8">
        <w:rPr>
          <w:sz w:val="24"/>
          <w:szCs w:val="24"/>
          <w:lang w:eastAsia="zh-CN"/>
        </w:rPr>
        <w:t>Haliaetus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albicilla</w:t>
      </w:r>
      <w:proofErr w:type="spellEnd"/>
      <w:r w:rsidRPr="003B53A8">
        <w:rPr>
          <w:sz w:val="24"/>
          <w:szCs w:val="24"/>
          <w:lang w:eastAsia="zh-CN"/>
        </w:rPr>
        <w:t xml:space="preserve"> (PCKZ) i 1,2-4,4% kani czarnej </w:t>
      </w:r>
      <w:proofErr w:type="spellStart"/>
      <w:r w:rsidRPr="003B53A8">
        <w:rPr>
          <w:sz w:val="24"/>
          <w:szCs w:val="24"/>
          <w:lang w:eastAsia="zh-CN"/>
        </w:rPr>
        <w:t>Milvus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migrans</w:t>
      </w:r>
      <w:proofErr w:type="spellEnd"/>
      <w:r w:rsidRPr="003B53A8">
        <w:rPr>
          <w:sz w:val="24"/>
          <w:szCs w:val="24"/>
          <w:lang w:eastAsia="zh-CN"/>
        </w:rPr>
        <w:t xml:space="preserve"> (PCKZ), 1,4-2,3% populacji krajowej trzmielojada </w:t>
      </w:r>
      <w:proofErr w:type="spellStart"/>
      <w:r w:rsidRPr="003B53A8">
        <w:rPr>
          <w:sz w:val="24"/>
          <w:szCs w:val="24"/>
          <w:lang w:eastAsia="zh-CN"/>
        </w:rPr>
        <w:t>Pernis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apivorus</w:t>
      </w:r>
      <w:proofErr w:type="spellEnd"/>
      <w:r w:rsidRPr="003B53A8">
        <w:rPr>
          <w:sz w:val="24"/>
          <w:szCs w:val="24"/>
          <w:lang w:eastAsia="zh-CN"/>
        </w:rPr>
        <w:t xml:space="preserve">. Ponadto, obszar zasiedla powyżej 1% populacji krajowej takich gatunków, jak: żuraw </w:t>
      </w:r>
      <w:proofErr w:type="spellStart"/>
      <w:r w:rsidRPr="003B53A8">
        <w:rPr>
          <w:sz w:val="24"/>
          <w:szCs w:val="24"/>
          <w:lang w:eastAsia="zh-CN"/>
        </w:rPr>
        <w:t>Grus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grus</w:t>
      </w:r>
      <w:proofErr w:type="spellEnd"/>
      <w:r w:rsidRPr="003B53A8">
        <w:rPr>
          <w:sz w:val="24"/>
          <w:szCs w:val="24"/>
          <w:lang w:eastAsia="zh-CN"/>
        </w:rPr>
        <w:t xml:space="preserve">, bocian czarny </w:t>
      </w:r>
      <w:proofErr w:type="spellStart"/>
      <w:r w:rsidRPr="003B53A8">
        <w:rPr>
          <w:sz w:val="24"/>
          <w:szCs w:val="24"/>
          <w:lang w:eastAsia="zh-CN"/>
        </w:rPr>
        <w:t>Ciconia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nigra</w:t>
      </w:r>
      <w:proofErr w:type="spellEnd"/>
      <w:r w:rsidRPr="003B53A8">
        <w:rPr>
          <w:sz w:val="24"/>
          <w:szCs w:val="24"/>
          <w:lang w:eastAsia="zh-CN"/>
        </w:rPr>
        <w:t xml:space="preserve">, bąk </w:t>
      </w:r>
      <w:proofErr w:type="spellStart"/>
      <w:r w:rsidRPr="003B53A8">
        <w:rPr>
          <w:sz w:val="24"/>
          <w:szCs w:val="24"/>
          <w:lang w:eastAsia="zh-CN"/>
        </w:rPr>
        <w:t>Botaurus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stellaris</w:t>
      </w:r>
      <w:proofErr w:type="spellEnd"/>
      <w:r w:rsidRPr="003B53A8">
        <w:rPr>
          <w:sz w:val="24"/>
          <w:szCs w:val="24"/>
          <w:lang w:eastAsia="zh-CN"/>
        </w:rPr>
        <w:t xml:space="preserve">, bączek </w:t>
      </w:r>
      <w:proofErr w:type="spellStart"/>
      <w:r w:rsidRPr="003B53A8">
        <w:rPr>
          <w:sz w:val="24"/>
          <w:szCs w:val="24"/>
          <w:lang w:eastAsia="zh-CN"/>
        </w:rPr>
        <w:t>Ixobrychus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minutus</w:t>
      </w:r>
      <w:proofErr w:type="spellEnd"/>
      <w:r w:rsidRPr="003B53A8">
        <w:rPr>
          <w:sz w:val="24"/>
          <w:szCs w:val="24"/>
          <w:lang w:eastAsia="zh-CN"/>
        </w:rPr>
        <w:t xml:space="preserve">, puchacz Bubo </w:t>
      </w:r>
      <w:proofErr w:type="spellStart"/>
      <w:r w:rsidRPr="003B53A8">
        <w:rPr>
          <w:sz w:val="24"/>
          <w:szCs w:val="24"/>
          <w:lang w:eastAsia="zh-CN"/>
        </w:rPr>
        <w:t>bubo</w:t>
      </w:r>
      <w:proofErr w:type="spellEnd"/>
      <w:r w:rsidRPr="003B53A8">
        <w:rPr>
          <w:sz w:val="24"/>
          <w:szCs w:val="24"/>
          <w:lang w:eastAsia="zh-CN"/>
        </w:rPr>
        <w:t xml:space="preserve"> (PCKZ), włochatka </w:t>
      </w:r>
      <w:proofErr w:type="spellStart"/>
      <w:r w:rsidRPr="003B53A8">
        <w:rPr>
          <w:sz w:val="24"/>
          <w:szCs w:val="24"/>
          <w:lang w:eastAsia="zh-CN"/>
        </w:rPr>
        <w:t>Aegolius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funereus</w:t>
      </w:r>
      <w:proofErr w:type="spellEnd"/>
      <w:r w:rsidRPr="003B53A8">
        <w:rPr>
          <w:sz w:val="24"/>
          <w:szCs w:val="24"/>
          <w:lang w:eastAsia="zh-CN"/>
        </w:rPr>
        <w:t xml:space="preserve"> (PCKZ), kropiatka </w:t>
      </w:r>
      <w:proofErr w:type="spellStart"/>
      <w:r w:rsidRPr="003B53A8">
        <w:rPr>
          <w:sz w:val="24"/>
          <w:szCs w:val="24"/>
          <w:lang w:eastAsia="zh-CN"/>
        </w:rPr>
        <w:t>Porzana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porzana</w:t>
      </w:r>
      <w:proofErr w:type="spellEnd"/>
      <w:r w:rsidRPr="003B53A8">
        <w:rPr>
          <w:sz w:val="24"/>
          <w:szCs w:val="24"/>
          <w:lang w:eastAsia="zh-CN"/>
        </w:rPr>
        <w:t xml:space="preserve">, zielonka </w:t>
      </w:r>
      <w:proofErr w:type="spellStart"/>
      <w:r w:rsidRPr="003B53A8">
        <w:rPr>
          <w:sz w:val="24"/>
          <w:szCs w:val="24"/>
          <w:lang w:eastAsia="zh-CN"/>
        </w:rPr>
        <w:t>Porzana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parva</w:t>
      </w:r>
      <w:proofErr w:type="spellEnd"/>
      <w:r w:rsidRPr="003B53A8">
        <w:rPr>
          <w:sz w:val="24"/>
          <w:szCs w:val="24"/>
          <w:lang w:eastAsia="zh-CN"/>
        </w:rPr>
        <w:t xml:space="preserve">, lelek </w:t>
      </w:r>
      <w:proofErr w:type="spellStart"/>
      <w:r w:rsidRPr="003B53A8">
        <w:rPr>
          <w:sz w:val="24"/>
          <w:szCs w:val="24"/>
          <w:lang w:eastAsia="zh-CN"/>
        </w:rPr>
        <w:t>Caprimulgus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europaeus</w:t>
      </w:r>
      <w:proofErr w:type="spellEnd"/>
      <w:r w:rsidRPr="003B53A8">
        <w:rPr>
          <w:sz w:val="24"/>
          <w:szCs w:val="24"/>
          <w:lang w:eastAsia="zh-CN"/>
        </w:rPr>
        <w:t xml:space="preserve">, dzięcioł średni </w:t>
      </w:r>
      <w:proofErr w:type="spellStart"/>
      <w:r w:rsidRPr="003B53A8">
        <w:rPr>
          <w:sz w:val="24"/>
          <w:szCs w:val="24"/>
          <w:lang w:eastAsia="zh-CN"/>
        </w:rPr>
        <w:t>Dendrocopos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medius</w:t>
      </w:r>
      <w:proofErr w:type="spellEnd"/>
      <w:r w:rsidRPr="003B53A8">
        <w:rPr>
          <w:sz w:val="24"/>
          <w:szCs w:val="24"/>
          <w:lang w:eastAsia="zh-CN"/>
        </w:rPr>
        <w:t xml:space="preserve">, dzięcioł czarny </w:t>
      </w:r>
      <w:proofErr w:type="spellStart"/>
      <w:r w:rsidRPr="003B53A8">
        <w:rPr>
          <w:sz w:val="24"/>
          <w:szCs w:val="24"/>
          <w:lang w:eastAsia="zh-CN"/>
        </w:rPr>
        <w:t>Dryocopus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martius</w:t>
      </w:r>
      <w:proofErr w:type="spellEnd"/>
      <w:r w:rsidRPr="003B53A8">
        <w:rPr>
          <w:sz w:val="24"/>
          <w:szCs w:val="24"/>
          <w:lang w:eastAsia="zh-CN"/>
        </w:rPr>
        <w:t xml:space="preserve">, lerka </w:t>
      </w:r>
      <w:proofErr w:type="spellStart"/>
      <w:r w:rsidRPr="003B53A8">
        <w:rPr>
          <w:sz w:val="24"/>
          <w:szCs w:val="24"/>
          <w:lang w:eastAsia="zh-CN"/>
        </w:rPr>
        <w:t>Lullula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arborea</w:t>
      </w:r>
      <w:proofErr w:type="spellEnd"/>
      <w:r w:rsidRPr="003B53A8">
        <w:rPr>
          <w:sz w:val="24"/>
          <w:szCs w:val="24"/>
          <w:lang w:eastAsia="zh-CN"/>
        </w:rPr>
        <w:t xml:space="preserve">, gąsiorek </w:t>
      </w:r>
      <w:proofErr w:type="spellStart"/>
      <w:r w:rsidRPr="003B53A8">
        <w:rPr>
          <w:sz w:val="24"/>
          <w:szCs w:val="24"/>
          <w:lang w:eastAsia="zh-CN"/>
        </w:rPr>
        <w:t>Lanius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collurio</w:t>
      </w:r>
      <w:proofErr w:type="spellEnd"/>
      <w:r w:rsidRPr="003B53A8">
        <w:rPr>
          <w:sz w:val="24"/>
          <w:szCs w:val="24"/>
          <w:lang w:eastAsia="zh-CN"/>
        </w:rPr>
        <w:t xml:space="preserve">, rybitwa rzeczna Sterna </w:t>
      </w:r>
      <w:proofErr w:type="spellStart"/>
      <w:r w:rsidRPr="003B53A8">
        <w:rPr>
          <w:sz w:val="24"/>
          <w:szCs w:val="24"/>
          <w:lang w:eastAsia="zh-CN"/>
        </w:rPr>
        <w:t>hirundo</w:t>
      </w:r>
      <w:proofErr w:type="spellEnd"/>
      <w:r w:rsidRPr="003B53A8">
        <w:rPr>
          <w:sz w:val="24"/>
          <w:szCs w:val="24"/>
          <w:lang w:eastAsia="zh-CN"/>
        </w:rPr>
        <w:t xml:space="preserve">. W stosunkowo wysokiej liczebności występuje derkacz </w:t>
      </w:r>
      <w:proofErr w:type="spellStart"/>
      <w:r w:rsidRPr="003B53A8">
        <w:rPr>
          <w:sz w:val="24"/>
          <w:szCs w:val="24"/>
          <w:lang w:eastAsia="zh-CN"/>
        </w:rPr>
        <w:t>Crex</w:t>
      </w:r>
      <w:proofErr w:type="spellEnd"/>
      <w:r w:rsidRPr="003B53A8">
        <w:rPr>
          <w:sz w:val="24"/>
          <w:szCs w:val="24"/>
          <w:lang w:eastAsia="zh-CN"/>
        </w:rPr>
        <w:t xml:space="preserve"> </w:t>
      </w:r>
      <w:proofErr w:type="spellStart"/>
      <w:r w:rsidRPr="003B53A8">
        <w:rPr>
          <w:sz w:val="24"/>
          <w:szCs w:val="24"/>
          <w:lang w:eastAsia="zh-CN"/>
        </w:rPr>
        <w:t>crex</w:t>
      </w:r>
      <w:proofErr w:type="spellEnd"/>
      <w:r w:rsidRPr="003B53A8">
        <w:rPr>
          <w:sz w:val="24"/>
          <w:szCs w:val="24"/>
          <w:lang w:eastAsia="zh-CN"/>
        </w:rPr>
        <w:t>. Wszystkie gatunki ptaków, które stanowią przedmioty ochrony obszaru Natura 2000 Puszcza Piska PLB280008, także ich szacowana liczebność i oceny ochrony wymienione są w pkt 3 i 4.2 Standardowego Formularza Danych.</w:t>
      </w:r>
    </w:p>
    <w:p w14:paraId="5ED3FCBF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Planowana zmiana lasu na użytek rolny dotyczy niewielkiego obszaru (0,1430 ha), który faktycznie pozbawiony jest roślinności leśnej i użytkowany jest jako łąka. Planowana inwestycja nie przewiduje żadnej ingerencji w środowisko przyrodnicze na wnioskowanej powierzchni przeznaczonej do zmiany lasu na użytek rolny, w tym wycinki drzew, krzewów (grunt jest użytkowany i utrzymywany jako łąka i będzie wykorzystywany zgodnie z dotychczasowym sposobem zagospodarowania). Nie przewiduje się negatywnego wpływu na cele i przedmioty ochrony ww. obszaru Natura 2000 oraz jego integralność.</w:t>
      </w:r>
    </w:p>
    <w:p w14:paraId="05940AC6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Planowane przedsięwzięcie położone jest również na Obszarze Chronionego Krajobrazu Otuliny Mazurskiego Parku Krajobrazowego – Wschód, na terenie którego obowiązują zapisy Uchwały Nr XLIV/637/22 Sejmiku Województwa Warmińsko-Mazurskiego z dnia 29 listopada 2022 r. w sprawie Obszaru Chronionego Krajobrazu Otuliny Mazurskiego Parku Krajobrazowego – Wschód (Dz. Urz. Woj. </w:t>
      </w:r>
      <w:proofErr w:type="spellStart"/>
      <w:r w:rsidRPr="003B53A8">
        <w:rPr>
          <w:sz w:val="24"/>
          <w:szCs w:val="24"/>
          <w:lang w:eastAsia="zh-CN"/>
        </w:rPr>
        <w:t>Warm</w:t>
      </w:r>
      <w:proofErr w:type="spellEnd"/>
      <w:r w:rsidRPr="003B53A8">
        <w:rPr>
          <w:sz w:val="24"/>
          <w:szCs w:val="24"/>
          <w:lang w:eastAsia="zh-CN"/>
        </w:rPr>
        <w:t>.-</w:t>
      </w:r>
      <w:proofErr w:type="spellStart"/>
      <w:r w:rsidRPr="003B53A8">
        <w:rPr>
          <w:sz w:val="24"/>
          <w:szCs w:val="24"/>
          <w:lang w:eastAsia="zh-CN"/>
        </w:rPr>
        <w:t>Maz</w:t>
      </w:r>
      <w:proofErr w:type="spellEnd"/>
      <w:r w:rsidRPr="003B53A8">
        <w:rPr>
          <w:sz w:val="24"/>
          <w:szCs w:val="24"/>
          <w:lang w:eastAsia="zh-CN"/>
        </w:rPr>
        <w:t>. z 2022 r. poz. 5617), w tym m.in. zakaz realizacji przedsięwzięć mogących znacząco oddziaływać na środowisko w rozumieniu przepisów ustawy z dnia 3 października 2008 r. o udostępnianiu informacji o środowisku i jego ochronie, udziale społeczeństwa w ochronie środowiska oraz o ocenach oddziaływania na środowisko. Zgodnie z § 5 ust. 2 ww. Uchwały zakaz ten nie dotyczy realizacji przedsięwzięć mogących potencjalnie znacząco oddziaływać na środowisko, dla których regionalny dyrektor ochrony środowiska stwierdził brak konieczności przeprowadzenia oceny oddziaływania na środowisko.</w:t>
      </w:r>
    </w:p>
    <w:p w14:paraId="1B6E0A2D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Obszar chronionego krajobrazu obejmuje tereny chronione ze względu na wyróżniający się krajobraz o zróżnicowanych ekosystemach, wartościowe ze względu na możliwość zaspokajania potrzeb związanych z turystyką i wypoczynkiem lub pełnioną funkcją korytarzy ekologicznych. Planowane przedsięwzięcie polegające na zmianie lasu na użytek rolny dotyczy niewielkiej </w:t>
      </w:r>
      <w:r w:rsidRPr="003B53A8">
        <w:rPr>
          <w:sz w:val="24"/>
          <w:szCs w:val="24"/>
          <w:lang w:eastAsia="zh-CN"/>
        </w:rPr>
        <w:lastRenderedPageBreak/>
        <w:t xml:space="preserve">powierzchni – 0,1430 ha, która graniczy bezpośrednio z istniejącą zabudową i faktycznie pozbawiona jest roślinności leśnej - użytkowana jest od wielu lat jako łąka (niniejsze potwierdzają archiwalne </w:t>
      </w:r>
      <w:proofErr w:type="spellStart"/>
      <w:r w:rsidRPr="003B53A8">
        <w:rPr>
          <w:sz w:val="24"/>
          <w:szCs w:val="24"/>
          <w:lang w:eastAsia="zh-CN"/>
        </w:rPr>
        <w:t>ortofotomapy</w:t>
      </w:r>
      <w:proofErr w:type="spellEnd"/>
      <w:r w:rsidRPr="003B53A8">
        <w:rPr>
          <w:sz w:val="24"/>
          <w:szCs w:val="24"/>
          <w:lang w:eastAsia="zh-CN"/>
        </w:rPr>
        <w:t xml:space="preserve"> dostępne w serwisie </w:t>
      </w:r>
      <w:proofErr w:type="spellStart"/>
      <w:r w:rsidRPr="003B53A8">
        <w:rPr>
          <w:sz w:val="24"/>
          <w:szCs w:val="24"/>
          <w:lang w:eastAsia="zh-CN"/>
        </w:rPr>
        <w:t>Geoportal</w:t>
      </w:r>
      <w:proofErr w:type="spellEnd"/>
      <w:r w:rsidRPr="003B53A8">
        <w:rPr>
          <w:sz w:val="24"/>
          <w:szCs w:val="24"/>
          <w:lang w:eastAsia="zh-CN"/>
        </w:rPr>
        <w:t>). W związku z powyższym, realizacja przedsięwzięcia polegającego na zmianie lasu na użytek rolny nie wymaga ingerencji w środowisko przyrodnicze – brak planowanej wycinki drzew, krzewów, przekształceń terenu, prac ziemnych lub budowalnych. Mając na uwadze powyższe, przedsięwzięcie nie będzie negatywnie wpływać na ochronę przyrody i ochronę krajobrazu obszaru chronionego krajobrazu.</w:t>
      </w:r>
    </w:p>
    <w:p w14:paraId="67891552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Przedsięwzięcie jest położone na korytarzach ekologicznych, istotnych dla populacji dużych ssaków leśnych oraz spójności siedlisk leśnych i wodno-błotnych w skali krajowej i kontynentalnej o nazwie Puszcza Piska GKPn-8. Planowana zmiana lasu na użytek rolny ma charakter formalno-prawny i wynika z rzeczywistego stanu zagospodarowania terenu, który od lat nie wykazuje cech siedliska leśnego, a jest użytkowany jako grunt zielony w bezpośrednim sąsiedztwie zabudowy gospodarczej. Nie przewiduje się więc negatywnego wpływu na funkcjonowanie i zachowanie ciągłości korytarza ekologicznego.</w:t>
      </w:r>
    </w:p>
    <w:p w14:paraId="1103D4BE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bookmarkStart w:id="5" w:name="_Hlk132096898"/>
      <w:r w:rsidRPr="003B53A8">
        <w:rPr>
          <w:sz w:val="24"/>
          <w:szCs w:val="24"/>
          <w:lang w:eastAsia="zh-CN"/>
        </w:rPr>
        <w:t>Planowana zmiana lasu na użytek rolny dotyczy niewielkiego obszaru przylegającego do istniejącej zabudowy, który faktycznie pozbawiony jest roślinności leśnej i użytkowany jest jako łąka. Biorąc pod uwagę niewielką skalę planowanego przedsięwzięcia oraz fakt, że w związku z planowaną zmianą przeznaczenia lasu na użytek rolny nie przewiduje się wykonywania żadnych prac w terenie, w tym wycinki drzew i krzewów, należy uznać, że realizacja przedsięwzięcia nie będzie miała istotnego wpływu na klimat ani jego zmiany.</w:t>
      </w:r>
    </w:p>
    <w:p w14:paraId="5B052A5B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</w:t>
      </w:r>
      <w:bookmarkEnd w:id="5"/>
      <w:r w:rsidRPr="003B53A8">
        <w:rPr>
          <w:sz w:val="24"/>
          <w:szCs w:val="24"/>
          <w:lang w:eastAsia="zh-CN"/>
        </w:rPr>
        <w:t>Planowane zamierzenie znajduje się w zlewni jednolitej części wód powierzchniowych rzecznych (JCWP) o nazwie „Pisa do jez. Roś” (krajowy kod: PLRW200018264759). Planowane zamierzenie znajduje się w obszarze jednolitej części wód podziemnych (</w:t>
      </w:r>
      <w:proofErr w:type="spellStart"/>
      <w:r w:rsidRPr="003B53A8">
        <w:rPr>
          <w:sz w:val="24"/>
          <w:szCs w:val="24"/>
          <w:lang w:eastAsia="zh-CN"/>
        </w:rPr>
        <w:t>JCWPd</w:t>
      </w:r>
      <w:proofErr w:type="spellEnd"/>
      <w:r w:rsidRPr="003B53A8">
        <w:rPr>
          <w:sz w:val="24"/>
          <w:szCs w:val="24"/>
          <w:lang w:eastAsia="zh-CN"/>
        </w:rPr>
        <w:t>) o krajowym kodzie PLGW200031. Biorąc pod uwagę opinię Państwowego Gospodarstwa Wodnego Wody Polskie Zarządu Zlewni w Giżycku oraz charakter i skalę przedsięwzięcia, nie przewiduje się negatywnego oddziaływania przedmiotowego przedsięwzięcia na jednolite części wód.</w:t>
      </w:r>
    </w:p>
    <w:p w14:paraId="7036BAC6" w14:textId="77777777" w:rsidR="003B53A8" w:rsidRPr="003B53A8" w:rsidRDefault="003B53A8" w:rsidP="003B53A8">
      <w:pPr>
        <w:spacing w:after="0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 xml:space="preserve">Na terenie przedsięwzięcia oraz w obszarze jego oddziaływania nie są planowane inne przedsięwzięcia o podobnym charakterze, których oddziaływania mogłyby się kumulować </w:t>
      </w:r>
      <w:r w:rsidRPr="003B53A8">
        <w:rPr>
          <w:sz w:val="24"/>
          <w:szCs w:val="24"/>
          <w:lang w:eastAsia="zh-CN"/>
        </w:rPr>
        <w:lastRenderedPageBreak/>
        <w:t xml:space="preserve">z planowanym przedsięwzięciem. Wystąpienie poważnej awarii lub katastrofy naturalnej i budowlanej będzie zerowe. Z uwagi na skalę i zakres  planowanego przedsięwzięcia oddziaływania będą miały zasięg lokalny, bez ryzyka transgranicznych oddziaływań na środowisko. </w:t>
      </w:r>
    </w:p>
    <w:bookmarkEnd w:id="4"/>
    <w:p w14:paraId="0DDC0490" w14:textId="2B475221" w:rsidR="003B53A8" w:rsidRPr="003B53A8" w:rsidRDefault="003B53A8" w:rsidP="009F39F1">
      <w:pPr>
        <w:spacing w:after="100" w:afterAutospacing="1" w:line="360" w:lineRule="auto"/>
        <w:rPr>
          <w:sz w:val="24"/>
          <w:szCs w:val="24"/>
          <w:lang w:eastAsia="zh-CN"/>
        </w:rPr>
      </w:pPr>
      <w:r w:rsidRPr="003B53A8">
        <w:rPr>
          <w:sz w:val="24"/>
          <w:szCs w:val="24"/>
          <w:lang w:eastAsia="zh-CN"/>
        </w:rPr>
        <w:t>Mając powyższe na uwadze orzeczono jak w sentencji.</w:t>
      </w:r>
    </w:p>
    <w:p w14:paraId="62944F4B" w14:textId="77777777" w:rsidR="00AA7C36" w:rsidRDefault="005726A9" w:rsidP="005726A9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 w:rsidRPr="005726A9"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Pouczenie</w:t>
      </w:r>
    </w:p>
    <w:p w14:paraId="1F68DB55" w14:textId="77777777" w:rsidR="009F39F1" w:rsidRPr="009F39F1" w:rsidRDefault="009F39F1" w:rsidP="009F39F1">
      <w:pPr>
        <w:spacing w:after="0" w:line="360" w:lineRule="auto"/>
        <w:rPr>
          <w:bCs/>
          <w:sz w:val="24"/>
          <w:szCs w:val="24"/>
          <w:lang w:eastAsia="zh-CN"/>
        </w:rPr>
      </w:pPr>
      <w:r w:rsidRPr="009F39F1">
        <w:rPr>
          <w:bCs/>
          <w:sz w:val="24"/>
          <w:szCs w:val="24"/>
          <w:lang w:eastAsia="zh-CN"/>
        </w:rPr>
        <w:t xml:space="preserve">Od niniejszej decyzji, stosownie do art. 127 § 1 i § 2 oraz art. 129  § 1 i § 2 </w:t>
      </w:r>
      <w:r w:rsidRPr="009F39F1">
        <w:rPr>
          <w:bCs/>
          <w:iCs/>
          <w:sz w:val="24"/>
          <w:szCs w:val="24"/>
          <w:lang w:eastAsia="zh-CN"/>
        </w:rPr>
        <w:t>Kodeksu postępowania administracyjnego</w:t>
      </w:r>
      <w:r w:rsidRPr="009F39F1">
        <w:rPr>
          <w:bCs/>
          <w:sz w:val="24"/>
          <w:szCs w:val="24"/>
          <w:lang w:eastAsia="zh-CN"/>
        </w:rPr>
        <w:t xml:space="preserve"> służy stronom odwołanie do Generalnego Dyrektora Ochrony Środowiska za pośrednictwem Regionalnego Dyrektora Ochrony Środowiska w Olsztynie w terminie 14 dni od dnia doręczenia niniejszej decyzji. Zgodnie z art. 57 § 5 Kodeksu postępowania administracyjnego termin uważa się za zachowany m.in. jeżeli przed jego upływem pismo zostało nadane w polskiej placówce pocztowej operatora wyznaczonego w rozumieniu ustawy z dnia 23 listopada 2012 r. - Prawo pocztowe albo placówce pocztowej operatora świadczącego pocztowe usługi powszechne w innym państwie członkowskim Unii Europejskiej, Konfederacji Szwajcarskiej albo państwie członkowskim Europejskiego Porozumienia o Wolnym Handlu (EFTA) - stronie umowy o Europejskim Obszarze Gospodarczym.</w:t>
      </w:r>
    </w:p>
    <w:p w14:paraId="14B3207A" w14:textId="3751EB4C" w:rsidR="009F39F1" w:rsidRPr="009F39F1" w:rsidRDefault="009F39F1" w:rsidP="009F39F1">
      <w:pPr>
        <w:spacing w:after="100" w:afterAutospacing="1" w:line="360" w:lineRule="auto"/>
        <w:rPr>
          <w:bCs/>
          <w:sz w:val="24"/>
          <w:szCs w:val="24"/>
          <w:lang w:eastAsia="zh-CN"/>
        </w:rPr>
      </w:pPr>
      <w:r w:rsidRPr="009F39F1">
        <w:rPr>
          <w:bCs/>
          <w:sz w:val="24"/>
          <w:szCs w:val="24"/>
          <w:lang w:eastAsia="zh-CN"/>
        </w:rPr>
        <w:t xml:space="preserve">W myśl art. 127a § 1 i § 2 </w:t>
      </w:r>
      <w:r w:rsidRPr="009F39F1">
        <w:rPr>
          <w:bCs/>
          <w:iCs/>
          <w:sz w:val="24"/>
          <w:szCs w:val="24"/>
          <w:lang w:eastAsia="zh-CN"/>
        </w:rPr>
        <w:t>Kodeksu postępowania administracyjnego</w:t>
      </w:r>
      <w:r w:rsidRPr="009F39F1">
        <w:rPr>
          <w:bCs/>
          <w:sz w:val="24"/>
          <w:szCs w:val="24"/>
          <w:lang w:eastAsia="zh-CN"/>
        </w:rPr>
        <w:t xml:space="preserve">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</w:t>
      </w:r>
    </w:p>
    <w:p w14:paraId="13FA7F26" w14:textId="77777777" w:rsidR="009F39F1" w:rsidRPr="009F39F1" w:rsidRDefault="009F39F1" w:rsidP="009F39F1">
      <w:pPr>
        <w:spacing w:after="0" w:line="360" w:lineRule="auto"/>
        <w:rPr>
          <w:sz w:val="24"/>
        </w:rPr>
      </w:pPr>
      <w:r w:rsidRPr="009F39F1">
        <w:rPr>
          <w:sz w:val="24"/>
        </w:rPr>
        <w:t>Regionalny Dyrektor</w:t>
      </w:r>
    </w:p>
    <w:p w14:paraId="0BEC904D" w14:textId="77777777" w:rsidR="009F39F1" w:rsidRPr="009F39F1" w:rsidRDefault="009F39F1" w:rsidP="009F39F1">
      <w:pPr>
        <w:spacing w:after="0" w:line="360" w:lineRule="auto"/>
        <w:rPr>
          <w:sz w:val="24"/>
        </w:rPr>
      </w:pPr>
      <w:r w:rsidRPr="009F39F1">
        <w:rPr>
          <w:sz w:val="24"/>
        </w:rPr>
        <w:t xml:space="preserve">Ochrony Środowiska </w:t>
      </w:r>
    </w:p>
    <w:p w14:paraId="0D6895FE" w14:textId="77777777" w:rsidR="009F39F1" w:rsidRPr="009F39F1" w:rsidRDefault="009F39F1" w:rsidP="009F39F1">
      <w:pPr>
        <w:spacing w:after="0" w:line="360" w:lineRule="auto"/>
        <w:rPr>
          <w:sz w:val="24"/>
        </w:rPr>
      </w:pPr>
      <w:r w:rsidRPr="009F39F1">
        <w:rPr>
          <w:sz w:val="24"/>
        </w:rPr>
        <w:t>w Olsztynie</w:t>
      </w:r>
    </w:p>
    <w:p w14:paraId="004EF7B6" w14:textId="77777777" w:rsidR="009F39F1" w:rsidRPr="009F39F1" w:rsidRDefault="009F39F1" w:rsidP="009F39F1">
      <w:pPr>
        <w:spacing w:after="0" w:line="360" w:lineRule="auto"/>
        <w:rPr>
          <w:sz w:val="24"/>
        </w:rPr>
      </w:pPr>
      <w:r w:rsidRPr="009F39F1">
        <w:rPr>
          <w:sz w:val="24"/>
        </w:rPr>
        <w:t>Agata Moździerz</w:t>
      </w:r>
    </w:p>
    <w:p w14:paraId="7081AAB3" w14:textId="77777777" w:rsidR="009F39F1" w:rsidRPr="009F39F1" w:rsidRDefault="009F39F1" w:rsidP="009F39F1">
      <w:pPr>
        <w:spacing w:after="100" w:afterAutospacing="1" w:line="360" w:lineRule="auto"/>
        <w:rPr>
          <w:sz w:val="24"/>
        </w:rPr>
      </w:pPr>
      <w:r w:rsidRPr="009F39F1">
        <w:rPr>
          <w:sz w:val="24"/>
        </w:rPr>
        <w:t>/podpis elektroniczny/</w:t>
      </w:r>
    </w:p>
    <w:p w14:paraId="21900489" w14:textId="77777777" w:rsidR="009F39F1" w:rsidRPr="009F39F1" w:rsidRDefault="009F39F1" w:rsidP="009F39F1">
      <w:pPr>
        <w:spacing w:after="0" w:line="360" w:lineRule="auto"/>
        <w:rPr>
          <w:sz w:val="24"/>
          <w:szCs w:val="24"/>
          <w:lang w:eastAsia="zh-CN"/>
        </w:rPr>
      </w:pPr>
      <w:r w:rsidRPr="009F39F1">
        <w:rPr>
          <w:sz w:val="24"/>
          <w:szCs w:val="24"/>
          <w:lang w:eastAsia="zh-CN"/>
        </w:rPr>
        <w:t>Załącznik:</w:t>
      </w:r>
    </w:p>
    <w:p w14:paraId="2D0AC5BA" w14:textId="77777777" w:rsidR="009F39F1" w:rsidRPr="009F39F1" w:rsidRDefault="009F39F1" w:rsidP="009F39F1">
      <w:pPr>
        <w:numPr>
          <w:ilvl w:val="1"/>
          <w:numId w:val="61"/>
        </w:numPr>
        <w:spacing w:after="0" w:line="360" w:lineRule="auto"/>
        <w:rPr>
          <w:sz w:val="24"/>
          <w:szCs w:val="24"/>
          <w:lang w:eastAsia="zh-CN"/>
        </w:rPr>
      </w:pPr>
      <w:r w:rsidRPr="009F39F1">
        <w:rPr>
          <w:sz w:val="24"/>
          <w:szCs w:val="24"/>
          <w:lang w:eastAsia="zh-CN"/>
        </w:rPr>
        <w:t>Charakterystyka planowanego przedsięwzięcia</w:t>
      </w:r>
    </w:p>
    <w:p w14:paraId="11502EC4" w14:textId="77777777" w:rsidR="009F39F1" w:rsidRPr="009F39F1" w:rsidRDefault="009F39F1" w:rsidP="009F39F1">
      <w:pPr>
        <w:spacing w:after="0" w:line="360" w:lineRule="auto"/>
        <w:rPr>
          <w:sz w:val="24"/>
          <w:szCs w:val="24"/>
          <w:lang w:val="es-ES_tradnl" w:eastAsia="zh-CN"/>
        </w:rPr>
      </w:pPr>
    </w:p>
    <w:p w14:paraId="4C1EBF8A" w14:textId="77777777" w:rsidR="009F39F1" w:rsidRPr="009F39F1" w:rsidRDefault="009F39F1" w:rsidP="009F39F1">
      <w:pPr>
        <w:spacing w:after="0" w:line="360" w:lineRule="auto"/>
        <w:rPr>
          <w:sz w:val="24"/>
          <w:szCs w:val="24"/>
          <w:lang w:eastAsia="zh-CN"/>
        </w:rPr>
      </w:pPr>
      <w:r w:rsidRPr="009F39F1">
        <w:rPr>
          <w:sz w:val="24"/>
          <w:szCs w:val="24"/>
          <w:lang w:eastAsia="zh-CN"/>
        </w:rPr>
        <w:t>Otrzymują:</w:t>
      </w:r>
    </w:p>
    <w:p w14:paraId="52A6DCA9" w14:textId="77777777" w:rsidR="009F39F1" w:rsidRPr="009F39F1" w:rsidRDefault="009F39F1" w:rsidP="009F39F1">
      <w:pPr>
        <w:numPr>
          <w:ilvl w:val="0"/>
          <w:numId w:val="62"/>
        </w:numPr>
        <w:spacing w:after="0" w:line="360" w:lineRule="auto"/>
        <w:rPr>
          <w:sz w:val="24"/>
          <w:szCs w:val="24"/>
          <w:lang w:eastAsia="zh-CN"/>
        </w:rPr>
      </w:pPr>
      <w:r w:rsidRPr="009F39F1">
        <w:rPr>
          <w:sz w:val="24"/>
          <w:szCs w:val="24"/>
          <w:lang w:eastAsia="zh-CN"/>
        </w:rPr>
        <w:t>(</w:t>
      </w:r>
      <w:proofErr w:type="spellStart"/>
      <w:r w:rsidRPr="009F39F1">
        <w:rPr>
          <w:sz w:val="24"/>
          <w:szCs w:val="24"/>
          <w:lang w:eastAsia="zh-CN"/>
        </w:rPr>
        <w:t>anonimizacja</w:t>
      </w:r>
      <w:proofErr w:type="spellEnd"/>
      <w:r w:rsidRPr="009F39F1">
        <w:rPr>
          <w:sz w:val="24"/>
          <w:szCs w:val="24"/>
          <w:lang w:eastAsia="zh-CN"/>
        </w:rPr>
        <w:t>) – pełnomocnik Inwestora, tj. (</w:t>
      </w:r>
      <w:proofErr w:type="spellStart"/>
      <w:r w:rsidRPr="009F39F1">
        <w:rPr>
          <w:sz w:val="24"/>
          <w:szCs w:val="24"/>
          <w:lang w:eastAsia="zh-CN"/>
        </w:rPr>
        <w:t>anonimizacja</w:t>
      </w:r>
      <w:proofErr w:type="spellEnd"/>
      <w:r w:rsidRPr="009F39F1">
        <w:rPr>
          <w:sz w:val="24"/>
          <w:szCs w:val="24"/>
          <w:lang w:eastAsia="zh-CN"/>
        </w:rPr>
        <w:t>)</w:t>
      </w:r>
    </w:p>
    <w:p w14:paraId="666C1CD4" w14:textId="77777777" w:rsidR="009F39F1" w:rsidRPr="009F39F1" w:rsidRDefault="009F39F1" w:rsidP="009F39F1">
      <w:pPr>
        <w:numPr>
          <w:ilvl w:val="0"/>
          <w:numId w:val="62"/>
        </w:numPr>
        <w:spacing w:after="0" w:line="360" w:lineRule="auto"/>
        <w:rPr>
          <w:sz w:val="24"/>
          <w:szCs w:val="24"/>
          <w:lang w:eastAsia="zh-CN"/>
        </w:rPr>
      </w:pPr>
      <w:r w:rsidRPr="009F39F1">
        <w:rPr>
          <w:sz w:val="24"/>
          <w:szCs w:val="24"/>
          <w:lang w:eastAsia="zh-CN"/>
        </w:rPr>
        <w:t xml:space="preserve">pozostałe strony postępowania poprzez obwieszczenie – zgodnie z art. 49 kpa w związku z art. 74 ust. 3 ustawy z dnia 3 października 2008 r. o udostępnianiu informacji o środowisku (…) </w:t>
      </w:r>
    </w:p>
    <w:p w14:paraId="5C9ADE42" w14:textId="77777777" w:rsidR="009F39F1" w:rsidRPr="009F39F1" w:rsidRDefault="009F39F1" w:rsidP="009F39F1">
      <w:pPr>
        <w:numPr>
          <w:ilvl w:val="0"/>
          <w:numId w:val="62"/>
        </w:numPr>
        <w:spacing w:after="0" w:line="360" w:lineRule="auto"/>
        <w:rPr>
          <w:sz w:val="24"/>
          <w:szCs w:val="24"/>
          <w:lang w:eastAsia="zh-CN"/>
        </w:rPr>
      </w:pPr>
      <w:r w:rsidRPr="009F39F1">
        <w:rPr>
          <w:sz w:val="24"/>
          <w:szCs w:val="24"/>
          <w:lang w:eastAsia="zh-CN"/>
        </w:rPr>
        <w:t>aa</w:t>
      </w:r>
    </w:p>
    <w:p w14:paraId="3C4D83BC" w14:textId="77777777" w:rsidR="009F39F1" w:rsidRPr="009F39F1" w:rsidRDefault="009F39F1" w:rsidP="009F39F1">
      <w:pPr>
        <w:spacing w:after="0" w:line="360" w:lineRule="auto"/>
        <w:rPr>
          <w:sz w:val="24"/>
          <w:szCs w:val="24"/>
          <w:lang w:eastAsia="zh-CN"/>
        </w:rPr>
      </w:pPr>
      <w:r w:rsidRPr="009F39F1">
        <w:rPr>
          <w:sz w:val="24"/>
          <w:szCs w:val="24"/>
          <w:lang w:eastAsia="zh-CN"/>
        </w:rPr>
        <w:t>Do wiadomości:</w:t>
      </w:r>
    </w:p>
    <w:p w14:paraId="04C3A382" w14:textId="77777777" w:rsidR="009F39F1" w:rsidRPr="009F39F1" w:rsidRDefault="009F39F1" w:rsidP="00495993">
      <w:pPr>
        <w:numPr>
          <w:ilvl w:val="0"/>
          <w:numId w:val="5"/>
        </w:numPr>
        <w:spacing w:after="100" w:afterAutospacing="1" w:line="360" w:lineRule="auto"/>
        <w:ind w:left="714" w:hanging="357"/>
        <w:rPr>
          <w:sz w:val="24"/>
          <w:szCs w:val="24"/>
          <w:lang w:eastAsia="zh-CN"/>
        </w:rPr>
      </w:pPr>
      <w:r w:rsidRPr="009F39F1">
        <w:rPr>
          <w:sz w:val="24"/>
          <w:szCs w:val="24"/>
          <w:lang w:eastAsia="zh-CN"/>
        </w:rPr>
        <w:t>Państwowe Gospodarstwo Wodne Wody Polskie Zarząd Zlewni w Giżycku, ul. Wodna 4, 11-500 Giżycko</w:t>
      </w:r>
    </w:p>
    <w:p w14:paraId="60646E64" w14:textId="058ADDD9" w:rsidR="009F39F1" w:rsidRPr="009F39F1" w:rsidRDefault="009F39F1" w:rsidP="009F39F1">
      <w:pPr>
        <w:spacing w:after="0" w:line="360" w:lineRule="auto"/>
        <w:rPr>
          <w:sz w:val="24"/>
          <w:szCs w:val="24"/>
          <w:lang w:eastAsia="zh-CN"/>
        </w:rPr>
      </w:pPr>
      <w:r w:rsidRPr="009F39F1">
        <w:rPr>
          <w:sz w:val="24"/>
          <w:szCs w:val="24"/>
          <w:lang w:eastAsia="zh-CN"/>
        </w:rPr>
        <w:t>Na podstawie art. 5 ust. 1 ustawy z 16 listopada 2006  r. o opłacie skarbowej (Dz. U. z 2025 r.</w:t>
      </w:r>
      <w:r w:rsidR="00495993" w:rsidRPr="00E07FC4">
        <w:rPr>
          <w:sz w:val="24"/>
          <w:szCs w:val="24"/>
          <w:lang w:eastAsia="zh-CN"/>
        </w:rPr>
        <w:t xml:space="preserve"> </w:t>
      </w:r>
      <w:r w:rsidRPr="009F39F1">
        <w:rPr>
          <w:sz w:val="24"/>
          <w:szCs w:val="24"/>
          <w:lang w:eastAsia="zh-CN"/>
        </w:rPr>
        <w:t>poz. 1154) pobrano opłatę skarbową za wydanie decyzji o środowiskowych uwarunkowaniach w wysokości 205 zł (zał. nr 1, cz. I, p. 45).</w:t>
      </w:r>
    </w:p>
    <w:p w14:paraId="1E78E7FF" w14:textId="77777777" w:rsidR="009F39F1" w:rsidRDefault="009F39F1" w:rsidP="009F39F1">
      <w:pPr>
        <w:rPr>
          <w:lang w:eastAsia="zh-CN"/>
        </w:rPr>
      </w:pPr>
    </w:p>
    <w:p w14:paraId="2214D34A" w14:textId="77777777" w:rsidR="009F39F1" w:rsidRPr="009F39F1" w:rsidRDefault="009F39F1" w:rsidP="009F39F1">
      <w:pPr>
        <w:rPr>
          <w:lang w:eastAsia="zh-CN"/>
        </w:rPr>
      </w:pPr>
    </w:p>
    <w:p w14:paraId="361C29B0" w14:textId="77777777" w:rsidR="00D52BB0" w:rsidRPr="00D52BB0" w:rsidRDefault="00D52BB0" w:rsidP="00D52BB0">
      <w:pPr>
        <w:spacing w:after="100" w:afterAutospacing="1" w:line="360" w:lineRule="auto"/>
        <w:rPr>
          <w:sz w:val="24"/>
        </w:rPr>
      </w:pPr>
    </w:p>
    <w:p w14:paraId="0620A15F" w14:textId="77777777" w:rsidR="00D52BB0" w:rsidRPr="00ED29E2" w:rsidRDefault="00D52BB0" w:rsidP="00ED29E2">
      <w:pPr>
        <w:spacing w:after="0" w:line="360" w:lineRule="auto"/>
        <w:rPr>
          <w:sz w:val="24"/>
          <w:szCs w:val="24"/>
          <w:lang w:eastAsia="zh-CN"/>
        </w:rPr>
      </w:pPr>
    </w:p>
    <w:p w14:paraId="3C1A140F" w14:textId="77777777" w:rsidR="00ED29E2" w:rsidRPr="00ED29E2" w:rsidRDefault="00ED29E2" w:rsidP="00ED29E2">
      <w:pPr>
        <w:rPr>
          <w:b/>
          <w:lang w:eastAsia="zh-CN"/>
        </w:rPr>
      </w:pPr>
    </w:p>
    <w:p w14:paraId="4F804E4D" w14:textId="77777777" w:rsidR="00ED29E2" w:rsidRPr="00ED29E2" w:rsidRDefault="00ED29E2" w:rsidP="00ED29E2">
      <w:pPr>
        <w:rPr>
          <w:u w:val="single"/>
          <w:lang w:eastAsia="zh-CN"/>
        </w:rPr>
      </w:pPr>
    </w:p>
    <w:p w14:paraId="0EEE5F15" w14:textId="77777777" w:rsidR="00ED29E2" w:rsidRPr="00ED29E2" w:rsidRDefault="00ED29E2" w:rsidP="00ED29E2">
      <w:pPr>
        <w:rPr>
          <w:lang w:eastAsia="zh-CN"/>
        </w:rPr>
      </w:pPr>
    </w:p>
    <w:p w14:paraId="618C11D2" w14:textId="77777777" w:rsidR="0020327C" w:rsidRPr="00554D62" w:rsidRDefault="0020327C" w:rsidP="0020327C">
      <w:pPr>
        <w:spacing w:after="0" w:line="360" w:lineRule="auto"/>
        <w:rPr>
          <w:sz w:val="24"/>
        </w:rPr>
      </w:pPr>
    </w:p>
    <w:p w14:paraId="7322C203" w14:textId="77777777" w:rsidR="00554D62" w:rsidRPr="008E1960" w:rsidRDefault="00554D62" w:rsidP="0044167F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 w:themeColor="text1"/>
          <w:kern w:val="3"/>
          <w:sz w:val="24"/>
          <w:szCs w:val="24"/>
          <w:lang w:eastAsia="zh-CN"/>
        </w:rPr>
      </w:pPr>
    </w:p>
    <w:sectPr w:rsidR="00554D62" w:rsidRPr="008E1960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1E066A0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0026D6A"/>
    <w:multiLevelType w:val="hybridMultilevel"/>
    <w:tmpl w:val="9E36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3029"/>
    <w:multiLevelType w:val="hybridMultilevel"/>
    <w:tmpl w:val="BB48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3FD3"/>
    <w:multiLevelType w:val="hybridMultilevel"/>
    <w:tmpl w:val="99A84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E77"/>
    <w:multiLevelType w:val="hybridMultilevel"/>
    <w:tmpl w:val="891C7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43636"/>
    <w:multiLevelType w:val="hybridMultilevel"/>
    <w:tmpl w:val="EB56C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04A19"/>
    <w:multiLevelType w:val="hybridMultilevel"/>
    <w:tmpl w:val="ED3A8184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05CA8"/>
    <w:multiLevelType w:val="hybridMultilevel"/>
    <w:tmpl w:val="B3927DC2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9426E"/>
    <w:multiLevelType w:val="hybridMultilevel"/>
    <w:tmpl w:val="4A900A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1946CC"/>
    <w:multiLevelType w:val="hybridMultilevel"/>
    <w:tmpl w:val="6AE2FB64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D5582"/>
    <w:multiLevelType w:val="hybridMultilevel"/>
    <w:tmpl w:val="6BD0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B5835"/>
    <w:multiLevelType w:val="hybridMultilevel"/>
    <w:tmpl w:val="F6942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2015A"/>
    <w:multiLevelType w:val="hybridMultilevel"/>
    <w:tmpl w:val="A452693C"/>
    <w:lvl w:ilvl="0" w:tplc="B2E22CBA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1BAE5A94">
      <w:start w:val="1"/>
      <w:numFmt w:val="lowerLetter"/>
      <w:lvlText w:val="%2."/>
      <w:lvlJc w:val="left"/>
      <w:pPr>
        <w:ind w:left="1724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301820"/>
    <w:multiLevelType w:val="hybridMultilevel"/>
    <w:tmpl w:val="7988E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5704C"/>
    <w:multiLevelType w:val="hybridMultilevel"/>
    <w:tmpl w:val="D51E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431BF"/>
    <w:multiLevelType w:val="hybridMultilevel"/>
    <w:tmpl w:val="650C1DEC"/>
    <w:lvl w:ilvl="0" w:tplc="29225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779F"/>
    <w:multiLevelType w:val="hybridMultilevel"/>
    <w:tmpl w:val="AE0EC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703C5"/>
    <w:multiLevelType w:val="hybridMultilevel"/>
    <w:tmpl w:val="9E9E8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A1A06"/>
    <w:multiLevelType w:val="hybridMultilevel"/>
    <w:tmpl w:val="33E663E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26515"/>
    <w:multiLevelType w:val="hybridMultilevel"/>
    <w:tmpl w:val="6D248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74BB5"/>
    <w:multiLevelType w:val="hybridMultilevel"/>
    <w:tmpl w:val="8D2AE66E"/>
    <w:lvl w:ilvl="0" w:tplc="BF06FF2C">
      <w:start w:val="1"/>
      <w:numFmt w:val="lowerLetter"/>
      <w:lvlText w:val="%1)"/>
      <w:lvlJc w:val="left"/>
      <w:pPr>
        <w:ind w:left="14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3" w15:restartNumberingAfterBreak="0">
    <w:nsid w:val="2F1C0C47"/>
    <w:multiLevelType w:val="hybridMultilevel"/>
    <w:tmpl w:val="675A7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9F2BD2"/>
    <w:multiLevelType w:val="hybridMultilevel"/>
    <w:tmpl w:val="8076C5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145547A"/>
    <w:multiLevelType w:val="hybridMultilevel"/>
    <w:tmpl w:val="421444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17D7C"/>
    <w:multiLevelType w:val="hybridMultilevel"/>
    <w:tmpl w:val="BBF88B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70A455B"/>
    <w:multiLevelType w:val="hybridMultilevel"/>
    <w:tmpl w:val="0186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479F3"/>
    <w:multiLevelType w:val="multilevel"/>
    <w:tmpl w:val="61E066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9" w15:restartNumberingAfterBreak="0">
    <w:nsid w:val="37E2223C"/>
    <w:multiLevelType w:val="hybridMultilevel"/>
    <w:tmpl w:val="7D3E4E86"/>
    <w:lvl w:ilvl="0" w:tplc="05F4CA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350A4"/>
    <w:multiLevelType w:val="hybridMultilevel"/>
    <w:tmpl w:val="E2628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7A7E4D"/>
    <w:multiLevelType w:val="hybridMultilevel"/>
    <w:tmpl w:val="612A06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20289"/>
    <w:multiLevelType w:val="hybridMultilevel"/>
    <w:tmpl w:val="D28A96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3ED3540A"/>
    <w:multiLevelType w:val="hybridMultilevel"/>
    <w:tmpl w:val="7E1698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EE75B19"/>
    <w:multiLevelType w:val="hybridMultilevel"/>
    <w:tmpl w:val="91225E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9A499F"/>
    <w:multiLevelType w:val="hybridMultilevel"/>
    <w:tmpl w:val="2D404F4A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6CA7B79"/>
    <w:multiLevelType w:val="hybridMultilevel"/>
    <w:tmpl w:val="675EF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B52E40"/>
    <w:multiLevelType w:val="hybridMultilevel"/>
    <w:tmpl w:val="0AF4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951D4"/>
    <w:multiLevelType w:val="hybridMultilevel"/>
    <w:tmpl w:val="F6942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B1243B"/>
    <w:multiLevelType w:val="hybridMultilevel"/>
    <w:tmpl w:val="26587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EFD03F7"/>
    <w:multiLevelType w:val="hybridMultilevel"/>
    <w:tmpl w:val="821E553A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F0291B"/>
    <w:multiLevelType w:val="hybridMultilevel"/>
    <w:tmpl w:val="1966CE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5E28F2"/>
    <w:multiLevelType w:val="hybridMultilevel"/>
    <w:tmpl w:val="BA92E2FA"/>
    <w:lvl w:ilvl="0" w:tplc="542203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E57E3"/>
    <w:multiLevelType w:val="hybridMultilevel"/>
    <w:tmpl w:val="AB46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DF5BFF"/>
    <w:multiLevelType w:val="hybridMultilevel"/>
    <w:tmpl w:val="41907B94"/>
    <w:lvl w:ilvl="0" w:tplc="3D8C80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8852AA0"/>
    <w:multiLevelType w:val="hybridMultilevel"/>
    <w:tmpl w:val="10AE5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9F72E1C"/>
    <w:multiLevelType w:val="hybridMultilevel"/>
    <w:tmpl w:val="26C47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844A78"/>
    <w:multiLevelType w:val="hybridMultilevel"/>
    <w:tmpl w:val="66B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3B269E2"/>
    <w:multiLevelType w:val="hybridMultilevel"/>
    <w:tmpl w:val="889C5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6E7367"/>
    <w:multiLevelType w:val="hybridMultilevel"/>
    <w:tmpl w:val="1A164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F75126"/>
    <w:multiLevelType w:val="hybridMultilevel"/>
    <w:tmpl w:val="C9068EC6"/>
    <w:lvl w:ilvl="0" w:tplc="D338B5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B0146C1"/>
    <w:multiLevelType w:val="hybridMultilevel"/>
    <w:tmpl w:val="40E632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B9D2318"/>
    <w:multiLevelType w:val="hybridMultilevel"/>
    <w:tmpl w:val="5DD2AD96"/>
    <w:lvl w:ilvl="0" w:tplc="89923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C20D2D"/>
    <w:multiLevelType w:val="hybridMultilevel"/>
    <w:tmpl w:val="587271A0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01120E"/>
    <w:multiLevelType w:val="hybridMultilevel"/>
    <w:tmpl w:val="955C57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E701E6"/>
    <w:multiLevelType w:val="hybridMultilevel"/>
    <w:tmpl w:val="03EA63DC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E30B12"/>
    <w:multiLevelType w:val="hybridMultilevel"/>
    <w:tmpl w:val="DBCCA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732074"/>
    <w:multiLevelType w:val="hybridMultilevel"/>
    <w:tmpl w:val="75664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E06A2E"/>
    <w:multiLevelType w:val="hybridMultilevel"/>
    <w:tmpl w:val="530EAA14"/>
    <w:lvl w:ilvl="0" w:tplc="7F14A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FB7568"/>
    <w:multiLevelType w:val="hybridMultilevel"/>
    <w:tmpl w:val="EFB82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61041A"/>
    <w:multiLevelType w:val="hybridMultilevel"/>
    <w:tmpl w:val="0C7AE3FA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833C55"/>
    <w:multiLevelType w:val="hybridMultilevel"/>
    <w:tmpl w:val="90C2F6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78830F4F"/>
    <w:multiLevelType w:val="hybridMultilevel"/>
    <w:tmpl w:val="0B5C4D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6565D5"/>
    <w:multiLevelType w:val="hybridMultilevel"/>
    <w:tmpl w:val="E8B86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798382">
    <w:abstractNumId w:val="18"/>
  </w:num>
  <w:num w:numId="2" w16cid:durableId="1417284205">
    <w:abstractNumId w:val="3"/>
  </w:num>
  <w:num w:numId="3" w16cid:durableId="1356467563">
    <w:abstractNumId w:val="48"/>
  </w:num>
  <w:num w:numId="4" w16cid:durableId="1859658921">
    <w:abstractNumId w:val="42"/>
  </w:num>
  <w:num w:numId="5" w16cid:durableId="915630617">
    <w:abstractNumId w:val="11"/>
  </w:num>
  <w:num w:numId="6" w16cid:durableId="1347295324">
    <w:abstractNumId w:val="29"/>
  </w:num>
  <w:num w:numId="7" w16cid:durableId="1633629088">
    <w:abstractNumId w:val="8"/>
  </w:num>
  <w:num w:numId="8" w16cid:durableId="1191332095">
    <w:abstractNumId w:val="6"/>
  </w:num>
  <w:num w:numId="9" w16cid:durableId="261843586">
    <w:abstractNumId w:val="40"/>
  </w:num>
  <w:num w:numId="10" w16cid:durableId="826743694">
    <w:abstractNumId w:val="47"/>
  </w:num>
  <w:num w:numId="11" w16cid:durableId="428358676">
    <w:abstractNumId w:val="44"/>
  </w:num>
  <w:num w:numId="12" w16cid:durableId="1303274008">
    <w:abstractNumId w:val="56"/>
  </w:num>
  <w:num w:numId="13" w16cid:durableId="597252380">
    <w:abstractNumId w:val="16"/>
  </w:num>
  <w:num w:numId="14" w16cid:durableId="2076124830">
    <w:abstractNumId w:val="53"/>
  </w:num>
  <w:num w:numId="15" w16cid:durableId="362172128">
    <w:abstractNumId w:val="26"/>
  </w:num>
  <w:num w:numId="16" w16cid:durableId="474105921">
    <w:abstractNumId w:val="9"/>
  </w:num>
  <w:num w:numId="17" w16cid:durableId="761605357">
    <w:abstractNumId w:val="5"/>
  </w:num>
  <w:num w:numId="18" w16cid:durableId="1254974020">
    <w:abstractNumId w:val="54"/>
  </w:num>
  <w:num w:numId="19" w16cid:durableId="583564138">
    <w:abstractNumId w:val="37"/>
  </w:num>
  <w:num w:numId="20" w16cid:durableId="1674915006">
    <w:abstractNumId w:val="57"/>
  </w:num>
  <w:num w:numId="21" w16cid:durableId="527570585">
    <w:abstractNumId w:val="17"/>
  </w:num>
  <w:num w:numId="22" w16cid:durableId="644895534">
    <w:abstractNumId w:val="49"/>
  </w:num>
  <w:num w:numId="23" w16cid:durableId="549682951">
    <w:abstractNumId w:val="1"/>
  </w:num>
  <w:num w:numId="24" w16cid:durableId="1109664907">
    <w:abstractNumId w:val="21"/>
  </w:num>
  <w:num w:numId="25" w16cid:durableId="652223864">
    <w:abstractNumId w:val="10"/>
  </w:num>
  <w:num w:numId="26" w16cid:durableId="1238520016">
    <w:abstractNumId w:val="61"/>
  </w:num>
  <w:num w:numId="27" w16cid:durableId="1645045129">
    <w:abstractNumId w:val="7"/>
  </w:num>
  <w:num w:numId="28" w16cid:durableId="1804500347">
    <w:abstractNumId w:val="23"/>
  </w:num>
  <w:num w:numId="29" w16cid:durableId="675499100">
    <w:abstractNumId w:val="30"/>
  </w:num>
  <w:num w:numId="30" w16cid:durableId="2084912713">
    <w:abstractNumId w:val="28"/>
  </w:num>
  <w:num w:numId="31" w16cid:durableId="801771660">
    <w:abstractNumId w:val="55"/>
  </w:num>
  <w:num w:numId="32" w16cid:durableId="592784187">
    <w:abstractNumId w:val="34"/>
  </w:num>
  <w:num w:numId="33" w16cid:durableId="758453083">
    <w:abstractNumId w:val="25"/>
  </w:num>
  <w:num w:numId="34" w16cid:durableId="236092452">
    <w:abstractNumId w:val="41"/>
  </w:num>
  <w:num w:numId="35" w16cid:durableId="525097702">
    <w:abstractNumId w:val="64"/>
  </w:num>
  <w:num w:numId="36" w16cid:durableId="285088025">
    <w:abstractNumId w:val="63"/>
  </w:num>
  <w:num w:numId="37" w16cid:durableId="574321107">
    <w:abstractNumId w:val="27"/>
  </w:num>
  <w:num w:numId="38" w16cid:durableId="220023432">
    <w:abstractNumId w:val="33"/>
  </w:num>
  <w:num w:numId="39" w16cid:durableId="370570141">
    <w:abstractNumId w:val="24"/>
  </w:num>
  <w:num w:numId="40" w16cid:durableId="1304625792">
    <w:abstractNumId w:val="52"/>
  </w:num>
  <w:num w:numId="41" w16cid:durableId="209003051">
    <w:abstractNumId w:val="62"/>
  </w:num>
  <w:num w:numId="42" w16cid:durableId="591911">
    <w:abstractNumId w:val="32"/>
  </w:num>
  <w:num w:numId="43" w16cid:durableId="190535729">
    <w:abstractNumId w:val="14"/>
  </w:num>
  <w:num w:numId="44" w16cid:durableId="1815559766">
    <w:abstractNumId w:val="15"/>
  </w:num>
  <w:num w:numId="45" w16cid:durableId="1065031108">
    <w:abstractNumId w:val="36"/>
  </w:num>
  <w:num w:numId="46" w16cid:durableId="1731079787">
    <w:abstractNumId w:val="2"/>
  </w:num>
  <w:num w:numId="47" w16cid:durableId="1631476953">
    <w:abstractNumId w:val="19"/>
  </w:num>
  <w:num w:numId="48" w16cid:durableId="783232404">
    <w:abstractNumId w:val="43"/>
  </w:num>
  <w:num w:numId="49" w16cid:durableId="114060676">
    <w:abstractNumId w:val="31"/>
  </w:num>
  <w:num w:numId="50" w16cid:durableId="768738490">
    <w:abstractNumId w:val="45"/>
  </w:num>
  <w:num w:numId="51" w16cid:durableId="230385261">
    <w:abstractNumId w:val="51"/>
  </w:num>
  <w:num w:numId="52" w16cid:durableId="1658681200">
    <w:abstractNumId w:val="35"/>
  </w:num>
  <w:num w:numId="53" w16cid:durableId="445852773">
    <w:abstractNumId w:val="39"/>
  </w:num>
  <w:num w:numId="54" w16cid:durableId="1434326356">
    <w:abstractNumId w:val="46"/>
  </w:num>
  <w:num w:numId="55" w16cid:durableId="477654674">
    <w:abstractNumId w:val="12"/>
  </w:num>
  <w:num w:numId="56" w16cid:durableId="1849513685">
    <w:abstractNumId w:val="38"/>
  </w:num>
  <w:num w:numId="57" w16cid:durableId="1385327728">
    <w:abstractNumId w:val="50"/>
  </w:num>
  <w:num w:numId="58" w16cid:durableId="1381395084">
    <w:abstractNumId w:val="13"/>
  </w:num>
  <w:num w:numId="59" w16cid:durableId="2106924987">
    <w:abstractNumId w:val="4"/>
  </w:num>
  <w:num w:numId="60" w16cid:durableId="330261469">
    <w:abstractNumId w:val="58"/>
  </w:num>
  <w:num w:numId="61" w16cid:durableId="1994139904">
    <w:abstractNumId w:val="0"/>
  </w:num>
  <w:num w:numId="62" w16cid:durableId="994259774">
    <w:abstractNumId w:val="60"/>
  </w:num>
  <w:num w:numId="63" w16cid:durableId="403573114">
    <w:abstractNumId w:val="22"/>
  </w:num>
  <w:num w:numId="64" w16cid:durableId="580911383">
    <w:abstractNumId w:val="59"/>
  </w:num>
  <w:num w:numId="65" w16cid:durableId="6562320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6FD4"/>
    <w:rsid w:val="000528E7"/>
    <w:rsid w:val="00075C4A"/>
    <w:rsid w:val="00080B48"/>
    <w:rsid w:val="000824D2"/>
    <w:rsid w:val="000B373D"/>
    <w:rsid w:val="000E4460"/>
    <w:rsid w:val="00160CD2"/>
    <w:rsid w:val="001947A7"/>
    <w:rsid w:val="001A0328"/>
    <w:rsid w:val="001B44C4"/>
    <w:rsid w:val="001B5B56"/>
    <w:rsid w:val="001C51E6"/>
    <w:rsid w:val="001E67FD"/>
    <w:rsid w:val="0020327C"/>
    <w:rsid w:val="0026188F"/>
    <w:rsid w:val="00267220"/>
    <w:rsid w:val="002C59D4"/>
    <w:rsid w:val="002E129B"/>
    <w:rsid w:val="003226DE"/>
    <w:rsid w:val="00380D99"/>
    <w:rsid w:val="00384379"/>
    <w:rsid w:val="003A51F9"/>
    <w:rsid w:val="003B53A8"/>
    <w:rsid w:val="003C3DE9"/>
    <w:rsid w:val="003D0F6B"/>
    <w:rsid w:val="00403DE4"/>
    <w:rsid w:val="00414A88"/>
    <w:rsid w:val="0044167F"/>
    <w:rsid w:val="004449FF"/>
    <w:rsid w:val="00463EB7"/>
    <w:rsid w:val="00495993"/>
    <w:rsid w:val="004D7E42"/>
    <w:rsid w:val="00525E0D"/>
    <w:rsid w:val="00554D62"/>
    <w:rsid w:val="00565A42"/>
    <w:rsid w:val="005726A9"/>
    <w:rsid w:val="00586F86"/>
    <w:rsid w:val="00592F40"/>
    <w:rsid w:val="006021BE"/>
    <w:rsid w:val="00651531"/>
    <w:rsid w:val="00665B79"/>
    <w:rsid w:val="0068663F"/>
    <w:rsid w:val="006C552A"/>
    <w:rsid w:val="006E0E17"/>
    <w:rsid w:val="006E48A8"/>
    <w:rsid w:val="007352DF"/>
    <w:rsid w:val="0073533C"/>
    <w:rsid w:val="00753934"/>
    <w:rsid w:val="0077526D"/>
    <w:rsid w:val="007D755D"/>
    <w:rsid w:val="0081118A"/>
    <w:rsid w:val="008159C8"/>
    <w:rsid w:val="00824D9D"/>
    <w:rsid w:val="00825D9D"/>
    <w:rsid w:val="008324E5"/>
    <w:rsid w:val="008448DF"/>
    <w:rsid w:val="00857867"/>
    <w:rsid w:val="0088776C"/>
    <w:rsid w:val="008C033D"/>
    <w:rsid w:val="008D1C53"/>
    <w:rsid w:val="008E1960"/>
    <w:rsid w:val="008E3B98"/>
    <w:rsid w:val="008F64EA"/>
    <w:rsid w:val="0090144B"/>
    <w:rsid w:val="00921D97"/>
    <w:rsid w:val="00927E2C"/>
    <w:rsid w:val="009F0EDF"/>
    <w:rsid w:val="009F39F1"/>
    <w:rsid w:val="00A402BA"/>
    <w:rsid w:val="00A55D8E"/>
    <w:rsid w:val="00A64CDD"/>
    <w:rsid w:val="00A77D11"/>
    <w:rsid w:val="00A94971"/>
    <w:rsid w:val="00AA7C36"/>
    <w:rsid w:val="00AD624D"/>
    <w:rsid w:val="00AF1399"/>
    <w:rsid w:val="00B675D6"/>
    <w:rsid w:val="00BB7E65"/>
    <w:rsid w:val="00C503ED"/>
    <w:rsid w:val="00C576CD"/>
    <w:rsid w:val="00C73352"/>
    <w:rsid w:val="00C806FA"/>
    <w:rsid w:val="00C81923"/>
    <w:rsid w:val="00C83D6B"/>
    <w:rsid w:val="00C87EA9"/>
    <w:rsid w:val="00CA5A82"/>
    <w:rsid w:val="00D0663F"/>
    <w:rsid w:val="00D233B4"/>
    <w:rsid w:val="00D52BB0"/>
    <w:rsid w:val="00D84FB0"/>
    <w:rsid w:val="00DD1A15"/>
    <w:rsid w:val="00DD7440"/>
    <w:rsid w:val="00DF5721"/>
    <w:rsid w:val="00DF6D00"/>
    <w:rsid w:val="00E00B34"/>
    <w:rsid w:val="00E07FC4"/>
    <w:rsid w:val="00E72C2D"/>
    <w:rsid w:val="00E74C48"/>
    <w:rsid w:val="00ED29E2"/>
    <w:rsid w:val="00F04060"/>
    <w:rsid w:val="00F20082"/>
    <w:rsid w:val="00F25CD7"/>
    <w:rsid w:val="00F40174"/>
    <w:rsid w:val="00F4298F"/>
    <w:rsid w:val="00F432E6"/>
    <w:rsid w:val="00F56E82"/>
    <w:rsid w:val="00F67E14"/>
    <w:rsid w:val="00F83E03"/>
    <w:rsid w:val="00F852C0"/>
    <w:rsid w:val="00FA64F5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150D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2904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o środowiskowych uwarunkowaniach</vt:lpstr>
    </vt:vector>
  </TitlesOfParts>
  <Company/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</dc:title>
  <dc:subject/>
  <dc:creator>Iwona Bobek</dc:creator>
  <cp:keywords/>
  <dc:description/>
  <cp:lastModifiedBy>Kamila Kutryb</cp:lastModifiedBy>
  <cp:revision>99</cp:revision>
  <dcterms:created xsi:type="dcterms:W3CDTF">2020-09-07T10:53:00Z</dcterms:created>
  <dcterms:modified xsi:type="dcterms:W3CDTF">2025-12-12T12:48:00Z</dcterms:modified>
</cp:coreProperties>
</file>