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91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podział zabytku nieruchomego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Wnoszę o wydanie pozwolenia na podział zabytku nieruchomego wpisanego do rejestru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Uzasadnienie wniosku 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spacing w:lineRule="auto" w:line="360" w:before="120" w:after="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1. wstępny projekt podziału zabytku nieruchomego (2 egzemplarze) – w przypadku wniosku                         o pozwolenie na podział zabytku nieruchomego</w:t>
      </w:r>
    </w:p>
    <w:p>
      <w:pPr>
        <w:pStyle w:val="Normal"/>
        <w:spacing w:lineRule="auto" w:line="36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2. dokument potwierdzający posiadanie przez wnioskodawcę tytułu prawnego do korzystania z zabytku, uprawniającego do występowania z wnioskiem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,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3. 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zgodę właściciela lub posiadacza nieruchomości na przeprowadzenie tych badań, w przypadku gdy z wnioskiem występuje osoba fizyczna albo jednostka organizacyjna zamierzająca je prowadzić, albo oświadczenie, że właściciel lub posiadacz tej zgody nie udzielił</w:t>
      </w:r>
    </w:p>
    <w:p>
      <w:pPr>
        <w:pStyle w:val="Normal"/>
        <w:spacing w:lineRule="auto" w:line="36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4. pełnomocnictwo – oryginał lub poświadczona urzędowo kopia (w przypadku, gdy wniosek składa pełnomocnik),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5. dowód uiszczenia opłaty skarbowej za:</w:t>
      </w:r>
    </w:p>
    <w:p>
      <w:pPr>
        <w:pStyle w:val="Normal"/>
        <w:spacing w:lineRule="auto" w:line="360"/>
        <w:ind w:left="18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-  wydanie pozwolenia - 82 zł, </w:t>
      </w:r>
    </w:p>
    <w:p>
      <w:pPr>
        <w:pStyle w:val="Normal"/>
        <w:spacing w:lineRule="auto" w:line="360"/>
        <w:ind w:firstLine="18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- złożenie pełnomocnictwa - 17 zł,</w:t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(tylko w przypadku obowiązku wniesienia takiej opłaty) na konto: Urzędu Miasta w Przemyślu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, nr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 z dopiskiem "opłata skarbowa za...". </w:t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br w:type="column"/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7361885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6349d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6349d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349d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349d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4</Pages>
  <Words>943</Words>
  <Characters>7039</Characters>
  <CharactersWithSpaces>7947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2024-06-21T07:16:00Z</dcterms:created>
  <dc:creator>Michał Sowa</dc:creator>
  <dc:description/>
  <dc:language>pl-PL</dc:language>
  <cp:lastModifiedBy/>
  <dcterms:modified xsi:type="dcterms:W3CDTF">2024-09-17T14:03:05Z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