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E88E0" w14:textId="4C451CA6" w:rsidR="009C1223" w:rsidRPr="00090EC4" w:rsidRDefault="009C1223" w:rsidP="009C1223">
      <w:pPr>
        <w:rPr>
          <w:rStyle w:val="s4f807e54"/>
          <w:rFonts w:ascii="Arial" w:eastAsia="MS Mincho" w:hAnsi="Arial" w:cs="Arial"/>
          <w:sz w:val="20"/>
          <w:szCs w:val="20"/>
          <w:lang w:val="en-US" w:bidi="ar-SA"/>
        </w:rPr>
      </w:pPr>
      <w:r w:rsidRPr="00090EC4">
        <w:rPr>
          <w:rStyle w:val="s4f807e54"/>
          <w:rFonts w:ascii="Arial" w:eastAsia="MS Mincho" w:hAnsi="Arial" w:cs="Arial"/>
          <w:sz w:val="20"/>
          <w:szCs w:val="20"/>
          <w:lang w:val="en-US" w:bidi="ar-SA"/>
        </w:rPr>
        <w:t xml:space="preserve">© Copyright for the Polish translation by </w:t>
      </w:r>
      <w:proofErr w:type="spellStart"/>
      <w:r w:rsidRPr="00090EC4">
        <w:rPr>
          <w:rStyle w:val="s4f807e54"/>
          <w:rFonts w:ascii="Arial" w:eastAsia="MS Mincho" w:hAnsi="Arial" w:cs="Arial"/>
          <w:sz w:val="20"/>
          <w:szCs w:val="20"/>
          <w:lang w:val="en-US" w:bidi="ar-SA"/>
        </w:rPr>
        <w:t>Prokurator</w:t>
      </w:r>
      <w:proofErr w:type="spellEnd"/>
      <w:r w:rsidRPr="00090EC4">
        <w:rPr>
          <w:rStyle w:val="s4f807e54"/>
          <w:rFonts w:ascii="Arial" w:eastAsia="MS Mincho" w:hAnsi="Arial" w:cs="Arial"/>
          <w:sz w:val="20"/>
          <w:szCs w:val="20"/>
          <w:lang w:val="en-US" w:bidi="ar-SA"/>
        </w:rPr>
        <w:t xml:space="preserve"> </w:t>
      </w:r>
      <w:proofErr w:type="spellStart"/>
      <w:r w:rsidRPr="00090EC4">
        <w:rPr>
          <w:rStyle w:val="s4f807e54"/>
          <w:rFonts w:ascii="Arial" w:eastAsia="MS Mincho" w:hAnsi="Arial" w:cs="Arial"/>
          <w:sz w:val="20"/>
          <w:szCs w:val="20"/>
          <w:lang w:val="en-US" w:bidi="ar-SA"/>
        </w:rPr>
        <w:t>Generalny,W</w:t>
      </w:r>
      <w:bookmarkStart w:id="0" w:name="_GoBack"/>
      <w:bookmarkEnd w:id="0"/>
      <w:r w:rsidRPr="00090EC4">
        <w:rPr>
          <w:rStyle w:val="s4f807e54"/>
          <w:rFonts w:ascii="Arial" w:eastAsia="MS Mincho" w:hAnsi="Arial" w:cs="Arial"/>
          <w:sz w:val="20"/>
          <w:szCs w:val="20"/>
          <w:lang w:val="en-US" w:bidi="ar-SA"/>
        </w:rPr>
        <w:t>arszawa</w:t>
      </w:r>
      <w:proofErr w:type="spellEnd"/>
      <w:r w:rsidRPr="00090EC4">
        <w:rPr>
          <w:rStyle w:val="s4f807e54"/>
          <w:rFonts w:ascii="Arial" w:eastAsia="MS Mincho" w:hAnsi="Arial" w:cs="Arial"/>
          <w:sz w:val="20"/>
          <w:szCs w:val="20"/>
          <w:lang w:val="en-US" w:bidi="ar-SA"/>
        </w:rPr>
        <w:t xml:space="preserve"> 2015 </w:t>
      </w:r>
    </w:p>
    <w:p w14:paraId="4F00E787" w14:textId="6356038A" w:rsidR="0035460F" w:rsidRPr="00090EC4" w:rsidRDefault="009C1223" w:rsidP="009C1223">
      <w:pPr>
        <w:rPr>
          <w:rFonts w:ascii="Arial" w:hAnsi="Arial" w:cs="Arial"/>
          <w:noProof/>
          <w:sz w:val="20"/>
          <w:szCs w:val="20"/>
        </w:rPr>
      </w:pPr>
      <w:r w:rsidRPr="00090EC4">
        <w:rPr>
          <w:rStyle w:val="s4f807e54"/>
          <w:rFonts w:ascii="Arial" w:eastAsia="MS Mincho" w:hAnsi="Arial" w:cs="Arial"/>
          <w:sz w:val="20"/>
          <w:szCs w:val="20"/>
          <w:lang w:bidi="ar-SA"/>
        </w:rPr>
        <w:t>© Właścicielem praw autorskich do tłumaczenia na język polski jest Prokurator Generalny, Warszawa 2015</w:t>
      </w:r>
    </w:p>
    <w:p w14:paraId="110E6A81" w14:textId="77777777" w:rsidR="00206648" w:rsidRDefault="00206648" w:rsidP="0035460F">
      <w:pPr>
        <w:jc w:val="center"/>
        <w:rPr>
          <w:noProof/>
          <w:szCs w:val="24"/>
        </w:rPr>
      </w:pPr>
    </w:p>
    <w:p w14:paraId="70BF117D" w14:textId="77777777" w:rsidR="0035460F" w:rsidRPr="003E3979" w:rsidRDefault="00CE64B3" w:rsidP="0035460F">
      <w:pPr>
        <w:jc w:val="center"/>
        <w:rPr>
          <w:noProof/>
          <w:szCs w:val="24"/>
        </w:rPr>
      </w:pPr>
      <w:r>
        <w:rPr>
          <w:noProof/>
          <w:szCs w:val="24"/>
        </w:rPr>
        <w:t>EUROPEJSKI TRYBUNAŁ PRAW CZŁOWIEKA</w:t>
      </w:r>
    </w:p>
    <w:p w14:paraId="6D0ED461" w14:textId="77777777" w:rsidR="0035460F" w:rsidRPr="003E3979" w:rsidRDefault="0035460F" w:rsidP="0035460F">
      <w:pPr>
        <w:jc w:val="center"/>
        <w:rPr>
          <w:szCs w:val="24"/>
        </w:rPr>
      </w:pPr>
    </w:p>
    <w:p w14:paraId="6CF683B3" w14:textId="77777777" w:rsidR="0035460F" w:rsidRPr="004218BE" w:rsidRDefault="0035460F" w:rsidP="0035460F">
      <w:pPr>
        <w:jc w:val="center"/>
      </w:pPr>
      <w:r>
        <w:t>PIĄTA SEKCJA</w:t>
      </w:r>
    </w:p>
    <w:p w14:paraId="48274A9C" w14:textId="77777777" w:rsidR="0035460F" w:rsidRDefault="0035460F" w:rsidP="0035460F">
      <w:pPr>
        <w:jc w:val="center"/>
      </w:pPr>
    </w:p>
    <w:p w14:paraId="266621C2" w14:textId="77777777" w:rsidR="0035460F" w:rsidRDefault="0035460F" w:rsidP="0035460F">
      <w:pPr>
        <w:jc w:val="center"/>
      </w:pPr>
    </w:p>
    <w:p w14:paraId="5B0B9B13" w14:textId="77777777" w:rsidR="0035460F" w:rsidRPr="004218BE" w:rsidRDefault="0035460F" w:rsidP="0035460F">
      <w:pPr>
        <w:jc w:val="center"/>
        <w:rPr>
          <w:b/>
        </w:rPr>
      </w:pPr>
      <w:bookmarkStart w:id="1" w:name="To"/>
      <w:r>
        <w:rPr>
          <w:b/>
        </w:rPr>
        <w:t xml:space="preserve">SPRAWA </w:t>
      </w:r>
      <w:bookmarkEnd w:id="1"/>
      <w:r>
        <w:rPr>
          <w:b/>
        </w:rPr>
        <w:t>KARAMAN PRZECIWKO NIEMCOM</w:t>
      </w:r>
    </w:p>
    <w:p w14:paraId="6749105A" w14:textId="77777777" w:rsidR="0035460F" w:rsidRPr="004218BE" w:rsidRDefault="0035460F" w:rsidP="0035460F">
      <w:pPr>
        <w:jc w:val="center"/>
      </w:pPr>
    </w:p>
    <w:p w14:paraId="79052E79" w14:textId="77777777" w:rsidR="0035460F" w:rsidRPr="004218BE" w:rsidRDefault="0035460F" w:rsidP="0035460F">
      <w:pPr>
        <w:jc w:val="center"/>
        <w:rPr>
          <w:i/>
        </w:rPr>
      </w:pPr>
      <w:r>
        <w:rPr>
          <w:i/>
        </w:rPr>
        <w:t>(Skarga nr 17103/10)</w:t>
      </w:r>
    </w:p>
    <w:p w14:paraId="56D4D9BB" w14:textId="77777777" w:rsidR="0035460F" w:rsidRPr="004218BE" w:rsidRDefault="0035460F" w:rsidP="0035460F">
      <w:pPr>
        <w:jc w:val="center"/>
      </w:pPr>
    </w:p>
    <w:p w14:paraId="3EB1CBDA" w14:textId="77777777" w:rsidR="0035460F" w:rsidRPr="004218BE" w:rsidRDefault="0035460F" w:rsidP="0035460F">
      <w:pPr>
        <w:jc w:val="center"/>
      </w:pPr>
    </w:p>
    <w:p w14:paraId="45E639C5" w14:textId="77777777" w:rsidR="0035460F" w:rsidRPr="00E7567C" w:rsidRDefault="0035460F" w:rsidP="0035460F">
      <w:pPr>
        <w:pStyle w:val="ECHRPara"/>
        <w:ind w:firstLine="0"/>
        <w:jc w:val="center"/>
      </w:pPr>
      <w:r>
        <w:t>WYROK</w:t>
      </w:r>
    </w:p>
    <w:p w14:paraId="2C4310A9" w14:textId="77777777" w:rsidR="0035460F" w:rsidRDefault="0035460F" w:rsidP="0035460F">
      <w:pPr>
        <w:jc w:val="center"/>
        <w:rPr>
          <w:szCs w:val="24"/>
        </w:rPr>
      </w:pPr>
    </w:p>
    <w:p w14:paraId="23E2F1EC" w14:textId="77777777" w:rsidR="0035460F" w:rsidRDefault="0035460F" w:rsidP="0035460F">
      <w:pPr>
        <w:jc w:val="center"/>
        <w:rPr>
          <w:szCs w:val="24"/>
        </w:rPr>
      </w:pPr>
    </w:p>
    <w:p w14:paraId="5467ABFF" w14:textId="77777777" w:rsidR="0035460F" w:rsidRDefault="0035460F" w:rsidP="0035460F">
      <w:pPr>
        <w:jc w:val="center"/>
        <w:rPr>
          <w:szCs w:val="24"/>
        </w:rPr>
      </w:pPr>
      <w:r>
        <w:t>STRASBURG</w:t>
      </w:r>
    </w:p>
    <w:p w14:paraId="283E377F" w14:textId="77777777" w:rsidR="0035460F" w:rsidRDefault="0035460F" w:rsidP="0035460F">
      <w:pPr>
        <w:jc w:val="center"/>
        <w:rPr>
          <w:szCs w:val="24"/>
        </w:rPr>
      </w:pPr>
    </w:p>
    <w:p w14:paraId="75E3BF27" w14:textId="77777777" w:rsidR="0035460F" w:rsidRDefault="0035460F" w:rsidP="0035460F">
      <w:pPr>
        <w:jc w:val="center"/>
        <w:rPr>
          <w:szCs w:val="24"/>
        </w:rPr>
      </w:pPr>
      <w:r>
        <w:t>27 lutego 2014</w:t>
      </w:r>
      <w:r w:rsidR="003631AF">
        <w:t xml:space="preserve"> roku</w:t>
      </w:r>
    </w:p>
    <w:p w14:paraId="3D2927F7" w14:textId="77777777" w:rsidR="0035460F" w:rsidRDefault="0035460F" w:rsidP="0035460F">
      <w:pPr>
        <w:jc w:val="center"/>
        <w:rPr>
          <w:szCs w:val="24"/>
        </w:rPr>
      </w:pPr>
    </w:p>
    <w:p w14:paraId="6EEEFEAD" w14:textId="77777777" w:rsidR="0035460F" w:rsidRDefault="0035460F" w:rsidP="0035460F">
      <w:pPr>
        <w:jc w:val="center"/>
        <w:rPr>
          <w:szCs w:val="24"/>
        </w:rPr>
      </w:pPr>
    </w:p>
    <w:p w14:paraId="61AD2BC8" w14:textId="77777777" w:rsidR="0035460F" w:rsidRDefault="00B945AE" w:rsidP="0035460F">
      <w:pPr>
        <w:pStyle w:val="jucase0"/>
        <w:ind w:firstLine="0"/>
        <w:jc w:val="center"/>
        <w:rPr>
          <w:color w:val="FF0000"/>
          <w:sz w:val="28"/>
          <w:szCs w:val="28"/>
          <w:u w:val="single"/>
        </w:rPr>
      </w:pPr>
      <w:r>
        <w:rPr>
          <w:color w:val="FF0000"/>
          <w:sz w:val="28"/>
          <w:u w:val="single"/>
        </w:rPr>
        <w:t>OSTATECZNY</w:t>
      </w:r>
    </w:p>
    <w:p w14:paraId="4B757817" w14:textId="77777777" w:rsidR="0035460F" w:rsidRDefault="0035460F" w:rsidP="0035460F">
      <w:pPr>
        <w:pStyle w:val="jupara"/>
        <w:ind w:firstLine="0"/>
        <w:rPr>
          <w:color w:val="FF0000"/>
          <w:sz w:val="28"/>
          <w:szCs w:val="28"/>
        </w:rPr>
      </w:pPr>
    </w:p>
    <w:p w14:paraId="748CDB6D" w14:textId="77777777" w:rsidR="0035460F" w:rsidRDefault="0035460F" w:rsidP="0035460F">
      <w:pPr>
        <w:pStyle w:val="jupara"/>
        <w:ind w:firstLine="0"/>
        <w:jc w:val="center"/>
        <w:rPr>
          <w:color w:val="FF0000"/>
          <w:sz w:val="28"/>
          <w:szCs w:val="28"/>
        </w:rPr>
      </w:pPr>
      <w:r>
        <w:rPr>
          <w:color w:val="FF0000"/>
          <w:sz w:val="28"/>
        </w:rPr>
        <w:t>07/07/2014</w:t>
      </w:r>
    </w:p>
    <w:p w14:paraId="5ACAD2F7" w14:textId="77777777" w:rsidR="0035460F" w:rsidRDefault="0035460F" w:rsidP="0035460F">
      <w:pPr>
        <w:pStyle w:val="jupara"/>
        <w:ind w:firstLine="0"/>
        <w:jc w:val="center"/>
      </w:pPr>
    </w:p>
    <w:p w14:paraId="320C3D00" w14:textId="216AD165" w:rsidR="00C97C20" w:rsidRDefault="0035460F" w:rsidP="0035460F">
      <w:pPr>
        <w:rPr>
          <w:i/>
          <w:sz w:val="22"/>
        </w:rPr>
      </w:pPr>
      <w:r>
        <w:rPr>
          <w:i/>
          <w:sz w:val="22"/>
        </w:rPr>
        <w:t xml:space="preserve">Niniejszy wyrok stał się </w:t>
      </w:r>
      <w:r w:rsidR="00C97C20">
        <w:rPr>
          <w:i/>
          <w:sz w:val="22"/>
        </w:rPr>
        <w:t>ostateczny</w:t>
      </w:r>
      <w:r>
        <w:rPr>
          <w:i/>
          <w:sz w:val="22"/>
        </w:rPr>
        <w:t xml:space="preserve"> zgodnie z artykułem 44 § 2 Konwencji. </w:t>
      </w:r>
    </w:p>
    <w:p w14:paraId="1A8CF8BA" w14:textId="77777777" w:rsidR="009B27E0" w:rsidRDefault="0035460F" w:rsidP="009B27E0">
      <w:pPr>
        <w:rPr>
          <w:b/>
        </w:rPr>
      </w:pPr>
      <w:r>
        <w:rPr>
          <w:i/>
          <w:sz w:val="22"/>
        </w:rPr>
        <w:t>Może podlegać korekcie wydawniczej.</w:t>
      </w:r>
    </w:p>
    <w:p w14:paraId="2D2EB53D" w14:textId="77777777" w:rsidR="009B27E0" w:rsidRDefault="009B27E0" w:rsidP="0035460F">
      <w:pPr>
        <w:ind w:firstLine="284"/>
        <w:rPr>
          <w:b/>
        </w:rPr>
        <w:sectPr w:rsidR="009B27E0" w:rsidSect="00E968E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2"/>
          <w:cols w:space="720"/>
          <w:titlePg/>
          <w:docGrid w:linePitch="326"/>
        </w:sectPr>
      </w:pPr>
    </w:p>
    <w:p w14:paraId="73EBAB71" w14:textId="77777777" w:rsidR="009B27E0" w:rsidRDefault="009B27E0" w:rsidP="0035460F">
      <w:pPr>
        <w:ind w:firstLine="284"/>
        <w:rPr>
          <w:b/>
        </w:rPr>
      </w:pPr>
    </w:p>
    <w:p w14:paraId="331CF66D" w14:textId="77777777" w:rsidR="0035460F" w:rsidRPr="00213FC0" w:rsidRDefault="0035460F" w:rsidP="0035460F">
      <w:pPr>
        <w:ind w:firstLine="284"/>
        <w:rPr>
          <w:b/>
          <w:bCs/>
        </w:rPr>
      </w:pPr>
      <w:r>
        <w:rPr>
          <w:b/>
        </w:rPr>
        <w:t xml:space="preserve">W sprawie </w:t>
      </w:r>
      <w:proofErr w:type="spellStart"/>
      <w:r>
        <w:rPr>
          <w:b/>
        </w:rPr>
        <w:t>Karaman</w:t>
      </w:r>
      <w:proofErr w:type="spellEnd"/>
      <w:r>
        <w:rPr>
          <w:b/>
        </w:rPr>
        <w:t xml:space="preserve"> przeciwko Niemcom,</w:t>
      </w:r>
    </w:p>
    <w:p w14:paraId="79268E7C" w14:textId="77777777" w:rsidR="0035460F" w:rsidRPr="004218BE" w:rsidRDefault="0035460F" w:rsidP="0035460F">
      <w:pPr>
        <w:pStyle w:val="JuCase"/>
        <w:rPr>
          <w:b w:val="0"/>
          <w:bCs/>
          <w:szCs w:val="24"/>
        </w:rPr>
      </w:pPr>
      <w:r>
        <w:rPr>
          <w:b w:val="0"/>
        </w:rPr>
        <w:t>Europejski Trybunał Praw Człowieka (Sekcja Piąta), zasiadając jako Izba w składzie:</w:t>
      </w:r>
    </w:p>
    <w:p w14:paraId="5735118C" w14:textId="77777777" w:rsidR="0035460F" w:rsidRPr="004709B4" w:rsidRDefault="0035460F" w:rsidP="0035460F">
      <w:pPr>
        <w:pStyle w:val="ECHRDecisionBody"/>
      </w:pPr>
      <w:r>
        <w:tab/>
        <w:t xml:space="preserve">Mark </w:t>
      </w:r>
      <w:proofErr w:type="spellStart"/>
      <w:r>
        <w:t>Villiger</w:t>
      </w:r>
      <w:proofErr w:type="spellEnd"/>
      <w:r>
        <w:t>,</w:t>
      </w:r>
      <w:r>
        <w:rPr>
          <w:i/>
        </w:rPr>
        <w:t xml:space="preserve"> Przewodniczący,</w:t>
      </w:r>
      <w:r>
        <w:rPr>
          <w:i/>
        </w:rPr>
        <w:br/>
      </w:r>
      <w:r>
        <w:tab/>
        <w:t xml:space="preserve">Angelika </w:t>
      </w:r>
      <w:proofErr w:type="spellStart"/>
      <w:r>
        <w:t>Nußberger</w:t>
      </w:r>
      <w:proofErr w:type="spellEnd"/>
      <w:r>
        <w:t>,</w:t>
      </w:r>
      <w:r>
        <w:rPr>
          <w:i/>
        </w:rPr>
        <w:br/>
      </w:r>
      <w:r>
        <w:tab/>
      </w:r>
      <w:proofErr w:type="spellStart"/>
      <w:r>
        <w:t>Boštjan</w:t>
      </w:r>
      <w:proofErr w:type="spellEnd"/>
      <w:r>
        <w:t xml:space="preserve"> M. </w:t>
      </w:r>
      <w:proofErr w:type="spellStart"/>
      <w:r>
        <w:t>Zupančič</w:t>
      </w:r>
      <w:proofErr w:type="spellEnd"/>
      <w:r>
        <w:t>,</w:t>
      </w:r>
      <w:r>
        <w:rPr>
          <w:i/>
        </w:rPr>
        <w:br/>
      </w:r>
      <w:r>
        <w:tab/>
      </w:r>
      <w:proofErr w:type="spellStart"/>
      <w:r>
        <w:t>Ganna</w:t>
      </w:r>
      <w:proofErr w:type="spellEnd"/>
      <w:r>
        <w:t xml:space="preserve"> </w:t>
      </w:r>
      <w:proofErr w:type="spellStart"/>
      <w:r>
        <w:t>Yudkivska</w:t>
      </w:r>
      <w:proofErr w:type="spellEnd"/>
      <w:r>
        <w:t>,</w:t>
      </w:r>
      <w:r>
        <w:rPr>
          <w:i/>
        </w:rPr>
        <w:br/>
      </w:r>
      <w:r>
        <w:tab/>
      </w:r>
      <w:proofErr w:type="spellStart"/>
      <w:r>
        <w:t>André</w:t>
      </w:r>
      <w:proofErr w:type="spellEnd"/>
      <w:r>
        <w:t xml:space="preserve"> Potocki,</w:t>
      </w:r>
      <w:r>
        <w:rPr>
          <w:i/>
        </w:rPr>
        <w:br/>
      </w:r>
      <w:r>
        <w:tab/>
        <w:t xml:space="preserve">Paul </w:t>
      </w:r>
      <w:proofErr w:type="spellStart"/>
      <w:r>
        <w:t>Lemmens</w:t>
      </w:r>
      <w:proofErr w:type="spellEnd"/>
      <w:r>
        <w:t>,</w:t>
      </w:r>
      <w:r>
        <w:rPr>
          <w:i/>
        </w:rPr>
        <w:br/>
      </w:r>
      <w:r>
        <w:tab/>
      </w:r>
      <w:proofErr w:type="spellStart"/>
      <w:r>
        <w:t>Aleš</w:t>
      </w:r>
      <w:proofErr w:type="spellEnd"/>
      <w:r>
        <w:t xml:space="preserve"> </w:t>
      </w:r>
      <w:proofErr w:type="spellStart"/>
      <w:r>
        <w:t>Pejchal</w:t>
      </w:r>
      <w:proofErr w:type="spellEnd"/>
      <w:r>
        <w:t>,</w:t>
      </w:r>
      <w:r>
        <w:rPr>
          <w:i/>
        </w:rPr>
        <w:t xml:space="preserve"> sędziowie,</w:t>
      </w:r>
      <w:r>
        <w:rPr>
          <w:i/>
        </w:rPr>
        <w:br/>
      </w:r>
      <w:r>
        <w:t xml:space="preserve">oraz Claudia </w:t>
      </w:r>
      <w:proofErr w:type="spellStart"/>
      <w:r>
        <w:t>Westerdiek</w:t>
      </w:r>
      <w:proofErr w:type="spellEnd"/>
      <w:r>
        <w:rPr>
          <w:rStyle w:val="JuJudgesChar"/>
        </w:rPr>
        <w:t xml:space="preserve">, </w:t>
      </w:r>
      <w:r>
        <w:rPr>
          <w:i/>
          <w:noProof/>
        </w:rPr>
        <w:t>Kanclerz Sekcji,</w:t>
      </w:r>
    </w:p>
    <w:p w14:paraId="29EF1448" w14:textId="77777777" w:rsidR="0035460F" w:rsidRPr="004218BE" w:rsidRDefault="0035460F" w:rsidP="0035460F">
      <w:pPr>
        <w:pStyle w:val="ECHRPara"/>
      </w:pPr>
      <w:r>
        <w:t>Obradując na posiedzeniu niejawnym w dniu 14 stycznia 2014</w:t>
      </w:r>
      <w:r w:rsidR="003631AF">
        <w:t xml:space="preserve"> roku</w:t>
      </w:r>
      <w:r>
        <w:t>,</w:t>
      </w:r>
    </w:p>
    <w:p w14:paraId="53E9E1A0" w14:textId="77777777" w:rsidR="0035460F" w:rsidRPr="004218BE" w:rsidRDefault="0035460F" w:rsidP="0035460F">
      <w:pPr>
        <w:pStyle w:val="ECHRPara"/>
      </w:pPr>
      <w:r>
        <w:t>Wydaje następujący wyrok, który został przyjęty w tym dniu:</w:t>
      </w:r>
    </w:p>
    <w:p w14:paraId="4E819E4D" w14:textId="77777777" w:rsidR="0035460F" w:rsidRPr="004218BE" w:rsidRDefault="0035460F" w:rsidP="0035460F">
      <w:pPr>
        <w:pStyle w:val="ECHRTitle1"/>
      </w:pPr>
      <w:r>
        <w:t xml:space="preserve">POSTĘPOWANIE </w:t>
      </w:r>
    </w:p>
    <w:p w14:paraId="5DA2CE61" w14:textId="1DD73D87" w:rsidR="0035460F" w:rsidRDefault="00921888" w:rsidP="0035460F">
      <w:pPr>
        <w:pStyle w:val="ECHRPara"/>
      </w:pPr>
      <w:fldSimple w:instr=" SEQ level0 \*arabic ">
        <w:r w:rsidR="00454999">
          <w:rPr>
            <w:noProof/>
          </w:rPr>
          <w:t>1</w:t>
        </w:r>
      </w:fldSimple>
      <w:r w:rsidR="0035460F">
        <w:t xml:space="preserve">.  Sprawa wywodzi się ze skargi (nr 17103/10) przeciwko Republice Federalnej Niemiec, wniesionej do </w:t>
      </w:r>
      <w:r w:rsidR="00C97C20">
        <w:t>Trybunału</w:t>
      </w:r>
      <w:r w:rsidR="0035460F">
        <w:t xml:space="preserve"> na podstawie </w:t>
      </w:r>
      <w:r w:rsidR="002973D1">
        <w:t>artykułu</w:t>
      </w:r>
      <w:r w:rsidR="0035460F">
        <w:t xml:space="preserve"> 34 Konwencji o ochronie praw człowieka i podstawowych wolności („Konwencja”) przez obywatela Turcji, </w:t>
      </w:r>
      <w:r w:rsidR="00DA312D">
        <w:t>p</w:t>
      </w:r>
      <w:r w:rsidR="0035460F">
        <w:t xml:space="preserve">ana </w:t>
      </w:r>
      <w:proofErr w:type="spellStart"/>
      <w:r w:rsidR="0035460F">
        <w:t>Zekeriya</w:t>
      </w:r>
      <w:proofErr w:type="spellEnd"/>
      <w:r w:rsidR="0035460F">
        <w:t xml:space="preserve"> </w:t>
      </w:r>
      <w:proofErr w:type="spellStart"/>
      <w:r w:rsidR="0035460F">
        <w:t>Karamana</w:t>
      </w:r>
      <w:proofErr w:type="spellEnd"/>
      <w:r w:rsidR="0035460F">
        <w:t xml:space="preserve"> („skarżącego”), w dniu 22 marca 2010</w:t>
      </w:r>
      <w:r w:rsidR="003631AF">
        <w:t xml:space="preserve"> roku</w:t>
      </w:r>
      <w:r w:rsidR="0035460F">
        <w:t>.</w:t>
      </w:r>
    </w:p>
    <w:p w14:paraId="49D45A58" w14:textId="77777777" w:rsidR="0035460F" w:rsidRDefault="00921888" w:rsidP="0035460F">
      <w:pPr>
        <w:pStyle w:val="ECHRPara"/>
      </w:pPr>
      <w:fldSimple w:instr=" SEQ level0 \*arabic ">
        <w:r w:rsidR="00454999">
          <w:rPr>
            <w:noProof/>
          </w:rPr>
          <w:t>2</w:t>
        </w:r>
      </w:fldSimple>
      <w:r w:rsidR="0035460F">
        <w:t xml:space="preserve">.  Skarżący reprezentowany był przez </w:t>
      </w:r>
      <w:r w:rsidR="00DA312D">
        <w:t>p</w:t>
      </w:r>
      <w:r w:rsidR="0035460F">
        <w:t xml:space="preserve">ana O. </w:t>
      </w:r>
      <w:proofErr w:type="spellStart"/>
      <w:r w:rsidR="0035460F">
        <w:t>Isfena</w:t>
      </w:r>
      <w:proofErr w:type="spellEnd"/>
      <w:r w:rsidR="0035460F">
        <w:t xml:space="preserve">, prawnika prowadzącego praktykę w </w:t>
      </w:r>
      <w:proofErr w:type="spellStart"/>
      <w:r w:rsidR="0035460F">
        <w:t>Wetter</w:t>
      </w:r>
      <w:proofErr w:type="spellEnd"/>
      <w:r w:rsidR="0035460F">
        <w:t xml:space="preserve">, Nadrenii Północnej-Westfalii. Rząd niemiecki („Rząd”) był reprezentowany przez pełnomocnika, </w:t>
      </w:r>
      <w:r w:rsidR="00DA312D">
        <w:t>p</w:t>
      </w:r>
      <w:r w:rsidR="0035460F">
        <w:t xml:space="preserve">ana H.-J. </w:t>
      </w:r>
      <w:proofErr w:type="spellStart"/>
      <w:r w:rsidR="0035460F">
        <w:t>Behrensa</w:t>
      </w:r>
      <w:proofErr w:type="spellEnd"/>
      <w:r w:rsidR="0035460F">
        <w:t xml:space="preserve">, </w:t>
      </w:r>
      <w:proofErr w:type="spellStart"/>
      <w:r w:rsidR="0035460F">
        <w:rPr>
          <w:i/>
        </w:rPr>
        <w:t>Ministerialrat</w:t>
      </w:r>
      <w:proofErr w:type="spellEnd"/>
      <w:r w:rsidR="0035460F">
        <w:t>, z Federalnego Ministerstwa Sprawiedliwości.</w:t>
      </w:r>
    </w:p>
    <w:p w14:paraId="729ACC84" w14:textId="3652CE5F" w:rsidR="0035460F" w:rsidRDefault="0035460F" w:rsidP="0035460F">
      <w:pPr>
        <w:pStyle w:val="ECHRPara"/>
      </w:pPr>
      <w:r>
        <w:rPr>
          <w:noProof/>
        </w:rPr>
        <w:fldChar w:fldCharType="begin"/>
      </w:r>
      <w:r>
        <w:rPr>
          <w:noProof/>
        </w:rPr>
        <w:instrText xml:space="preserve"> SEQ level0 \*arabic </w:instrText>
      </w:r>
      <w:r>
        <w:rPr>
          <w:noProof/>
        </w:rPr>
        <w:fldChar w:fldCharType="separate"/>
      </w:r>
      <w:r w:rsidR="00454999">
        <w:rPr>
          <w:noProof/>
        </w:rPr>
        <w:t>3</w:t>
      </w:r>
      <w:r>
        <w:rPr>
          <w:noProof/>
        </w:rPr>
        <w:fldChar w:fldCharType="end"/>
      </w:r>
      <w:r>
        <w:t xml:space="preserve">.  Skarżący wniósł zarzut na podstawie </w:t>
      </w:r>
      <w:r w:rsidR="002973D1">
        <w:t>artykułu</w:t>
      </w:r>
      <w:r>
        <w:t xml:space="preserve"> 6 § 2 Konwencji, że odniesienia do jego uczestnictwa w popełnieniu przestępstwa </w:t>
      </w:r>
      <w:r w:rsidR="00206648">
        <w:t xml:space="preserve">zawarte </w:t>
      </w:r>
      <w:r>
        <w:t xml:space="preserve">w wyroku </w:t>
      </w:r>
      <w:r w:rsidR="00C97C20">
        <w:t xml:space="preserve">dotyczącym </w:t>
      </w:r>
      <w:proofErr w:type="spellStart"/>
      <w:r>
        <w:t>współpodejrzanych</w:t>
      </w:r>
      <w:proofErr w:type="spellEnd"/>
      <w:r>
        <w:t xml:space="preserve"> </w:t>
      </w:r>
      <w:r w:rsidR="00206648">
        <w:t xml:space="preserve">sądzonych w postępowaniu odrębnym, </w:t>
      </w:r>
      <w:r>
        <w:t>naruszyły jego prawo do domniemania niewinności.</w:t>
      </w:r>
    </w:p>
    <w:p w14:paraId="37A4C908" w14:textId="21C3E995" w:rsidR="0035460F" w:rsidRDefault="00921888" w:rsidP="0035460F">
      <w:pPr>
        <w:pStyle w:val="ECHRPara"/>
        <w:rPr>
          <w:noProof/>
        </w:rPr>
      </w:pPr>
      <w:fldSimple w:instr=" SEQ level0 \*arabic ">
        <w:r w:rsidR="00454999">
          <w:rPr>
            <w:noProof/>
          </w:rPr>
          <w:t>4</w:t>
        </w:r>
      </w:fldSimple>
      <w:r w:rsidR="0035460F">
        <w:t>.  W dniu 18 października 2012</w:t>
      </w:r>
      <w:r w:rsidR="008E04B6">
        <w:t xml:space="preserve"> roku</w:t>
      </w:r>
      <w:r w:rsidR="0035460F">
        <w:t xml:space="preserve"> skarga została zakomunikowana Rządowi. </w:t>
      </w:r>
    </w:p>
    <w:p w14:paraId="47C11318" w14:textId="1BCD91DC" w:rsidR="00E171C2" w:rsidRDefault="0035460F" w:rsidP="00E171C2">
      <w:pPr>
        <w:pStyle w:val="ECHRPara"/>
      </w:pPr>
      <w:r>
        <w:rPr>
          <w:noProof/>
        </w:rPr>
        <w:fldChar w:fldCharType="begin"/>
      </w:r>
      <w:r>
        <w:rPr>
          <w:noProof/>
        </w:rPr>
        <w:instrText xml:space="preserve"> SEQ level0 \*arabic </w:instrText>
      </w:r>
      <w:r>
        <w:rPr>
          <w:noProof/>
        </w:rPr>
        <w:fldChar w:fldCharType="separate"/>
      </w:r>
      <w:r w:rsidR="00454999">
        <w:rPr>
          <w:noProof/>
        </w:rPr>
        <w:t>5</w:t>
      </w:r>
      <w:r>
        <w:rPr>
          <w:noProof/>
        </w:rPr>
        <w:fldChar w:fldCharType="end"/>
      </w:r>
      <w:r>
        <w:t xml:space="preserve">.  Skarżący i Rząd wnieśli swoje uwagi co do dopuszczalności i </w:t>
      </w:r>
      <w:r w:rsidR="00E171C2">
        <w:t>przedmiotu</w:t>
      </w:r>
      <w:r w:rsidR="00127B6D">
        <w:t xml:space="preserve"> skargi</w:t>
      </w:r>
      <w:r>
        <w:t>. Rząd turecki, który został powiadomiony o swoim prawie do in</w:t>
      </w:r>
      <w:r w:rsidR="00127B6D">
        <w:t>terwencji</w:t>
      </w:r>
      <w:r>
        <w:t xml:space="preserve"> zgodnie z </w:t>
      </w:r>
      <w:r w:rsidR="002973D1">
        <w:t>artykułem</w:t>
      </w:r>
      <w:r>
        <w:t xml:space="preserve"> 36 Konwencji, nie skorzystał z tego prawa.</w:t>
      </w:r>
    </w:p>
    <w:p w14:paraId="55065BBB" w14:textId="77777777" w:rsidR="00E171C2" w:rsidRDefault="00E171C2" w:rsidP="00E171C2">
      <w:pPr>
        <w:pStyle w:val="ECHRPara"/>
      </w:pPr>
    </w:p>
    <w:p w14:paraId="6FF9F0DE" w14:textId="77777777" w:rsidR="00E171C2" w:rsidRDefault="00E171C2" w:rsidP="00E171C2">
      <w:pPr>
        <w:pStyle w:val="ECHRPara"/>
      </w:pPr>
    </w:p>
    <w:p w14:paraId="629A6FFB" w14:textId="77777777" w:rsidR="00E171C2" w:rsidRDefault="00E171C2">
      <w:pPr>
        <w:jc w:val="left"/>
      </w:pPr>
      <w:r>
        <w:br w:type="page"/>
      </w:r>
    </w:p>
    <w:p w14:paraId="59C6C96C" w14:textId="77777777" w:rsidR="0035460F" w:rsidRPr="00E171C2" w:rsidRDefault="00E171C2" w:rsidP="00E171C2">
      <w:pPr>
        <w:pStyle w:val="ECHRPara"/>
        <w:rPr>
          <w:sz w:val="28"/>
          <w:szCs w:val="28"/>
        </w:rPr>
      </w:pPr>
      <w:r w:rsidRPr="00E171C2">
        <w:rPr>
          <w:sz w:val="28"/>
          <w:szCs w:val="28"/>
        </w:rPr>
        <w:lastRenderedPageBreak/>
        <w:t>FAKTY</w:t>
      </w:r>
    </w:p>
    <w:p w14:paraId="3A2A1AE3" w14:textId="77777777" w:rsidR="0035460F" w:rsidRPr="004218BE" w:rsidRDefault="0035460F" w:rsidP="0035460F">
      <w:pPr>
        <w:pStyle w:val="ECHRHeading1"/>
      </w:pPr>
      <w:r>
        <w:t>I.  OKOLICZNOŚCI SPRAWY</w:t>
      </w:r>
    </w:p>
    <w:p w14:paraId="7C564A75" w14:textId="77777777" w:rsidR="0035460F" w:rsidRPr="00A9426A" w:rsidRDefault="0035460F" w:rsidP="0035460F">
      <w:pPr>
        <w:pStyle w:val="ECHRHeading2"/>
      </w:pPr>
      <w:r>
        <w:t>A.  Wprowadzenie do sprawy</w:t>
      </w:r>
    </w:p>
    <w:p w14:paraId="15735C19" w14:textId="77777777" w:rsidR="0035460F" w:rsidRPr="009C2870" w:rsidRDefault="00921888" w:rsidP="0035460F">
      <w:pPr>
        <w:pStyle w:val="ECHRPara"/>
      </w:pPr>
      <w:fldSimple w:instr=" SEQ level0 \*arabic ">
        <w:r w:rsidR="00454999">
          <w:rPr>
            <w:noProof/>
          </w:rPr>
          <w:t>6</w:t>
        </w:r>
      </w:fldSimple>
      <w:r w:rsidR="0035460F">
        <w:t xml:space="preserve">.  Skarżący urodził się w 1952 roku i mieszka w </w:t>
      </w:r>
      <w:r w:rsidR="00127B6D">
        <w:t>S</w:t>
      </w:r>
      <w:r w:rsidR="0035460F">
        <w:t xml:space="preserve">tambule. Jest założycielem tureckiej stacji telewizyjnej </w:t>
      </w:r>
      <w:proofErr w:type="spellStart"/>
      <w:r w:rsidR="0035460F">
        <w:t>Kanal</w:t>
      </w:r>
      <w:proofErr w:type="spellEnd"/>
      <w:r w:rsidR="0035460F">
        <w:t xml:space="preserve"> 7 oraz prezesem zarządu jej </w:t>
      </w:r>
      <w:r w:rsidR="0035460F" w:rsidRPr="00E617ED">
        <w:t>spółki operacyjnej</w:t>
      </w:r>
      <w:r w:rsidR="0035460F">
        <w:t xml:space="preserve">, </w:t>
      </w:r>
      <w:proofErr w:type="spellStart"/>
      <w:r w:rsidR="0035460F">
        <w:t>Yeni</w:t>
      </w:r>
      <w:proofErr w:type="spellEnd"/>
      <w:r w:rsidR="0035460F">
        <w:t xml:space="preserve"> </w:t>
      </w:r>
      <w:proofErr w:type="spellStart"/>
      <w:r w:rsidR="0035460F">
        <w:t>Dünya</w:t>
      </w:r>
      <w:proofErr w:type="spellEnd"/>
      <w:r w:rsidR="0035460F">
        <w:t xml:space="preserve"> </w:t>
      </w:r>
      <w:proofErr w:type="spellStart"/>
      <w:r w:rsidR="0035460F">
        <w:t>Iletisim</w:t>
      </w:r>
      <w:proofErr w:type="spellEnd"/>
      <w:r w:rsidR="0035460F">
        <w:t xml:space="preserve"> A.S. Treści programowe </w:t>
      </w:r>
      <w:proofErr w:type="spellStart"/>
      <w:r w:rsidR="0035460F">
        <w:t>Kanal</w:t>
      </w:r>
      <w:proofErr w:type="spellEnd"/>
      <w:r w:rsidR="0035460F">
        <w:t xml:space="preserve"> 7 są emitowane w skali ogólnokrajowej w Turcji oraz w Niemczech za pośrednictwem stacji telewizyjnej </w:t>
      </w:r>
      <w:proofErr w:type="spellStart"/>
      <w:r w:rsidR="0035460F">
        <w:t>Kanal</w:t>
      </w:r>
      <w:proofErr w:type="spellEnd"/>
      <w:r w:rsidR="0035460F">
        <w:t xml:space="preserve"> 7 </w:t>
      </w:r>
      <w:proofErr w:type="spellStart"/>
      <w:r w:rsidR="0035460F">
        <w:t>Int</w:t>
      </w:r>
      <w:proofErr w:type="spellEnd"/>
      <w:r w:rsidR="0035460F">
        <w:t xml:space="preserve">. Ta ostatnia jest prowadzona przez prywatne spółki z ograniczoną odpowiedzialnością założone zgodnie z prawem niemieckim oraz, od 2001 roku, przez Euro 7 </w:t>
      </w:r>
      <w:proofErr w:type="spellStart"/>
      <w:r w:rsidR="0035460F">
        <w:t>Fernseh-und</w:t>
      </w:r>
      <w:proofErr w:type="spellEnd"/>
      <w:r w:rsidR="0035460F">
        <w:t xml:space="preserve"> Marketing GmbH (</w:t>
      </w:r>
      <w:proofErr w:type="spellStart"/>
      <w:r w:rsidR="0035460F">
        <w:rPr>
          <w:i/>
        </w:rPr>
        <w:t>Gesellschaft</w:t>
      </w:r>
      <w:proofErr w:type="spellEnd"/>
      <w:r w:rsidR="0035460F">
        <w:rPr>
          <w:i/>
        </w:rPr>
        <w:t xml:space="preserve"> mit </w:t>
      </w:r>
      <w:proofErr w:type="spellStart"/>
      <w:r w:rsidR="0035460F">
        <w:rPr>
          <w:i/>
        </w:rPr>
        <w:t>beschränkter</w:t>
      </w:r>
      <w:proofErr w:type="spellEnd"/>
      <w:r w:rsidR="0035460F">
        <w:rPr>
          <w:i/>
        </w:rPr>
        <w:t xml:space="preserve"> </w:t>
      </w:r>
      <w:proofErr w:type="spellStart"/>
      <w:r w:rsidR="0035460F">
        <w:rPr>
          <w:i/>
        </w:rPr>
        <w:t>Haftung</w:t>
      </w:r>
      <w:proofErr w:type="spellEnd"/>
      <w:r w:rsidR="0035460F">
        <w:t xml:space="preserve">), w której skarżący jest jednym z udziałowców. W spółkach tych skarżący zajmował </w:t>
      </w:r>
      <w:r w:rsidR="00D2387F">
        <w:t>kolejno</w:t>
      </w:r>
      <w:r w:rsidR="0035460F">
        <w:t xml:space="preserve"> stanowisko dyrektora zarządzającego (</w:t>
      </w:r>
      <w:proofErr w:type="spellStart"/>
      <w:r w:rsidR="0035460F">
        <w:rPr>
          <w:i/>
        </w:rPr>
        <w:t>Geschäftsführer</w:t>
      </w:r>
      <w:proofErr w:type="spellEnd"/>
      <w:r w:rsidR="0035460F">
        <w:t>)</w:t>
      </w:r>
      <w:r w:rsidR="00D2387F">
        <w:t xml:space="preserve"> oraz</w:t>
      </w:r>
      <w:r w:rsidR="0035460F">
        <w:t xml:space="preserve"> osoby upoważnionej do reprezentacji - prokurenta (</w:t>
      </w:r>
      <w:proofErr w:type="spellStart"/>
      <w:r w:rsidR="0035460F">
        <w:rPr>
          <w:i/>
        </w:rPr>
        <w:t>Prokurist</w:t>
      </w:r>
      <w:proofErr w:type="spellEnd"/>
      <w:r w:rsidR="0035460F">
        <w:t>).</w:t>
      </w:r>
    </w:p>
    <w:p w14:paraId="05A0ECA6" w14:textId="60C07751" w:rsidR="0035460F" w:rsidRPr="009C2870" w:rsidRDefault="00921888" w:rsidP="0035460F">
      <w:pPr>
        <w:pStyle w:val="ECHRPara"/>
      </w:pPr>
      <w:fldSimple w:instr=" SEQ level0 \*arabic ">
        <w:r w:rsidR="00454999">
          <w:rPr>
            <w:noProof/>
          </w:rPr>
          <w:t>7</w:t>
        </w:r>
      </w:fldSimple>
      <w:r w:rsidR="0035460F">
        <w:t>.  Od 1998 roku, konkretne pasmo programowe w ramach ramówki kanału zostało przydzielone stowarzyszeniu no</w:t>
      </w:r>
      <w:r w:rsidR="00127B6D">
        <w:t>n</w:t>
      </w:r>
      <w:r w:rsidR="0035460F">
        <w:t xml:space="preserve"> profit, </w:t>
      </w:r>
      <w:proofErr w:type="spellStart"/>
      <w:r w:rsidR="0035460F">
        <w:t>Deniz</w:t>
      </w:r>
      <w:proofErr w:type="spellEnd"/>
      <w:r w:rsidR="0035460F">
        <w:t xml:space="preserve"> </w:t>
      </w:r>
      <w:proofErr w:type="spellStart"/>
      <w:r w:rsidR="0035460F">
        <w:t>Feneri</w:t>
      </w:r>
      <w:proofErr w:type="spellEnd"/>
      <w:r w:rsidR="0035460F">
        <w:t xml:space="preserve"> </w:t>
      </w:r>
      <w:proofErr w:type="spellStart"/>
      <w:r w:rsidR="0035460F">
        <w:t>Yardimlasma</w:t>
      </w:r>
      <w:proofErr w:type="spellEnd"/>
      <w:r w:rsidR="0035460F">
        <w:t xml:space="preserve"> </w:t>
      </w:r>
      <w:proofErr w:type="spellStart"/>
      <w:r w:rsidR="0035460F">
        <w:t>Dernegi</w:t>
      </w:r>
      <w:proofErr w:type="spellEnd"/>
      <w:r w:rsidR="0035460F">
        <w:t xml:space="preserve">, założonemu m.in. przez szefa ds. zasobów ludzkich </w:t>
      </w:r>
      <w:proofErr w:type="spellStart"/>
      <w:r w:rsidR="0035460F">
        <w:t>Kanal</w:t>
      </w:r>
      <w:proofErr w:type="spellEnd"/>
      <w:r w:rsidR="0035460F">
        <w:t xml:space="preserve"> 7, który był również członkiem zarządu stowarzyszenia. Podczas tego programu, emitowanego w Turcji i Niemczech, stowarzyszenie podało informacje na temat realizowanych przez nie </w:t>
      </w:r>
      <w:r w:rsidR="00C97C20">
        <w:t xml:space="preserve">charytatywnych </w:t>
      </w:r>
      <w:r w:rsidR="0035460F">
        <w:t xml:space="preserve">projektów </w:t>
      </w:r>
      <w:r w:rsidR="00C97C20">
        <w:t xml:space="preserve">pomocowych </w:t>
      </w:r>
      <w:r w:rsidR="0035460F">
        <w:t xml:space="preserve">i wystąpiło o darowizny pieniężne. W 1999 roku, podobne stowarzyszenie zostało założone w Niemczech pod nazwą </w:t>
      </w:r>
      <w:proofErr w:type="spellStart"/>
      <w:r w:rsidR="0035460F">
        <w:t>Deniz</w:t>
      </w:r>
      <w:proofErr w:type="spellEnd"/>
      <w:r w:rsidR="0035460F">
        <w:t xml:space="preserve"> </w:t>
      </w:r>
      <w:proofErr w:type="spellStart"/>
      <w:r w:rsidR="0035460F">
        <w:t>Feneri</w:t>
      </w:r>
      <w:proofErr w:type="spellEnd"/>
      <w:r w:rsidR="0035460F">
        <w:t xml:space="preserve"> </w:t>
      </w:r>
      <w:proofErr w:type="spellStart"/>
      <w:r w:rsidR="0035460F">
        <w:t>Dernegi</w:t>
      </w:r>
      <w:proofErr w:type="spellEnd"/>
      <w:r w:rsidR="0035460F">
        <w:t xml:space="preserve"> </w:t>
      </w:r>
      <w:proofErr w:type="spellStart"/>
      <w:r w:rsidR="0035460F">
        <w:t>e.V</w:t>
      </w:r>
      <w:proofErr w:type="spellEnd"/>
      <w:r w:rsidR="0035460F">
        <w:t>. (w dalszej części „</w:t>
      </w:r>
      <w:proofErr w:type="spellStart"/>
      <w:r w:rsidR="0035460F">
        <w:t>Deniz</w:t>
      </w:r>
      <w:proofErr w:type="spellEnd"/>
      <w:r w:rsidR="0035460F">
        <w:t xml:space="preserve"> </w:t>
      </w:r>
      <w:proofErr w:type="spellStart"/>
      <w:r w:rsidR="0035460F">
        <w:t>Feneri</w:t>
      </w:r>
      <w:proofErr w:type="spellEnd"/>
      <w:r w:rsidR="0035460F">
        <w:t xml:space="preserve">”) przez G., jednego z pozostałych udziałowców i dyrektorów zarządzających lub, alternatywnie, upoważnionych przedstawicieli Euro 7 </w:t>
      </w:r>
      <w:proofErr w:type="spellStart"/>
      <w:r w:rsidR="0035460F">
        <w:t>Fernseh</w:t>
      </w:r>
      <w:proofErr w:type="spellEnd"/>
      <w:r w:rsidR="0035460F">
        <w:t xml:space="preserve">- </w:t>
      </w:r>
      <w:proofErr w:type="spellStart"/>
      <w:r w:rsidR="0035460F">
        <w:t>und</w:t>
      </w:r>
      <w:proofErr w:type="spellEnd"/>
      <w:r w:rsidR="0035460F">
        <w:t xml:space="preserve"> Marketing GmbH. G. został również powołany na stanowisko pr</w:t>
      </w:r>
      <w:r w:rsidR="00C97C20">
        <w:t>ezesa</w:t>
      </w:r>
      <w:r w:rsidR="0035460F">
        <w:t xml:space="preserve"> stowarzyszenia i pozostał na tym stanowisku do 2006 roku. W swoich apelach o darowizny emitowanych w telewizji, </w:t>
      </w:r>
      <w:proofErr w:type="spellStart"/>
      <w:r w:rsidR="0035460F">
        <w:t>Deniz</w:t>
      </w:r>
      <w:proofErr w:type="spellEnd"/>
      <w:r w:rsidR="0035460F">
        <w:t xml:space="preserve"> </w:t>
      </w:r>
      <w:proofErr w:type="spellStart"/>
      <w:r w:rsidR="0035460F">
        <w:t>Feneri</w:t>
      </w:r>
      <w:proofErr w:type="spellEnd"/>
      <w:r w:rsidR="0035460F">
        <w:t xml:space="preserve"> podkreślało, że darowane środki zostaną przeznaczone bezpośrednio i wyłącznie na cele charytatywne oraz na finansowanie projektów społecznych.</w:t>
      </w:r>
    </w:p>
    <w:p w14:paraId="09A34D50" w14:textId="77777777" w:rsidR="0035460F" w:rsidRDefault="00921888" w:rsidP="0035460F">
      <w:pPr>
        <w:pStyle w:val="ECHRPara"/>
      </w:pPr>
      <w:fldSimple w:instr=" SEQ level0 \*arabic ">
        <w:r w:rsidR="00454999">
          <w:rPr>
            <w:noProof/>
          </w:rPr>
          <w:t>8</w:t>
        </w:r>
      </w:fldSimple>
      <w:r w:rsidR="0035460F">
        <w:t>.  W 2006 roku, organy ścigania we Frankfurcie nad Menem (</w:t>
      </w:r>
      <w:proofErr w:type="spellStart"/>
      <w:r w:rsidR="0035460F">
        <w:rPr>
          <w:i/>
        </w:rPr>
        <w:t>Staatsanwaltschaft</w:t>
      </w:r>
      <w:proofErr w:type="spellEnd"/>
      <w:r w:rsidR="0035460F">
        <w:t xml:space="preserve">) wszczęły dochodzenie przeciwko skarżącemu oraz kilku innym </w:t>
      </w:r>
      <w:proofErr w:type="spellStart"/>
      <w:r w:rsidR="0035460F">
        <w:t>współpodejrzanym</w:t>
      </w:r>
      <w:proofErr w:type="spellEnd"/>
      <w:r w:rsidR="0035460F">
        <w:t>, w tym G., w związku z podejrzeniem zdefraudowania przez nich większości środków darowanych na rzecz stowarzyszenia i przeznaczenia na cele komercyjne oraz dla ich własnej korzyści.</w:t>
      </w:r>
    </w:p>
    <w:p w14:paraId="58D9A198" w14:textId="77777777" w:rsidR="0035460F" w:rsidRPr="009C2870" w:rsidRDefault="00921888" w:rsidP="0035460F">
      <w:pPr>
        <w:pStyle w:val="ECHRPara"/>
      </w:pPr>
      <w:fldSimple w:instr=" SEQ level0 \*arabic ">
        <w:r w:rsidR="00454999">
          <w:rPr>
            <w:noProof/>
          </w:rPr>
          <w:t>9</w:t>
        </w:r>
      </w:fldSimple>
      <w:r w:rsidR="0035460F">
        <w:t xml:space="preserve">.  W dniu 11 marca 2008 roku, postępowanie przygotowawcze przeciwko skarżącemu zostało wyłączone z dochodzenia prowadzonego przeciwko </w:t>
      </w:r>
      <w:proofErr w:type="spellStart"/>
      <w:r w:rsidR="0035460F">
        <w:t>współpodejrzanym</w:t>
      </w:r>
      <w:proofErr w:type="spellEnd"/>
      <w:r w:rsidR="0035460F">
        <w:t>.</w:t>
      </w:r>
    </w:p>
    <w:p w14:paraId="30193284" w14:textId="77777777" w:rsidR="0035460F" w:rsidRPr="009C2870" w:rsidRDefault="00921888" w:rsidP="0035460F">
      <w:pPr>
        <w:pStyle w:val="ECHRPara"/>
      </w:pPr>
      <w:fldSimple w:instr=" SEQ level0 \*arabic ">
        <w:r w:rsidR="00454999">
          <w:rPr>
            <w:noProof/>
          </w:rPr>
          <w:t>10</w:t>
        </w:r>
      </w:fldSimple>
      <w:r w:rsidR="0035460F">
        <w:t>.  W połowie 2008 roku, dochodzenie, oparte o te same zarzuty dotyczące defraudacji, zostało wszczęte przeciwko skarżącemu również w Turcji.</w:t>
      </w:r>
    </w:p>
    <w:p w14:paraId="51B3B3D0" w14:textId="77777777" w:rsidR="0035460F" w:rsidRPr="00A9426A" w:rsidRDefault="0035460F" w:rsidP="0035460F">
      <w:pPr>
        <w:pStyle w:val="ECHRHeading2"/>
      </w:pPr>
      <w:r>
        <w:t xml:space="preserve">B.  Postępowanie karne przeciwko </w:t>
      </w:r>
      <w:proofErr w:type="spellStart"/>
      <w:r>
        <w:t>współ</w:t>
      </w:r>
      <w:r w:rsidR="00DB4D06">
        <w:t>podejrzanym</w:t>
      </w:r>
      <w:proofErr w:type="spellEnd"/>
    </w:p>
    <w:p w14:paraId="760625CD" w14:textId="058B2283" w:rsidR="0035460F" w:rsidRPr="009C2870" w:rsidRDefault="00921888" w:rsidP="0035460F">
      <w:pPr>
        <w:pStyle w:val="ECHRPara"/>
      </w:pPr>
      <w:fldSimple w:instr=" SEQ level0 \*arabic ">
        <w:r w:rsidR="00454999">
          <w:rPr>
            <w:noProof/>
          </w:rPr>
          <w:t>11</w:t>
        </w:r>
      </w:fldSimple>
      <w:r w:rsidR="0035460F">
        <w:t xml:space="preserve">.  Wyrokiem, którego sentencja wraz z podsumowaniem uzasadnienia została ogłoszona ustnie w dniu 17 września 2008 roku (sygn. akt 5/26 </w:t>
      </w:r>
      <w:proofErr w:type="spellStart"/>
      <w:r w:rsidR="0035460F">
        <w:t>Kls</w:t>
      </w:r>
      <w:proofErr w:type="spellEnd"/>
      <w:r w:rsidR="0035460F">
        <w:t xml:space="preserve"> 6350 </w:t>
      </w:r>
      <w:proofErr w:type="spellStart"/>
      <w:r w:rsidR="0035460F">
        <w:t>Js</w:t>
      </w:r>
      <w:proofErr w:type="spellEnd"/>
      <w:r w:rsidR="0035460F">
        <w:t> 203391/06 4/08), Wielka Izba ds. Przestępstw Gospodarczych (</w:t>
      </w:r>
      <w:proofErr w:type="spellStart"/>
      <w:r w:rsidR="0035460F">
        <w:rPr>
          <w:i/>
        </w:rPr>
        <w:t>Große</w:t>
      </w:r>
      <w:proofErr w:type="spellEnd"/>
      <w:r w:rsidR="0035460F">
        <w:rPr>
          <w:i/>
        </w:rPr>
        <w:t xml:space="preserve"> </w:t>
      </w:r>
      <w:proofErr w:type="spellStart"/>
      <w:r w:rsidR="0035460F">
        <w:rPr>
          <w:i/>
        </w:rPr>
        <w:t>Strafkammer</w:t>
      </w:r>
      <w:proofErr w:type="spellEnd"/>
      <w:r w:rsidR="0035460F">
        <w:rPr>
          <w:i/>
        </w:rPr>
        <w:t xml:space="preserve"> </w:t>
      </w:r>
      <w:proofErr w:type="spellStart"/>
      <w:r w:rsidR="0035460F">
        <w:rPr>
          <w:i/>
        </w:rPr>
        <w:t>als</w:t>
      </w:r>
      <w:proofErr w:type="spellEnd"/>
      <w:r w:rsidR="0035460F">
        <w:rPr>
          <w:i/>
        </w:rPr>
        <w:t xml:space="preserve"> </w:t>
      </w:r>
      <w:proofErr w:type="spellStart"/>
      <w:r w:rsidR="0035460F">
        <w:rPr>
          <w:i/>
        </w:rPr>
        <w:t>Wirtschaftsstrafkammer</w:t>
      </w:r>
      <w:proofErr w:type="spellEnd"/>
      <w:r w:rsidR="0035460F">
        <w:t xml:space="preserve">) Sądu Okręgowego we Frankfurcie nad Menem skazała dwóch ze </w:t>
      </w:r>
      <w:proofErr w:type="spellStart"/>
      <w:r w:rsidR="0035460F">
        <w:t>współpodejrzanych</w:t>
      </w:r>
      <w:proofErr w:type="spellEnd"/>
      <w:r w:rsidR="0035460F">
        <w:t xml:space="preserve"> skarżącego, G. i T., za popełnienie poważnego oszustwa (</w:t>
      </w:r>
      <w:proofErr w:type="spellStart"/>
      <w:r w:rsidR="0035460F">
        <w:rPr>
          <w:i/>
        </w:rPr>
        <w:t>Betrug</w:t>
      </w:r>
      <w:proofErr w:type="spellEnd"/>
      <w:r w:rsidR="0035460F">
        <w:rPr>
          <w:i/>
        </w:rPr>
        <w:t xml:space="preserve"> in </w:t>
      </w:r>
      <w:proofErr w:type="spellStart"/>
      <w:r w:rsidR="0035460F">
        <w:rPr>
          <w:i/>
        </w:rPr>
        <w:t>einem</w:t>
      </w:r>
      <w:proofErr w:type="spellEnd"/>
      <w:r w:rsidR="0035460F">
        <w:rPr>
          <w:i/>
        </w:rPr>
        <w:t xml:space="preserve"> </w:t>
      </w:r>
      <w:proofErr w:type="spellStart"/>
      <w:r w:rsidR="0035460F">
        <w:rPr>
          <w:i/>
        </w:rPr>
        <w:t>besonders</w:t>
      </w:r>
      <w:proofErr w:type="spellEnd"/>
      <w:r w:rsidR="0035460F">
        <w:rPr>
          <w:i/>
        </w:rPr>
        <w:t xml:space="preserve"> </w:t>
      </w:r>
      <w:proofErr w:type="spellStart"/>
      <w:r w:rsidR="0035460F">
        <w:rPr>
          <w:i/>
        </w:rPr>
        <w:t>schweren</w:t>
      </w:r>
      <w:proofErr w:type="spellEnd"/>
      <w:r w:rsidR="0035460F">
        <w:rPr>
          <w:i/>
        </w:rPr>
        <w:t xml:space="preserve"> Fall</w:t>
      </w:r>
      <w:r w:rsidR="0035460F">
        <w:t>)</w:t>
      </w:r>
      <w:r w:rsidR="00C97C20">
        <w:t>,</w:t>
      </w:r>
      <w:r w:rsidR="0035460F">
        <w:t xml:space="preserve"> </w:t>
      </w:r>
      <w:r w:rsidR="00127B6D">
        <w:t xml:space="preserve">przyjmując, że </w:t>
      </w:r>
      <w:r w:rsidR="0035460F">
        <w:t>działa</w:t>
      </w:r>
      <w:r w:rsidR="00127B6D">
        <w:t>li</w:t>
      </w:r>
      <w:r w:rsidR="0035460F">
        <w:t xml:space="preserve"> jako członkowie zorganizowanej grupy przestępczej </w:t>
      </w:r>
      <w:r w:rsidR="00127B6D">
        <w:t>kierowanej</w:t>
      </w:r>
      <w:r w:rsidR="0035460F">
        <w:t xml:space="preserve"> przez liderów w Turcji. Kolejny </w:t>
      </w:r>
      <w:proofErr w:type="spellStart"/>
      <w:r w:rsidR="0035460F">
        <w:t>współpodejrzany</w:t>
      </w:r>
      <w:proofErr w:type="spellEnd"/>
      <w:r w:rsidR="0035460F">
        <w:t>, E., został skazany za pomocnictwo i nakłanianie do popełnienia przestępstwa. G. i T. zostali skazani na kar</w:t>
      </w:r>
      <w:r w:rsidR="00C97C20">
        <w:t xml:space="preserve">ę pozbawienia wolności na okres, odpowiednio, </w:t>
      </w:r>
      <w:r w:rsidR="0035460F">
        <w:t>pięciu lat i dziesięciu miesięcy oraz</w:t>
      </w:r>
      <w:r w:rsidR="00C97C20">
        <w:t xml:space="preserve"> </w:t>
      </w:r>
      <w:r w:rsidR="0035460F">
        <w:t xml:space="preserve">dwóch lat i dziewięciu miesięcy, podczas gdy E. otrzymał karę pozbawienia wolności w zawieszeniu w wymiarze jednego roku i siedmiu miesięcy. </w:t>
      </w:r>
      <w:r w:rsidR="00127B6D">
        <w:t>W</w:t>
      </w:r>
      <w:r w:rsidR="0035460F">
        <w:t xml:space="preserve">yrok, z </w:t>
      </w:r>
      <w:r w:rsidR="00127B6D">
        <w:t>pełnym</w:t>
      </w:r>
      <w:r w:rsidR="0035460F">
        <w:t xml:space="preserve"> uzasadnieniem został następnie </w:t>
      </w:r>
      <w:r w:rsidR="00127B6D">
        <w:t>sporządzony</w:t>
      </w:r>
      <w:r w:rsidR="0035460F">
        <w:t xml:space="preserve"> na piśmie w okresie między 17 września a początkiem listopada 2008 roku.</w:t>
      </w:r>
    </w:p>
    <w:p w14:paraId="64E5113F" w14:textId="77777777" w:rsidR="0035460F" w:rsidRPr="009C2870" w:rsidRDefault="00921888" w:rsidP="0035460F">
      <w:pPr>
        <w:pStyle w:val="ECHRPara"/>
        <w:rPr>
          <w:i/>
        </w:rPr>
      </w:pPr>
      <w:fldSimple w:instr=" SEQ level0 \*arabic ">
        <w:r w:rsidR="00454999">
          <w:rPr>
            <w:noProof/>
          </w:rPr>
          <w:t>12</w:t>
        </w:r>
      </w:fldSimple>
      <w:r w:rsidR="0035460F">
        <w:t>.  Sąd Okręgowy uznał za udowodnione, że G. stworzył i utrzymywał złożony system,</w:t>
      </w:r>
      <w:r w:rsidR="00127B6D">
        <w:t xml:space="preserve"> w celu </w:t>
      </w:r>
      <w:r w:rsidR="0035460F">
        <w:t>ukryci</w:t>
      </w:r>
      <w:r w:rsidR="00127B6D">
        <w:t>a</w:t>
      </w:r>
      <w:r w:rsidR="0035460F">
        <w:t xml:space="preserve"> faktu, że większość darowizn otrzymanych, zgodnie z reklamą </w:t>
      </w:r>
      <w:proofErr w:type="spellStart"/>
      <w:r w:rsidR="0035460F">
        <w:t>Deniz</w:t>
      </w:r>
      <w:proofErr w:type="spellEnd"/>
      <w:r w:rsidR="0035460F">
        <w:t xml:space="preserve"> </w:t>
      </w:r>
      <w:proofErr w:type="spellStart"/>
      <w:r w:rsidR="0035460F">
        <w:t>Feneri</w:t>
      </w:r>
      <w:proofErr w:type="spellEnd"/>
      <w:r w:rsidR="0035460F">
        <w:t>,</w:t>
      </w:r>
      <w:r w:rsidR="00127B6D" w:rsidRPr="00127B6D">
        <w:t xml:space="preserve"> </w:t>
      </w:r>
      <w:r w:rsidR="00127B6D">
        <w:t>na cele charytatywne,</w:t>
      </w:r>
      <w:r w:rsidR="0035460F">
        <w:t xml:space="preserve"> została w istocie przeznaczona i wykorzystana na finansowanie działalności gospodarczej prywatnych podmiotów, w których m.in. G. oraz skarżący byli udziałowcami. Na polecenie G., T. przyczynił się do oszukańcz</w:t>
      </w:r>
      <w:r w:rsidR="00127B6D">
        <w:t>ego procederu</w:t>
      </w:r>
      <w:r w:rsidR="0035460F">
        <w:t xml:space="preserve"> poprzez m.in. sfabrykowanie protokołów z wirtualnych posiedzeń stowarzyszenia </w:t>
      </w:r>
      <w:proofErr w:type="spellStart"/>
      <w:r w:rsidR="0035460F">
        <w:t>Deniz</w:t>
      </w:r>
      <w:proofErr w:type="spellEnd"/>
      <w:r w:rsidR="0035460F">
        <w:t xml:space="preserve"> </w:t>
      </w:r>
      <w:proofErr w:type="spellStart"/>
      <w:r w:rsidR="0035460F">
        <w:t>Feneri</w:t>
      </w:r>
      <w:proofErr w:type="spellEnd"/>
      <w:r w:rsidR="0035460F">
        <w:t xml:space="preserve"> w celu ukrycia </w:t>
      </w:r>
      <w:r w:rsidR="002548FB">
        <w:t xml:space="preserve">przed organami podatkowymi </w:t>
      </w:r>
      <w:r w:rsidR="0035460F">
        <w:t>faktu nieupoważnionego wykorzystania darowanych środków. E., ze swojej strony, również działając na polecenie G., pominął faktyczne wykorzystanie darowizn we wpisach do oficjalnych ksiąg rachunkowych stowarzyszenia i udokumentował je w osobnych, nieoficjalnych księgach (</w:t>
      </w:r>
      <w:proofErr w:type="spellStart"/>
      <w:r w:rsidR="0035460F">
        <w:rPr>
          <w:i/>
        </w:rPr>
        <w:t>Nebenbuchhaltung</w:t>
      </w:r>
      <w:proofErr w:type="spellEnd"/>
      <w:r w:rsidR="0035460F">
        <w:t>).</w:t>
      </w:r>
    </w:p>
    <w:p w14:paraId="42D38DC1" w14:textId="77777777" w:rsidR="0035460F" w:rsidRPr="009C2870" w:rsidRDefault="00921888" w:rsidP="0035460F">
      <w:pPr>
        <w:pStyle w:val="ECHRPara"/>
      </w:pPr>
      <w:fldSimple w:instr=" SEQ level0 \*arabic ">
        <w:r w:rsidR="00454999">
          <w:rPr>
            <w:noProof/>
          </w:rPr>
          <w:t>13</w:t>
        </w:r>
      </w:fldSimple>
      <w:r w:rsidR="0035460F">
        <w:t>.  Ustalenia sądu głównie opierały się</w:t>
      </w:r>
      <w:r w:rsidR="002548FB">
        <w:t xml:space="preserve"> na</w:t>
      </w:r>
      <w:r w:rsidR="0035460F">
        <w:t xml:space="preserve"> zeznania</w:t>
      </w:r>
      <w:r w:rsidR="002548FB">
        <w:t>ch</w:t>
      </w:r>
      <w:r w:rsidR="0035460F">
        <w:t xml:space="preserve"> złożon</w:t>
      </w:r>
      <w:r w:rsidR="002548FB">
        <w:t>ych</w:t>
      </w:r>
      <w:r w:rsidR="0035460F">
        <w:t xml:space="preserve"> przez T., E. i G. po </w:t>
      </w:r>
      <w:r w:rsidR="002548FB">
        <w:t>zawarciu</w:t>
      </w:r>
      <w:r w:rsidR="0035460F">
        <w:t xml:space="preserve"> ugody między sądem, prokuratorem a obrońcą, a także </w:t>
      </w:r>
      <w:r w:rsidR="002548FB">
        <w:t>na</w:t>
      </w:r>
      <w:r w:rsidR="0035460F">
        <w:t xml:space="preserve"> dalsz</w:t>
      </w:r>
      <w:r w:rsidR="002548FB">
        <w:t>ych</w:t>
      </w:r>
      <w:r w:rsidR="0035460F">
        <w:t xml:space="preserve"> dowod</w:t>
      </w:r>
      <w:r w:rsidR="002548FB">
        <w:t>ach</w:t>
      </w:r>
      <w:r w:rsidR="0035460F">
        <w:t xml:space="preserve"> uzyskan</w:t>
      </w:r>
      <w:r w:rsidR="002548FB">
        <w:t>ych</w:t>
      </w:r>
      <w:r w:rsidR="0035460F">
        <w:t xml:space="preserve"> w trakcie </w:t>
      </w:r>
      <w:r w:rsidR="00DB4D06">
        <w:t>rozpraw</w:t>
      </w:r>
      <w:r w:rsidR="0035460F">
        <w:t>. Podczas gdy G. utrzymywał, że samodzielnie podjął decyzję na temat sposobu wykorzystania środków, bez konsultacji z żadnymi osobami kontaktowymi w Turcji, T. i E. zeznali, że G. był częścią hierarchii grupy przestępczej, której liderzy znajdowali się w Turcji i w której skarżący odgrywał wiodącą rolę. Zgodnie z zeznaniami T.</w:t>
      </w:r>
      <w:r w:rsidR="00C97C20">
        <w:t xml:space="preserve"> i</w:t>
      </w:r>
      <w:r w:rsidR="0035460F">
        <w:t xml:space="preserve"> E., G. musiał uzyskać wcześniejszą zgodę skarżącego na wszystkie istotne decyzje dotyczące wykorzystania darowizn uzyskanych przez stowarzyszenie. W związku z tym, sąd przyjął fakt, że G. nie znajdował </w:t>
      </w:r>
      <w:r w:rsidR="0035460F">
        <w:lastRenderedPageBreak/>
        <w:t>się na samym szczycie hierarchii grupy przestępczej, tylko otrzymywał rozkazy od jej liderów zamieszkałych w Turcji.</w:t>
      </w:r>
    </w:p>
    <w:p w14:paraId="48F20638" w14:textId="305CCC86" w:rsidR="0035460F" w:rsidRDefault="00921888" w:rsidP="0035460F">
      <w:pPr>
        <w:pStyle w:val="ECHRPara"/>
      </w:pPr>
      <w:fldSimple w:instr=" SEQ level0 \*arabic ">
        <w:r w:rsidR="00454999">
          <w:rPr>
            <w:noProof/>
          </w:rPr>
          <w:t>14</w:t>
        </w:r>
      </w:fldSimple>
      <w:r w:rsidR="0035460F">
        <w:t xml:space="preserve">.  Uzasadnienie wyroku podzielone jest na sześć części ponumerowanych </w:t>
      </w:r>
      <w:r w:rsidR="002548FB">
        <w:t>cyframi</w:t>
      </w:r>
      <w:r w:rsidR="00C97C20" w:rsidRPr="00C97C20">
        <w:t xml:space="preserve"> </w:t>
      </w:r>
      <w:r w:rsidR="00C97C20">
        <w:t>rzymskimi</w:t>
      </w:r>
      <w:r w:rsidR="0035460F">
        <w:t>. Część I zawiera informacje dotyczące danych osobowych oskarżonych. Część II zawiera opis okoliczności sprawy. Część III opisuje rodzaj dowodów, na jakich Sąd</w:t>
      </w:r>
      <w:r w:rsidR="002548FB">
        <w:t xml:space="preserve"> Okręgowy oparł swoje ustalenia</w:t>
      </w:r>
      <w:r w:rsidR="0035460F">
        <w:t xml:space="preserve">, a także ocenę prawdziwości i wiarygodności tych dowodów. Części IV i V zawierają ocenę prawną przestępstw popełnionych przez oskarżonych, </w:t>
      </w:r>
      <w:r w:rsidR="00C04127">
        <w:t>stwierdzenie</w:t>
      </w:r>
      <w:r w:rsidR="0035460F">
        <w:t xml:space="preserve"> ich winy oraz zasądzenie kar</w:t>
      </w:r>
      <w:r w:rsidR="002548FB">
        <w:t>y</w:t>
      </w:r>
      <w:r w:rsidR="0035460F">
        <w:t xml:space="preserve">. Część VI przewiduje, że oskarżeni mają ponieść koszty postępowania. Wyrok odnosi się </w:t>
      </w:r>
      <w:r w:rsidR="002548FB">
        <w:t>w kilku miejscach</w:t>
      </w:r>
      <w:r w:rsidR="0035460F">
        <w:t xml:space="preserve"> do roli, jaką </w:t>
      </w:r>
      <w:r w:rsidR="002548FB">
        <w:t xml:space="preserve">odgrywali przywódcy </w:t>
      </w:r>
      <w:r w:rsidR="0035460F">
        <w:t>grup</w:t>
      </w:r>
      <w:r w:rsidR="002548FB">
        <w:t xml:space="preserve">y </w:t>
      </w:r>
      <w:r w:rsidR="0035460F">
        <w:t xml:space="preserve">w Turcji w związku z wykorzystaniem darowanych środków na cele nie będące celami charytatywnymi. W tym kontekście, pełne imię i nazwisko skarżącego zostało wymienione wielokrotnie w wyroku obejmującym </w:t>
      </w:r>
      <w:r w:rsidR="002548FB">
        <w:t>około</w:t>
      </w:r>
      <w:r w:rsidR="0035460F">
        <w:t xml:space="preserve"> trzydzie</w:t>
      </w:r>
      <w:r w:rsidR="002548FB">
        <w:t>stu dwóch</w:t>
      </w:r>
      <w:r w:rsidR="0035460F">
        <w:t xml:space="preserve"> stron. Do najbardziej istotnych fragmentów wyroku w częściach II do V uzasadnienia należą:</w:t>
      </w:r>
    </w:p>
    <w:p w14:paraId="07E57BC6" w14:textId="77777777" w:rsidR="0035460F" w:rsidRPr="004B43DE" w:rsidRDefault="0035460F" w:rsidP="0035460F">
      <w:pPr>
        <w:pStyle w:val="ECHRTitleCentre3"/>
      </w:pPr>
      <w:r>
        <w:rPr>
          <w:b w:val="0"/>
        </w:rPr>
        <w:t>„</w:t>
      </w:r>
      <w:r>
        <w:t>II.</w:t>
      </w:r>
    </w:p>
    <w:p w14:paraId="09C9FDDA" w14:textId="77777777" w:rsidR="0035460F" w:rsidRDefault="0035460F" w:rsidP="0035460F">
      <w:pPr>
        <w:pStyle w:val="ECHRParaQuote"/>
      </w:pPr>
      <w:r>
        <w:t>...</w:t>
      </w:r>
    </w:p>
    <w:p w14:paraId="251C3A09" w14:textId="731F099E" w:rsidR="0035460F" w:rsidRPr="009C2870" w:rsidRDefault="0035460F" w:rsidP="0035460F">
      <w:pPr>
        <w:pStyle w:val="ECHRParaQuote"/>
      </w:pPr>
      <w:r>
        <w:t>Ani przewodniczący stowarzyszenia, ani zarejestrowani członkowie stowarzyszenia [</w:t>
      </w:r>
      <w:proofErr w:type="spellStart"/>
      <w:r>
        <w:t>Deniz</w:t>
      </w:r>
      <w:proofErr w:type="spellEnd"/>
      <w:r>
        <w:t xml:space="preserve"> </w:t>
      </w:r>
      <w:proofErr w:type="spellStart"/>
      <w:r>
        <w:t>Feneri</w:t>
      </w:r>
      <w:proofErr w:type="spellEnd"/>
      <w:r>
        <w:t>] nie decydowali o wykorzystaniu środków uzyskanych w imieniu stowarzyszenia, lecz oskarżony G. we współpracy i na polecenie oskarżonych objętych postępowaniem</w:t>
      </w:r>
      <w:r w:rsidR="004653DE" w:rsidRPr="004653DE">
        <w:t xml:space="preserve"> </w:t>
      </w:r>
      <w:r w:rsidR="004653DE">
        <w:t>odrębnym</w:t>
      </w:r>
      <w:r>
        <w:t>, (</w:t>
      </w:r>
      <w:proofErr w:type="spellStart"/>
      <w:r>
        <w:rPr>
          <w:i/>
        </w:rPr>
        <w:t>gesondert</w:t>
      </w:r>
      <w:proofErr w:type="spellEnd"/>
      <w:r>
        <w:rPr>
          <w:i/>
        </w:rPr>
        <w:t xml:space="preserve"> </w:t>
      </w:r>
      <w:proofErr w:type="spellStart"/>
      <w:r>
        <w:rPr>
          <w:i/>
        </w:rPr>
        <w:t>Verfolgte</w:t>
      </w:r>
      <w:proofErr w:type="spellEnd"/>
      <w:r>
        <w:t xml:space="preserve">) </w:t>
      </w:r>
      <w:proofErr w:type="spellStart"/>
      <w:r>
        <w:t>Zekeriya</w:t>
      </w:r>
      <w:proofErr w:type="spellEnd"/>
      <w:r>
        <w:t xml:space="preserve"> </w:t>
      </w:r>
      <w:proofErr w:type="spellStart"/>
      <w:r>
        <w:t>Karamana</w:t>
      </w:r>
      <w:proofErr w:type="spellEnd"/>
      <w:r>
        <w:t>, ..., ... oraz..., ... (str. 8 do 9)</w:t>
      </w:r>
    </w:p>
    <w:p w14:paraId="46EB3AB2" w14:textId="77777777" w:rsidR="0035460F" w:rsidRPr="004B43DE" w:rsidRDefault="0035460F" w:rsidP="0035460F">
      <w:pPr>
        <w:pStyle w:val="ECHRParaQuote"/>
      </w:pPr>
      <w:r>
        <w:t>...</w:t>
      </w:r>
    </w:p>
    <w:p w14:paraId="493786D2" w14:textId="6AE6099C" w:rsidR="0035460F" w:rsidRPr="009C2870" w:rsidRDefault="0035460F" w:rsidP="0035460F">
      <w:pPr>
        <w:pStyle w:val="ECHRParaQuote"/>
      </w:pPr>
      <w:r>
        <w:t xml:space="preserve">Oskarżony G. oraz osoby prowadzące </w:t>
      </w:r>
      <w:proofErr w:type="spellStart"/>
      <w:r>
        <w:t>Kanal</w:t>
      </w:r>
      <w:proofErr w:type="spellEnd"/>
      <w:r>
        <w:t xml:space="preserve"> 7 w Turcji byli ... świadomi, że darowizny zebrane w imieniu niemieckiego stowarzyszenia [</w:t>
      </w:r>
      <w:proofErr w:type="spellStart"/>
      <w:r>
        <w:t>Deniz</w:t>
      </w:r>
      <w:proofErr w:type="spellEnd"/>
      <w:r>
        <w:t xml:space="preserve"> </w:t>
      </w:r>
      <w:proofErr w:type="spellStart"/>
      <w:r>
        <w:t>Feneri</w:t>
      </w:r>
      <w:proofErr w:type="spellEnd"/>
      <w:r>
        <w:t xml:space="preserve">] będą jedynie w części wykorzystane na cele charytatywne lub projekty społeczne. W każdym razie, od roku 2002, </w:t>
      </w:r>
      <w:r w:rsidR="002548FB">
        <w:t>zamiarem</w:t>
      </w:r>
      <w:r w:rsidR="00C74BE2">
        <w:t xml:space="preserve"> G. oraz oskarżonych objętych </w:t>
      </w:r>
      <w:r>
        <w:t xml:space="preserve">postępowaniem </w:t>
      </w:r>
      <w:r w:rsidR="004653DE">
        <w:t xml:space="preserve">odrębnym </w:t>
      </w:r>
      <w:r>
        <w:t>(</w:t>
      </w:r>
      <w:proofErr w:type="spellStart"/>
      <w:r>
        <w:rPr>
          <w:i/>
        </w:rPr>
        <w:t>Hinterleute</w:t>
      </w:r>
      <w:proofErr w:type="spellEnd"/>
      <w:r>
        <w:t>) było również wykorzystanie dużej części zebranych środków na potrzeby działalności gospodarczej, w tym na początkowe sfinansowanie projektów przedsiębiorczych prywatnych podmiotów prawnych, w których G. lub oskarżeni objęci postępowaniem</w:t>
      </w:r>
      <w:r w:rsidR="004653DE" w:rsidRPr="004653DE">
        <w:t xml:space="preserve"> </w:t>
      </w:r>
      <w:r w:rsidR="004653DE">
        <w:t>odrębnym</w:t>
      </w:r>
      <w:r>
        <w:t xml:space="preserve">, </w:t>
      </w:r>
      <w:proofErr w:type="spellStart"/>
      <w:r>
        <w:t>Zekeriya</w:t>
      </w:r>
      <w:proofErr w:type="spellEnd"/>
      <w:r>
        <w:t xml:space="preserve"> </w:t>
      </w:r>
      <w:proofErr w:type="spellStart"/>
      <w:r>
        <w:t>Karaman</w:t>
      </w:r>
      <w:proofErr w:type="spellEnd"/>
      <w:r>
        <w:t>, ..., ... oraz ... stali się udziałowcami. (str. 9 do 10)</w:t>
      </w:r>
    </w:p>
    <w:p w14:paraId="723BFD0E" w14:textId="77777777" w:rsidR="0035460F" w:rsidRPr="009C2870" w:rsidRDefault="0035460F" w:rsidP="0035460F">
      <w:pPr>
        <w:pStyle w:val="ECHRParaQuote"/>
      </w:pPr>
      <w:r>
        <w:t>...</w:t>
      </w:r>
    </w:p>
    <w:p w14:paraId="0267E8F7" w14:textId="160B95C4" w:rsidR="0035460F" w:rsidRPr="009C2870" w:rsidRDefault="0035460F" w:rsidP="0035460F">
      <w:pPr>
        <w:pStyle w:val="ECHRParaQuote"/>
      </w:pPr>
      <w:r>
        <w:t>Z tego powodu, oskarżony G. oraz oskarżony objęty postępowaniem</w:t>
      </w:r>
      <w:r w:rsidR="00206648" w:rsidRPr="00206648">
        <w:t xml:space="preserve"> </w:t>
      </w:r>
      <w:r w:rsidR="00206648">
        <w:t>odrębnym</w:t>
      </w:r>
      <w:r>
        <w:t xml:space="preserve">, </w:t>
      </w:r>
      <w:proofErr w:type="spellStart"/>
      <w:r>
        <w:t>Zekeriya</w:t>
      </w:r>
      <w:proofErr w:type="spellEnd"/>
      <w:r>
        <w:t xml:space="preserve"> </w:t>
      </w:r>
      <w:proofErr w:type="spellStart"/>
      <w:r>
        <w:t>Karaman</w:t>
      </w:r>
      <w:proofErr w:type="spellEnd"/>
      <w:r>
        <w:t xml:space="preserve">, polecili </w:t>
      </w:r>
      <w:proofErr w:type="spellStart"/>
      <w:r>
        <w:t>współpodejrzanemu</w:t>
      </w:r>
      <w:proofErr w:type="spellEnd"/>
      <w:r>
        <w:t xml:space="preserve"> E. prowadzenie nieoficjalnych ksiąg rachunkowych (</w:t>
      </w:r>
      <w:proofErr w:type="spellStart"/>
      <w:r>
        <w:rPr>
          <w:i/>
        </w:rPr>
        <w:t>Nebenbuchhaltung</w:t>
      </w:r>
      <w:proofErr w:type="spellEnd"/>
      <w:r>
        <w:t>). (str. 11)</w:t>
      </w:r>
    </w:p>
    <w:p w14:paraId="67610E57" w14:textId="77777777" w:rsidR="0035460F" w:rsidRPr="009C2870" w:rsidRDefault="0035460F" w:rsidP="0035460F">
      <w:pPr>
        <w:pStyle w:val="ECHRParaQuote"/>
      </w:pPr>
      <w:r>
        <w:t>...</w:t>
      </w:r>
    </w:p>
    <w:p w14:paraId="11700BCF" w14:textId="77777777" w:rsidR="0035460F" w:rsidRPr="009C2870" w:rsidRDefault="0035460F" w:rsidP="0035460F">
      <w:pPr>
        <w:pStyle w:val="ECHRParaQuote"/>
      </w:pPr>
      <w:r>
        <w:t xml:space="preserve">Co miesiąc, treść nieoficjalnych ksiąg w Niemczech była koordynowana między G. a ..., ... lub </w:t>
      </w:r>
      <w:proofErr w:type="spellStart"/>
      <w:r>
        <w:t>Zekeriya</w:t>
      </w:r>
      <w:proofErr w:type="spellEnd"/>
      <w:r>
        <w:t xml:space="preserve"> </w:t>
      </w:r>
      <w:proofErr w:type="spellStart"/>
      <w:r>
        <w:t>Karamanem</w:t>
      </w:r>
      <w:proofErr w:type="spellEnd"/>
      <w:r>
        <w:t>. (str. 12)</w:t>
      </w:r>
    </w:p>
    <w:p w14:paraId="1281B368" w14:textId="77777777" w:rsidR="0035460F" w:rsidRPr="009C2870" w:rsidRDefault="0035460F" w:rsidP="0035460F">
      <w:pPr>
        <w:pStyle w:val="ECHRParaQuote"/>
      </w:pPr>
      <w:r>
        <w:t>...</w:t>
      </w:r>
    </w:p>
    <w:p w14:paraId="14CC60E5" w14:textId="557D4FDA" w:rsidR="0035460F" w:rsidRPr="009C2870" w:rsidRDefault="0035460F" w:rsidP="0035460F">
      <w:pPr>
        <w:pStyle w:val="ECHRParaQuote"/>
      </w:pPr>
      <w:r>
        <w:lastRenderedPageBreak/>
        <w:t xml:space="preserve">Zgodnie z wpisami w nieoficjalnych księgach, łączna kwota 4.504.000 </w:t>
      </w:r>
      <w:r w:rsidR="00C04127">
        <w:t>e</w:t>
      </w:r>
      <w:r>
        <w:t>uro</w:t>
      </w:r>
      <w:r w:rsidR="002548FB">
        <w:t xml:space="preserve"> została przekazana oskarżonemu </w:t>
      </w:r>
      <w:proofErr w:type="spellStart"/>
      <w:r w:rsidR="002548FB">
        <w:t>Zekeriya</w:t>
      </w:r>
      <w:proofErr w:type="spellEnd"/>
      <w:r w:rsidR="002548FB">
        <w:t xml:space="preserve"> </w:t>
      </w:r>
      <w:proofErr w:type="spellStart"/>
      <w:r w:rsidR="002548FB">
        <w:t>Karamanowi</w:t>
      </w:r>
      <w:proofErr w:type="spellEnd"/>
      <w:r w:rsidR="002548FB">
        <w:t xml:space="preserve"> </w:t>
      </w:r>
      <w:r>
        <w:t xml:space="preserve">objętemu postępowaniem </w:t>
      </w:r>
      <w:r w:rsidR="004653DE">
        <w:t xml:space="preserve">odrębnym </w:t>
      </w:r>
      <w:r>
        <w:t>(str. 15)</w:t>
      </w:r>
    </w:p>
    <w:p w14:paraId="7FADE8EF" w14:textId="77777777" w:rsidR="0035460F" w:rsidRPr="009C2870" w:rsidRDefault="0035460F" w:rsidP="0035460F">
      <w:pPr>
        <w:pStyle w:val="ECHRParaQuote"/>
      </w:pPr>
      <w:r>
        <w:t>...</w:t>
      </w:r>
    </w:p>
    <w:p w14:paraId="4DCE1E6C" w14:textId="436D3B42" w:rsidR="0035460F" w:rsidRPr="004B43DE" w:rsidRDefault="0035460F" w:rsidP="0035460F">
      <w:pPr>
        <w:pStyle w:val="ECHRParaQuote"/>
      </w:pPr>
      <w:r>
        <w:t>Oskarżony objęty postępowaniem</w:t>
      </w:r>
      <w:r w:rsidR="004653DE" w:rsidRPr="004653DE">
        <w:t xml:space="preserve"> </w:t>
      </w:r>
      <w:r w:rsidR="004653DE">
        <w:t>odrębnym</w:t>
      </w:r>
      <w:r>
        <w:t xml:space="preserve">, </w:t>
      </w:r>
      <w:proofErr w:type="spellStart"/>
      <w:r>
        <w:t>Zekeriya</w:t>
      </w:r>
      <w:proofErr w:type="spellEnd"/>
      <w:r>
        <w:t xml:space="preserve"> </w:t>
      </w:r>
      <w:proofErr w:type="spellStart"/>
      <w:r>
        <w:t>Karaman</w:t>
      </w:r>
      <w:proofErr w:type="spellEnd"/>
      <w:r>
        <w:t xml:space="preserve">, ..., ..., ... oraz ... podjęli decyzję o wykorzystaniu środków zgromadzonych w formie darowizn. Działając w charakterze prezesa zarządu </w:t>
      </w:r>
      <w:proofErr w:type="spellStart"/>
      <w:r>
        <w:t>Yeni</w:t>
      </w:r>
      <w:proofErr w:type="spellEnd"/>
      <w:r>
        <w:t xml:space="preserve"> </w:t>
      </w:r>
      <w:proofErr w:type="spellStart"/>
      <w:r>
        <w:t>Dunya</w:t>
      </w:r>
      <w:proofErr w:type="spellEnd"/>
      <w:r>
        <w:t xml:space="preserve"> </w:t>
      </w:r>
      <w:proofErr w:type="spellStart"/>
      <w:r>
        <w:t>Iletisim</w:t>
      </w:r>
      <w:proofErr w:type="spellEnd"/>
      <w:r>
        <w:t xml:space="preserve"> A.S., </w:t>
      </w:r>
      <w:proofErr w:type="spellStart"/>
      <w:r>
        <w:t>Zekeriya</w:t>
      </w:r>
      <w:proofErr w:type="spellEnd"/>
      <w:r>
        <w:t xml:space="preserve"> </w:t>
      </w:r>
      <w:proofErr w:type="spellStart"/>
      <w:r>
        <w:t>Karaman</w:t>
      </w:r>
      <w:proofErr w:type="spellEnd"/>
      <w:r>
        <w:t xml:space="preserve"> pełnił wiodącą rolę w tym względzie. (str. 15)</w:t>
      </w:r>
    </w:p>
    <w:p w14:paraId="7771E9FA" w14:textId="77777777" w:rsidR="0035460F" w:rsidRPr="004B43DE" w:rsidRDefault="0035460F" w:rsidP="0035460F">
      <w:pPr>
        <w:pStyle w:val="ECHRParaQuote"/>
      </w:pPr>
      <w:r>
        <w:t>...</w:t>
      </w:r>
    </w:p>
    <w:p w14:paraId="682A065E" w14:textId="50871D61" w:rsidR="0035460F" w:rsidRPr="004709B4" w:rsidRDefault="0035460F" w:rsidP="0035460F">
      <w:pPr>
        <w:pStyle w:val="ECHRParaQuote"/>
      </w:pPr>
      <w:r>
        <w:t xml:space="preserve">Oskarżony T. nie był świadomy dokładnej kwoty darowanych środków, jakie zostały przeznaczone na cele nie będące celami charytatywnymi. Jednakże autoryzował dalsze apele o darowizny, wiedząc, że w dużym stopniu miały być one wykorzystane na nieupoważnione cele... Po aresztowaniu G. w kwietniu 2007 roku, był on osobą kontaktową </w:t>
      </w:r>
      <w:proofErr w:type="spellStart"/>
      <w:r>
        <w:t>Zekeriya</w:t>
      </w:r>
      <w:proofErr w:type="spellEnd"/>
      <w:r>
        <w:t xml:space="preserve"> </w:t>
      </w:r>
      <w:proofErr w:type="spellStart"/>
      <w:r>
        <w:t>Karamana</w:t>
      </w:r>
      <w:proofErr w:type="spellEnd"/>
      <w:r>
        <w:t xml:space="preserve"> we wszystkich sprawach związanych z </w:t>
      </w:r>
      <w:proofErr w:type="spellStart"/>
      <w:r>
        <w:t>Deniz</w:t>
      </w:r>
      <w:proofErr w:type="spellEnd"/>
      <w:r>
        <w:t xml:space="preserve"> </w:t>
      </w:r>
      <w:proofErr w:type="spellStart"/>
      <w:r>
        <w:t>Feneri</w:t>
      </w:r>
      <w:proofErr w:type="spellEnd"/>
      <w:r>
        <w:t xml:space="preserve"> w Niemczech. To on zapewnił mu telefon komórkowy oraz kartę prepaid w związku z podejrzeniem zainstalowania podsłuchu </w:t>
      </w:r>
      <w:r w:rsidR="001A6D6E">
        <w:t>w</w:t>
      </w:r>
      <w:r>
        <w:t xml:space="preserve"> jego telefonie. (str. 21)</w:t>
      </w:r>
    </w:p>
    <w:p w14:paraId="2F432961" w14:textId="77777777" w:rsidR="0035460F" w:rsidRDefault="0035460F" w:rsidP="0035460F">
      <w:pPr>
        <w:pStyle w:val="ECHRParaQuote"/>
      </w:pPr>
      <w:r>
        <w:t>...</w:t>
      </w:r>
    </w:p>
    <w:p w14:paraId="3E9730ED" w14:textId="77777777" w:rsidR="0035460F" w:rsidRPr="004709B4" w:rsidRDefault="0035460F" w:rsidP="0035460F">
      <w:pPr>
        <w:pStyle w:val="ECHRTitleCentre3"/>
      </w:pPr>
      <w:r>
        <w:t>III.</w:t>
      </w:r>
    </w:p>
    <w:p w14:paraId="493CC0E6" w14:textId="77777777" w:rsidR="0035460F" w:rsidRPr="004B43DE" w:rsidRDefault="0035460F" w:rsidP="0035460F">
      <w:pPr>
        <w:pStyle w:val="ECHRParaQuote"/>
      </w:pPr>
      <w:r>
        <w:t>Okoliczności sprawy (</w:t>
      </w:r>
      <w:proofErr w:type="spellStart"/>
      <w:r>
        <w:rPr>
          <w:i/>
        </w:rPr>
        <w:t>Sachverhalt</w:t>
      </w:r>
      <w:proofErr w:type="spellEnd"/>
      <w:r>
        <w:t>) zostały ustalone (</w:t>
      </w:r>
      <w:proofErr w:type="spellStart"/>
      <w:r>
        <w:rPr>
          <w:i/>
        </w:rPr>
        <w:t>steht</w:t>
      </w:r>
      <w:proofErr w:type="spellEnd"/>
      <w:r>
        <w:rPr>
          <w:i/>
        </w:rPr>
        <w:t xml:space="preserve"> fest</w:t>
      </w:r>
      <w:r>
        <w:t>) na podstawie zeznań złożonych przez oskarżonych oraz dalszych dowodów uzyskanych w trakcie procesu, udokumentowanych protokołami z rozpraw. (str. 22).</w:t>
      </w:r>
    </w:p>
    <w:p w14:paraId="3AC1185D" w14:textId="77777777" w:rsidR="0035460F" w:rsidRPr="004B43DE" w:rsidRDefault="0035460F" w:rsidP="0035460F">
      <w:pPr>
        <w:pStyle w:val="ECHRParaQuote"/>
      </w:pPr>
      <w:r>
        <w:t>...</w:t>
      </w:r>
    </w:p>
    <w:p w14:paraId="1CD07557" w14:textId="6A7EFA3D" w:rsidR="0035460F" w:rsidRPr="004709B4" w:rsidRDefault="0035460F" w:rsidP="0035460F">
      <w:pPr>
        <w:pStyle w:val="ECHRParaQuote"/>
      </w:pPr>
      <w:r>
        <w:t xml:space="preserve">Izba nie dała wiary oświadczeniom G., że samodzielnie podejmował decyzje na temat nieupoważnionego wykorzystania środków pochodzących z darowizn bez konsultowania się z osobami stojącymi za kulisami całego procederu w Turcji. Oskarżony E. i oskarżony T. oświadczyli podczas </w:t>
      </w:r>
      <w:r w:rsidR="005A256E">
        <w:t>przesłuchań przed sądem</w:t>
      </w:r>
      <w:r>
        <w:t xml:space="preserve">, a także podczas </w:t>
      </w:r>
      <w:r w:rsidR="005A256E">
        <w:t xml:space="preserve">wcześniejszych </w:t>
      </w:r>
      <w:r>
        <w:t>przesłucha</w:t>
      </w:r>
      <w:r w:rsidR="005A256E">
        <w:t>ń</w:t>
      </w:r>
      <w:r>
        <w:t xml:space="preserve"> przez policję, że G. stanowił element hierarchii i musiał koordynować wszystkie istotne decyzje z oskarżonymi objętymi postępowaniem</w:t>
      </w:r>
      <w:r w:rsidR="004653DE" w:rsidRPr="004653DE">
        <w:t xml:space="preserve"> </w:t>
      </w:r>
      <w:r w:rsidR="004653DE">
        <w:t>odrębnym</w:t>
      </w:r>
      <w:r>
        <w:t xml:space="preserve">, </w:t>
      </w:r>
      <w:proofErr w:type="spellStart"/>
      <w:r>
        <w:t>Zekeriya</w:t>
      </w:r>
      <w:proofErr w:type="spellEnd"/>
      <w:r>
        <w:t xml:space="preserve"> </w:t>
      </w:r>
      <w:proofErr w:type="spellStart"/>
      <w:r>
        <w:t>Karamanem</w:t>
      </w:r>
      <w:proofErr w:type="spellEnd"/>
      <w:r>
        <w:t xml:space="preserve">, ... oraz..., podczas gdy </w:t>
      </w:r>
      <w:proofErr w:type="spellStart"/>
      <w:r>
        <w:t>Zekeriya</w:t>
      </w:r>
      <w:proofErr w:type="spellEnd"/>
      <w:r>
        <w:t xml:space="preserve"> </w:t>
      </w:r>
      <w:proofErr w:type="spellStart"/>
      <w:r>
        <w:t>Karaman</w:t>
      </w:r>
      <w:proofErr w:type="spellEnd"/>
      <w:r>
        <w:t xml:space="preserve">, działając w charakterze prezesa zarządu </w:t>
      </w:r>
      <w:proofErr w:type="spellStart"/>
      <w:r>
        <w:t>Yeni</w:t>
      </w:r>
      <w:proofErr w:type="spellEnd"/>
      <w:r>
        <w:t xml:space="preserve"> </w:t>
      </w:r>
      <w:proofErr w:type="spellStart"/>
      <w:r>
        <w:t>Dunya</w:t>
      </w:r>
      <w:proofErr w:type="spellEnd"/>
      <w:r>
        <w:t xml:space="preserve"> </w:t>
      </w:r>
      <w:proofErr w:type="spellStart"/>
      <w:r>
        <w:t>Iletisim</w:t>
      </w:r>
      <w:proofErr w:type="spellEnd"/>
      <w:r>
        <w:t xml:space="preserve"> A.S., odgrywał wiodącą rolę. (str. 23)</w:t>
      </w:r>
    </w:p>
    <w:p w14:paraId="04323E03" w14:textId="77777777" w:rsidR="0035460F" w:rsidRPr="004709B4" w:rsidRDefault="008B1AA0" w:rsidP="0035460F">
      <w:pPr>
        <w:pStyle w:val="ECHRParaQuote"/>
      </w:pPr>
      <w:r>
        <w:t xml:space="preserve">Opisana przez dwóch </w:t>
      </w:r>
      <w:proofErr w:type="spellStart"/>
      <w:r>
        <w:t>współpodejrzanych</w:t>
      </w:r>
      <w:proofErr w:type="spellEnd"/>
      <w:r>
        <w:t xml:space="preserve"> </w:t>
      </w:r>
      <w:r w:rsidR="0035460F">
        <w:t xml:space="preserve">integracja </w:t>
      </w:r>
      <w:r>
        <w:t xml:space="preserve">G. </w:t>
      </w:r>
      <w:r w:rsidR="0035460F">
        <w:t>w struktury kontrolowane z Turcji jest w sposób wystarczający udowodniona</w:t>
      </w:r>
      <w:r>
        <w:t>:</w:t>
      </w:r>
      <w:r w:rsidR="0035460F">
        <w:t xml:space="preserve"> wprowadzeniem nieoficjalnego systemu księgowego</w:t>
      </w:r>
      <w:r w:rsidR="00173D47">
        <w:t xml:space="preserve"> prowadzonego </w:t>
      </w:r>
      <w:r w:rsidR="0035460F">
        <w:t>równoleg</w:t>
      </w:r>
      <w:r w:rsidR="00173D47">
        <w:t>le</w:t>
      </w:r>
      <w:r>
        <w:t xml:space="preserve"> </w:t>
      </w:r>
      <w:r w:rsidR="00173D47">
        <w:t>ze</w:t>
      </w:r>
      <w:r w:rsidR="00173D47" w:rsidRPr="00173D47">
        <w:t xml:space="preserve"> </w:t>
      </w:r>
      <w:r w:rsidR="00173D47">
        <w:t>służącym do zbierania darowizn</w:t>
      </w:r>
      <w:r>
        <w:t xml:space="preserve"> system</w:t>
      </w:r>
      <w:r w:rsidR="00173D47">
        <w:t>em</w:t>
      </w:r>
      <w:r>
        <w:t xml:space="preserve"> </w:t>
      </w:r>
      <w:r w:rsidR="0035460F">
        <w:t xml:space="preserve">stacji telewizyjnej i stowarzyszenia </w:t>
      </w:r>
      <w:proofErr w:type="spellStart"/>
      <w:r w:rsidR="0035460F">
        <w:t>Deniz</w:t>
      </w:r>
      <w:proofErr w:type="spellEnd"/>
      <w:r w:rsidR="0035460F">
        <w:t xml:space="preserve"> </w:t>
      </w:r>
      <w:proofErr w:type="spellStart"/>
      <w:r w:rsidR="0035460F">
        <w:t>Feneri</w:t>
      </w:r>
      <w:proofErr w:type="spellEnd"/>
      <w:r w:rsidR="0035460F">
        <w:t xml:space="preserve"> w Niemczech i w Turcji, udziałami w spółkach zakładanych ze środków pochodzących z darowizn, a także faktem, że wypłaty gotówkowe przekazywane były w pomieszczeniach </w:t>
      </w:r>
      <w:proofErr w:type="spellStart"/>
      <w:r w:rsidR="0035460F">
        <w:t>Kanal</w:t>
      </w:r>
      <w:proofErr w:type="spellEnd"/>
      <w:r w:rsidR="0035460F">
        <w:t xml:space="preserve"> 7 w Turcji. Przyjmując na siebie odpowiedzialność za apele o darowizny oraz za nieupoważnione wykorzystanie środków pochodzących z darowizn, oskarżony G. najwyraźniej starał się chronić stojące za nim osoby w Turcji przed postępowaniem karnym w Niemczech oraz/lub Turcji. (str. 23)</w:t>
      </w:r>
    </w:p>
    <w:p w14:paraId="16819D6F" w14:textId="77777777" w:rsidR="0035460F" w:rsidRPr="004709B4" w:rsidRDefault="0035460F" w:rsidP="0035460F">
      <w:pPr>
        <w:pStyle w:val="ECHRParaQuote"/>
      </w:pPr>
      <w:r>
        <w:t>...</w:t>
      </w:r>
    </w:p>
    <w:p w14:paraId="0581627A" w14:textId="77777777" w:rsidR="00E171C2" w:rsidRDefault="00E171C2">
      <w:pPr>
        <w:jc w:val="left"/>
        <w:rPr>
          <w:rFonts w:asciiTheme="majorHAnsi" w:hAnsiTheme="majorHAnsi"/>
          <w:b/>
          <w:sz w:val="20"/>
        </w:rPr>
      </w:pPr>
      <w:r>
        <w:br w:type="page"/>
      </w:r>
    </w:p>
    <w:p w14:paraId="4FAB89CF" w14:textId="77777777" w:rsidR="0035460F" w:rsidRPr="004709B4" w:rsidRDefault="0035460F" w:rsidP="0035460F">
      <w:pPr>
        <w:pStyle w:val="ECHRTitleCentre3"/>
      </w:pPr>
      <w:r>
        <w:lastRenderedPageBreak/>
        <w:t>IV.</w:t>
      </w:r>
    </w:p>
    <w:p w14:paraId="02D2997A" w14:textId="77777777" w:rsidR="0035460F" w:rsidRPr="004709B4" w:rsidRDefault="0035460F" w:rsidP="0035460F">
      <w:pPr>
        <w:pStyle w:val="ECHRParaQuote"/>
      </w:pPr>
      <w:r>
        <w:t>...</w:t>
      </w:r>
    </w:p>
    <w:p w14:paraId="6456978A" w14:textId="77777777" w:rsidR="0035460F" w:rsidRPr="00E306DA" w:rsidRDefault="0035460F" w:rsidP="0035460F">
      <w:pPr>
        <w:pStyle w:val="ECHRParaQuote"/>
      </w:pPr>
      <w:r>
        <w:t>Oskarżony T. jest winny oszustwa popełnionego w charakterze współsprawcy (</w:t>
      </w:r>
      <w:r>
        <w:rPr>
          <w:i/>
        </w:rPr>
        <w:t xml:space="preserve">in </w:t>
      </w:r>
      <w:proofErr w:type="spellStart"/>
      <w:r>
        <w:rPr>
          <w:i/>
        </w:rPr>
        <w:t>sukzessiver</w:t>
      </w:r>
      <w:proofErr w:type="spellEnd"/>
      <w:r>
        <w:rPr>
          <w:i/>
        </w:rPr>
        <w:t xml:space="preserve"> </w:t>
      </w:r>
      <w:proofErr w:type="spellStart"/>
      <w:r>
        <w:rPr>
          <w:i/>
        </w:rPr>
        <w:t>Mittäterschaft</w:t>
      </w:r>
      <w:proofErr w:type="spellEnd"/>
      <w:r>
        <w:t>) zgodnie z artykułami 263 i 25 § 2 niemieckiego kodeksu karnego. T. nie tylko chciał wspierać działania pozostałych sprawców, ale również chciał uczestniczyć we wspólnych operacjach (</w:t>
      </w:r>
      <w:proofErr w:type="spellStart"/>
      <w:r>
        <w:rPr>
          <w:i/>
        </w:rPr>
        <w:t>gemeinschaftliche</w:t>
      </w:r>
      <w:proofErr w:type="spellEnd"/>
      <w:r>
        <w:rPr>
          <w:i/>
        </w:rPr>
        <w:t xml:space="preserve"> </w:t>
      </w:r>
      <w:proofErr w:type="spellStart"/>
      <w:r>
        <w:rPr>
          <w:i/>
        </w:rPr>
        <w:t>Tätigkeit</w:t>
      </w:r>
      <w:proofErr w:type="spellEnd"/>
      <w:r>
        <w:t>) razem z G. i osobami stojącymi za kulisami całego procederu w Turcji. (str. 25)</w:t>
      </w:r>
    </w:p>
    <w:p w14:paraId="69006824" w14:textId="77777777" w:rsidR="0035460F" w:rsidRDefault="0035460F" w:rsidP="0035460F">
      <w:pPr>
        <w:pStyle w:val="ECHRParaQuote"/>
      </w:pPr>
      <w:r>
        <w:t>...</w:t>
      </w:r>
    </w:p>
    <w:p w14:paraId="4FA82A35" w14:textId="77777777" w:rsidR="0035460F" w:rsidRPr="00E81AD5" w:rsidRDefault="0035460F" w:rsidP="0035460F">
      <w:pPr>
        <w:pStyle w:val="ECHRTitleCentre3"/>
      </w:pPr>
      <w:r>
        <w:t>V.</w:t>
      </w:r>
    </w:p>
    <w:p w14:paraId="01681A22" w14:textId="77777777" w:rsidR="0035460F" w:rsidRPr="00E81AD5" w:rsidRDefault="0035460F" w:rsidP="0035460F">
      <w:pPr>
        <w:pStyle w:val="ECHRParaQuote"/>
      </w:pPr>
      <w:r>
        <w:t>...</w:t>
      </w:r>
    </w:p>
    <w:p w14:paraId="11BF4CE4" w14:textId="77777777" w:rsidR="0035460F" w:rsidRPr="004B43DE" w:rsidRDefault="0035460F" w:rsidP="0035460F">
      <w:pPr>
        <w:pStyle w:val="ECHRParaQuote"/>
      </w:pPr>
      <w:r>
        <w:t>Ponadto, na korzyść [G.] zaliczyć należy fakt, że nie stał on na samym szczycie hierarchii odpowiedzialnej za organizację oszukańczego procederu (</w:t>
      </w:r>
      <w:proofErr w:type="spellStart"/>
      <w:r>
        <w:rPr>
          <w:i/>
        </w:rPr>
        <w:t>Spitze</w:t>
      </w:r>
      <w:proofErr w:type="spellEnd"/>
      <w:r>
        <w:rPr>
          <w:i/>
        </w:rPr>
        <w:t xml:space="preserve"> der </w:t>
      </w:r>
      <w:proofErr w:type="spellStart"/>
      <w:r>
        <w:rPr>
          <w:i/>
        </w:rPr>
        <w:t>Organisation</w:t>
      </w:r>
      <w:proofErr w:type="spellEnd"/>
      <w:r>
        <w:rPr>
          <w:i/>
        </w:rPr>
        <w:t xml:space="preserve"> des </w:t>
      </w:r>
      <w:proofErr w:type="spellStart"/>
      <w:r>
        <w:rPr>
          <w:i/>
        </w:rPr>
        <w:t>Betrugs</w:t>
      </w:r>
      <w:proofErr w:type="spellEnd"/>
      <w:r>
        <w:t>), lecz otrzymywał polecenia od osób stojących za kulisami tych działań w Turcji. Nie mógł samodzielnie podejmować decyzji na temat nieupoważnionego wykorzystania środków będących przedmiotem darowizn, a jedynie przedstawiał pomysły, które musiały następnie być zatwierdzone przez osoby stojące za kulisami całego procederu w Turcji. Był organem wykonawczym, a nie decydentem (</w:t>
      </w:r>
      <w:proofErr w:type="spellStart"/>
      <w:r>
        <w:rPr>
          <w:i/>
        </w:rPr>
        <w:t>mehr</w:t>
      </w:r>
      <w:proofErr w:type="spellEnd"/>
      <w:r>
        <w:rPr>
          <w:i/>
        </w:rPr>
        <w:t xml:space="preserve"> </w:t>
      </w:r>
      <w:proofErr w:type="spellStart"/>
      <w:r>
        <w:rPr>
          <w:i/>
        </w:rPr>
        <w:t>ausführendes</w:t>
      </w:r>
      <w:proofErr w:type="spellEnd"/>
      <w:r>
        <w:rPr>
          <w:i/>
        </w:rPr>
        <w:t xml:space="preserve"> </w:t>
      </w:r>
      <w:proofErr w:type="spellStart"/>
      <w:r>
        <w:rPr>
          <w:i/>
        </w:rPr>
        <w:t>als</w:t>
      </w:r>
      <w:proofErr w:type="spellEnd"/>
      <w:r>
        <w:rPr>
          <w:i/>
        </w:rPr>
        <w:t xml:space="preserve"> </w:t>
      </w:r>
      <w:proofErr w:type="spellStart"/>
      <w:r>
        <w:rPr>
          <w:i/>
        </w:rPr>
        <w:t>bestimmendes</w:t>
      </w:r>
      <w:proofErr w:type="spellEnd"/>
      <w:r>
        <w:rPr>
          <w:i/>
        </w:rPr>
        <w:t xml:space="preserve"> Organ</w:t>
      </w:r>
      <w:r>
        <w:t>). (str. 28)</w:t>
      </w:r>
    </w:p>
    <w:p w14:paraId="72F585B1" w14:textId="77777777" w:rsidR="0035460F" w:rsidRPr="004B43DE" w:rsidRDefault="0035460F" w:rsidP="0035460F">
      <w:pPr>
        <w:pStyle w:val="ECHRParaQuote"/>
      </w:pPr>
      <w:r>
        <w:t>...</w:t>
      </w:r>
    </w:p>
    <w:p w14:paraId="5016CBDA" w14:textId="77777777" w:rsidR="0035460F" w:rsidRPr="004709B4" w:rsidRDefault="0035460F" w:rsidP="0035460F">
      <w:pPr>
        <w:pStyle w:val="ECHRParaQuote"/>
      </w:pPr>
      <w:r>
        <w:t xml:space="preserve"> Zeznania [T.] nie były ograniczone tylko do jego własnego udziału w popełnieniu przestępstwa. Ujawnił on również swoją wiedzę na temat okoliczności, a w szczególności danych osób stojących za kulisami całego procederu. Jego wiedza była ograniczona, gdyż G. i osoby za nim stojące celowo dały mu jedynie ograniczony wgląd. W hierarchii mieścił się on dużo niżej niż G. i osoby odpowiedzialne w Turcji. (str. 29)</w:t>
      </w:r>
    </w:p>
    <w:p w14:paraId="159745B0" w14:textId="77777777" w:rsidR="0035460F" w:rsidRPr="004709B4" w:rsidRDefault="0035460F" w:rsidP="0035460F">
      <w:pPr>
        <w:pStyle w:val="ECHRParaQuote"/>
      </w:pPr>
      <w:r>
        <w:t>...</w:t>
      </w:r>
    </w:p>
    <w:p w14:paraId="67591C18" w14:textId="18AED9EA" w:rsidR="0035460F" w:rsidRPr="004709B4" w:rsidRDefault="0035460F" w:rsidP="0035460F">
      <w:pPr>
        <w:pStyle w:val="ECHRParaQuote"/>
      </w:pPr>
      <w:r>
        <w:t xml:space="preserve">Prowadząc nieoficjalne księgi rachunkowe, [E.] w znacznym stopniu przyczynił się do funkcjonowania całego systemu. Fakt, że działał nie tylko na polecenie G., lecz również bezpośrednio na polecenie oskarżonego </w:t>
      </w:r>
      <w:proofErr w:type="spellStart"/>
      <w:r>
        <w:t>Karamana</w:t>
      </w:r>
      <w:proofErr w:type="spellEnd"/>
      <w:r>
        <w:t xml:space="preserve"> objętego postępowaniem</w:t>
      </w:r>
      <w:r w:rsidR="004653DE" w:rsidRPr="004653DE">
        <w:t xml:space="preserve"> </w:t>
      </w:r>
      <w:r w:rsidR="004653DE">
        <w:t>odrębnym</w:t>
      </w:r>
      <w:r>
        <w:t>, w zakresie nieksięgowania danych transakcji świadczy o znaczeniu tej nieoficjalnej księgowości. (str. 30)</w:t>
      </w:r>
    </w:p>
    <w:p w14:paraId="6097B688" w14:textId="77777777" w:rsidR="0035460F" w:rsidRPr="004709B4" w:rsidRDefault="0035460F" w:rsidP="0035460F">
      <w:pPr>
        <w:pStyle w:val="ECHRParaQuote"/>
      </w:pPr>
      <w:r>
        <w:t>...</w:t>
      </w:r>
    </w:p>
    <w:p w14:paraId="37427C3D" w14:textId="77777777" w:rsidR="0035460F" w:rsidRPr="00E306DA" w:rsidRDefault="0035460F" w:rsidP="0035460F">
      <w:pPr>
        <w:pStyle w:val="ECHRParaQuote"/>
      </w:pPr>
      <w:r>
        <w:t>Osoby stojące za kulisami całego procederu w Turcji usiłowały uprzednio zapobiec zeznaniom [E.] przed organami dochodzeniowymi poprzez nawiąz</w:t>
      </w:r>
      <w:r w:rsidR="00502D19">
        <w:t>a</w:t>
      </w:r>
      <w:r>
        <w:t>nie kontaktu z jego pierwszym obrońcą i członkami jego rodziny.” (str. 31)</w:t>
      </w:r>
    </w:p>
    <w:p w14:paraId="0CA4FB2B" w14:textId="77777777" w:rsidR="0035460F" w:rsidRPr="009C2870" w:rsidRDefault="00921888" w:rsidP="0035460F">
      <w:pPr>
        <w:pStyle w:val="ECHRPara"/>
      </w:pPr>
      <w:fldSimple w:instr=" SEQ level0 \*arabic ">
        <w:r w:rsidR="00454999">
          <w:rPr>
            <w:noProof/>
          </w:rPr>
          <w:t>15</w:t>
        </w:r>
      </w:fldSimple>
      <w:r w:rsidR="0035460F">
        <w:t xml:space="preserve">.  Zgodnie z artykułem opublikowanym w niemieckiej gazecie </w:t>
      </w:r>
      <w:proofErr w:type="spellStart"/>
      <w:r w:rsidR="0035460F">
        <w:rPr>
          <w:i/>
        </w:rPr>
        <w:t>Frankfurter</w:t>
      </w:r>
      <w:proofErr w:type="spellEnd"/>
      <w:r w:rsidR="0035460F">
        <w:rPr>
          <w:i/>
        </w:rPr>
        <w:t xml:space="preserve"> </w:t>
      </w:r>
      <w:proofErr w:type="spellStart"/>
      <w:r w:rsidR="0035460F">
        <w:rPr>
          <w:i/>
        </w:rPr>
        <w:t>Rundschau</w:t>
      </w:r>
      <w:proofErr w:type="spellEnd"/>
      <w:r w:rsidR="0035460F">
        <w:t xml:space="preserve"> w Internecie w dniu 18 września 2008 roku, p.o. Pr</w:t>
      </w:r>
      <w:r w:rsidR="00D6584F">
        <w:t>zewodniczący</w:t>
      </w:r>
      <w:r w:rsidR="0035460F">
        <w:t xml:space="preserve"> Wielkiej Izby ds. Przestępstw Gospodarczych Sądu rejonowego we F</w:t>
      </w:r>
      <w:r w:rsidR="00D6584F">
        <w:t>rankfurcie nad Menem oświadczył</w:t>
      </w:r>
      <w:r w:rsidR="0035460F">
        <w:t xml:space="preserve"> podczas ogłaszania wyroku, że środki pochodzące z darowizn zostały wykorzystane przez osoby stojące za kulisami proceder</w:t>
      </w:r>
      <w:r w:rsidR="00D6584F">
        <w:t xml:space="preserve">u w ich własnych </w:t>
      </w:r>
      <w:r w:rsidR="0035460F">
        <w:t xml:space="preserve">celach gospodarczych i politycznych, choć część środków pieniężnych została faktycznie przeznaczona na projekty pomocowe. Ta sama gazeta podała w artykule </w:t>
      </w:r>
      <w:r w:rsidR="0035460F">
        <w:lastRenderedPageBreak/>
        <w:t xml:space="preserve">opublikowanym w Internecie w dniu 15 września 2008 roku, że organy </w:t>
      </w:r>
      <w:r w:rsidR="00502D19">
        <w:t>prokuratury</w:t>
      </w:r>
      <w:r w:rsidR="0035460F">
        <w:t xml:space="preserve"> (</w:t>
      </w:r>
      <w:proofErr w:type="spellStart"/>
      <w:r w:rsidR="0035460F">
        <w:rPr>
          <w:i/>
        </w:rPr>
        <w:t>Staatsanwaltschaft</w:t>
      </w:r>
      <w:proofErr w:type="spellEnd"/>
      <w:r w:rsidR="0035460F">
        <w:t>) określiły skarżącego jako „głównego sprawcę i lidera (</w:t>
      </w:r>
      <w:proofErr w:type="spellStart"/>
      <w:r w:rsidR="0035460F">
        <w:rPr>
          <w:i/>
        </w:rPr>
        <w:t>führender</w:t>
      </w:r>
      <w:proofErr w:type="spellEnd"/>
      <w:r w:rsidR="0035460F">
        <w:rPr>
          <w:i/>
        </w:rPr>
        <w:t xml:space="preserve"> </w:t>
      </w:r>
      <w:proofErr w:type="spellStart"/>
      <w:r w:rsidR="0035460F">
        <w:rPr>
          <w:i/>
        </w:rPr>
        <w:t>Kopf</w:t>
      </w:r>
      <w:proofErr w:type="spellEnd"/>
      <w:r w:rsidR="0035460F">
        <w:t>) całej grupy”. Podobne cytaty zostały opublikowane w szeregu tureckich gazet</w:t>
      </w:r>
      <w:r w:rsidR="00D6584F">
        <w:t>ach</w:t>
      </w:r>
      <w:r w:rsidR="0035460F">
        <w:t xml:space="preserve"> w dniach 17 i 18 września 2008 roku. Na przykład, zgodnie z artykułem opublikowanym w gazecie tureckiej </w:t>
      </w:r>
      <w:proofErr w:type="spellStart"/>
      <w:r w:rsidR="0035460F">
        <w:rPr>
          <w:i/>
        </w:rPr>
        <w:t>Hürriyet</w:t>
      </w:r>
      <w:proofErr w:type="spellEnd"/>
      <w:r w:rsidR="0035460F">
        <w:t xml:space="preserve"> w dniu 18 września 2008 roku, przewodniczący oświadczył podczas </w:t>
      </w:r>
      <w:r w:rsidR="00D6584F">
        <w:t>o</w:t>
      </w:r>
      <w:r w:rsidR="0035460F">
        <w:t>głaszania wyroku, że „</w:t>
      </w:r>
      <w:r w:rsidR="0035460F">
        <w:rPr>
          <w:i/>
        </w:rPr>
        <w:t xml:space="preserve">sznurki były pociągane na poziomie </w:t>
      </w:r>
      <w:proofErr w:type="spellStart"/>
      <w:r w:rsidR="0035460F">
        <w:rPr>
          <w:i/>
        </w:rPr>
        <w:t>Kanal</w:t>
      </w:r>
      <w:proofErr w:type="spellEnd"/>
      <w:r w:rsidR="0035460F">
        <w:rPr>
          <w:i/>
        </w:rPr>
        <w:t xml:space="preserve"> 7. G. i T. działali zgodnie z poleceniami, jakie otrzymywali z </w:t>
      </w:r>
      <w:proofErr w:type="spellStart"/>
      <w:r w:rsidR="0035460F">
        <w:rPr>
          <w:i/>
        </w:rPr>
        <w:t>Kanal</w:t>
      </w:r>
      <w:proofErr w:type="spellEnd"/>
      <w:r w:rsidR="0035460F">
        <w:rPr>
          <w:i/>
        </w:rPr>
        <w:t xml:space="preserve"> 7, w szczególności od </w:t>
      </w:r>
      <w:proofErr w:type="spellStart"/>
      <w:r w:rsidR="0035460F">
        <w:rPr>
          <w:i/>
        </w:rPr>
        <w:t>Zekyria</w:t>
      </w:r>
      <w:proofErr w:type="spellEnd"/>
      <w:r w:rsidR="0035460F">
        <w:rPr>
          <w:i/>
        </w:rPr>
        <w:t xml:space="preserve"> </w:t>
      </w:r>
      <w:proofErr w:type="spellStart"/>
      <w:r w:rsidR="0035460F">
        <w:rPr>
          <w:i/>
        </w:rPr>
        <w:t>Karamana</w:t>
      </w:r>
      <w:proofErr w:type="spellEnd"/>
      <w:r w:rsidR="0035460F">
        <w:rPr>
          <w:i/>
        </w:rPr>
        <w:t xml:space="preserve">, ..., ... oraz ... Główne odpowiedzialne osoby </w:t>
      </w:r>
      <w:r w:rsidR="008A0F92">
        <w:rPr>
          <w:i/>
        </w:rPr>
        <w:t>znajdowały</w:t>
      </w:r>
      <w:r w:rsidR="0035460F">
        <w:rPr>
          <w:i/>
        </w:rPr>
        <w:t xml:space="preserve"> się w Turcji.</w:t>
      </w:r>
      <w:r w:rsidR="0035460F">
        <w:t>”</w:t>
      </w:r>
    </w:p>
    <w:p w14:paraId="30444D48" w14:textId="69C94162" w:rsidR="0035460F" w:rsidRPr="009C2870" w:rsidRDefault="00921888" w:rsidP="0035460F">
      <w:pPr>
        <w:pStyle w:val="ECHRPara"/>
      </w:pPr>
      <w:fldSimple w:instr=" SEQ level0 \*arabic ">
        <w:r w:rsidR="00454999">
          <w:rPr>
            <w:noProof/>
          </w:rPr>
          <w:t>16</w:t>
        </w:r>
      </w:fldSimple>
      <w:r w:rsidR="0035460F">
        <w:t>.  Wyrok opublikowano na stronie internetowej Sądu Okręgowego w dniu 25 listopada 2008 roku. W internetowej wersji wyroku, nazwiska oskar</w:t>
      </w:r>
      <w:r w:rsidR="00C74BE2">
        <w:t xml:space="preserve">żonych i oskarżonych objętych </w:t>
      </w:r>
      <w:r w:rsidR="0035460F">
        <w:t xml:space="preserve">postępowaniem </w:t>
      </w:r>
      <w:r w:rsidR="004653DE">
        <w:t xml:space="preserve">odrębnym </w:t>
      </w:r>
      <w:r w:rsidR="0035460F">
        <w:t xml:space="preserve">zostały zastąpione literami, a nazwy zaangażowanych spółek liczbami. </w:t>
      </w:r>
      <w:r w:rsidR="001A6D6E">
        <w:t>W uwagach wprowadzających</w:t>
      </w:r>
      <w:r w:rsidR="0035460F">
        <w:t xml:space="preserve"> do publikacji </w:t>
      </w:r>
      <w:r w:rsidR="001A6D6E">
        <w:t xml:space="preserve">internetowej znalazł się akapit </w:t>
      </w:r>
      <w:r w:rsidR="0035460F">
        <w:t>stwierdzający, że wyrok stał się prawomocny i jest wiążący tylko dla trzech skazanych osób. Stwierdzono, że odniesienia i ustalenia zawarte w wyroku i odnoszące się do działań innych osób, w szczególności oskarżonych objętych postępowaniem</w:t>
      </w:r>
      <w:r w:rsidR="004653DE" w:rsidRPr="004653DE">
        <w:t xml:space="preserve"> </w:t>
      </w:r>
      <w:r w:rsidR="004653DE">
        <w:t>odrębnym</w:t>
      </w:r>
      <w:r w:rsidR="0035460F">
        <w:t>, nie są wiążące w stosunku do tych osób oraz, że osoby te nadal podlegają domniemaniu niewinności. Tekst samego wyroku nie zawiera podobnego stwierdzenia.</w:t>
      </w:r>
    </w:p>
    <w:p w14:paraId="47558086" w14:textId="77777777" w:rsidR="0035460F" w:rsidRPr="009C2870" w:rsidRDefault="00921888" w:rsidP="0035460F">
      <w:pPr>
        <w:pStyle w:val="ECHRPara"/>
      </w:pPr>
      <w:fldSimple w:instr=" SEQ level0 \*arabic ">
        <w:r w:rsidR="00454999">
          <w:rPr>
            <w:noProof/>
          </w:rPr>
          <w:t>17</w:t>
        </w:r>
      </w:fldSimple>
      <w:r w:rsidR="0035460F">
        <w:t>.  Wyrok stał się prawomocny w dniu 13 listopada 2008 roku.</w:t>
      </w:r>
    </w:p>
    <w:p w14:paraId="36306574" w14:textId="77777777" w:rsidR="0035460F" w:rsidRPr="00A9426A" w:rsidRDefault="0035460F" w:rsidP="0035460F">
      <w:pPr>
        <w:pStyle w:val="ECHRHeading2"/>
      </w:pPr>
      <w:r>
        <w:t>C.  Skarga konstytucyjna skarżącego</w:t>
      </w:r>
    </w:p>
    <w:p w14:paraId="79B0E5A2" w14:textId="68DE2EAE" w:rsidR="0035460F" w:rsidRPr="009C2870" w:rsidRDefault="00921888" w:rsidP="0035460F">
      <w:pPr>
        <w:pStyle w:val="ECHRPara"/>
      </w:pPr>
      <w:fldSimple w:instr=" SEQ level0 \*arabic ">
        <w:r w:rsidR="00454999">
          <w:rPr>
            <w:noProof/>
          </w:rPr>
          <w:t>18</w:t>
        </w:r>
      </w:fldSimple>
      <w:r w:rsidR="0035460F">
        <w:t xml:space="preserve">.  Pismem z dnia 16 grudnia 2008 roku, skarżący wniósł skargę do Federalnego Trybunału Konstytucyjnego. Argumentował, że odniesienia </w:t>
      </w:r>
      <w:r w:rsidR="001A6D6E">
        <w:t xml:space="preserve">do jego roli w defraudacji środków pochodzących z darowizn, zawarte </w:t>
      </w:r>
      <w:r w:rsidR="0035460F">
        <w:t>w uzasadnieniu wyroku Sądu Okręgowego z dnia 17 września 2008 roku</w:t>
      </w:r>
      <w:r w:rsidR="001A6D6E">
        <w:t>,</w:t>
      </w:r>
      <w:r w:rsidR="0035460F">
        <w:t xml:space="preserve"> naruszają zasadę domniemania niewinności, która stanowi aspekt zagwarantowanego konstytucyjnie </w:t>
      </w:r>
      <w:r w:rsidR="00CF7C41">
        <w:t>prawa do sprawiedliwego procesu w powiązaniu z</w:t>
      </w:r>
      <w:r w:rsidR="0035460F">
        <w:t xml:space="preserve"> zasadą praworządności.</w:t>
      </w:r>
    </w:p>
    <w:p w14:paraId="12667788" w14:textId="77777777" w:rsidR="0035460F" w:rsidRPr="009C2870" w:rsidRDefault="00921888" w:rsidP="0035460F">
      <w:pPr>
        <w:pStyle w:val="ECHRPara"/>
      </w:pPr>
      <w:fldSimple w:instr=" SEQ level0 \*arabic ">
        <w:r w:rsidR="00454999">
          <w:rPr>
            <w:noProof/>
          </w:rPr>
          <w:t>19</w:t>
        </w:r>
      </w:fldSimple>
      <w:r w:rsidR="0035460F">
        <w:t xml:space="preserve">.  Na mocy postanowienia z dnia 3 września 2009 roku, doręczonego skarżącemu w dniu 25 września 2009 roku, Federalny Trybunał Konstytucyjny oddalił skargę jako niedopuszczalną (sygn. akt 2 </w:t>
      </w:r>
      <w:proofErr w:type="spellStart"/>
      <w:r w:rsidR="0035460F">
        <w:t>BvR</w:t>
      </w:r>
      <w:proofErr w:type="spellEnd"/>
      <w:r w:rsidR="0035460F">
        <w:t xml:space="preserve"> 2540/08).</w:t>
      </w:r>
    </w:p>
    <w:p w14:paraId="000463AB" w14:textId="7432A891" w:rsidR="0035460F" w:rsidRPr="006A38F4" w:rsidRDefault="00921888" w:rsidP="0035460F">
      <w:pPr>
        <w:pStyle w:val="ECHRPara"/>
      </w:pPr>
      <w:fldSimple w:instr=" SEQ level0 \*arabic ">
        <w:r w:rsidR="00454999">
          <w:rPr>
            <w:noProof/>
          </w:rPr>
          <w:t>20</w:t>
        </w:r>
      </w:fldSimple>
      <w:r w:rsidR="0035460F">
        <w:t xml:space="preserve">.  Trybunał Konstytucyjny uznał, że </w:t>
      </w:r>
      <w:r w:rsidR="00440092">
        <w:t xml:space="preserve">wprawdzie </w:t>
      </w:r>
      <w:r w:rsidR="0035460F">
        <w:t xml:space="preserve">nie </w:t>
      </w:r>
      <w:r w:rsidR="008830FE">
        <w:t>uniemożliwia się</w:t>
      </w:r>
      <w:r w:rsidR="00440092">
        <w:t xml:space="preserve"> </w:t>
      </w:r>
      <w:r w:rsidR="0035460F">
        <w:t>kategorycznie</w:t>
      </w:r>
      <w:r w:rsidR="003422E6">
        <w:t xml:space="preserve"> skarżącym </w:t>
      </w:r>
      <w:r w:rsidR="00440092">
        <w:t>kwestionowania</w:t>
      </w:r>
      <w:r w:rsidR="0035460F">
        <w:t xml:space="preserve"> wyroku wydanego w postępowaniu prowa</w:t>
      </w:r>
      <w:r w:rsidR="00440092">
        <w:t>dzonym przeciwko osobom trzecim,</w:t>
      </w:r>
      <w:r w:rsidR="0035460F">
        <w:t xml:space="preserve"> </w:t>
      </w:r>
      <w:r w:rsidR="00440092">
        <w:t xml:space="preserve">to jednak </w:t>
      </w:r>
      <w:r w:rsidR="0035460F">
        <w:t>skarżący, który nie był stroną postępowania, musi być w stanie wykazać, że jego u</w:t>
      </w:r>
      <w:r w:rsidR="001A6D6E">
        <w:t>prawnione</w:t>
      </w:r>
      <w:r w:rsidR="0035460F">
        <w:t xml:space="preserve"> interesy zostały </w:t>
      </w:r>
      <w:r w:rsidR="008830FE">
        <w:t xml:space="preserve">naruszone </w:t>
      </w:r>
      <w:r w:rsidR="0035460F">
        <w:t>bezpośrednio kwestionowanym postanowieniem, a nie jedynie w sposób</w:t>
      </w:r>
      <w:r w:rsidR="00440092" w:rsidRPr="00440092">
        <w:rPr>
          <w:i/>
        </w:rPr>
        <w:t xml:space="preserve"> </w:t>
      </w:r>
      <w:r w:rsidR="00440092">
        <w:rPr>
          <w:i/>
        </w:rPr>
        <w:t>de facto</w:t>
      </w:r>
      <w:r w:rsidR="0035460F">
        <w:t xml:space="preserve"> pośredni. Trybunał Konstytucyjny ponownie nawiązał do swojego orzecznictwa, zgodnie z </w:t>
      </w:r>
      <w:r w:rsidR="0035460F">
        <w:lastRenderedPageBreak/>
        <w:t xml:space="preserve">którym, na mocy zagwarantowanej konstytucyjnie zasady domniemania niewinności, żadne środki zasadniczo sprowadzające się do kary nie mogą być zastosowane w stosunku do oskarżonego bez wcześniejszego stwierdzenia jego winy w trakcie </w:t>
      </w:r>
      <w:r w:rsidR="00440092">
        <w:t>rzetelnego</w:t>
      </w:r>
      <w:r w:rsidR="0035460F">
        <w:t xml:space="preserve"> procesu. Ponadto, orzeczenie </w:t>
      </w:r>
      <w:r w:rsidR="000D6137">
        <w:t>o winie</w:t>
      </w:r>
      <w:r w:rsidR="0035460F">
        <w:t xml:space="preserve"> musi stać się prawomocne zanim </w:t>
      </w:r>
      <w:r w:rsidR="000D6137">
        <w:t>zostanie</w:t>
      </w:r>
      <w:r w:rsidR="0035460F">
        <w:t xml:space="preserve"> wyegzekwowane </w:t>
      </w:r>
      <w:r w:rsidR="000D6137">
        <w:t>w odniesieniu do</w:t>
      </w:r>
      <w:r w:rsidR="0035460F">
        <w:t xml:space="preserve"> danej osoby. Jednakże, w kontekście postępowania karnego, domniemanie niewinności nie powstrzymuje organów ścigania od oceny, czy i w jakim stopniu można podejrzewać, że dana osoba popełniła przestępstwo.</w:t>
      </w:r>
    </w:p>
    <w:p w14:paraId="437040A2" w14:textId="26FFE9E4" w:rsidR="0035460F" w:rsidRPr="009C2870" w:rsidRDefault="00921888" w:rsidP="0035460F">
      <w:pPr>
        <w:pStyle w:val="ECHRPara"/>
      </w:pPr>
      <w:fldSimple w:instr=" SEQ level0 \*arabic ">
        <w:r w:rsidR="00454999">
          <w:rPr>
            <w:noProof/>
          </w:rPr>
          <w:t>21</w:t>
        </w:r>
      </w:fldSimple>
      <w:r w:rsidR="0035460F">
        <w:t xml:space="preserve">.  Wracając do okoliczności niniejszej sprawy, Trybunał Konstytucyjny podkreślił, że domniemanie niewinności nie chroni skarżącego </w:t>
      </w:r>
      <w:r w:rsidR="0035460F">
        <w:rPr>
          <w:i/>
        </w:rPr>
        <w:t>ab initio</w:t>
      </w:r>
      <w:r w:rsidR="0035460F">
        <w:t xml:space="preserve"> przed faktycznym wpływem oświadczeń zawartych w orzeczeniu wydanym w postępowaniu karnym przeciwko osobom trzecim w odniesieniu do jego udziału w popełnieniu przestępstwa. Orzeczenie to nie stanowiło </w:t>
      </w:r>
      <w:r w:rsidR="006432C5">
        <w:t>decyzji</w:t>
      </w:r>
      <w:r w:rsidR="0035460F">
        <w:t xml:space="preserve"> wymagające</w:t>
      </w:r>
      <w:r w:rsidR="006432C5">
        <w:t>j</w:t>
      </w:r>
      <w:r w:rsidR="0035460F">
        <w:t xml:space="preserve"> stwierdzenia winy skarżącego ani nie pociągało za sobą niekorzystnego rozstrzygnięcia w postaci </w:t>
      </w:r>
      <w:r w:rsidR="006432C5">
        <w:t xml:space="preserve">jego </w:t>
      </w:r>
      <w:r w:rsidR="0035460F">
        <w:t xml:space="preserve">skazania lub nałożenia kary. Oświadczenia złożone w postępowaniu karnym </w:t>
      </w:r>
      <w:r w:rsidR="00B94B25">
        <w:t xml:space="preserve">prowadzonym </w:t>
      </w:r>
      <w:r w:rsidR="0035460F">
        <w:t>przeciwko osobom trzecim nie miały wiążącego charakteru dla sąd</w:t>
      </w:r>
      <w:r w:rsidR="006432C5">
        <w:t>ów</w:t>
      </w:r>
      <w:r w:rsidR="0035460F">
        <w:t xml:space="preserve"> ani dla </w:t>
      </w:r>
      <w:r w:rsidR="006432C5">
        <w:t xml:space="preserve">organów </w:t>
      </w:r>
      <w:r w:rsidR="00CA3611">
        <w:t>prokuratury</w:t>
      </w:r>
      <w:r w:rsidR="0035460F">
        <w:t>, czy to w odniesieniu do postępowania przygotowawczego toczącego się przeciwko skarżącemu, czy</w:t>
      </w:r>
      <w:r w:rsidR="001A6D6E">
        <w:t xml:space="preserve"> to</w:t>
      </w:r>
      <w:r w:rsidR="0035460F">
        <w:t xml:space="preserve"> w odniesieniu do innego postępowania sądowego lub administracyjnego, którego skarżący mógłby ewentualnie stać się stroną w przyszłości. Skarżącego nie można</w:t>
      </w:r>
      <w:r w:rsidR="00CA3611">
        <w:t xml:space="preserve"> było</w:t>
      </w:r>
      <w:r w:rsidR="0035460F">
        <w:t xml:space="preserve"> uznać winnym na podstawie tego orzeczenia</w:t>
      </w:r>
      <w:r w:rsidR="00B94B25">
        <w:t xml:space="preserve"> i</w:t>
      </w:r>
      <w:r w:rsidR="0035460F">
        <w:t xml:space="preserve"> nada</w:t>
      </w:r>
      <w:r w:rsidR="00CA3611">
        <w:t>l</w:t>
      </w:r>
      <w:r w:rsidR="0035460F">
        <w:t xml:space="preserve"> znajdował się pod ochroną zasady domniemania niewinności. Fakt, że ustalenia faktyczne Sądu Okręgowego dotyczyły nie tylko oskarżonych</w:t>
      </w:r>
      <w:r w:rsidR="00B94B25">
        <w:t>, którzy na koń</w:t>
      </w:r>
      <w:r w:rsidR="0035460F">
        <w:t>c</w:t>
      </w:r>
      <w:r w:rsidR="00B94B25">
        <w:t>u</w:t>
      </w:r>
      <w:r w:rsidR="0035460F">
        <w:t xml:space="preserve"> postępowania</w:t>
      </w:r>
      <w:r w:rsidR="002451E2" w:rsidRPr="002451E2">
        <w:t xml:space="preserve"> </w:t>
      </w:r>
      <w:r w:rsidR="002451E2">
        <w:t>zostali skazani</w:t>
      </w:r>
      <w:r w:rsidR="0035460F">
        <w:t xml:space="preserve">, ale również skarżącego, stanowił nieodzowną konsekwencję faktu, że w </w:t>
      </w:r>
      <w:r w:rsidR="00F84E1D">
        <w:t>złożonym</w:t>
      </w:r>
      <w:r w:rsidR="002E76C6">
        <w:t xml:space="preserve"> </w:t>
      </w:r>
      <w:r w:rsidR="0035460F">
        <w:t>postępowaniu karnym rzadko kiedy istnieje możliwość jednoczesnego przeprowadzenia i zakończenia postępowania przeciwko wszystkim oskarżonym.</w:t>
      </w:r>
    </w:p>
    <w:p w14:paraId="446C5275" w14:textId="77777777" w:rsidR="0035460F" w:rsidRPr="00A9426A" w:rsidRDefault="0035460F" w:rsidP="0035460F">
      <w:pPr>
        <w:pStyle w:val="ECHRHeading2"/>
      </w:pPr>
      <w:r>
        <w:t>D.  Dalszy ciąg wydarzeń</w:t>
      </w:r>
    </w:p>
    <w:p w14:paraId="0AA41E69" w14:textId="77777777" w:rsidR="0035460F" w:rsidRDefault="00921888" w:rsidP="0035460F">
      <w:pPr>
        <w:pStyle w:val="ECHRPara"/>
      </w:pPr>
      <w:fldSimple w:instr=" SEQ level0 \*arabic ">
        <w:r w:rsidR="00454999">
          <w:rPr>
            <w:noProof/>
          </w:rPr>
          <w:t>22</w:t>
        </w:r>
      </w:fldSimple>
      <w:r w:rsidR="0035460F">
        <w:t xml:space="preserve">.  Wniosek o pomoc prawną został wysłany do władz tureckich w dniu 20 stycznia 2009 roku w celu przesłuchania skarżącego w Turcji. </w:t>
      </w:r>
      <w:r w:rsidR="00C046AF">
        <w:t>Trybunałowi</w:t>
      </w:r>
      <w:r w:rsidR="0035460F">
        <w:t xml:space="preserve"> nie przekazano żadnych informacji dotyczących realizacji tego wniosku.</w:t>
      </w:r>
    </w:p>
    <w:p w14:paraId="552F55B2" w14:textId="56640740" w:rsidR="0035460F" w:rsidRDefault="00921888" w:rsidP="0035460F">
      <w:pPr>
        <w:pStyle w:val="ECHRPara"/>
      </w:pPr>
      <w:fldSimple w:instr=" SEQ level0 \*arabic ">
        <w:r w:rsidR="00454999">
          <w:rPr>
            <w:noProof/>
          </w:rPr>
          <w:t>23</w:t>
        </w:r>
      </w:fldSimple>
      <w:r w:rsidR="0035460F">
        <w:t xml:space="preserve">.  W dniu 20 sierpnia 2009 roku, organy </w:t>
      </w:r>
      <w:r w:rsidR="00CA3611">
        <w:t>prokuratury</w:t>
      </w:r>
      <w:r w:rsidR="0035460F">
        <w:t xml:space="preserve"> we Frankfurcie nad Menem </w:t>
      </w:r>
      <w:r w:rsidR="00CA3611">
        <w:t>oskarżyły</w:t>
      </w:r>
      <w:r w:rsidR="0035460F">
        <w:t xml:space="preserve"> skarżące</w:t>
      </w:r>
      <w:r w:rsidR="00CA3611">
        <w:t>go</w:t>
      </w:r>
      <w:r w:rsidR="0035460F">
        <w:t xml:space="preserve"> i trze</w:t>
      </w:r>
      <w:r w:rsidR="00CA3611">
        <w:t>ch</w:t>
      </w:r>
      <w:r w:rsidR="0035460F">
        <w:t xml:space="preserve"> współoskarżony</w:t>
      </w:r>
      <w:r w:rsidR="00CA3611">
        <w:t>ch</w:t>
      </w:r>
      <w:r w:rsidR="0035460F">
        <w:t xml:space="preserve"> w związku ze zdarzeniami będąc</w:t>
      </w:r>
      <w:r w:rsidR="00CA3611">
        <w:t xml:space="preserve">ymi przedmiotem sprawy. Ponadto </w:t>
      </w:r>
      <w:r w:rsidR="0035460F">
        <w:t xml:space="preserve">9 kwietnia 2012 roku Prokuratura Generalna w Ankarze </w:t>
      </w:r>
      <w:r w:rsidR="00CA3611">
        <w:t>oskarżyła skarżącego w oparciu o</w:t>
      </w:r>
      <w:r w:rsidR="0035460F">
        <w:t xml:space="preserve"> </w:t>
      </w:r>
      <w:r w:rsidR="00CA3611">
        <w:t>podobne zarzuty,</w:t>
      </w:r>
      <w:r w:rsidR="0035460F">
        <w:t xml:space="preserve"> a jego proces rozpoczął się w Turcji w dniu 16 stycznia 2013 roku. Zgodnie z </w:t>
      </w:r>
      <w:r w:rsidR="009414B9">
        <w:t>twierdzeniami</w:t>
      </w:r>
      <w:r w:rsidR="0035460F">
        <w:t xml:space="preserve"> Rządu, Sąd Okręgowy we Frankfurcie nad Menem, na mocy </w:t>
      </w:r>
      <w:r w:rsidR="00010298">
        <w:t>zarządzenia</w:t>
      </w:r>
      <w:r w:rsidR="0035460F">
        <w:t xml:space="preserve"> wydanego w dniu 19 sierpnia 2013 roku, otworzył </w:t>
      </w:r>
      <w:r w:rsidR="0035460F">
        <w:lastRenderedPageBreak/>
        <w:t xml:space="preserve">rozprawę </w:t>
      </w:r>
      <w:r w:rsidR="00762627">
        <w:t xml:space="preserve">główną </w:t>
      </w:r>
      <w:r w:rsidR="0035460F">
        <w:t>w postępowaniu przeciwko skarżącemu. Postępowanie to nadal jest w toku.</w:t>
      </w:r>
    </w:p>
    <w:p w14:paraId="13F7664F" w14:textId="77777777" w:rsidR="0035460F" w:rsidRPr="004218BE" w:rsidRDefault="0035460F" w:rsidP="0035460F">
      <w:pPr>
        <w:pStyle w:val="ECHRHeading1"/>
      </w:pPr>
      <w:r>
        <w:t>II.  WŁAŚCIWE PRAWO I PRAKTYKA KRAJOWA</w:t>
      </w:r>
    </w:p>
    <w:p w14:paraId="151C939B" w14:textId="77777777" w:rsidR="0035460F" w:rsidRDefault="0035460F" w:rsidP="0035460F">
      <w:pPr>
        <w:pStyle w:val="ECHRHeading2"/>
      </w:pPr>
      <w:r>
        <w:t>A.  Kod</w:t>
      </w:r>
      <w:r w:rsidR="009414B9">
        <w:t>eks</w:t>
      </w:r>
      <w:r>
        <w:t xml:space="preserve"> postępowania karnego</w:t>
      </w:r>
    </w:p>
    <w:bookmarkStart w:id="2" w:name="p1654"/>
    <w:bookmarkStart w:id="3" w:name="p1977"/>
    <w:bookmarkStart w:id="4" w:name="p1288"/>
    <w:bookmarkStart w:id="5" w:name="p1289"/>
    <w:bookmarkEnd w:id="2"/>
    <w:bookmarkEnd w:id="3"/>
    <w:bookmarkEnd w:id="4"/>
    <w:bookmarkEnd w:id="5"/>
    <w:p w14:paraId="04576FEA" w14:textId="77777777" w:rsidR="0035460F" w:rsidRDefault="0035460F" w:rsidP="0035460F">
      <w:pPr>
        <w:pStyle w:val="ECHRPara"/>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SEQ level0 \*arabic </w:instrText>
      </w:r>
      <w:r>
        <w:rPr>
          <w:rFonts w:ascii="Times New Roman" w:eastAsia="Times New Roman" w:hAnsi="Times New Roman" w:cs="Times New Roman"/>
          <w:szCs w:val="24"/>
        </w:rPr>
        <w:fldChar w:fldCharType="separate"/>
      </w:r>
      <w:r w:rsidR="00454999">
        <w:rPr>
          <w:rFonts w:ascii="Times New Roman" w:eastAsia="Times New Roman" w:hAnsi="Times New Roman" w:cs="Times New Roman"/>
          <w:noProof/>
          <w:szCs w:val="24"/>
        </w:rPr>
        <w:t>24</w:t>
      </w:r>
      <w:r>
        <w:rPr>
          <w:rFonts w:ascii="Times New Roman" w:eastAsia="Times New Roman" w:hAnsi="Times New Roman" w:cs="Times New Roman"/>
          <w:szCs w:val="24"/>
        </w:rPr>
        <w:fldChar w:fldCharType="end"/>
      </w:r>
      <w:r>
        <w:t>.</w:t>
      </w:r>
      <w:r>
        <w:rPr>
          <w:rFonts w:ascii="Times New Roman" w:hAnsi="Times New Roman"/>
        </w:rPr>
        <w:t xml:space="preserve">  Zgodnie z artykułem 155 § 1 kodeksu postępowania karnego, </w:t>
      </w:r>
      <w:r w:rsidR="00617813">
        <w:rPr>
          <w:rFonts w:ascii="Times New Roman" w:hAnsi="Times New Roman"/>
        </w:rPr>
        <w:t>postępowanie</w:t>
      </w:r>
      <w:r>
        <w:rPr>
          <w:rFonts w:ascii="Times New Roman" w:hAnsi="Times New Roman"/>
        </w:rPr>
        <w:t xml:space="preserve"> karne i </w:t>
      </w:r>
      <w:r w:rsidR="00617813">
        <w:rPr>
          <w:rFonts w:ascii="Times New Roman" w:hAnsi="Times New Roman"/>
        </w:rPr>
        <w:t>związane z nim decyzje</w:t>
      </w:r>
      <w:r>
        <w:rPr>
          <w:rFonts w:ascii="Times New Roman" w:hAnsi="Times New Roman"/>
        </w:rPr>
        <w:t xml:space="preserve"> dotyczą jedynie </w:t>
      </w:r>
      <w:r>
        <w:t xml:space="preserve">oskarżonego i </w:t>
      </w:r>
      <w:r w:rsidR="00617813">
        <w:t>stawianych</w:t>
      </w:r>
      <w:r>
        <w:t xml:space="preserve"> mu zarzutów.</w:t>
      </w:r>
      <w:bookmarkStart w:id="6" w:name="p1727"/>
      <w:bookmarkEnd w:id="6"/>
      <w:r>
        <w:t xml:space="preserve"> Artykuł 264 § 1 stwierdza, że </w:t>
      </w:r>
      <w:r w:rsidR="00617813">
        <w:t>wyrok</w:t>
      </w:r>
      <w:r>
        <w:t xml:space="preserve"> wydan</w:t>
      </w:r>
      <w:r w:rsidR="00617813">
        <w:t>y</w:t>
      </w:r>
      <w:r>
        <w:t xml:space="preserve"> w postępowaniu karnym </w:t>
      </w:r>
      <w:r w:rsidR="00617813">
        <w:t>powinien</w:t>
      </w:r>
      <w:r>
        <w:t xml:space="preserve"> </w:t>
      </w:r>
      <w:r w:rsidR="00617813">
        <w:t xml:space="preserve">odnosić się do </w:t>
      </w:r>
      <w:r>
        <w:t xml:space="preserve">przestępstwa określonego w akcie oskarżenia, uszczegółowionego w </w:t>
      </w:r>
      <w:r w:rsidR="00642C22">
        <w:t xml:space="preserve">oparciu o wyniki ustalone w trakcie rozprawy. </w:t>
      </w:r>
    </w:p>
    <w:p w14:paraId="296D05E1" w14:textId="77777777" w:rsidR="0035460F" w:rsidRPr="00B929E6" w:rsidRDefault="00921888" w:rsidP="0035460F">
      <w:pPr>
        <w:pStyle w:val="ECHRPara"/>
      </w:pPr>
      <w:fldSimple w:instr=" SEQ level0 \*arabic ">
        <w:r w:rsidR="00454999">
          <w:rPr>
            <w:noProof/>
          </w:rPr>
          <w:t>25</w:t>
        </w:r>
      </w:fldSimple>
      <w:r w:rsidR="0035460F">
        <w:t xml:space="preserve">.  Artykuł 250 stwierdza, że jeżeli dowody w postępowaniu karnym wynikają z </w:t>
      </w:r>
      <w:r w:rsidR="00642C22">
        <w:t>postrzegania</w:t>
      </w:r>
      <w:r w:rsidR="0035460F">
        <w:t xml:space="preserve"> okoliczności sprawy przez daną osobę, osoba ta </w:t>
      </w:r>
      <w:r w:rsidR="00642C22">
        <w:t>po</w:t>
      </w:r>
      <w:r w:rsidR="0035460F">
        <w:t>winna być przesłuchana podczas głównej rozprawy. Przesłuchania nie należy zastępować odczytaniem zeznań z poprzedniego przesłuchania danego świadka ani jego pisemnym oświadczeniem.</w:t>
      </w:r>
    </w:p>
    <w:p w14:paraId="5687401C" w14:textId="77777777" w:rsidR="0035460F" w:rsidRDefault="00921888" w:rsidP="0035460F">
      <w:pPr>
        <w:pStyle w:val="ECHRPara"/>
        <w:rPr>
          <w:rFonts w:ascii="Times New Roman" w:eastAsia="Times New Roman" w:hAnsi="Times New Roman" w:cs="Times New Roman"/>
          <w:szCs w:val="24"/>
        </w:rPr>
      </w:pPr>
      <w:fldSimple w:instr=" SEQ level0 \*arabic ">
        <w:r w:rsidR="00454999">
          <w:rPr>
            <w:noProof/>
          </w:rPr>
          <w:t>26</w:t>
        </w:r>
      </w:fldSimple>
      <w:r w:rsidR="0035460F">
        <w:t xml:space="preserve">.  Zgodnie z artykułem 337 </w:t>
      </w:r>
      <w:bookmarkStart w:id="7" w:name="p1978"/>
      <w:bookmarkEnd w:id="7"/>
      <w:r w:rsidR="0035460F">
        <w:t xml:space="preserve">kodeksu postępowania karnego, apelacja dotycząca kwestii prawnych </w:t>
      </w:r>
      <w:r w:rsidR="0035460F">
        <w:rPr>
          <w:rFonts w:ascii="Times New Roman" w:hAnsi="Times New Roman"/>
        </w:rPr>
        <w:t>(</w:t>
      </w:r>
      <w:r w:rsidR="0035460F">
        <w:rPr>
          <w:rFonts w:ascii="Times New Roman" w:hAnsi="Times New Roman"/>
          <w:i/>
        </w:rPr>
        <w:t>Rewizja</w:t>
      </w:r>
      <w:r w:rsidR="0035460F">
        <w:rPr>
          <w:rFonts w:ascii="Times New Roman" w:hAnsi="Times New Roman"/>
        </w:rPr>
        <w:t>) przeciwko orzeczeniu sądu karnego może być wniesiona jedynie na podstawie zarzutu, że orzeczenie to opierało się o naruszenie prawa.</w:t>
      </w:r>
    </w:p>
    <w:p w14:paraId="1DB354EE" w14:textId="77777777" w:rsidR="0035460F" w:rsidRPr="00A9426A" w:rsidRDefault="0035460F" w:rsidP="0035460F">
      <w:pPr>
        <w:pStyle w:val="ECHRHeading2"/>
      </w:pPr>
      <w:r>
        <w:t>B.  Ustawa o Federalnym Trybunale Konstytucyjnym</w:t>
      </w:r>
    </w:p>
    <w:p w14:paraId="03CDF160" w14:textId="77777777" w:rsidR="0035460F" w:rsidRPr="00946B18" w:rsidRDefault="00921888" w:rsidP="0035460F">
      <w:pPr>
        <w:pStyle w:val="ECHRPara"/>
      </w:pPr>
      <w:fldSimple w:instr=" SEQ level0 \*arabic ">
        <w:r w:rsidR="00454999">
          <w:rPr>
            <w:noProof/>
          </w:rPr>
          <w:t>27</w:t>
        </w:r>
      </w:fldSimple>
      <w:r w:rsidR="0035460F">
        <w:t>.  Właściwe przepisy ustawy o Federalnym Trybunale Konstytucyjnym (</w:t>
      </w:r>
      <w:proofErr w:type="spellStart"/>
      <w:r w:rsidR="0035460F">
        <w:rPr>
          <w:i/>
        </w:rPr>
        <w:t>Bundesverfassungsgerichtsgesetz</w:t>
      </w:r>
      <w:proofErr w:type="spellEnd"/>
      <w:r w:rsidR="0035460F">
        <w:t>) brzmią następująco:</w:t>
      </w:r>
    </w:p>
    <w:p w14:paraId="0EB1AB39" w14:textId="77777777" w:rsidR="0035460F" w:rsidRPr="004709B4" w:rsidRDefault="0035460F" w:rsidP="0035460F">
      <w:pPr>
        <w:pStyle w:val="ECHRTitleCentre3"/>
      </w:pPr>
      <w:r>
        <w:t>Ustęp 90</w:t>
      </w:r>
    </w:p>
    <w:p w14:paraId="510257CA" w14:textId="77777777" w:rsidR="0035460F" w:rsidRPr="00946B18" w:rsidRDefault="0035460F" w:rsidP="0035460F">
      <w:pPr>
        <w:pStyle w:val="ECHRParaQuote"/>
      </w:pPr>
      <w:r>
        <w:t xml:space="preserve">(1) Każda osoba występująca z zarzutem naruszenia </w:t>
      </w:r>
      <w:r w:rsidR="002D4324">
        <w:t xml:space="preserve">przez organ publiczny </w:t>
      </w:r>
      <w:r>
        <w:t xml:space="preserve">jednego z jej podstawowych praw lub jednego z jej praw wynikających z artykułów 20 (4), 33, 38, 101, 103 i 104 </w:t>
      </w:r>
      <w:r w:rsidR="002D4324">
        <w:t>Ustawy Zasadniczej</w:t>
      </w:r>
      <w:r>
        <w:t>, może wnieść skargę konstytucyjną do Federalnego Trybunału Konstytucyjnego.</w:t>
      </w:r>
    </w:p>
    <w:p w14:paraId="61EEAF0E" w14:textId="77777777" w:rsidR="0035460F" w:rsidRPr="00946B18" w:rsidRDefault="0035460F" w:rsidP="0035460F">
      <w:pPr>
        <w:pStyle w:val="ECHRParaQuote"/>
      </w:pPr>
      <w:r>
        <w:t>(2) Jeżeli w sprawie takiego naruszenia dopuszczalne</w:t>
      </w:r>
      <w:r w:rsidR="009414B9" w:rsidRPr="009414B9">
        <w:t xml:space="preserve"> </w:t>
      </w:r>
      <w:r w:rsidR="009414B9">
        <w:t>jest podjęcie działań prawnych</w:t>
      </w:r>
      <w:r>
        <w:t>, skargę konstytucyjną można wnieść dopiero po wyczerpaniu wszystkich środków odwoławczych. Jednakże, Federalny Trybunał Konstytucyjny może niezwłocznie rozstrzygnąć skargę konstytucyjną, przed wyczerpaniem wszystkich środków odwoławczych, jeżeli</w:t>
      </w:r>
      <w:r w:rsidR="00816998">
        <w:t xml:space="preserve"> posiada </w:t>
      </w:r>
      <w:r>
        <w:t>ona</w:t>
      </w:r>
      <w:r w:rsidR="00816998">
        <w:t xml:space="preserve"> walor </w:t>
      </w:r>
      <w:r>
        <w:t>ogóln</w:t>
      </w:r>
      <w:r w:rsidR="00816998">
        <w:t>y</w:t>
      </w:r>
      <w:r>
        <w:t xml:space="preserve"> lub w przypadku, gdy wcześniejsze wystąpienie do innych sądów pociągnęłoby za sobą poważną i nieuniknioną szkodę dla skarżącego.</w:t>
      </w:r>
    </w:p>
    <w:p w14:paraId="1CBEA1A7" w14:textId="77777777" w:rsidR="0035460F" w:rsidRPr="00A9426A" w:rsidRDefault="0035460F" w:rsidP="0035460F">
      <w:pPr>
        <w:pStyle w:val="ECHRParaQuote"/>
        <w:ind w:firstLine="1"/>
      </w:pPr>
      <w:r>
        <w:t>...</w:t>
      </w:r>
    </w:p>
    <w:p w14:paraId="584C36EB" w14:textId="77777777" w:rsidR="0035460F" w:rsidRPr="004709B4" w:rsidRDefault="0035460F" w:rsidP="0035460F">
      <w:pPr>
        <w:pStyle w:val="ECHRTitleCentre3"/>
      </w:pPr>
      <w:bookmarkStart w:id="8" w:name="93a"/>
      <w:bookmarkEnd w:id="8"/>
      <w:r>
        <w:lastRenderedPageBreak/>
        <w:t>Ustęp 93a</w:t>
      </w:r>
    </w:p>
    <w:p w14:paraId="7EE3B87F" w14:textId="77777777" w:rsidR="0035460F" w:rsidRPr="00946B18" w:rsidRDefault="0035460F" w:rsidP="0035460F">
      <w:pPr>
        <w:pStyle w:val="ECHRParaQuote"/>
      </w:pPr>
      <w:r>
        <w:t xml:space="preserve">(1) Skarga </w:t>
      </w:r>
      <w:r w:rsidR="00E74C21">
        <w:t>w kwestii n</w:t>
      </w:r>
      <w:r>
        <w:t>iekonstytucyjności wymaga zatwierdzenia przed</w:t>
      </w:r>
      <w:r w:rsidR="00816998">
        <w:t xml:space="preserve"> wydaniem postanowienia</w:t>
      </w:r>
      <w:r>
        <w:t>.</w:t>
      </w:r>
    </w:p>
    <w:p w14:paraId="0129EC42" w14:textId="77777777" w:rsidR="0035460F" w:rsidRPr="00946B18" w:rsidRDefault="00762627" w:rsidP="0035460F">
      <w:pPr>
        <w:pStyle w:val="ECHRParaQuote"/>
      </w:pPr>
      <w:r>
        <w:t>(2) Zostanie zatwierdzona, jeżeli:</w:t>
      </w:r>
      <w:r w:rsidR="0035460F">
        <w:t xml:space="preserve"> </w:t>
      </w:r>
    </w:p>
    <w:p w14:paraId="405946DD" w14:textId="56770E25" w:rsidR="0035460F" w:rsidRPr="00946B18" w:rsidRDefault="0035460F" w:rsidP="0035460F">
      <w:pPr>
        <w:pStyle w:val="ECHRParaQuote"/>
      </w:pPr>
      <w:r>
        <w:t>(a) podnosi kwestię konstytucyjną o fundamentalnym znaczeniu,</w:t>
      </w:r>
    </w:p>
    <w:p w14:paraId="3C00708A" w14:textId="306690DC" w:rsidR="0035460F" w:rsidRPr="00946B18" w:rsidRDefault="0035460F" w:rsidP="0035460F">
      <w:pPr>
        <w:pStyle w:val="ECHRParaQuote"/>
      </w:pPr>
      <w:r>
        <w:t>(b) jest to pożądane dla zabezpieczenia praw, o których mowa w ustępie 90(1); lub także w przypadku, gdy odmowa wydania postanowienia w sprawie pociągnęłaby za sobą poważną szkodę dla skarżącego.”</w:t>
      </w:r>
    </w:p>
    <w:p w14:paraId="77EA44C8" w14:textId="77777777" w:rsidR="0035460F" w:rsidRPr="00946B18" w:rsidRDefault="0035460F" w:rsidP="0035460F">
      <w:pPr>
        <w:pStyle w:val="ECHRHeading2"/>
      </w:pPr>
      <w:r>
        <w:t>C.  Zasada domnieman</w:t>
      </w:r>
      <w:r w:rsidR="00816998">
        <w:t>ia</w:t>
      </w:r>
      <w:r>
        <w:t xml:space="preserve"> niewinności</w:t>
      </w:r>
    </w:p>
    <w:p w14:paraId="715DA703" w14:textId="0DBFBEC4" w:rsidR="0035460F" w:rsidRPr="002C36D6" w:rsidRDefault="0035460F" w:rsidP="0035460F">
      <w:pPr>
        <w:pStyle w:val="ECHRPara"/>
      </w:pPr>
      <w:r>
        <w:rPr>
          <w:rStyle w:val="sb8d990e2"/>
        </w:rPr>
        <w:fldChar w:fldCharType="begin"/>
      </w:r>
      <w:r>
        <w:rPr>
          <w:rStyle w:val="sb8d990e2"/>
        </w:rPr>
        <w:instrText xml:space="preserve"> SEQ level0 \*arabic </w:instrText>
      </w:r>
      <w:r>
        <w:rPr>
          <w:rStyle w:val="sb8d990e2"/>
        </w:rPr>
        <w:fldChar w:fldCharType="separate"/>
      </w:r>
      <w:r w:rsidR="00454999">
        <w:rPr>
          <w:rStyle w:val="sb8d990e2"/>
          <w:noProof/>
        </w:rPr>
        <w:t>28</w:t>
      </w:r>
      <w:r>
        <w:rPr>
          <w:rStyle w:val="sb8d990e2"/>
        </w:rPr>
        <w:fldChar w:fldCharType="end"/>
      </w:r>
      <w:r>
        <w:rPr>
          <w:rStyle w:val="sb8d990e2"/>
        </w:rPr>
        <w:t>. </w:t>
      </w:r>
      <w:r>
        <w:t xml:space="preserve"> Zgodnie z ugruntowanym orzecznictwem niemieckiego Federalnego Trybunału Konstytucyjnego (zobacz, na przykład, </w:t>
      </w:r>
      <w:proofErr w:type="spellStart"/>
      <w:r>
        <w:t>BVerfGE</w:t>
      </w:r>
      <w:proofErr w:type="spellEnd"/>
      <w:r>
        <w:t xml:space="preserve"> 74, 358, 370 i nast. oraz 82, 106, 114 i nast.), zasada domnieman</w:t>
      </w:r>
      <w:r w:rsidR="00816998">
        <w:t>ia</w:t>
      </w:r>
      <w:r>
        <w:t xml:space="preserve"> niewinności do czasu udowodnienia winy zgodnie z prawem wynika z zasady praworządności, a podczas interpretacji jej treści i zakresu należy uwzględnić </w:t>
      </w:r>
      <w:r w:rsidR="00E74C21">
        <w:t>K</w:t>
      </w:r>
      <w:r>
        <w:t xml:space="preserve">onwencję </w:t>
      </w:r>
      <w:r w:rsidR="00762627">
        <w:t>o ochronie praw człowieka i podstawowych wolności</w:t>
      </w:r>
      <w:r>
        <w:t xml:space="preserve">, </w:t>
      </w:r>
      <w:r w:rsidR="00E74C21">
        <w:t>j</w:t>
      </w:r>
      <w:r>
        <w:t>a</w:t>
      </w:r>
      <w:r w:rsidR="00E74C21">
        <w:t>k</w:t>
      </w:r>
      <w:r>
        <w:t xml:space="preserve"> również orzecznictwo Europejskiego Trybunału Praw Człowieka. Zasada domnieman</w:t>
      </w:r>
      <w:r w:rsidR="00E74C21">
        <w:t>ia</w:t>
      </w:r>
      <w:r>
        <w:t xml:space="preserve"> niewinności jest ściśle związana z prawem osoby, której przedstawiono zarzut popełnienia przestępstwa, do obrony w trakcie </w:t>
      </w:r>
      <w:r w:rsidR="00E74C21">
        <w:t>rzetelnego</w:t>
      </w:r>
      <w:r>
        <w:t xml:space="preserve"> procesu. Na mocy tej zasady, żadne środki, które zasadniczo sprowadzają się do kary, nie mogą być podjęte w stosunku do po</w:t>
      </w:r>
      <w:r w:rsidR="00E74C21">
        <w:t>dejrzanego</w:t>
      </w:r>
      <w:r>
        <w:t xml:space="preserve"> bez wcześniejszego stwierdzenia jego winy w wyniku prawidłowego procesu. Ponadto, zasada ta wymaga, aby wina została udowodniona zgodnie z prawem, zanim może być nią obciążona dana osoba. A zatem, stwierdzenie winy nie będzie uprawnione, o ile nie zostanie ogłoszone w chwili zamknięcia procesu, który osiągnął etap, na jakim można wy</w:t>
      </w:r>
      <w:r w:rsidR="00FF2337">
        <w:t>dać wyrok</w:t>
      </w:r>
      <w:r>
        <w:t>.</w:t>
      </w:r>
    </w:p>
    <w:p w14:paraId="30DD0FC2" w14:textId="77777777" w:rsidR="0035460F" w:rsidRPr="00E171C2" w:rsidRDefault="0035460F" w:rsidP="00206648">
      <w:pPr>
        <w:pStyle w:val="ECHRTitle1"/>
        <w:spacing w:before="600"/>
      </w:pPr>
      <w:r w:rsidRPr="00E171C2">
        <w:t>PRAWO</w:t>
      </w:r>
    </w:p>
    <w:p w14:paraId="2BB24E15" w14:textId="10060C3E" w:rsidR="0035460F" w:rsidRPr="004218BE" w:rsidRDefault="0035460F" w:rsidP="0035460F">
      <w:pPr>
        <w:pStyle w:val="ECHRHeading1"/>
      </w:pPr>
      <w:r>
        <w:t>ZARZU</w:t>
      </w:r>
      <w:r w:rsidR="00844ED2">
        <w:t>T NARUSZENIA</w:t>
      </w:r>
      <w:r>
        <w:t xml:space="preserve"> ARTYKUŁU 6 § 2 KONWENCJI</w:t>
      </w:r>
    </w:p>
    <w:p w14:paraId="726A55D7" w14:textId="5310725A" w:rsidR="0035460F" w:rsidRPr="004218BE" w:rsidRDefault="00921888" w:rsidP="0035460F">
      <w:pPr>
        <w:pStyle w:val="ECHRPara"/>
      </w:pPr>
      <w:fldSimple w:instr=" SEQ level0 \*arabic ">
        <w:r w:rsidR="00454999">
          <w:rPr>
            <w:noProof/>
          </w:rPr>
          <w:t>29</w:t>
        </w:r>
      </w:fldSimple>
      <w:r w:rsidR="0035460F">
        <w:t xml:space="preserve">.  Skarżący </w:t>
      </w:r>
      <w:r w:rsidR="00FF2337">
        <w:t>zarzucił</w:t>
      </w:r>
      <w:r w:rsidR="0035460F">
        <w:t xml:space="preserve">, że oświadczenia zawarte w orzeczeniu Sądu Okręgowego z dnia 17 września 2008 roku dotyczące jego zaangażowania w przestępstwo rzekomo popełnione wspólnie ze współoskarżonymi stanowiły naruszenie zasady domniemania niewinności przewidzianej w artykule 6 § 2 </w:t>
      </w:r>
      <w:r w:rsidR="00D75C76">
        <w:t>K</w:t>
      </w:r>
      <w:r w:rsidR="0035460F">
        <w:t>onwencji</w:t>
      </w:r>
      <w:r w:rsidR="00762627">
        <w:t>, który ma następujące</w:t>
      </w:r>
      <w:r w:rsidR="0035460F">
        <w:t xml:space="preserve"> brzmieni</w:t>
      </w:r>
      <w:r w:rsidR="00762627">
        <w:t>e</w:t>
      </w:r>
      <w:r w:rsidR="0035460F">
        <w:t>:</w:t>
      </w:r>
    </w:p>
    <w:p w14:paraId="746C0D9E" w14:textId="77777777" w:rsidR="0035460F" w:rsidRPr="00206648" w:rsidRDefault="0035460F" w:rsidP="00206648">
      <w:pPr>
        <w:pStyle w:val="ECHRParaQuote"/>
        <w:spacing w:after="80"/>
        <w:rPr>
          <w:sz w:val="18"/>
        </w:rPr>
      </w:pPr>
      <w:r w:rsidRPr="00206648">
        <w:rPr>
          <w:sz w:val="18"/>
        </w:rPr>
        <w:t>„...</w:t>
      </w:r>
    </w:p>
    <w:p w14:paraId="7053519E" w14:textId="77777777" w:rsidR="0035460F" w:rsidRPr="00A516DB" w:rsidRDefault="0035460F" w:rsidP="00206648">
      <w:pPr>
        <w:pStyle w:val="ECHRParaQuote"/>
        <w:spacing w:after="80"/>
      </w:pPr>
      <w:r>
        <w:t>2.  </w:t>
      </w:r>
      <w:r w:rsidR="00FF2337">
        <w:t>Każdego oskarżonego o popełnienie czynu zagrożonego karą uważa się za niewinnego do czasu udowodnienia mu winy zgodnie z ustawą</w:t>
      </w:r>
      <w:r>
        <w:t>.</w:t>
      </w:r>
    </w:p>
    <w:p w14:paraId="476F17E7" w14:textId="77777777" w:rsidR="0035460F" w:rsidRPr="00A516DB" w:rsidRDefault="0035460F" w:rsidP="00206648">
      <w:pPr>
        <w:pStyle w:val="ECHRParaQuote"/>
        <w:spacing w:before="0"/>
      </w:pPr>
      <w:r>
        <w:t>...”</w:t>
      </w:r>
    </w:p>
    <w:p w14:paraId="0BF4DC5A" w14:textId="38FFB9A4" w:rsidR="0035460F" w:rsidRDefault="00921888" w:rsidP="0035460F">
      <w:pPr>
        <w:pStyle w:val="ECHRPara"/>
      </w:pPr>
      <w:fldSimple w:instr=" SEQ level0 \*arabic ">
        <w:r w:rsidR="00454999">
          <w:rPr>
            <w:noProof/>
          </w:rPr>
          <w:t>30</w:t>
        </w:r>
      </w:fldSimple>
      <w:r w:rsidR="0035460F">
        <w:t xml:space="preserve">.  Rząd </w:t>
      </w:r>
      <w:r w:rsidR="00D16A9B">
        <w:t xml:space="preserve">kwestionował </w:t>
      </w:r>
      <w:r w:rsidR="0035460F">
        <w:t>ten argument.</w:t>
      </w:r>
    </w:p>
    <w:p w14:paraId="4BB61D98" w14:textId="77777777" w:rsidR="0035460F" w:rsidRDefault="00921888" w:rsidP="0035460F">
      <w:pPr>
        <w:pStyle w:val="ECHRPara"/>
      </w:pPr>
      <w:fldSimple w:instr=" SEQ level0 \*arabic ">
        <w:r w:rsidR="00454999">
          <w:rPr>
            <w:noProof/>
          </w:rPr>
          <w:t>31</w:t>
        </w:r>
      </w:fldSimple>
      <w:r w:rsidR="00FF2337">
        <w:t>.  Trybunał</w:t>
      </w:r>
      <w:r w:rsidR="0035460F">
        <w:t xml:space="preserve"> zauważa na początku, że nie zakwestionowano między stronami faktu, iż skarżąc</w:t>
      </w:r>
      <w:r w:rsidR="00FD0403">
        <w:t>y został „oskarżony o popełnienie czynu zagrożonego karą”</w:t>
      </w:r>
      <w:r w:rsidR="0035460F">
        <w:t xml:space="preserve"> w rozumieniu artykułu 6 konwencji.</w:t>
      </w:r>
    </w:p>
    <w:p w14:paraId="249A3333" w14:textId="77777777" w:rsidR="0035460F" w:rsidRDefault="00921888" w:rsidP="0035460F">
      <w:pPr>
        <w:pStyle w:val="ECHRPara"/>
      </w:pPr>
      <w:fldSimple w:instr=" SEQ level0 \*arabic ">
        <w:r w:rsidR="00454999">
          <w:rPr>
            <w:noProof/>
          </w:rPr>
          <w:t>32</w:t>
        </w:r>
      </w:fldSimple>
      <w:r w:rsidR="0035460F">
        <w:t xml:space="preserve">.  Rząd argumentował jednak, że </w:t>
      </w:r>
      <w:r w:rsidR="00B5288D">
        <w:t>skarga jest</w:t>
      </w:r>
      <w:r w:rsidR="0035460F">
        <w:t xml:space="preserve"> niedopuszczaln</w:t>
      </w:r>
      <w:r w:rsidR="00B5288D">
        <w:t xml:space="preserve">a, gdyż skarżący nie może utrzymywać, że jest ofiarą </w:t>
      </w:r>
      <w:r w:rsidR="0035460F">
        <w:t xml:space="preserve">naruszenia zasady domniemania niewinności, a ponadto nie wyczerpał krajowych środków odwoławczych w tym zakresie. </w:t>
      </w:r>
      <w:r w:rsidR="00447594">
        <w:t xml:space="preserve">Alternatywnie, </w:t>
      </w:r>
      <w:r w:rsidR="0035460F">
        <w:t>Rząd</w:t>
      </w:r>
      <w:r w:rsidR="00447594">
        <w:t xml:space="preserve"> utrzymywał</w:t>
      </w:r>
      <w:r w:rsidR="0035460F">
        <w:t>, że nie nastąpiło naruszenie artykułu 6 § 2.</w:t>
      </w:r>
    </w:p>
    <w:p w14:paraId="36043153" w14:textId="77777777" w:rsidR="00206648" w:rsidRPr="004218BE" w:rsidRDefault="00206648" w:rsidP="0035460F">
      <w:pPr>
        <w:pStyle w:val="ECHRPara"/>
      </w:pPr>
    </w:p>
    <w:p w14:paraId="4AAB0358" w14:textId="77777777" w:rsidR="0035460F" w:rsidRPr="004218BE" w:rsidRDefault="0035460F" w:rsidP="0035460F">
      <w:pPr>
        <w:pStyle w:val="ECHRHeading2"/>
        <w:outlineLvl w:val="0"/>
      </w:pPr>
      <w:r>
        <w:t>A.  Dopuszczalność</w:t>
      </w:r>
    </w:p>
    <w:p w14:paraId="1DAC1C51" w14:textId="4581A557" w:rsidR="0035460F" w:rsidRDefault="0035460F" w:rsidP="0035460F">
      <w:pPr>
        <w:pStyle w:val="ECHRHeading3"/>
      </w:pPr>
      <w:r>
        <w:t>1.  Zarzu</w:t>
      </w:r>
      <w:r w:rsidR="00206648">
        <w:t>t</w:t>
      </w:r>
      <w:r>
        <w:t xml:space="preserve"> brak</w:t>
      </w:r>
      <w:r w:rsidR="00206648">
        <w:t>u</w:t>
      </w:r>
      <w:r>
        <w:t xml:space="preserve"> możliwości uznania, że skarżący był „ofiarą”</w:t>
      </w:r>
    </w:p>
    <w:p w14:paraId="6EC6FEA1" w14:textId="77777777" w:rsidR="0035460F" w:rsidRPr="00BE4E1A" w:rsidRDefault="0035460F" w:rsidP="0035460F">
      <w:pPr>
        <w:pStyle w:val="ECHRHeading4"/>
      </w:pPr>
      <w:r>
        <w:t>(a)  Rząd</w:t>
      </w:r>
    </w:p>
    <w:p w14:paraId="632350F6" w14:textId="77777777" w:rsidR="0035460F" w:rsidRDefault="00921888" w:rsidP="0035460F">
      <w:pPr>
        <w:pStyle w:val="ECHRPara"/>
      </w:pPr>
      <w:fldSimple w:instr=" SEQ level0 \*arabic ">
        <w:r w:rsidR="00454999">
          <w:rPr>
            <w:noProof/>
          </w:rPr>
          <w:t>33</w:t>
        </w:r>
      </w:fldSimple>
      <w:r w:rsidR="0035460F">
        <w:t xml:space="preserve">.  W opinii Rządu, skarżący nie może </w:t>
      </w:r>
      <w:r w:rsidR="00D75C76">
        <w:t>utrzymywać, że jest ofiarą</w:t>
      </w:r>
      <w:r w:rsidR="0035460F">
        <w:t xml:space="preserve"> w rozumieniu artykułu 34 </w:t>
      </w:r>
      <w:r w:rsidR="00D75C76">
        <w:t>K</w:t>
      </w:r>
      <w:r w:rsidR="0035460F">
        <w:t>onwencji naruszenia prawa do domniemania niewinności.</w:t>
      </w:r>
    </w:p>
    <w:p w14:paraId="5CE5CB8D" w14:textId="14E3C472" w:rsidR="0035460F" w:rsidRDefault="00921888" w:rsidP="0035460F">
      <w:pPr>
        <w:pStyle w:val="ECHRPara"/>
      </w:pPr>
      <w:fldSimple w:instr=" SEQ level0 \*arabic ">
        <w:r w:rsidR="00454999">
          <w:rPr>
            <w:noProof/>
          </w:rPr>
          <w:t>34</w:t>
        </w:r>
      </w:fldSimple>
      <w:r w:rsidR="0035460F">
        <w:t xml:space="preserve">.  Rząd oświadczył w tym kontekście, że z artykułu 155 § 1 w związku z artykułem 264 § 1 kodeksu postępowania karnego (zobacz „Właściwe prawo i praktyka krajowa” powyżej) wynika, że wszelkie </w:t>
      </w:r>
      <w:r w:rsidR="00D75C76">
        <w:t>decyzje oraz</w:t>
      </w:r>
      <w:r w:rsidR="0035460F">
        <w:t xml:space="preserve"> uznanie winy przez sądy karne dotycz</w:t>
      </w:r>
      <w:r w:rsidR="00D75C76">
        <w:t>ą</w:t>
      </w:r>
      <w:r w:rsidR="0035460F">
        <w:t xml:space="preserve"> tylko oskarżonych i przestępstw, o których mowa w akcie oskarżenia wniesionym w danym procesie. W niniejszej sprawie, orzeczenie Sądu </w:t>
      </w:r>
      <w:r w:rsidR="00EE2721">
        <w:t xml:space="preserve">Okręgowego </w:t>
      </w:r>
      <w:r w:rsidR="0035460F">
        <w:t>zostało wydane w o</w:t>
      </w:r>
      <w:r w:rsidR="00C74BE2">
        <w:t>drębnym</w:t>
      </w:r>
      <w:r w:rsidR="0035460F">
        <w:t xml:space="preserve"> postępowaniu przeciwko współoskarżonym skarżącego, a zatem</w:t>
      </w:r>
      <w:r w:rsidR="008879B5">
        <w:t>,</w:t>
      </w:r>
      <w:r w:rsidR="0035460F">
        <w:t xml:space="preserve"> </w:t>
      </w:r>
      <w:r w:rsidR="00DB413C">
        <w:t>w konsekwencji</w:t>
      </w:r>
      <w:r w:rsidR="008879B5">
        <w:t>,</w:t>
      </w:r>
      <w:r w:rsidR="00DB413C">
        <w:t xml:space="preserve"> </w:t>
      </w:r>
      <w:r w:rsidR="0035460F">
        <w:t>wszelkie uznanie winy ograniczone</w:t>
      </w:r>
      <w:r w:rsidR="00DB413C" w:rsidRPr="00DB413C">
        <w:t xml:space="preserve"> </w:t>
      </w:r>
      <w:r w:rsidR="00DB413C">
        <w:t>było jedynie do nich</w:t>
      </w:r>
      <w:r w:rsidR="0035460F">
        <w:t xml:space="preserve">, nie rozciągało się </w:t>
      </w:r>
      <w:r w:rsidR="00DB413C">
        <w:t xml:space="preserve">zaś </w:t>
      </w:r>
      <w:r w:rsidR="0035460F">
        <w:t>na skarżącego i nie mogło być od niego egzekwowane.</w:t>
      </w:r>
    </w:p>
    <w:p w14:paraId="76BEC66C" w14:textId="5694DD2F" w:rsidR="0035460F" w:rsidRDefault="00921888" w:rsidP="0035460F">
      <w:pPr>
        <w:pStyle w:val="ECHRPara"/>
      </w:pPr>
      <w:fldSimple w:instr=" SEQ level0 \*arabic ">
        <w:r w:rsidR="00454999">
          <w:rPr>
            <w:noProof/>
          </w:rPr>
          <w:t>35</w:t>
        </w:r>
      </w:fldSimple>
      <w:r w:rsidR="0035460F">
        <w:t xml:space="preserve">.  Dalej Rząd argumentował, że orzeczenie Sądu </w:t>
      </w:r>
      <w:r w:rsidR="00DB413C">
        <w:t xml:space="preserve">Okręgowego </w:t>
      </w:r>
      <w:r w:rsidR="0035460F">
        <w:t xml:space="preserve">nie </w:t>
      </w:r>
      <w:r w:rsidR="00BD0F97">
        <w:t>jest</w:t>
      </w:r>
      <w:r w:rsidR="0035460F">
        <w:t xml:space="preserve"> wiążące dla sądów lub organów </w:t>
      </w:r>
      <w:r w:rsidR="00BD0F97">
        <w:t>prokuratury</w:t>
      </w:r>
      <w:r w:rsidR="0035460F">
        <w:t xml:space="preserve"> w odniesieniu do toczącego się postępowania karnego lub postępowania, jakie zostanie wszczęte przeciwko skarżącemu w przyszłości. Zasada domniemania niewinności uniemożliwia przesądzenie winy skarżącego przez sąd orzekający prowadzący postępowanie przeciwko niemu i w żadnych okolicznościach nie powinno być możliwe jego skazanie w przyszłości w oparciu o zakwestionowane oświadczenia zawarte w wydanym wcześniej orzeczeniu przeciwko jego współoskarżonym. Wręcz przeciwnie, sąd orzekający będzie zobowiązany do bezstronnej oceny wszystkich dostępnych dowodów złożonych przez organy </w:t>
      </w:r>
      <w:r w:rsidR="00BD0F97">
        <w:t>prokuratury</w:t>
      </w:r>
      <w:r w:rsidR="0035460F">
        <w:t xml:space="preserve"> w postępowaniu dotyczącym skarżącego. A zatem, zakwestionowane fragmenty orzeczenia Sądu Okręgowego, które nie mają prawnego znaczenia dla prowadzonego następnie </w:t>
      </w:r>
      <w:r w:rsidR="00BD0F97">
        <w:t xml:space="preserve">wobec skarżącego </w:t>
      </w:r>
      <w:r w:rsidR="0035460F">
        <w:t xml:space="preserve">procesu, mają na niego wpływ jedynie w </w:t>
      </w:r>
      <w:r w:rsidR="00BD0F97">
        <w:t>sposób</w:t>
      </w:r>
      <w:r w:rsidR="00BD0F97">
        <w:rPr>
          <w:i/>
        </w:rPr>
        <w:t xml:space="preserve"> </w:t>
      </w:r>
      <w:r w:rsidR="00EE2721">
        <w:t>pośredni</w:t>
      </w:r>
      <w:r w:rsidR="00EE2721" w:rsidRPr="00EE2721">
        <w:t xml:space="preserve"> i</w:t>
      </w:r>
      <w:r w:rsidR="00EE2721">
        <w:rPr>
          <w:i/>
        </w:rPr>
        <w:t xml:space="preserve"> </w:t>
      </w:r>
      <w:r w:rsidR="00BD0F97">
        <w:rPr>
          <w:i/>
        </w:rPr>
        <w:t>de facto</w:t>
      </w:r>
      <w:r w:rsidR="00BD0F97">
        <w:t xml:space="preserve"> </w:t>
      </w:r>
      <w:r w:rsidR="0035460F">
        <w:t>w wyniku, na przykład, nagłośnienia postępowania</w:t>
      </w:r>
      <w:r w:rsidR="00EE2721">
        <w:t xml:space="preserve"> przez media</w:t>
      </w:r>
      <w:r w:rsidR="0035460F">
        <w:t>.</w:t>
      </w:r>
    </w:p>
    <w:p w14:paraId="0FCF1426" w14:textId="77777777" w:rsidR="0035460F" w:rsidRDefault="00921888" w:rsidP="0035460F">
      <w:pPr>
        <w:pStyle w:val="ECHRPara"/>
      </w:pPr>
      <w:fldSimple w:instr=" SEQ level0 \*arabic ">
        <w:r w:rsidR="00454999">
          <w:rPr>
            <w:noProof/>
          </w:rPr>
          <w:t>36</w:t>
        </w:r>
      </w:fldSimple>
      <w:r w:rsidR="0035460F">
        <w:t xml:space="preserve">.  Rząd, w pełni zgadzając się z ustaleniami Federalnego Trybunału Konstytucyjnego zawartymi w jego postanowieniu z 3 września 2009 roku (zobacz punkt 20 i nast. powyżej), stwierdził, że domniemanie niewinności nie chroni skarżącego przed </w:t>
      </w:r>
      <w:r w:rsidR="00926C22">
        <w:t xml:space="preserve">wyłącznie </w:t>
      </w:r>
      <w:r w:rsidR="0035460F">
        <w:t xml:space="preserve">faktycznym i pośrednim wpływem orzeczenia wydanego w postępowaniu karnym przeciwko osobom trzecim, </w:t>
      </w:r>
      <w:r w:rsidR="000F7D46">
        <w:t xml:space="preserve">które </w:t>
      </w:r>
      <w:r w:rsidR="0035460F">
        <w:t xml:space="preserve">nie </w:t>
      </w:r>
      <w:r w:rsidR="000F7D46">
        <w:t>zawierało stwierdzenia</w:t>
      </w:r>
      <w:r w:rsidR="0035460F">
        <w:t xml:space="preserve"> winy skarżącego ani nie </w:t>
      </w:r>
      <w:r w:rsidR="000F7D46">
        <w:t>sprowadzało</w:t>
      </w:r>
      <w:r w:rsidR="0035460F">
        <w:t xml:space="preserve"> się do </w:t>
      </w:r>
      <w:r w:rsidR="00C945BF">
        <w:t xml:space="preserve">niekorzystnego rozstrzygnięcia w postaci </w:t>
      </w:r>
      <w:r w:rsidR="0035460F">
        <w:t>skazania lub nałożenia kary.</w:t>
      </w:r>
    </w:p>
    <w:p w14:paraId="1644B379" w14:textId="77777777" w:rsidR="0035460F" w:rsidRPr="00BE4E1A" w:rsidRDefault="0035460F" w:rsidP="0035460F">
      <w:pPr>
        <w:pStyle w:val="ECHRHeading4"/>
      </w:pPr>
      <w:r>
        <w:t>(b)  Skarżący</w:t>
      </w:r>
    </w:p>
    <w:p w14:paraId="64A5EF3D" w14:textId="77777777" w:rsidR="0035460F" w:rsidRPr="002C4058" w:rsidRDefault="00921888" w:rsidP="0035460F">
      <w:pPr>
        <w:pStyle w:val="ECHRPara"/>
        <w:rPr>
          <w:szCs w:val="24"/>
        </w:rPr>
      </w:pPr>
      <w:fldSimple w:instr=" SEQ level0 \*arabic ">
        <w:r w:rsidR="00454999">
          <w:rPr>
            <w:noProof/>
          </w:rPr>
          <w:t>37</w:t>
        </w:r>
      </w:fldSimple>
      <w:r w:rsidR="0035460F">
        <w:t xml:space="preserve">.  Skarżący </w:t>
      </w:r>
      <w:r w:rsidR="00926C22">
        <w:t xml:space="preserve">zakwestionował stwierdzenia </w:t>
      </w:r>
      <w:r w:rsidR="0035460F">
        <w:t>Rządu i utrzymywał, że wąska interpretacja zasady domnieman</w:t>
      </w:r>
      <w:r w:rsidR="007C2FDB">
        <w:t>ia</w:t>
      </w:r>
      <w:r w:rsidR="0035460F">
        <w:t xml:space="preserve"> niewinności przez Rząd i Federalny </w:t>
      </w:r>
      <w:r w:rsidR="007C2FDB">
        <w:t>Trybunał</w:t>
      </w:r>
      <w:r w:rsidR="0035460F">
        <w:t xml:space="preserve"> Konstytucyjny nie była zgodna z orzecznictwem </w:t>
      </w:r>
      <w:r w:rsidR="007C2FDB">
        <w:t>Trybunału</w:t>
      </w:r>
      <w:r w:rsidR="0035460F">
        <w:t xml:space="preserve"> określającym, że zakres stosowania artykułu 6 § 2 nie </w:t>
      </w:r>
      <w:r w:rsidR="007C2FDB">
        <w:t>jest</w:t>
      </w:r>
      <w:r w:rsidR="0035460F">
        <w:t xml:space="preserve"> ograniczony do sytuacji, w których wina osoby została ustalona </w:t>
      </w:r>
      <w:r w:rsidR="007C2FDB">
        <w:t>w drodze</w:t>
      </w:r>
      <w:r w:rsidR="0035460F">
        <w:t xml:space="preserve"> formalnego postanowienia sądowego (zacytował </w:t>
      </w:r>
      <w:proofErr w:type="spellStart"/>
      <w:r w:rsidR="0035460F">
        <w:rPr>
          <w:i/>
        </w:rPr>
        <w:t>Minelli</w:t>
      </w:r>
      <w:proofErr w:type="spellEnd"/>
      <w:r w:rsidR="0035460F">
        <w:rPr>
          <w:i/>
        </w:rPr>
        <w:t xml:space="preserve"> przeciwko Szwajcarii</w:t>
      </w:r>
      <w:r w:rsidR="0035460F">
        <w:t>, 25 marca 1983</w:t>
      </w:r>
      <w:r w:rsidR="00AA1ACA">
        <w:t xml:space="preserve"> roku</w:t>
      </w:r>
      <w:r w:rsidR="0035460F">
        <w:t xml:space="preserve">, § 37, Seria A nr 62; </w:t>
      </w:r>
      <w:proofErr w:type="spellStart"/>
      <w:r w:rsidR="0035460F">
        <w:rPr>
          <w:i/>
        </w:rPr>
        <w:t>Allenet</w:t>
      </w:r>
      <w:proofErr w:type="spellEnd"/>
      <w:r w:rsidR="0035460F">
        <w:rPr>
          <w:i/>
        </w:rPr>
        <w:t xml:space="preserve"> de </w:t>
      </w:r>
      <w:proofErr w:type="spellStart"/>
      <w:r w:rsidR="0035460F">
        <w:rPr>
          <w:i/>
        </w:rPr>
        <w:t>Ribemont</w:t>
      </w:r>
      <w:proofErr w:type="spellEnd"/>
      <w:r w:rsidR="0035460F">
        <w:rPr>
          <w:i/>
        </w:rPr>
        <w:t xml:space="preserve"> przeciwko Francji</w:t>
      </w:r>
      <w:r w:rsidR="0035460F">
        <w:t>, 10 lutego 1995</w:t>
      </w:r>
      <w:r w:rsidR="00AA1ACA">
        <w:t xml:space="preserve"> roku</w:t>
      </w:r>
      <w:r w:rsidR="0035460F">
        <w:t xml:space="preserve">, § 35, Seria A nr 308; oraz </w:t>
      </w:r>
      <w:proofErr w:type="spellStart"/>
      <w:r w:rsidR="0035460F">
        <w:rPr>
          <w:i/>
        </w:rPr>
        <w:t>Borovský</w:t>
      </w:r>
      <w:proofErr w:type="spellEnd"/>
      <w:r w:rsidR="0035460F">
        <w:rPr>
          <w:i/>
        </w:rPr>
        <w:t xml:space="preserve"> przeciwko Słowacji</w:t>
      </w:r>
      <w:r w:rsidR="0035460F">
        <w:t>, nr 24528/02, § 45 i nast., 2 czerwca 2009</w:t>
      </w:r>
      <w:r w:rsidR="003631AF">
        <w:t xml:space="preserve"> roku</w:t>
      </w:r>
      <w:r w:rsidR="0035460F">
        <w:t>).</w:t>
      </w:r>
    </w:p>
    <w:p w14:paraId="4CD7DF89" w14:textId="708EF71D" w:rsidR="0035460F" w:rsidRDefault="00921888" w:rsidP="0035460F">
      <w:pPr>
        <w:pStyle w:val="ECHRPara"/>
      </w:pPr>
      <w:fldSimple w:instr=" SEQ level0 \*arabic ">
        <w:r w:rsidR="00454999">
          <w:rPr>
            <w:noProof/>
          </w:rPr>
          <w:t>38</w:t>
        </w:r>
      </w:fldSimple>
      <w:r w:rsidR="0035460F">
        <w:t xml:space="preserve">.  Zdaniem skarżącego, </w:t>
      </w:r>
      <w:r w:rsidR="00C945BF">
        <w:t>twierdzenia</w:t>
      </w:r>
      <w:r w:rsidR="0035460F">
        <w:t xml:space="preserve"> zawarte w </w:t>
      </w:r>
      <w:r w:rsidR="00C945BF">
        <w:t>wyroku</w:t>
      </w:r>
      <w:r w:rsidR="0035460F">
        <w:t xml:space="preserve"> wydanym pr</w:t>
      </w:r>
      <w:r w:rsidR="00C945BF">
        <w:t>zeciwko osobom trzecim</w:t>
      </w:r>
      <w:r w:rsidR="00EE377B">
        <w:t>,</w:t>
      </w:r>
      <w:r w:rsidR="00C945BF">
        <w:t xml:space="preserve"> dotyczące</w:t>
      </w:r>
      <w:r w:rsidR="0035460F">
        <w:t xml:space="preserve"> podejrzanego objętego postępowaniem</w:t>
      </w:r>
      <w:r w:rsidR="004653DE" w:rsidRPr="004653DE">
        <w:t xml:space="preserve"> </w:t>
      </w:r>
      <w:r w:rsidR="004653DE">
        <w:t>odrębnym</w:t>
      </w:r>
      <w:r w:rsidR="0035460F">
        <w:t xml:space="preserve">, które wykraczały poza niezbędny opis okoliczności i sprawy i sugerowały </w:t>
      </w:r>
      <w:r w:rsidR="0035460F">
        <w:rPr>
          <w:i/>
        </w:rPr>
        <w:t xml:space="preserve">de facto </w:t>
      </w:r>
      <w:r w:rsidR="0035460F">
        <w:t>win</w:t>
      </w:r>
      <w:r w:rsidR="007C2FDB">
        <w:t>ę</w:t>
      </w:r>
      <w:r w:rsidR="0035460F">
        <w:t xml:space="preserve"> skarżącego</w:t>
      </w:r>
      <w:r w:rsidR="00EE2721">
        <w:t>,</w:t>
      </w:r>
      <w:r w:rsidR="0035460F">
        <w:t xml:space="preserve"> mogą naruszać zasadę domniemania niewinności. Podczas gdy prawdą jest, że oświadczenia i ustalenia zawarte w </w:t>
      </w:r>
      <w:r w:rsidR="007C2FDB">
        <w:t>wyroku</w:t>
      </w:r>
      <w:r w:rsidR="0035460F">
        <w:t xml:space="preserve"> Sądu </w:t>
      </w:r>
      <w:r w:rsidR="000C6E16">
        <w:t xml:space="preserve">Okręgowego </w:t>
      </w:r>
      <w:r w:rsidR="0035460F">
        <w:t xml:space="preserve">nie były prawnie wiążące dla organów </w:t>
      </w:r>
      <w:r w:rsidR="007C2FDB">
        <w:t>prokuratury</w:t>
      </w:r>
      <w:r w:rsidR="0035460F">
        <w:t xml:space="preserve"> i sądu orzekającego zaangażowanych w toczące się lub przyszłe (przygotowawcze) postępowanie karne przeciwko skarżącemu, stworzyły one jednakże faktyczny pr</w:t>
      </w:r>
      <w:r w:rsidR="004E3087">
        <w:t>ecedens</w:t>
      </w:r>
      <w:r w:rsidR="0035460F">
        <w:t xml:space="preserve">, który może mieć znaczący negatywny wpływ na takie postępowanie, </w:t>
      </w:r>
      <w:r w:rsidR="004E3087">
        <w:t>oraz</w:t>
      </w:r>
      <w:r w:rsidR="0035460F">
        <w:t xml:space="preserve"> może doprowadzić do publicznego postrzegania skarżącego jako szefa grupy przestępczej założonej d</w:t>
      </w:r>
      <w:r w:rsidR="004E3087">
        <w:t xml:space="preserve">la celów </w:t>
      </w:r>
      <w:r w:rsidR="00EE2721">
        <w:t>oszustwa.</w:t>
      </w:r>
    </w:p>
    <w:p w14:paraId="10A76596" w14:textId="1F62E207" w:rsidR="0035460F" w:rsidRDefault="00921888" w:rsidP="0035460F">
      <w:pPr>
        <w:pStyle w:val="ECHRPara"/>
      </w:pPr>
      <w:fldSimple w:instr=" SEQ level0 \*arabic ">
        <w:r w:rsidR="00454999">
          <w:rPr>
            <w:noProof/>
          </w:rPr>
          <w:t>39</w:t>
        </w:r>
      </w:fldSimple>
      <w:r w:rsidR="005B565C">
        <w:t>.  Skarżący podsumował, że</w:t>
      </w:r>
      <w:r w:rsidR="0035460F">
        <w:t xml:space="preserve"> </w:t>
      </w:r>
      <w:r w:rsidR="00EE2721">
        <w:t>wbrew temu,</w:t>
      </w:r>
      <w:r w:rsidR="005B565C">
        <w:t xml:space="preserve"> co twierdzi R</w:t>
      </w:r>
      <w:r w:rsidR="0035460F">
        <w:t xml:space="preserve">ząd i </w:t>
      </w:r>
      <w:r w:rsidR="005B565C">
        <w:t>co ustalił F</w:t>
      </w:r>
      <w:r w:rsidR="0035460F">
        <w:t>ederaln</w:t>
      </w:r>
      <w:r w:rsidR="005B565C">
        <w:t>y Trybunał</w:t>
      </w:r>
      <w:r w:rsidR="0035460F">
        <w:t xml:space="preserve"> Konstytucyjn</w:t>
      </w:r>
      <w:r w:rsidR="005B565C">
        <w:t>y</w:t>
      </w:r>
      <w:r w:rsidR="0035460F">
        <w:t xml:space="preserve"> w postanowieniu z 3 września 2009</w:t>
      </w:r>
      <w:r w:rsidR="003631AF">
        <w:t xml:space="preserve"> roku</w:t>
      </w:r>
      <w:r w:rsidR="0035460F">
        <w:t>, o</w:t>
      </w:r>
      <w:r w:rsidR="00583CC8">
        <w:t>bciążające</w:t>
      </w:r>
      <w:r w:rsidR="0035460F">
        <w:t xml:space="preserve"> odniesienia w orzeczeniu Sądu Okręgowego bezpośrednio </w:t>
      </w:r>
      <w:r w:rsidR="005B565C">
        <w:t>naruszyły</w:t>
      </w:r>
      <w:r w:rsidR="0035460F">
        <w:t xml:space="preserve"> jego prawo do</w:t>
      </w:r>
      <w:r w:rsidR="00EE2721">
        <w:t xml:space="preserve"> korzystania z</w:t>
      </w:r>
      <w:r w:rsidR="0035460F">
        <w:t xml:space="preserve"> domniemani</w:t>
      </w:r>
      <w:r w:rsidR="00F84E1D">
        <w:t>a</w:t>
      </w:r>
      <w:r w:rsidR="0035460F">
        <w:t xml:space="preserve"> niewinności oraz że w związku z tym jest on uprawniony do </w:t>
      </w:r>
      <w:r w:rsidR="005B565C">
        <w:t xml:space="preserve">twierdzenia, że </w:t>
      </w:r>
      <w:r w:rsidR="00000A9D">
        <w:t>jest</w:t>
      </w:r>
      <w:r w:rsidR="005B565C">
        <w:t xml:space="preserve"> ofiarą</w:t>
      </w:r>
      <w:r w:rsidR="0035460F">
        <w:t xml:space="preserve"> naruszeni</w:t>
      </w:r>
      <w:r w:rsidR="005B565C">
        <w:t>a</w:t>
      </w:r>
      <w:r w:rsidR="0035460F">
        <w:t xml:space="preserve"> artykułu 6 § 2 </w:t>
      </w:r>
      <w:r w:rsidR="005B565C">
        <w:t>K</w:t>
      </w:r>
      <w:r w:rsidR="0035460F">
        <w:t>onwencji.</w:t>
      </w:r>
    </w:p>
    <w:p w14:paraId="00F0E4AB" w14:textId="77777777" w:rsidR="0035460F" w:rsidRDefault="0035460F" w:rsidP="0035460F">
      <w:pPr>
        <w:pStyle w:val="ECHRHeading4"/>
      </w:pPr>
      <w:r>
        <w:t xml:space="preserve">(c)  Ocena </w:t>
      </w:r>
      <w:r w:rsidR="00000A9D">
        <w:t>Trybunału</w:t>
      </w:r>
    </w:p>
    <w:p w14:paraId="348117F0" w14:textId="34E06481" w:rsidR="0035460F" w:rsidRDefault="00921888" w:rsidP="0035460F">
      <w:pPr>
        <w:pStyle w:val="ECHRPara"/>
        <w:rPr>
          <w:rStyle w:val="sb8d990e2"/>
        </w:rPr>
      </w:pPr>
      <w:fldSimple w:instr=" SEQ level0 \*arabic ">
        <w:r w:rsidR="00454999">
          <w:rPr>
            <w:noProof/>
          </w:rPr>
          <w:t>40</w:t>
        </w:r>
      </w:fldSimple>
      <w:r w:rsidR="0035460F">
        <w:rPr>
          <w:rStyle w:val="sb8d990e2"/>
        </w:rPr>
        <w:t xml:space="preserve">.  Niniejsza sprawa dotyczy kwestii, czy zasada </w:t>
      </w:r>
      <w:r w:rsidR="00000A9D">
        <w:rPr>
          <w:rStyle w:val="sb8d990e2"/>
        </w:rPr>
        <w:t>domniemania</w:t>
      </w:r>
      <w:r w:rsidR="0035460F">
        <w:rPr>
          <w:rStyle w:val="sb8d990e2"/>
        </w:rPr>
        <w:t xml:space="preserve"> niewinności może być naruszona oświadczeniami zawartymi w </w:t>
      </w:r>
      <w:r w:rsidR="00000A9D">
        <w:rPr>
          <w:rStyle w:val="sb8d990e2"/>
        </w:rPr>
        <w:t>wyroku</w:t>
      </w:r>
      <w:r w:rsidR="0035460F">
        <w:rPr>
          <w:rStyle w:val="sb8d990e2"/>
        </w:rPr>
        <w:t xml:space="preserve"> skierowan</w:t>
      </w:r>
      <w:r w:rsidR="00000A9D">
        <w:rPr>
          <w:rStyle w:val="sb8d990e2"/>
        </w:rPr>
        <w:t>ym</w:t>
      </w:r>
      <w:r w:rsidR="0035460F">
        <w:rPr>
          <w:rStyle w:val="sb8d990e2"/>
        </w:rPr>
        <w:t xml:space="preserve"> przeciwko </w:t>
      </w:r>
      <w:proofErr w:type="spellStart"/>
      <w:r w:rsidR="0035460F">
        <w:rPr>
          <w:rStyle w:val="sb8d990e2"/>
        </w:rPr>
        <w:t>współpodejrzanym</w:t>
      </w:r>
      <w:proofErr w:type="spellEnd"/>
      <w:r w:rsidR="0035460F">
        <w:rPr>
          <w:rStyle w:val="sb8d990e2"/>
        </w:rPr>
        <w:t xml:space="preserve"> objętym o</w:t>
      </w:r>
      <w:r w:rsidR="00C74BE2">
        <w:rPr>
          <w:rStyle w:val="sb8d990e2"/>
        </w:rPr>
        <w:t>drębnym</w:t>
      </w:r>
      <w:r w:rsidR="0035460F">
        <w:rPr>
          <w:rStyle w:val="sb8d990e2"/>
        </w:rPr>
        <w:t xml:space="preserve"> postępowaniem nie mającym prawnie wiążącego skutku dla toczącego się lub przyszłego (przygotowawczego) postępowania karnego przeciwko </w:t>
      </w:r>
      <w:r w:rsidR="0035460F">
        <w:rPr>
          <w:rStyle w:val="sb8d990e2"/>
        </w:rPr>
        <w:lastRenderedPageBreak/>
        <w:t xml:space="preserve">skarżącemu. Zadaniem </w:t>
      </w:r>
      <w:r w:rsidR="00407A8F">
        <w:rPr>
          <w:rStyle w:val="sb8d990e2"/>
        </w:rPr>
        <w:t>Trybunału</w:t>
      </w:r>
      <w:r w:rsidR="0035460F">
        <w:rPr>
          <w:rStyle w:val="sb8d990e2"/>
        </w:rPr>
        <w:t xml:space="preserve"> jest stwierdzenie, czy sytuacja, jaka ma miejsce w niniejszej sprawie, ma wpływ na prawo skarżącego wynikające z artykułu 6 § 2 </w:t>
      </w:r>
      <w:r w:rsidR="00407A8F">
        <w:rPr>
          <w:rStyle w:val="sb8d990e2"/>
        </w:rPr>
        <w:t>K</w:t>
      </w:r>
      <w:r w:rsidR="0035460F">
        <w:rPr>
          <w:rStyle w:val="sb8d990e2"/>
        </w:rPr>
        <w:t>onwencji.</w:t>
      </w:r>
    </w:p>
    <w:p w14:paraId="57802548" w14:textId="473107DD" w:rsidR="0035460F" w:rsidRPr="00CB0D34" w:rsidRDefault="0035460F" w:rsidP="0035460F">
      <w:pPr>
        <w:pStyle w:val="ECHRPara"/>
        <w:rPr>
          <w:szCs w:val="24"/>
        </w:rPr>
      </w:pPr>
      <w:r>
        <w:rPr>
          <w:rStyle w:val="sb8d990e2"/>
        </w:rPr>
        <w:fldChar w:fldCharType="begin"/>
      </w:r>
      <w:r>
        <w:rPr>
          <w:rStyle w:val="sb8d990e2"/>
        </w:rPr>
        <w:instrText xml:space="preserve"> SEQ level0 \*arabic </w:instrText>
      </w:r>
      <w:r>
        <w:rPr>
          <w:rStyle w:val="sb8d990e2"/>
        </w:rPr>
        <w:fldChar w:fldCharType="separate"/>
      </w:r>
      <w:r w:rsidR="00454999">
        <w:rPr>
          <w:rStyle w:val="sb8d990e2"/>
          <w:noProof/>
        </w:rPr>
        <w:t>41</w:t>
      </w:r>
      <w:r>
        <w:rPr>
          <w:rStyle w:val="sb8d990e2"/>
        </w:rPr>
        <w:fldChar w:fldCharType="end"/>
      </w:r>
      <w:r>
        <w:rPr>
          <w:rStyle w:val="sb8d990e2"/>
        </w:rPr>
        <w:t xml:space="preserve">.  Po pierwsze, </w:t>
      </w:r>
      <w:r w:rsidR="00407A8F">
        <w:rPr>
          <w:rStyle w:val="sb8d990e2"/>
        </w:rPr>
        <w:t>Trybunał</w:t>
      </w:r>
      <w:r>
        <w:rPr>
          <w:rStyle w:val="sb8d990e2"/>
        </w:rPr>
        <w:t xml:space="preserve"> zauważa, że ani treść </w:t>
      </w:r>
      <w:r>
        <w:t>artykułu 6 § 2, ani prace przygotowawcze nad tym przepisem nie dostarczają wyjaśnienia tej kwestii. Opierając się na swoim orzecznictwie</w:t>
      </w:r>
      <w:r w:rsidR="00EE2721">
        <w:t xml:space="preserve"> dotyczącym tej problematyki</w:t>
      </w:r>
      <w:r>
        <w:t xml:space="preserve">, </w:t>
      </w:r>
      <w:r w:rsidR="00407A8F">
        <w:t>Trybunał</w:t>
      </w:r>
      <w:r>
        <w:t xml:space="preserve"> podkreśla, że zasada domniemania niewinności zagwarantowana w artykule 6 § 2 stanowi jeden z elementów </w:t>
      </w:r>
      <w:r w:rsidR="00407A8F">
        <w:t>rzetelnego</w:t>
      </w:r>
      <w:r>
        <w:t xml:space="preserve"> procesu karnego wymaganego zgodnie z artykułem 6 § 1 (zobacz, między innymi, </w:t>
      </w:r>
      <w:proofErr w:type="spellStart"/>
      <w:r>
        <w:rPr>
          <w:i/>
        </w:rPr>
        <w:t>Daktaras</w:t>
      </w:r>
      <w:proofErr w:type="spellEnd"/>
      <w:r>
        <w:rPr>
          <w:i/>
        </w:rPr>
        <w:t xml:space="preserve"> przeciwko Litwie</w:t>
      </w:r>
      <w:r>
        <w:t xml:space="preserve">, nr 42095/98, § 41, ECHR 2000-X; </w:t>
      </w:r>
      <w:proofErr w:type="spellStart"/>
      <w:r>
        <w:rPr>
          <w:i/>
        </w:rPr>
        <w:t>Janosevic</w:t>
      </w:r>
      <w:proofErr w:type="spellEnd"/>
      <w:r>
        <w:rPr>
          <w:i/>
        </w:rPr>
        <w:t xml:space="preserve"> przeciwko Szwecji</w:t>
      </w:r>
      <w:r>
        <w:t xml:space="preserve">, nr 34619/97, § 96, ECHR 2002-VII; oraz </w:t>
      </w:r>
      <w:proofErr w:type="spellStart"/>
      <w:r>
        <w:rPr>
          <w:i/>
        </w:rPr>
        <w:t>Yassar</w:t>
      </w:r>
      <w:proofErr w:type="spellEnd"/>
      <w:r>
        <w:rPr>
          <w:i/>
        </w:rPr>
        <w:t xml:space="preserve"> </w:t>
      </w:r>
      <w:proofErr w:type="spellStart"/>
      <w:r>
        <w:rPr>
          <w:i/>
        </w:rPr>
        <w:t>Hussain</w:t>
      </w:r>
      <w:proofErr w:type="spellEnd"/>
      <w:r>
        <w:rPr>
          <w:i/>
        </w:rPr>
        <w:t xml:space="preserve"> przeciwko Zjednoczonemu Królestwu</w:t>
      </w:r>
      <w:r>
        <w:t xml:space="preserve">, nr 8866/04, § 19, ECHR 2006-III). W swoim niedawnym wyroku w sprawie </w:t>
      </w:r>
      <w:r>
        <w:rPr>
          <w:i/>
        </w:rPr>
        <w:t xml:space="preserve">Allen przeciwko Zjednoczonemu Królestwu </w:t>
      </w:r>
      <w:r>
        <w:t>(</w:t>
      </w:r>
      <w:r w:rsidR="00C60F96">
        <w:t>[Wielka Izba]</w:t>
      </w:r>
      <w:r>
        <w:t xml:space="preserve">, nr 25424/09, ECHR 2013), Wielka Izba podkreśliła, że postrzegana jako gwarancja procesowa w kontekście procesu karnego „zasada domniemania niewinności </w:t>
      </w:r>
      <w:r w:rsidR="00EE377B">
        <w:t>stawia wymogi odnoszące się</w:t>
      </w:r>
      <w:r>
        <w:t xml:space="preserve"> do, między innymi, ... zbyt wczesnego </w:t>
      </w:r>
      <w:r w:rsidR="000F4FC5">
        <w:t>stwierdzen</w:t>
      </w:r>
      <w:r>
        <w:t>ia przez sąd orzekający lub przez innych urzędników państwowych winy p</w:t>
      </w:r>
      <w:r w:rsidR="00EE377B">
        <w:t>odejrzanego</w:t>
      </w:r>
      <w:r>
        <w:t xml:space="preserve">” (zobacz </w:t>
      </w:r>
      <w:r>
        <w:rPr>
          <w:i/>
        </w:rPr>
        <w:t>Allen</w:t>
      </w:r>
      <w:r>
        <w:t xml:space="preserve">, cytowany powyżej, § 93). W tym kontekście, </w:t>
      </w:r>
      <w:r w:rsidR="00407A8F">
        <w:t xml:space="preserve">Trybunał </w:t>
      </w:r>
      <w:r>
        <w:t xml:space="preserve">poprzednio stwierdził, że artykuł 6 § 2 ma na celu zapobieganie zagrożeniu </w:t>
      </w:r>
      <w:r w:rsidR="0009616F">
        <w:t>rzetelnego</w:t>
      </w:r>
      <w:r>
        <w:t xml:space="preserve"> procesu karnego przez </w:t>
      </w:r>
      <w:r w:rsidR="003413AF">
        <w:t>stronnicze</w:t>
      </w:r>
      <w:r>
        <w:t xml:space="preserve"> oświadczenia składane w bliskim związku z postępowaniem. Nie tylko zabrania on zbyt wczesnego wyrażania przez sam </w:t>
      </w:r>
      <w:r w:rsidR="003413AF">
        <w:t>sąd</w:t>
      </w:r>
      <w:r w:rsidR="00974D0E">
        <w:t xml:space="preserve"> opinii, że osoba</w:t>
      </w:r>
      <w:r>
        <w:t xml:space="preserve"> „</w:t>
      </w:r>
      <w:r w:rsidR="00974D0E">
        <w:t>oskarżona o popełnienie czynu zagrożonego karą</w:t>
      </w:r>
      <w:r>
        <w:t>” jest winna, zanim udowodniono jej winę zgodnie z prawem, lecz również obejmuje swoim zakresem oświadczenia składane przez innych urzędników państwowych w sp</w:t>
      </w:r>
      <w:r w:rsidR="00974D0E">
        <w:t>rawie toczącego się dochodzenia</w:t>
      </w:r>
      <w:r>
        <w:t xml:space="preserve">, które zachęca ogół społeczeństwa do przekonania o winie podejrzanego i przesądza ocenę okoliczności przez właściwy organ sądowy. Wystarczające jest, nawet w braku wszelkich formalnych ustaleń, że mamy do czynienia z rozumowaniem sugerującym, iż sąd lub urzędnik uznaje oskarżonego winnym (zobacz, między innymi, </w:t>
      </w:r>
      <w:proofErr w:type="spellStart"/>
      <w:r>
        <w:rPr>
          <w:i/>
        </w:rPr>
        <w:t>Minelli</w:t>
      </w:r>
      <w:proofErr w:type="spellEnd"/>
      <w:r>
        <w:t xml:space="preserve">, cytowany powyżej, § 37; </w:t>
      </w:r>
      <w:proofErr w:type="spellStart"/>
      <w:r>
        <w:rPr>
          <w:i/>
        </w:rPr>
        <w:t>Allenet</w:t>
      </w:r>
      <w:proofErr w:type="spellEnd"/>
      <w:r>
        <w:rPr>
          <w:i/>
        </w:rPr>
        <w:t xml:space="preserve"> de </w:t>
      </w:r>
      <w:proofErr w:type="spellStart"/>
      <w:r>
        <w:rPr>
          <w:i/>
        </w:rPr>
        <w:t>Ribemont</w:t>
      </w:r>
      <w:proofErr w:type="spellEnd"/>
      <w:r>
        <w:t xml:space="preserve">, cytowany powyżej, § 35; </w:t>
      </w:r>
      <w:proofErr w:type="spellStart"/>
      <w:r>
        <w:rPr>
          <w:i/>
        </w:rPr>
        <w:t>Butkevičius</w:t>
      </w:r>
      <w:proofErr w:type="spellEnd"/>
      <w:r>
        <w:rPr>
          <w:i/>
        </w:rPr>
        <w:t xml:space="preserve"> przeciwko Litwie</w:t>
      </w:r>
      <w:r>
        <w:t>, nr 48297/99, § 49, ECHR 2002</w:t>
      </w:r>
      <w:r>
        <w:noBreakHyphen/>
        <w:t xml:space="preserve">II (fragmenty); </w:t>
      </w:r>
      <w:proofErr w:type="spellStart"/>
      <w:r>
        <w:rPr>
          <w:i/>
        </w:rPr>
        <w:t>Lavents</w:t>
      </w:r>
      <w:proofErr w:type="spellEnd"/>
      <w:r>
        <w:rPr>
          <w:i/>
        </w:rPr>
        <w:t xml:space="preserve"> przeciwko Łotwie</w:t>
      </w:r>
      <w:r>
        <w:t>, nr 58442/00, § 125 i nast., 28 listopada 2002</w:t>
      </w:r>
      <w:r w:rsidR="003631AF">
        <w:t xml:space="preserve"> roku</w:t>
      </w:r>
      <w:r>
        <w:t xml:space="preserve">; oraz </w:t>
      </w:r>
      <w:proofErr w:type="spellStart"/>
      <w:r>
        <w:rPr>
          <w:i/>
        </w:rPr>
        <w:t>Borovský</w:t>
      </w:r>
      <w:proofErr w:type="spellEnd"/>
      <w:r>
        <w:t>, cytowany powyżej, §§ 45 i nast., 2 czerwca 2009</w:t>
      </w:r>
      <w:r w:rsidR="003631AF">
        <w:t xml:space="preserve"> roku</w:t>
      </w:r>
      <w:r>
        <w:t xml:space="preserve">). W tym kontekście, </w:t>
      </w:r>
      <w:r w:rsidR="000F6A71">
        <w:t>Trybunał</w:t>
      </w:r>
      <w:r>
        <w:t xml:space="preserve"> stwierdza, że mo</w:t>
      </w:r>
      <w:r w:rsidR="000F6A71">
        <w:t>że</w:t>
      </w:r>
      <w:r>
        <w:t xml:space="preserve"> dojść do naruszenia zasady domnieman</w:t>
      </w:r>
      <w:r w:rsidR="000F6A71">
        <w:t>ia</w:t>
      </w:r>
      <w:r>
        <w:t xml:space="preserve"> niewinności w związku ze </w:t>
      </w:r>
      <w:r w:rsidR="000F6A71">
        <w:t>stronniczymi</w:t>
      </w:r>
      <w:r>
        <w:t xml:space="preserve"> uwagami dotyczącymi zaangażowania </w:t>
      </w:r>
      <w:r w:rsidR="000168F5">
        <w:t>podejrz</w:t>
      </w:r>
      <w:r w:rsidR="003B59AF">
        <w:t>anego</w:t>
      </w:r>
      <w:r w:rsidR="000168F5">
        <w:t xml:space="preserve"> </w:t>
      </w:r>
      <w:r w:rsidR="00B30451">
        <w:t>w</w:t>
      </w:r>
      <w:r>
        <w:t xml:space="preserve"> popełnienie przestępstwa dokonanymi przez urzędnika państwowego w czasie, w który</w:t>
      </w:r>
      <w:r w:rsidR="000168F5">
        <w:t>m toczyło się dochodzenie dotyczące</w:t>
      </w:r>
      <w:r>
        <w:t xml:space="preserve"> podejrzane</w:t>
      </w:r>
      <w:r w:rsidR="000168F5">
        <w:t>go</w:t>
      </w:r>
      <w:r>
        <w:t xml:space="preserve">, </w:t>
      </w:r>
      <w:r w:rsidR="000F6A71">
        <w:t>i</w:t>
      </w:r>
      <w:r>
        <w:t xml:space="preserve"> zanim został</w:t>
      </w:r>
      <w:r w:rsidR="000168F5">
        <w:t xml:space="preserve"> formalnie oskarżony o popełnienie czynu zagrożonego karą</w:t>
      </w:r>
      <w:r>
        <w:t xml:space="preserve"> (zobacz </w:t>
      </w:r>
      <w:proofErr w:type="spellStart"/>
      <w:r>
        <w:rPr>
          <w:i/>
        </w:rPr>
        <w:t>Allenet</w:t>
      </w:r>
      <w:proofErr w:type="spellEnd"/>
      <w:r>
        <w:rPr>
          <w:i/>
        </w:rPr>
        <w:t xml:space="preserve"> de </w:t>
      </w:r>
      <w:proofErr w:type="spellStart"/>
      <w:r>
        <w:rPr>
          <w:i/>
        </w:rPr>
        <w:t>Ribemont</w:t>
      </w:r>
      <w:proofErr w:type="spellEnd"/>
      <w:r>
        <w:rPr>
          <w:i/>
        </w:rPr>
        <w:t xml:space="preserve">, </w:t>
      </w:r>
      <w:r>
        <w:t xml:space="preserve">cytowany powyżej). Dalej </w:t>
      </w:r>
      <w:r w:rsidR="00E27EFB">
        <w:t>Trybunał</w:t>
      </w:r>
      <w:r>
        <w:t xml:space="preserve"> stwierdził, że artykuł 6 § 2 może mieć zastosowanie, jeżeli postanowienie sądu wydane w postępowaniu, które nie było skierowane przeciwko skarżącemu </w:t>
      </w:r>
      <w:r>
        <w:lastRenderedPageBreak/>
        <w:t xml:space="preserve">występującemu w charakterze „oskarżonego”, </w:t>
      </w:r>
      <w:r w:rsidR="00662734">
        <w:t xml:space="preserve">ale </w:t>
      </w:r>
      <w:r>
        <w:t xml:space="preserve">jednak dotyczyło i było związane z postępowaniem karnym jednocześnie prowadzonym przeciwko niemu, </w:t>
      </w:r>
      <w:r w:rsidR="00662734">
        <w:t>implikuje</w:t>
      </w:r>
      <w:r>
        <w:t xml:space="preserve"> </w:t>
      </w:r>
      <w:r w:rsidR="00662734">
        <w:t>przedwczesne</w:t>
      </w:r>
      <w:r>
        <w:t xml:space="preserve"> osądzenie jego winy (zobacz </w:t>
      </w:r>
      <w:proofErr w:type="spellStart"/>
      <w:r>
        <w:rPr>
          <w:i/>
        </w:rPr>
        <w:t>Böhmer</w:t>
      </w:r>
      <w:proofErr w:type="spellEnd"/>
      <w:r>
        <w:rPr>
          <w:i/>
        </w:rPr>
        <w:t xml:space="preserve"> przeciwko Niemcom</w:t>
      </w:r>
      <w:r>
        <w:t>, nr 37568/97, § 67, 3 października 2002</w:t>
      </w:r>
      <w:r w:rsidR="003631AF">
        <w:t xml:space="preserve"> roku</w:t>
      </w:r>
      <w:r>
        <w:t xml:space="preserve">, oraz </w:t>
      </w:r>
      <w:proofErr w:type="spellStart"/>
      <w:r>
        <w:rPr>
          <w:i/>
        </w:rPr>
        <w:t>Diamantides</w:t>
      </w:r>
      <w:proofErr w:type="spellEnd"/>
      <w:r>
        <w:rPr>
          <w:i/>
        </w:rPr>
        <w:t xml:space="preserve"> przeciwko Grecji (nr 2)</w:t>
      </w:r>
      <w:r>
        <w:t>, nr 71563/01, § 35, 19 maja 2005</w:t>
      </w:r>
      <w:r w:rsidR="003631AF" w:rsidRPr="003631AF">
        <w:t xml:space="preserve"> </w:t>
      </w:r>
      <w:r w:rsidR="003631AF">
        <w:t>roku</w:t>
      </w:r>
      <w:r>
        <w:t>).</w:t>
      </w:r>
    </w:p>
    <w:p w14:paraId="6A23315A" w14:textId="6766F27E" w:rsidR="0035460F" w:rsidRDefault="0035460F" w:rsidP="0035460F">
      <w:pPr>
        <w:pStyle w:val="ECHRPara"/>
        <w:rPr>
          <w:rStyle w:val="sb8d990e2"/>
          <w:szCs w:val="24"/>
        </w:rPr>
      </w:pPr>
      <w:r>
        <w:rPr>
          <w:rStyle w:val="sb8d990e2"/>
        </w:rPr>
        <w:fldChar w:fldCharType="begin"/>
      </w:r>
      <w:r>
        <w:rPr>
          <w:rStyle w:val="sb8d990e2"/>
        </w:rPr>
        <w:instrText xml:space="preserve"> SEQ level0 \*arabic </w:instrText>
      </w:r>
      <w:r>
        <w:rPr>
          <w:rStyle w:val="sb8d990e2"/>
        </w:rPr>
        <w:fldChar w:fldCharType="separate"/>
      </w:r>
      <w:r w:rsidR="00454999">
        <w:rPr>
          <w:rStyle w:val="sb8d990e2"/>
          <w:noProof/>
        </w:rPr>
        <w:t>42</w:t>
      </w:r>
      <w:r>
        <w:rPr>
          <w:rStyle w:val="sb8d990e2"/>
        </w:rPr>
        <w:fldChar w:fldCharType="end"/>
      </w:r>
      <w:r>
        <w:rPr>
          <w:rStyle w:val="sb8d990e2"/>
        </w:rPr>
        <w:t>.  </w:t>
      </w:r>
      <w:r w:rsidR="00592ACC">
        <w:rPr>
          <w:rStyle w:val="sb8d990e2"/>
        </w:rPr>
        <w:t xml:space="preserve">Trybunał </w:t>
      </w:r>
      <w:r>
        <w:rPr>
          <w:rStyle w:val="sb8d990e2"/>
        </w:rPr>
        <w:t xml:space="preserve">uznaje, w przeciwieństwie do stwierdzeń Rządu, że </w:t>
      </w:r>
      <w:r w:rsidR="00583CC8">
        <w:rPr>
          <w:rStyle w:val="sb8d990e2"/>
        </w:rPr>
        <w:t>–</w:t>
      </w:r>
      <w:r w:rsidR="00592ACC">
        <w:rPr>
          <w:rStyle w:val="sb8d990e2"/>
        </w:rPr>
        <w:t xml:space="preserve"> teoretycznie </w:t>
      </w:r>
      <w:r w:rsidR="00B30451">
        <w:rPr>
          <w:rStyle w:val="sb8d990e2"/>
        </w:rPr>
        <w:t>–</w:t>
      </w:r>
      <w:r w:rsidR="00592ACC">
        <w:rPr>
          <w:rStyle w:val="sb8d990e2"/>
        </w:rPr>
        <w:t xml:space="preserve"> </w:t>
      </w:r>
      <w:r>
        <w:rPr>
          <w:rStyle w:val="sb8d990e2"/>
        </w:rPr>
        <w:t>zasada domnieman</w:t>
      </w:r>
      <w:r w:rsidR="00592ACC">
        <w:rPr>
          <w:rStyle w:val="sb8d990e2"/>
        </w:rPr>
        <w:t>ia</w:t>
      </w:r>
      <w:r>
        <w:rPr>
          <w:rStyle w:val="sb8d990e2"/>
        </w:rPr>
        <w:t xml:space="preserve"> niewinności może również być naruszona w związku z</w:t>
      </w:r>
      <w:r w:rsidR="00592ACC">
        <w:rPr>
          <w:rStyle w:val="sb8d990e2"/>
        </w:rPr>
        <w:t xml:space="preserve"> przedwczesnym</w:t>
      </w:r>
      <w:r>
        <w:rPr>
          <w:rStyle w:val="sb8d990e2"/>
        </w:rPr>
        <w:t xml:space="preserve"> uznaniem winy oskarżonego wyrażonym w orzeczeniu wydanym przeciwko współoskarżonym objętym postępowaniem</w:t>
      </w:r>
      <w:r w:rsidR="004653DE" w:rsidRPr="004653DE">
        <w:rPr>
          <w:rStyle w:val="sb8d990e2"/>
        </w:rPr>
        <w:t xml:space="preserve"> </w:t>
      </w:r>
      <w:r w:rsidR="004653DE">
        <w:rPr>
          <w:rStyle w:val="sb8d990e2"/>
        </w:rPr>
        <w:t>odrębnym</w:t>
      </w:r>
      <w:r>
        <w:rPr>
          <w:rStyle w:val="sb8d990e2"/>
        </w:rPr>
        <w:t xml:space="preserve">, jak to zarzuca skarżący w niniejszej sprawie. W </w:t>
      </w:r>
      <w:r>
        <w:t xml:space="preserve">tym kontekście podkreśla, że </w:t>
      </w:r>
      <w:r>
        <w:rPr>
          <w:rStyle w:val="sb8d990e2"/>
        </w:rPr>
        <w:t xml:space="preserve">przedmiot i cel </w:t>
      </w:r>
      <w:r w:rsidR="00592ACC">
        <w:rPr>
          <w:rStyle w:val="sb8d990e2"/>
        </w:rPr>
        <w:t>K</w:t>
      </w:r>
      <w:r>
        <w:rPr>
          <w:rStyle w:val="sb8d990e2"/>
        </w:rPr>
        <w:t xml:space="preserve">onwencji, jako instrumentu ochrony </w:t>
      </w:r>
      <w:r w:rsidR="00592ACC">
        <w:rPr>
          <w:rStyle w:val="sb8d990e2"/>
        </w:rPr>
        <w:t>jednostek</w:t>
      </w:r>
      <w:r>
        <w:rPr>
          <w:rStyle w:val="sb8d990e2"/>
        </w:rPr>
        <w:t xml:space="preserve">, wymaga, aby jej postanowienia były interpretowane i stosowane w taki sposób, by </w:t>
      </w:r>
      <w:r w:rsidR="00CC0101">
        <w:rPr>
          <w:rStyle w:val="sb8d990e2"/>
        </w:rPr>
        <w:t>przewidziane w niej gwarancje były</w:t>
      </w:r>
      <w:r>
        <w:rPr>
          <w:rStyle w:val="sb8d990e2"/>
        </w:rPr>
        <w:t xml:space="preserve"> praktyczne i skuteczne. </w:t>
      </w:r>
      <w:r w:rsidR="00CC0101">
        <w:rPr>
          <w:rStyle w:val="sb8d990e2"/>
        </w:rPr>
        <w:t xml:space="preserve">Trybunał </w:t>
      </w:r>
      <w:r>
        <w:rPr>
          <w:rStyle w:val="sb8d990e2"/>
        </w:rPr>
        <w:t xml:space="preserve">wyraźnie stwierdził, że ma to również zastosowanie do prawa przewidzianego w artykule 6 § 2 (zobacz, na przykład, </w:t>
      </w:r>
      <w:proofErr w:type="spellStart"/>
      <w:r>
        <w:rPr>
          <w:i/>
        </w:rPr>
        <w:t>Allenet</w:t>
      </w:r>
      <w:proofErr w:type="spellEnd"/>
      <w:r>
        <w:rPr>
          <w:i/>
        </w:rPr>
        <w:t xml:space="preserve"> de </w:t>
      </w:r>
      <w:proofErr w:type="spellStart"/>
      <w:r>
        <w:rPr>
          <w:i/>
        </w:rPr>
        <w:t>Ribemont</w:t>
      </w:r>
      <w:proofErr w:type="spellEnd"/>
      <w:r>
        <w:t xml:space="preserve">, cytowany powyżej, § 35; </w:t>
      </w:r>
      <w:proofErr w:type="spellStart"/>
      <w:r>
        <w:rPr>
          <w:i/>
        </w:rPr>
        <w:t>Lavents</w:t>
      </w:r>
      <w:proofErr w:type="spellEnd"/>
      <w:r>
        <w:t xml:space="preserve">, cytowany powyżej, § 126; oraz </w:t>
      </w:r>
      <w:r>
        <w:rPr>
          <w:i/>
        </w:rPr>
        <w:t>Allen</w:t>
      </w:r>
      <w:r>
        <w:t>, cytowany powyżej, § 92)</w:t>
      </w:r>
      <w:r>
        <w:rPr>
          <w:rStyle w:val="sb8d990e2"/>
        </w:rPr>
        <w:t>.</w:t>
      </w:r>
    </w:p>
    <w:p w14:paraId="63294B52" w14:textId="44BE3410" w:rsidR="0035460F" w:rsidRDefault="0035460F" w:rsidP="0035460F">
      <w:pPr>
        <w:pStyle w:val="ECHRPara"/>
      </w:pPr>
      <w:r>
        <w:rPr>
          <w:rStyle w:val="sb8d990e2"/>
        </w:rPr>
        <w:fldChar w:fldCharType="begin"/>
      </w:r>
      <w:r>
        <w:rPr>
          <w:rStyle w:val="sb8d990e2"/>
        </w:rPr>
        <w:instrText xml:space="preserve"> SEQ level0 \*arabic </w:instrText>
      </w:r>
      <w:r>
        <w:rPr>
          <w:rStyle w:val="sb8d990e2"/>
        </w:rPr>
        <w:fldChar w:fldCharType="separate"/>
      </w:r>
      <w:r w:rsidR="00454999">
        <w:rPr>
          <w:rStyle w:val="sb8d990e2"/>
          <w:noProof/>
        </w:rPr>
        <w:t>43</w:t>
      </w:r>
      <w:r>
        <w:rPr>
          <w:rStyle w:val="sb8d990e2"/>
        </w:rPr>
        <w:fldChar w:fldCharType="end"/>
      </w:r>
      <w:r>
        <w:rPr>
          <w:rStyle w:val="sb8d990e2"/>
        </w:rPr>
        <w:t xml:space="preserve">.  W związku z powyższym, </w:t>
      </w:r>
      <w:r w:rsidR="00CC0101">
        <w:rPr>
          <w:rStyle w:val="sb8d990e2"/>
        </w:rPr>
        <w:t xml:space="preserve">Trybunał </w:t>
      </w:r>
      <w:r>
        <w:rPr>
          <w:rStyle w:val="sb8d990e2"/>
        </w:rPr>
        <w:t>zauważa, że w czasie wydania wyroku Sądu Okręgowego we Frankf</w:t>
      </w:r>
      <w:r w:rsidR="003B59AF">
        <w:rPr>
          <w:rStyle w:val="sb8d990e2"/>
        </w:rPr>
        <w:t xml:space="preserve">urcie nad Menem przeciwko </w:t>
      </w:r>
      <w:proofErr w:type="spellStart"/>
      <w:r w:rsidR="003B59AF">
        <w:rPr>
          <w:rStyle w:val="sb8d990e2"/>
        </w:rPr>
        <w:t>współpodejrzanym</w:t>
      </w:r>
      <w:proofErr w:type="spellEnd"/>
      <w:r>
        <w:rPr>
          <w:rStyle w:val="sb8d990e2"/>
        </w:rPr>
        <w:t xml:space="preserve"> skarżącego, wszczęto postępowanie </w:t>
      </w:r>
      <w:r w:rsidR="00B30451">
        <w:rPr>
          <w:rStyle w:val="sb8d990e2"/>
        </w:rPr>
        <w:t xml:space="preserve">przygotowawcze </w:t>
      </w:r>
      <w:r w:rsidR="00BD42AE">
        <w:rPr>
          <w:rStyle w:val="sb8d990e2"/>
        </w:rPr>
        <w:t>przeciwko skarżącemu w sprawie</w:t>
      </w:r>
      <w:r>
        <w:t xml:space="preserve"> popełnienia oszustwa w Niemczech i w Turcji </w:t>
      </w:r>
      <w:r>
        <w:rPr>
          <w:rStyle w:val="sb8d990e2"/>
        </w:rPr>
        <w:t xml:space="preserve">oraz że został </w:t>
      </w:r>
      <w:r w:rsidR="003B59AF">
        <w:rPr>
          <w:rStyle w:val="sb8d990e2"/>
        </w:rPr>
        <w:t xml:space="preserve">on „oskarżony </w:t>
      </w:r>
      <w:r w:rsidR="00591D33">
        <w:rPr>
          <w:rStyle w:val="sb8d990e2"/>
        </w:rPr>
        <w:t xml:space="preserve">o popełnienie czynu zagrożonego karą” </w:t>
      </w:r>
      <w:r>
        <w:rPr>
          <w:rStyle w:val="sb8d990e2"/>
        </w:rPr>
        <w:t xml:space="preserve">w rozumieniu artykułu 6 § 2, </w:t>
      </w:r>
      <w:r w:rsidR="00591D33">
        <w:rPr>
          <w:rStyle w:val="sb8d990e2"/>
        </w:rPr>
        <w:t>chociaż</w:t>
      </w:r>
      <w:r>
        <w:rPr>
          <w:rStyle w:val="sb8d990e2"/>
        </w:rPr>
        <w:t xml:space="preserve"> nie został on jeszcze </w:t>
      </w:r>
      <w:r w:rsidR="00BD42AE">
        <w:rPr>
          <w:rStyle w:val="sb8d990e2"/>
        </w:rPr>
        <w:t xml:space="preserve">formalnie </w:t>
      </w:r>
      <w:r w:rsidR="00591D33">
        <w:rPr>
          <w:rStyle w:val="sb8d990e2"/>
        </w:rPr>
        <w:t>postawiony w stan oskarżenia</w:t>
      </w:r>
      <w:r>
        <w:rPr>
          <w:rStyle w:val="sb8d990e2"/>
        </w:rPr>
        <w:t xml:space="preserve"> (zobacz </w:t>
      </w:r>
      <w:proofErr w:type="spellStart"/>
      <w:r>
        <w:rPr>
          <w:rStyle w:val="s6b621b36"/>
          <w:i/>
        </w:rPr>
        <w:t>Eckle</w:t>
      </w:r>
      <w:proofErr w:type="spellEnd"/>
      <w:r>
        <w:rPr>
          <w:rStyle w:val="s6b621b36"/>
          <w:i/>
        </w:rPr>
        <w:t xml:space="preserve"> przeciwko Niemcom</w:t>
      </w:r>
      <w:r>
        <w:rPr>
          <w:rStyle w:val="sb8d990e2"/>
        </w:rPr>
        <w:t>, 15 lipca 1982</w:t>
      </w:r>
      <w:r w:rsidR="00AA1ACA">
        <w:rPr>
          <w:rStyle w:val="sb8d990e2"/>
        </w:rPr>
        <w:t xml:space="preserve"> </w:t>
      </w:r>
      <w:r w:rsidR="00AA1ACA">
        <w:t>roku</w:t>
      </w:r>
      <w:r>
        <w:rPr>
          <w:rStyle w:val="sb8d990e2"/>
        </w:rPr>
        <w:t xml:space="preserve">, § 73, Seria A nr 51 oraz </w:t>
      </w:r>
      <w:proofErr w:type="spellStart"/>
      <w:r>
        <w:rPr>
          <w:rStyle w:val="s6b621b36"/>
          <w:i/>
        </w:rPr>
        <w:t>Šubinski</w:t>
      </w:r>
      <w:proofErr w:type="spellEnd"/>
      <w:r>
        <w:rPr>
          <w:rStyle w:val="s6b621b36"/>
          <w:i/>
        </w:rPr>
        <w:t xml:space="preserve"> przeciwko Słowenii</w:t>
      </w:r>
      <w:r>
        <w:rPr>
          <w:rStyle w:val="sb8d990e2"/>
        </w:rPr>
        <w:t>, nr 19611/04, § 62, 18 stycznia 2007</w:t>
      </w:r>
      <w:r w:rsidR="003631AF">
        <w:rPr>
          <w:rStyle w:val="sb8d990e2"/>
        </w:rPr>
        <w:t xml:space="preserve"> </w:t>
      </w:r>
      <w:r w:rsidR="003631AF">
        <w:t>roku</w:t>
      </w:r>
      <w:r>
        <w:rPr>
          <w:rStyle w:val="sb8d990e2"/>
        </w:rPr>
        <w:t xml:space="preserve">). </w:t>
      </w:r>
      <w:r w:rsidR="00BD42AE">
        <w:rPr>
          <w:rStyle w:val="sb8d990e2"/>
        </w:rPr>
        <w:t>Odpowiednie</w:t>
      </w:r>
      <w:r>
        <w:rPr>
          <w:rStyle w:val="sb8d990e2"/>
        </w:rPr>
        <w:t xml:space="preserve"> fragmenty omawianego wyroku dotyczyły jego zaangażowania w defraudację środków pochodzących z darowizn, która była również przedmiotem toczącego się równolegle dochodzenia w sprawie karnej wszczętego przeciwko niemu, a zatem miały bezpośredni związek z tym postępowaniem.</w:t>
      </w:r>
      <w:r w:rsidR="00BD42AE">
        <w:rPr>
          <w:rStyle w:val="sb8d990e2"/>
        </w:rPr>
        <w:t xml:space="preserve"> Trybunał uznaje</w:t>
      </w:r>
      <w:r>
        <w:rPr>
          <w:rStyle w:val="sb8d990e2"/>
        </w:rPr>
        <w:t xml:space="preserve">, że takie oświadczenia, bez względu na fakt, że nie są wiążące w </w:t>
      </w:r>
      <w:r w:rsidR="00DF7FA7">
        <w:rPr>
          <w:rStyle w:val="sb8d990e2"/>
        </w:rPr>
        <w:t>odniesieniu do</w:t>
      </w:r>
      <w:r>
        <w:rPr>
          <w:rStyle w:val="sb8d990e2"/>
        </w:rPr>
        <w:t xml:space="preserve"> skarżącego, mogą mieć s</w:t>
      </w:r>
      <w:r w:rsidR="00BD42AE">
        <w:rPr>
          <w:rStyle w:val="sb8d990e2"/>
        </w:rPr>
        <w:t>zkodliwy skutek dla postępowania</w:t>
      </w:r>
      <w:r>
        <w:rPr>
          <w:rStyle w:val="sb8d990e2"/>
        </w:rPr>
        <w:t xml:space="preserve"> toczące</w:t>
      </w:r>
      <w:r w:rsidR="00D91A8F">
        <w:rPr>
          <w:rStyle w:val="sb8d990e2"/>
        </w:rPr>
        <w:t>go</w:t>
      </w:r>
      <w:r>
        <w:rPr>
          <w:rStyle w:val="sb8d990e2"/>
        </w:rPr>
        <w:t xml:space="preserve"> się przeciwko niemu</w:t>
      </w:r>
      <w:r w:rsidR="00D91A8F">
        <w:rPr>
          <w:rStyle w:val="sb8d990e2"/>
        </w:rPr>
        <w:t xml:space="preserve"> tak samo</w:t>
      </w:r>
      <w:r w:rsidR="00B93097">
        <w:rPr>
          <w:rStyle w:val="sb8d990e2"/>
        </w:rPr>
        <w:t>,</w:t>
      </w:r>
      <w:r w:rsidR="00D91A8F">
        <w:rPr>
          <w:rStyle w:val="sb8d990e2"/>
        </w:rPr>
        <w:t xml:space="preserve"> jak</w:t>
      </w:r>
      <w:r w:rsidR="00B93097">
        <w:rPr>
          <w:rStyle w:val="sb8d990e2"/>
        </w:rPr>
        <w:t xml:space="preserve"> ma to mieć miejsce </w:t>
      </w:r>
      <w:r w:rsidR="00D91A8F">
        <w:rPr>
          <w:rStyle w:val="sb8d990e2"/>
        </w:rPr>
        <w:t>w</w:t>
      </w:r>
      <w:r>
        <w:rPr>
          <w:rStyle w:val="sb8d990e2"/>
        </w:rPr>
        <w:t xml:space="preserve"> przypadku </w:t>
      </w:r>
      <w:r w:rsidR="00D91A8F">
        <w:rPr>
          <w:rStyle w:val="sb8d990e2"/>
        </w:rPr>
        <w:t xml:space="preserve">przedwczesnego stwierdzenia </w:t>
      </w:r>
      <w:r>
        <w:rPr>
          <w:rStyle w:val="sb8d990e2"/>
        </w:rPr>
        <w:t xml:space="preserve">winy podejrzanego dokonanego przez każdy inny organ publiczny </w:t>
      </w:r>
      <w:r>
        <w:t xml:space="preserve">w ścisłym związku z toczącym się postępowaniem karnym (porównaj </w:t>
      </w:r>
      <w:proofErr w:type="spellStart"/>
      <w:r>
        <w:rPr>
          <w:i/>
        </w:rPr>
        <w:t>Diamantides</w:t>
      </w:r>
      <w:proofErr w:type="spellEnd"/>
      <w:r>
        <w:t xml:space="preserve">, cytowany powyżej, § 44). </w:t>
      </w:r>
      <w:r w:rsidR="00BD42AE">
        <w:t>Trybunał</w:t>
      </w:r>
      <w:r>
        <w:t xml:space="preserve"> uznaje za istotne </w:t>
      </w:r>
      <w:r w:rsidR="00B30451">
        <w:t xml:space="preserve">zauważyć </w:t>
      </w:r>
      <w:r>
        <w:t xml:space="preserve">w </w:t>
      </w:r>
      <w:r w:rsidR="00B30451">
        <w:t xml:space="preserve">tym </w:t>
      </w:r>
      <w:r>
        <w:t>kontekście, że w sytuacji</w:t>
      </w:r>
      <w:r w:rsidR="002477B5">
        <w:t>, takiej jak</w:t>
      </w:r>
      <w:r>
        <w:t xml:space="preserve"> </w:t>
      </w:r>
      <w:r w:rsidR="002477B5">
        <w:t xml:space="preserve">sytuacja leżąca </w:t>
      </w:r>
      <w:r>
        <w:t>u podstaw niniejszej skargi, oskarżon</w:t>
      </w:r>
      <w:r w:rsidR="002477B5">
        <w:t>y, wobec którego postępowanie prowadzone jest odrębnie</w:t>
      </w:r>
      <w:r w:rsidR="004360EE">
        <w:t xml:space="preserve"> i który</w:t>
      </w:r>
      <w:r>
        <w:t xml:space="preserve"> </w:t>
      </w:r>
      <w:r w:rsidR="00821E20">
        <w:t xml:space="preserve">zatem </w:t>
      </w:r>
      <w:r>
        <w:t>nie jest stroną postępowania toczącego się przeciwko jego współ</w:t>
      </w:r>
      <w:r w:rsidR="00DF7FA7">
        <w:t>oskarżonym</w:t>
      </w:r>
      <w:r>
        <w:t xml:space="preserve">, </w:t>
      </w:r>
      <w:r w:rsidR="002477B5">
        <w:t xml:space="preserve">jest </w:t>
      </w:r>
      <w:r w:rsidR="00821E20">
        <w:t xml:space="preserve">w rzeczywistości </w:t>
      </w:r>
      <w:r>
        <w:t xml:space="preserve">pozbawiony wszelkiej możliwości </w:t>
      </w:r>
      <w:r w:rsidR="00794847">
        <w:t xml:space="preserve">zakwestionowania </w:t>
      </w:r>
      <w:r>
        <w:t>zarzut</w:t>
      </w:r>
      <w:r w:rsidR="00794847">
        <w:t xml:space="preserve">ów </w:t>
      </w:r>
      <w:r>
        <w:t>postawiony</w:t>
      </w:r>
      <w:r w:rsidR="00794847">
        <w:t>ch</w:t>
      </w:r>
      <w:r>
        <w:t xml:space="preserve"> w trakcie tego postępowania dotyczący</w:t>
      </w:r>
      <w:r w:rsidR="00DF7FA7">
        <w:t>ch</w:t>
      </w:r>
      <w:r>
        <w:t xml:space="preserve"> jego zaangażowania w popełnienie przestępstwa.</w:t>
      </w:r>
    </w:p>
    <w:p w14:paraId="423B6BC5" w14:textId="64969168" w:rsidR="0035460F" w:rsidRDefault="00921888" w:rsidP="0035460F">
      <w:pPr>
        <w:pStyle w:val="ECHRPara"/>
      </w:pPr>
      <w:fldSimple w:instr=" SEQ level0 \*arabic ">
        <w:r w:rsidR="00454999">
          <w:rPr>
            <w:noProof/>
          </w:rPr>
          <w:t>44</w:t>
        </w:r>
      </w:fldSimple>
      <w:r w:rsidR="0035460F">
        <w:t xml:space="preserve">.  Uwzględniając potrzebę zapewnienia, </w:t>
      </w:r>
      <w:r w:rsidR="004360EE">
        <w:t xml:space="preserve">by </w:t>
      </w:r>
      <w:r w:rsidR="0035460F">
        <w:t xml:space="preserve">prawo zagwarantowane przez artykuł 6 § 2 </w:t>
      </w:r>
      <w:r w:rsidR="004360EE">
        <w:t xml:space="preserve">było </w:t>
      </w:r>
      <w:r w:rsidR="0035460F">
        <w:t xml:space="preserve">praktyczne i skuteczne, </w:t>
      </w:r>
      <w:r w:rsidR="00794847">
        <w:t>Trybunał</w:t>
      </w:r>
      <w:r w:rsidR="0035460F">
        <w:t xml:space="preserve"> stwierdza zatem, że domniemanie niewinności ma zastosowanie w niniejszym wypadku oraz że skarżący może </w:t>
      </w:r>
      <w:r w:rsidR="00794847">
        <w:t>domagać się uznania go za</w:t>
      </w:r>
      <w:r w:rsidR="0035460F">
        <w:t xml:space="preserve"> ofiar</w:t>
      </w:r>
      <w:r w:rsidR="00794847">
        <w:t>ę</w:t>
      </w:r>
      <w:r w:rsidR="0035460F">
        <w:t xml:space="preserve"> ewentualnego naruszenia prawa do domniemania niewinności.</w:t>
      </w:r>
    </w:p>
    <w:p w14:paraId="7CA23C61" w14:textId="7F5537BE" w:rsidR="0035460F" w:rsidRDefault="0035460F" w:rsidP="0035460F">
      <w:pPr>
        <w:pStyle w:val="ECHRHeading3"/>
      </w:pPr>
      <w:r>
        <w:t>2.  Zarzu</w:t>
      </w:r>
      <w:r w:rsidR="00206648">
        <w:t>t</w:t>
      </w:r>
      <w:r>
        <w:t xml:space="preserve"> brak</w:t>
      </w:r>
      <w:r w:rsidR="00206648">
        <w:t>u</w:t>
      </w:r>
      <w:r>
        <w:t xml:space="preserve"> wyczerpania krajowych środków odwoławczych</w:t>
      </w:r>
    </w:p>
    <w:p w14:paraId="76F350F1" w14:textId="77777777" w:rsidR="0035460F" w:rsidRPr="00BE4E1A" w:rsidRDefault="0035460F" w:rsidP="0035460F">
      <w:pPr>
        <w:pStyle w:val="ECHRHeading4"/>
      </w:pPr>
      <w:r>
        <w:t>(a)  Rząd</w:t>
      </w:r>
    </w:p>
    <w:p w14:paraId="6F75298E" w14:textId="77777777" w:rsidR="0035460F" w:rsidRDefault="00921888" w:rsidP="0035460F">
      <w:pPr>
        <w:pStyle w:val="ECHRPara"/>
      </w:pPr>
      <w:fldSimple w:instr=" SEQ level0 \*arabic ">
        <w:r w:rsidR="00454999">
          <w:rPr>
            <w:noProof/>
          </w:rPr>
          <w:t>45</w:t>
        </w:r>
      </w:fldSimple>
      <w:r w:rsidR="0035460F">
        <w:t xml:space="preserve">.  Dalej Rząd zarzucił, że skarżący nie wyczerpał wszystkich krajowych środków odwoławczych, zgodnie z wymogiem zawartym w artykule 35 § 1 </w:t>
      </w:r>
      <w:r w:rsidR="00BD09B7">
        <w:t>K</w:t>
      </w:r>
      <w:r w:rsidR="0035460F">
        <w:t>onwencji.</w:t>
      </w:r>
    </w:p>
    <w:p w14:paraId="7CC81E19" w14:textId="77777777" w:rsidR="0035460F" w:rsidRDefault="00921888" w:rsidP="0035460F">
      <w:pPr>
        <w:pStyle w:val="ECHRPara"/>
      </w:pPr>
      <w:fldSimple w:instr=" SEQ level0 \*arabic ">
        <w:r w:rsidR="00454999">
          <w:rPr>
            <w:noProof/>
          </w:rPr>
          <w:t>46</w:t>
        </w:r>
      </w:fldSimple>
      <w:r w:rsidR="0035460F">
        <w:t xml:space="preserve">.  W opinii Rządu, skarżący powinien był poczekać na wynik swojego własnego procesu, a następnie mógł zaskarżyć ewentualny wyrok </w:t>
      </w:r>
      <w:r w:rsidR="00BD09B7">
        <w:t xml:space="preserve">skazujący </w:t>
      </w:r>
      <w:r w:rsidR="0035460F">
        <w:t>na tej podstawie, że sąd orzekający nie dokonał bezstronnej oceny dowodów dostępnych przeciwko niemu. Rząd argumentował, że dopiero po przeprowadzeniu postępowania karnego zakończonego wyrokiem skazującym istniała możliwość stwierdzenia, czy rozumowanie sądu orzekającego sugerowało, iż z góry uznał on skarżącego winnym, z naruszeniem zasady domnieman</w:t>
      </w:r>
      <w:r w:rsidR="00BD09B7">
        <w:t>ia</w:t>
      </w:r>
      <w:r w:rsidR="0035460F">
        <w:t xml:space="preserve"> niewinności.</w:t>
      </w:r>
    </w:p>
    <w:p w14:paraId="2437AC7B" w14:textId="255B13CD" w:rsidR="0035460F" w:rsidRDefault="00921888" w:rsidP="0035460F">
      <w:pPr>
        <w:pStyle w:val="ECHRPara"/>
      </w:pPr>
      <w:fldSimple w:instr=" SEQ level0 \*arabic ">
        <w:r w:rsidR="00454999">
          <w:rPr>
            <w:noProof/>
          </w:rPr>
          <w:t>47</w:t>
        </w:r>
      </w:fldSimple>
      <w:r w:rsidR="0035460F">
        <w:t>.  Ponadto</w:t>
      </w:r>
      <w:r w:rsidR="00A52DF8">
        <w:t>,</w:t>
      </w:r>
      <w:r w:rsidR="0035460F">
        <w:t xml:space="preserve"> w zakresie, w jakim skarżący </w:t>
      </w:r>
      <w:r w:rsidR="00EE1D44">
        <w:t>skarżył się</w:t>
      </w:r>
      <w:r w:rsidR="0035460F">
        <w:t xml:space="preserve"> na uwagę mediów, jaką skupił na sobie wyrok Sądu Okręgowego</w:t>
      </w:r>
      <w:r w:rsidR="00A52DF8">
        <w:t>,</w:t>
      </w:r>
      <w:r w:rsidR="0035460F">
        <w:t xml:space="preserve"> w szczególności w Turcji, </w:t>
      </w:r>
      <w:r w:rsidR="00A52DF8">
        <w:t xml:space="preserve">Rząd utrzymywał, że – nawet </w:t>
      </w:r>
      <w:r w:rsidR="0035460F">
        <w:t xml:space="preserve">zakładając, że ochrona </w:t>
      </w:r>
      <w:r w:rsidR="00EE1D44">
        <w:t>przed</w:t>
      </w:r>
      <w:r w:rsidR="0035460F">
        <w:t xml:space="preserve"> zainteresowani</w:t>
      </w:r>
      <w:r w:rsidR="00EE1D44">
        <w:t>em</w:t>
      </w:r>
      <w:r w:rsidR="00B82D3C">
        <w:t xml:space="preserve"> </w:t>
      </w:r>
      <w:r w:rsidR="00A52DF8">
        <w:t xml:space="preserve">publicznym </w:t>
      </w:r>
      <w:r w:rsidR="00B82D3C">
        <w:t>stanowi</w:t>
      </w:r>
      <w:r w:rsidR="0035460F">
        <w:t xml:space="preserve"> element</w:t>
      </w:r>
      <w:r w:rsidR="00A52DF8">
        <w:t xml:space="preserve"> zasady domnieman</w:t>
      </w:r>
      <w:r w:rsidR="00821E20">
        <w:t>ia</w:t>
      </w:r>
      <w:r w:rsidR="00A52DF8">
        <w:t xml:space="preserve"> niewinności –</w:t>
      </w:r>
      <w:r w:rsidR="0035460F">
        <w:t xml:space="preserve"> należało oczekiwać </w:t>
      </w:r>
      <w:r w:rsidR="00EE1D44">
        <w:t xml:space="preserve">od </w:t>
      </w:r>
      <w:r w:rsidR="00A52DF8">
        <w:t>skarżącego</w:t>
      </w:r>
      <w:r w:rsidR="00EE1D44">
        <w:t xml:space="preserve"> </w:t>
      </w:r>
      <w:r w:rsidR="0035460F">
        <w:t>uprzedniego wyczerpania właściwych środków cywilno-prawnych w tym zakresie. W każdym razie, Rząd nie może być odpowiedzialn</w:t>
      </w:r>
      <w:r w:rsidR="00BD09B7">
        <w:t>y</w:t>
      </w:r>
      <w:r w:rsidR="0035460F">
        <w:t xml:space="preserve"> za oświadczenia, jakie padły w mediach</w:t>
      </w:r>
      <w:r w:rsidR="00A52DF8" w:rsidRPr="00A52DF8">
        <w:t xml:space="preserve"> </w:t>
      </w:r>
      <w:r w:rsidR="00A52DF8">
        <w:t>tureckich</w:t>
      </w:r>
      <w:r w:rsidR="0035460F">
        <w:t>.</w:t>
      </w:r>
    </w:p>
    <w:p w14:paraId="06E0A6DB" w14:textId="77777777" w:rsidR="0035460F" w:rsidRPr="00BE4E1A" w:rsidRDefault="0035460F" w:rsidP="0035460F">
      <w:pPr>
        <w:pStyle w:val="ECHRHeading4"/>
      </w:pPr>
      <w:r>
        <w:t>(b)  Skarżący</w:t>
      </w:r>
    </w:p>
    <w:p w14:paraId="736DCD90" w14:textId="478D117D" w:rsidR="0035460F" w:rsidRDefault="00921888" w:rsidP="0035460F">
      <w:pPr>
        <w:pStyle w:val="ECHRPara"/>
      </w:pPr>
      <w:fldSimple w:instr=" SEQ level0 \*arabic ">
        <w:r w:rsidR="00454999">
          <w:rPr>
            <w:noProof/>
          </w:rPr>
          <w:t>48</w:t>
        </w:r>
      </w:fldSimple>
      <w:r w:rsidR="0035460F">
        <w:t xml:space="preserve">.  Skarżący uznał, że wnosząc </w:t>
      </w:r>
      <w:r w:rsidR="00AC5277">
        <w:t xml:space="preserve">do Federalnego Trybunału Konstytucyjnego </w:t>
      </w:r>
      <w:r w:rsidR="0035460F">
        <w:t>skargę, iż kwestionowane oświadczenia w wyroku Sądu Okręgowego naruszyły jego prawo do domniemania niewinności, wyczerpał on dostępne krajowe środki odwoławcze.</w:t>
      </w:r>
    </w:p>
    <w:p w14:paraId="5673FB62" w14:textId="21BA9766" w:rsidR="0035460F" w:rsidRDefault="00921888" w:rsidP="0035460F">
      <w:pPr>
        <w:pStyle w:val="ECHRPara"/>
      </w:pPr>
      <w:fldSimple w:instr=" SEQ level0 \*arabic ">
        <w:r w:rsidR="00454999">
          <w:rPr>
            <w:noProof/>
          </w:rPr>
          <w:t>49</w:t>
        </w:r>
      </w:fldSimple>
      <w:r w:rsidR="0035460F">
        <w:t>.  Wyjaśnił r</w:t>
      </w:r>
      <w:r w:rsidR="00B82D3C">
        <w:t>ównież, że jego skarga dotyczy</w:t>
      </w:r>
      <w:r w:rsidR="0035460F">
        <w:t xml:space="preserve"> głównie naruszenia zasady domniemania niewinności </w:t>
      </w:r>
      <w:r w:rsidR="00AC5277">
        <w:t>z uwagi na rzeczone</w:t>
      </w:r>
      <w:r w:rsidR="0035460F">
        <w:t xml:space="preserve"> </w:t>
      </w:r>
      <w:r w:rsidR="00DE4CEA">
        <w:t>stwier</w:t>
      </w:r>
      <w:r w:rsidR="00AC5277">
        <w:t>dzenia zawarte</w:t>
      </w:r>
      <w:r w:rsidR="0035460F">
        <w:t xml:space="preserve"> w wyro</w:t>
      </w:r>
      <w:r w:rsidR="00851388">
        <w:t xml:space="preserve">ku wydanym przeciwko jego </w:t>
      </w:r>
      <w:proofErr w:type="spellStart"/>
      <w:r w:rsidR="00851388">
        <w:t>współpodejrzanym</w:t>
      </w:r>
      <w:proofErr w:type="spellEnd"/>
      <w:r w:rsidR="00AC5277">
        <w:t xml:space="preserve">, a </w:t>
      </w:r>
      <w:r w:rsidR="00160D6F">
        <w:t>relacjonowanie wyroku przez media</w:t>
      </w:r>
      <w:r w:rsidR="0035460F">
        <w:t xml:space="preserve">, jakie </w:t>
      </w:r>
      <w:r w:rsidR="00160D6F">
        <w:t>miało miejsce</w:t>
      </w:r>
      <w:r w:rsidR="00AC5277">
        <w:t xml:space="preserve"> po jego w wydaniu</w:t>
      </w:r>
      <w:r w:rsidR="0035460F">
        <w:t>, nie jest istotne</w:t>
      </w:r>
      <w:r w:rsidR="00AC5277">
        <w:t>, jego zdaniem,</w:t>
      </w:r>
      <w:r w:rsidR="0035460F">
        <w:t xml:space="preserve"> z punktu widzenia ewentualnego uznania naruszenia artykułu 6 § 2. W konsekwencji, sprzeciwił się on oświadczeniu Rządu, że powinien </w:t>
      </w:r>
      <w:r w:rsidR="00AC5277">
        <w:t>był kwestionować</w:t>
      </w:r>
      <w:r w:rsidR="0035460F">
        <w:t xml:space="preserve"> </w:t>
      </w:r>
      <w:r w:rsidR="00AC5277">
        <w:t xml:space="preserve">przed sądami cywilnymi </w:t>
      </w:r>
      <w:r w:rsidR="0035460F">
        <w:t>szkodliwe doniesienia medialne dotyczące wyroku Sądu Okręgowego.</w:t>
      </w:r>
    </w:p>
    <w:p w14:paraId="3A7FB1FF" w14:textId="77777777" w:rsidR="0035460F" w:rsidRDefault="0035460F" w:rsidP="0035460F">
      <w:pPr>
        <w:pStyle w:val="ECHRHeading4"/>
      </w:pPr>
      <w:r>
        <w:lastRenderedPageBreak/>
        <w:t xml:space="preserve">(c)  Ocena </w:t>
      </w:r>
      <w:r w:rsidR="00B82D3C">
        <w:t>Trybunału</w:t>
      </w:r>
    </w:p>
    <w:p w14:paraId="4FDC63D8" w14:textId="0244C75B" w:rsidR="0035460F" w:rsidRDefault="00921888" w:rsidP="0035460F">
      <w:pPr>
        <w:pStyle w:val="ECHRPara"/>
        <w:rPr>
          <w:rStyle w:val="sb8d990e2"/>
          <w:szCs w:val="24"/>
        </w:rPr>
      </w:pPr>
      <w:fldSimple w:instr=" SEQ level0 \*arabic ">
        <w:r w:rsidR="00454999">
          <w:rPr>
            <w:noProof/>
          </w:rPr>
          <w:t>50</w:t>
        </w:r>
      </w:fldSimple>
      <w:r w:rsidR="0035460F">
        <w:t>.  </w:t>
      </w:r>
      <w:r w:rsidR="00B82D3C">
        <w:t>Trybunał</w:t>
      </w:r>
      <w:r w:rsidR="0035460F">
        <w:t xml:space="preserve"> zauważa, że skarżący wniósł skargę przeciwko wyrokowi Sądu Okręgowego we Frankfurcie nad Menem do Federalnego Trybunału Konstytucyjnego z zarzutem naruszenia jego prawa do domniemania  niewinności, która stanowiła tę samą skargę, co skarga wniesiona następnie do niniejszego </w:t>
      </w:r>
      <w:r w:rsidR="00B82D3C">
        <w:t>Trybunału</w:t>
      </w:r>
      <w:r w:rsidR="0035460F">
        <w:t xml:space="preserve">. </w:t>
      </w:r>
      <w:r w:rsidR="00B82D3C">
        <w:t>Trybunał zau</w:t>
      </w:r>
      <w:r w:rsidR="0035460F">
        <w:t>waża równie</w:t>
      </w:r>
      <w:r w:rsidR="00B82D3C">
        <w:t>ż</w:t>
      </w:r>
      <w:r w:rsidR="0035460F">
        <w:t>, że br</w:t>
      </w:r>
      <w:r w:rsidR="00B82D3C">
        <w:t>ak jest podstaw do stwierdzenia</w:t>
      </w:r>
      <w:r w:rsidR="0035460F">
        <w:t xml:space="preserve"> – czemu Rząd nie zaprzecza – że skarżący miał do dyspozycji jakiekolwiek inne krajowe środki odwoławcze, na mocy których mógł bezpośrednio wystąpić z zarzutem naruszenia jego praw konstytucyjnych w wyniku wyroku wydanego przeciwko osobom trzecim. </w:t>
      </w:r>
      <w:r w:rsidR="00B82D3C">
        <w:t xml:space="preserve">Trybunał </w:t>
      </w:r>
      <w:r w:rsidR="0035460F">
        <w:t>ponadto wskazuje, że w swoim postanowieniu z 3 września 2009 roku, Federalny Trybunał Konstytucyjny sam nie odrzucił skargi skarżącego z tytułu braku wyczerpania krajowych środków odwoławczych, lecz na tej podstawie, że jego zdaniem zakwestionowane postanowienie nie miało bezpośredniego wpływu na u</w:t>
      </w:r>
      <w:r w:rsidR="00160D6F">
        <w:t>prawnione</w:t>
      </w:r>
      <w:r w:rsidR="0035460F">
        <w:t xml:space="preserve"> interesy skarżącego. </w:t>
      </w:r>
      <w:r w:rsidR="00B82D3C">
        <w:t>W związku z tym</w:t>
      </w:r>
      <w:r w:rsidR="0035460F">
        <w:t xml:space="preserve">, </w:t>
      </w:r>
      <w:r w:rsidR="00B82D3C">
        <w:t>Trybunał</w:t>
      </w:r>
      <w:r w:rsidR="0035460F">
        <w:t xml:space="preserve"> jest usatysfakcjonowany, że skarżący dał </w:t>
      </w:r>
      <w:r w:rsidR="00160D6F">
        <w:t xml:space="preserve">sądom </w:t>
      </w:r>
      <w:r w:rsidR="0035460F">
        <w:t xml:space="preserve">krajowym możliwość </w:t>
      </w:r>
      <w:r w:rsidR="0035460F">
        <w:rPr>
          <w:rStyle w:val="sb8d990e2"/>
        </w:rPr>
        <w:t xml:space="preserve">zapobieżenia lub naprawienia zarzucanego naruszenia jego praw wynikających z </w:t>
      </w:r>
      <w:r w:rsidR="00A82D92">
        <w:rPr>
          <w:rStyle w:val="sb8d990e2"/>
        </w:rPr>
        <w:t>K</w:t>
      </w:r>
      <w:r w:rsidR="0035460F">
        <w:rPr>
          <w:rStyle w:val="sb8d990e2"/>
        </w:rPr>
        <w:t xml:space="preserve">onwencji przed wniesieniem tego zarzutu do </w:t>
      </w:r>
      <w:r w:rsidR="00A82D92">
        <w:rPr>
          <w:rStyle w:val="sb8d990e2"/>
        </w:rPr>
        <w:t>Trybunału</w:t>
      </w:r>
      <w:r w:rsidR="0035460F">
        <w:rPr>
          <w:rStyle w:val="sb8d990e2"/>
        </w:rPr>
        <w:t xml:space="preserve">, zgodnie z założeniem artykułu 35 § 1 </w:t>
      </w:r>
      <w:r w:rsidR="00A82D92">
        <w:rPr>
          <w:rStyle w:val="sb8d990e2"/>
        </w:rPr>
        <w:t>K</w:t>
      </w:r>
      <w:r w:rsidR="0035460F">
        <w:rPr>
          <w:rStyle w:val="sb8d990e2"/>
        </w:rPr>
        <w:t xml:space="preserve">onwencji (zobacz, między innymi, </w:t>
      </w:r>
      <w:proofErr w:type="spellStart"/>
      <w:r w:rsidR="0035460F">
        <w:rPr>
          <w:i/>
        </w:rPr>
        <w:t>Slimani</w:t>
      </w:r>
      <w:proofErr w:type="spellEnd"/>
      <w:r w:rsidR="0035460F">
        <w:rPr>
          <w:i/>
        </w:rPr>
        <w:t xml:space="preserve"> przeciwko Francji</w:t>
      </w:r>
      <w:r w:rsidR="0035460F">
        <w:t>, nr 57671/00, § 38, ECHR 2004</w:t>
      </w:r>
      <w:r w:rsidR="0035460F">
        <w:noBreakHyphen/>
        <w:t>IX (fragmenty</w:t>
      </w:r>
      <w:r w:rsidR="0035460F">
        <w:rPr>
          <w:rStyle w:val="sb8d990e2"/>
        </w:rPr>
        <w:t xml:space="preserve">), oraz </w:t>
      </w:r>
      <w:r w:rsidR="0035460F">
        <w:rPr>
          <w:rStyle w:val="sb8d990e2"/>
          <w:i/>
        </w:rPr>
        <w:t xml:space="preserve">ASBL Church of </w:t>
      </w:r>
      <w:proofErr w:type="spellStart"/>
      <w:r w:rsidR="0035460F">
        <w:rPr>
          <w:rStyle w:val="sb8d990e2"/>
          <w:i/>
        </w:rPr>
        <w:t>Scientology</w:t>
      </w:r>
      <w:proofErr w:type="spellEnd"/>
      <w:r w:rsidR="0035460F">
        <w:rPr>
          <w:rStyle w:val="sb8d990e2"/>
          <w:i/>
        </w:rPr>
        <w:t xml:space="preserve"> przeciwko Belgii </w:t>
      </w:r>
      <w:r w:rsidR="0035460F">
        <w:rPr>
          <w:rStyle w:val="sb8d990e2"/>
        </w:rPr>
        <w:t>(</w:t>
      </w:r>
      <w:proofErr w:type="spellStart"/>
      <w:r w:rsidR="0035460F">
        <w:rPr>
          <w:rStyle w:val="sb8d990e2"/>
        </w:rPr>
        <w:t>dec</w:t>
      </w:r>
      <w:proofErr w:type="spellEnd"/>
      <w:r w:rsidR="0035460F">
        <w:rPr>
          <w:rStyle w:val="sb8d990e2"/>
        </w:rPr>
        <w:t>.), nr 43075/08, § 26, 27 sierpnia 2013</w:t>
      </w:r>
      <w:r w:rsidR="003631AF">
        <w:rPr>
          <w:rStyle w:val="sb8d990e2"/>
        </w:rPr>
        <w:t xml:space="preserve"> </w:t>
      </w:r>
      <w:r w:rsidR="003631AF">
        <w:t>roku</w:t>
      </w:r>
      <w:r w:rsidR="0035460F">
        <w:rPr>
          <w:rStyle w:val="sb8d990e2"/>
        </w:rPr>
        <w:t>).</w:t>
      </w:r>
    </w:p>
    <w:p w14:paraId="54EF3800" w14:textId="3F8404BA" w:rsidR="0035460F" w:rsidRDefault="00921888" w:rsidP="0035460F">
      <w:pPr>
        <w:pStyle w:val="ECHRPara"/>
      </w:pPr>
      <w:fldSimple w:instr=" SEQ level0 \*arabic ">
        <w:r w:rsidR="00454999">
          <w:rPr>
            <w:noProof/>
          </w:rPr>
          <w:t>51</w:t>
        </w:r>
      </w:fldSimple>
      <w:r w:rsidR="0035460F">
        <w:t>.  W</w:t>
      </w:r>
      <w:r w:rsidR="00FE09C4">
        <w:t xml:space="preserve"> świetle</w:t>
      </w:r>
      <w:r w:rsidR="0035460F">
        <w:t xml:space="preserve"> swoich ustaleń, że zasada domniemania niewinności może być naruszona nawet w przypadku braku formalnego </w:t>
      </w:r>
      <w:r w:rsidR="00851388">
        <w:t>stwierdzenia</w:t>
      </w:r>
      <w:r w:rsidR="0035460F">
        <w:t xml:space="preserve"> winy po</w:t>
      </w:r>
      <w:r w:rsidR="00851388">
        <w:t>dejrzan</w:t>
      </w:r>
      <w:r w:rsidR="0035460F">
        <w:t>ego (zobacz punkty 40-44 powyżej),</w:t>
      </w:r>
      <w:r w:rsidR="00FE09C4">
        <w:t xml:space="preserve"> Trybunał </w:t>
      </w:r>
      <w:r w:rsidR="0035460F">
        <w:t xml:space="preserve">odrzuca argument Rządu, że skarżący powinien poczekać na wynik postępowania karnego toczącego się przeciwko niemu, zanim wniesie zarzut o ewentualne naruszenie jego prawa do domniemania jego niewinności. </w:t>
      </w:r>
      <w:r w:rsidR="00FE09C4">
        <w:t>Trybunał uzn</w:t>
      </w:r>
      <w:r w:rsidR="0035460F">
        <w:t>aje, że</w:t>
      </w:r>
      <w:r w:rsidR="00160D6F">
        <w:t xml:space="preserve"> choć</w:t>
      </w:r>
      <w:r w:rsidR="0035460F">
        <w:t xml:space="preserve"> zastrzeżenie t</w:t>
      </w:r>
      <w:r w:rsidR="00160D6F">
        <w:t>akie</w:t>
      </w:r>
      <w:r w:rsidR="0035460F">
        <w:t xml:space="preserve"> mo</w:t>
      </w:r>
      <w:r w:rsidR="00160D6F">
        <w:t>głoby</w:t>
      </w:r>
      <w:r w:rsidR="0035460F">
        <w:t xml:space="preserve"> być uzasadnione w sytuacji, gdy</w:t>
      </w:r>
      <w:r w:rsidR="00C24931">
        <w:t>by</w:t>
      </w:r>
      <w:r w:rsidR="0035460F">
        <w:t xml:space="preserve"> skarżący wnosi</w:t>
      </w:r>
      <w:r w:rsidR="00C24931">
        <w:t>ł</w:t>
      </w:r>
      <w:r w:rsidR="0035460F">
        <w:t xml:space="preserve"> skargę o naruszenie jego gwarancji procesowych przewidzianych w artykule 6 §§ 1 i 3 w ko</w:t>
      </w:r>
      <w:r w:rsidR="00160D6F">
        <w:t>ntekście samego procesu karneg</w:t>
      </w:r>
      <w:r w:rsidR="00C24931">
        <w:t>o i</w:t>
      </w:r>
      <w:r w:rsidR="0035460F">
        <w:t xml:space="preserve"> gdy</w:t>
      </w:r>
      <w:r w:rsidR="00821E20">
        <w:t>by</w:t>
      </w:r>
      <w:r w:rsidR="0035460F">
        <w:t xml:space="preserve"> zadaniem </w:t>
      </w:r>
      <w:r w:rsidR="00FE09C4">
        <w:t xml:space="preserve">Trybunału </w:t>
      </w:r>
      <w:r w:rsidR="00821E20">
        <w:t>była</w:t>
      </w:r>
      <w:r w:rsidR="0035460F">
        <w:t xml:space="preserve"> ocena </w:t>
      </w:r>
      <w:r w:rsidR="00FE09C4">
        <w:t>rzetelności</w:t>
      </w:r>
      <w:r w:rsidR="0035460F">
        <w:t xml:space="preserve"> postępowania karnego traktowanego jako całość (zobacz, na przykład, </w:t>
      </w:r>
      <w:proofErr w:type="spellStart"/>
      <w:r w:rsidR="0035460F">
        <w:rPr>
          <w:i/>
        </w:rPr>
        <w:t>Taxquet</w:t>
      </w:r>
      <w:proofErr w:type="spellEnd"/>
      <w:r w:rsidR="0035460F">
        <w:rPr>
          <w:i/>
        </w:rPr>
        <w:t xml:space="preserve"> przeciwko Belgii</w:t>
      </w:r>
      <w:r w:rsidR="0035460F">
        <w:t xml:space="preserve"> </w:t>
      </w:r>
      <w:r w:rsidR="00C60F96">
        <w:t>[Wielka Izba]</w:t>
      </w:r>
      <w:r w:rsidR="0035460F">
        <w:t>, nr 926/05, § 84, ECHR 2010),</w:t>
      </w:r>
      <w:r w:rsidR="008B5E8C">
        <w:t xml:space="preserve"> to</w:t>
      </w:r>
      <w:r w:rsidR="0035460F">
        <w:t xml:space="preserve"> </w:t>
      </w:r>
      <w:r w:rsidR="008B5E8C">
        <w:t>jednak</w:t>
      </w:r>
      <w:r w:rsidR="00FE09C4">
        <w:t xml:space="preserve"> </w:t>
      </w:r>
      <w:r w:rsidR="0035460F">
        <w:t>nie można odbierać skarżącemu prawa do wnoszenia zarzutu o naruszenie jego prawa do domniemania niewinności przed zakończeniem toczącego się przeciwko niemu postępowania.</w:t>
      </w:r>
    </w:p>
    <w:p w14:paraId="78442C5E" w14:textId="6AC475E5" w:rsidR="0035460F" w:rsidRDefault="00921888" w:rsidP="0035460F">
      <w:pPr>
        <w:pStyle w:val="ECHRPara"/>
        <w:rPr>
          <w:szCs w:val="24"/>
        </w:rPr>
      </w:pPr>
      <w:fldSimple w:instr=" SEQ level0 \*arabic ">
        <w:r w:rsidR="00454999">
          <w:rPr>
            <w:noProof/>
          </w:rPr>
          <w:t>52</w:t>
        </w:r>
      </w:fldSimple>
      <w:r w:rsidR="0035460F">
        <w:t>.  </w:t>
      </w:r>
      <w:r w:rsidR="008B5E8C">
        <w:t>Trybunał nie</w:t>
      </w:r>
      <w:r w:rsidR="0035460F">
        <w:t xml:space="preserve"> podziela również poglądu Rządu, że skarżący powinien w pierwszej kolejności skorzystać ze środków odwoławczych dostępnych na gruncie prawa cywilnego, jeżeli chodzi o nagłośnienie </w:t>
      </w:r>
      <w:r w:rsidR="00160D6F">
        <w:t xml:space="preserve">wyroku Sądu Okręgowego </w:t>
      </w:r>
      <w:r w:rsidR="0035460F">
        <w:t xml:space="preserve">w mediach. </w:t>
      </w:r>
      <w:r w:rsidR="008B5E8C">
        <w:t xml:space="preserve">Trybunał </w:t>
      </w:r>
      <w:r w:rsidR="0035460F">
        <w:t xml:space="preserve">zauważa, że przedmiot takiego postępowania cywilnego różniłby się od przedmiotu niniejszej skargi złożonej przez skarżącego (zobacz powyżej punkt 49), a mianowicie </w:t>
      </w:r>
      <w:r w:rsidR="0035460F">
        <w:lastRenderedPageBreak/>
        <w:t xml:space="preserve">stwierdzenia, czy dane fragmenty wyroku Sądu Okręgowego naruszyły prawo skarżącego do domniemania niewinności. A zatem, nie stanowiłyby one skutecznego środka odwoławczego w tym zakresie (zobacz </w:t>
      </w:r>
      <w:proofErr w:type="spellStart"/>
      <w:r w:rsidR="0035460F">
        <w:rPr>
          <w:i/>
        </w:rPr>
        <w:t>Shuvalov</w:t>
      </w:r>
      <w:proofErr w:type="spellEnd"/>
      <w:r w:rsidR="0035460F">
        <w:rPr>
          <w:i/>
        </w:rPr>
        <w:t xml:space="preserve"> przeciwko Estonii</w:t>
      </w:r>
      <w:r w:rsidR="0035460F">
        <w:t xml:space="preserve">, nr 39820/08 </w:t>
      </w:r>
      <w:r w:rsidR="00C60F96">
        <w:t>i</w:t>
      </w:r>
      <w:r w:rsidR="0035460F">
        <w:t xml:space="preserve"> 14942/09, § 73, 29 maja 2012</w:t>
      </w:r>
      <w:r w:rsidR="003631AF">
        <w:t xml:space="preserve"> roku</w:t>
      </w:r>
      <w:r w:rsidR="0035460F">
        <w:t>).</w:t>
      </w:r>
    </w:p>
    <w:p w14:paraId="6A670037" w14:textId="29B9EC76" w:rsidR="0035460F" w:rsidRDefault="00921888" w:rsidP="0035460F">
      <w:pPr>
        <w:pStyle w:val="ECHRPara"/>
      </w:pPr>
      <w:fldSimple w:instr=" SEQ level0 \*arabic ">
        <w:r w:rsidR="00454999">
          <w:rPr>
            <w:noProof/>
          </w:rPr>
          <w:t>53</w:t>
        </w:r>
      </w:fldSimple>
      <w:r w:rsidR="0035460F">
        <w:t xml:space="preserve">.  Z tego tytułu, </w:t>
      </w:r>
      <w:r w:rsidR="008B5E8C">
        <w:t xml:space="preserve">Trybunał </w:t>
      </w:r>
      <w:r w:rsidR="00C24931">
        <w:t>uznaje</w:t>
      </w:r>
      <w:r w:rsidR="0035460F">
        <w:t>, że skarżący wyczerpał krajowe środki odwoławcze, zgodnie z wymogiem zawartym w artykule 35 § 1</w:t>
      </w:r>
      <w:r w:rsidR="008B5E8C">
        <w:t xml:space="preserve"> K</w:t>
      </w:r>
      <w:r w:rsidR="0035460F">
        <w:t>onwencji.</w:t>
      </w:r>
    </w:p>
    <w:p w14:paraId="0C8037BE" w14:textId="77777777" w:rsidR="0035460F" w:rsidRDefault="0035460F" w:rsidP="0035460F">
      <w:pPr>
        <w:pStyle w:val="ECHRHeading3"/>
      </w:pPr>
      <w:r>
        <w:t>3.  Podsumowanie</w:t>
      </w:r>
    </w:p>
    <w:p w14:paraId="2DE72DDF" w14:textId="414B6BB5" w:rsidR="0035460F" w:rsidRDefault="00921888" w:rsidP="0035460F">
      <w:pPr>
        <w:pStyle w:val="ECHRPara"/>
      </w:pPr>
      <w:fldSimple w:instr=" SEQ level0 \*arabic ">
        <w:r w:rsidR="00454999">
          <w:rPr>
            <w:noProof/>
          </w:rPr>
          <w:t>54</w:t>
        </w:r>
      </w:fldSimple>
      <w:r w:rsidR="0035460F">
        <w:t>.  </w:t>
      </w:r>
      <w:r w:rsidR="00DA75FA">
        <w:t>Mając na uwadze</w:t>
      </w:r>
      <w:r w:rsidR="0035460F">
        <w:t xml:space="preserve"> powyższe względy,</w:t>
      </w:r>
      <w:r w:rsidR="008B5E8C">
        <w:t xml:space="preserve"> Trybunał</w:t>
      </w:r>
      <w:r w:rsidR="0035460F">
        <w:t xml:space="preserve"> odrzuca za</w:t>
      </w:r>
      <w:r w:rsidR="00DA75FA">
        <w:t>rzuty</w:t>
      </w:r>
      <w:r w:rsidR="0035460F">
        <w:t xml:space="preserve"> Rządu co do </w:t>
      </w:r>
      <w:r w:rsidR="00C24931">
        <w:t>nie</w:t>
      </w:r>
      <w:r w:rsidR="0035460F">
        <w:t xml:space="preserve">dopuszczalności. </w:t>
      </w:r>
      <w:r w:rsidR="00AC6BD8">
        <w:t>Trybunał n</w:t>
      </w:r>
      <w:r w:rsidR="0035460F">
        <w:t>ie uznaje też</w:t>
      </w:r>
      <w:r w:rsidR="00AC6BD8">
        <w:t xml:space="preserve"> </w:t>
      </w:r>
      <w:r w:rsidR="0035460F">
        <w:t xml:space="preserve">skargi za </w:t>
      </w:r>
      <w:r w:rsidR="00AC6BD8">
        <w:t xml:space="preserve">w sposób oczywisty </w:t>
      </w:r>
      <w:r w:rsidR="0035460F">
        <w:t xml:space="preserve">nieuzasadnioną w rozumieniu artykułu 35 § 3 </w:t>
      </w:r>
      <w:r w:rsidR="00C24931">
        <w:t xml:space="preserve">lit. </w:t>
      </w:r>
      <w:r w:rsidR="0035460F">
        <w:t xml:space="preserve">a) </w:t>
      </w:r>
      <w:r w:rsidR="00AC6BD8">
        <w:t>K</w:t>
      </w:r>
      <w:r w:rsidR="0035460F">
        <w:t>onwencji lub za niedopuszczalną na jakie</w:t>
      </w:r>
      <w:r w:rsidR="00AC6BD8">
        <w:t>j</w:t>
      </w:r>
      <w:r w:rsidR="0035460F">
        <w:t>kolwiek inne</w:t>
      </w:r>
      <w:r w:rsidR="00AC6BD8">
        <w:t>j</w:t>
      </w:r>
      <w:r w:rsidR="00AC6BD8" w:rsidRPr="00AC6BD8">
        <w:t xml:space="preserve"> </w:t>
      </w:r>
      <w:r w:rsidR="00AC6BD8">
        <w:t>podstawie</w:t>
      </w:r>
      <w:r w:rsidR="0035460F">
        <w:t>. A zatem uznaje skargę za dopuszczalną.</w:t>
      </w:r>
    </w:p>
    <w:p w14:paraId="18D7802F" w14:textId="056FD347" w:rsidR="0035460F" w:rsidRDefault="0035460F" w:rsidP="0035460F">
      <w:pPr>
        <w:pStyle w:val="ECHRHeading2"/>
        <w:outlineLvl w:val="0"/>
      </w:pPr>
      <w:r>
        <w:t>B.  </w:t>
      </w:r>
      <w:r w:rsidR="004B1B5F">
        <w:t>Przedmiot</w:t>
      </w:r>
      <w:r>
        <w:t xml:space="preserve"> sprawy</w:t>
      </w:r>
    </w:p>
    <w:p w14:paraId="1E5D3915" w14:textId="77777777" w:rsidR="0035460F" w:rsidRPr="000B4774" w:rsidRDefault="0035460F" w:rsidP="0035460F">
      <w:pPr>
        <w:pStyle w:val="ECHRHeading3"/>
      </w:pPr>
      <w:r>
        <w:t xml:space="preserve">1.  Stanowiska stron </w:t>
      </w:r>
    </w:p>
    <w:p w14:paraId="7963A255" w14:textId="77777777" w:rsidR="0035460F" w:rsidRPr="00546271" w:rsidRDefault="0035460F" w:rsidP="0035460F">
      <w:pPr>
        <w:pStyle w:val="ECHRHeading4"/>
      </w:pPr>
      <w:r>
        <w:t>(a)  Skarżący</w:t>
      </w:r>
    </w:p>
    <w:p w14:paraId="7E57908F" w14:textId="17F16420" w:rsidR="0035460F" w:rsidRPr="00A064C5" w:rsidRDefault="00921888" w:rsidP="0035460F">
      <w:pPr>
        <w:pStyle w:val="ECHRPara"/>
        <w:rPr>
          <w:rStyle w:val="JuParaChar"/>
        </w:rPr>
      </w:pPr>
      <w:fldSimple w:instr=" SEQ level0 \*arabic ">
        <w:r w:rsidR="00454999">
          <w:rPr>
            <w:noProof/>
          </w:rPr>
          <w:t>55</w:t>
        </w:r>
      </w:fldSimple>
      <w:r w:rsidR="0035460F">
        <w:t>.  </w:t>
      </w:r>
      <w:r w:rsidR="0035460F">
        <w:rPr>
          <w:rStyle w:val="JuParaChar"/>
        </w:rPr>
        <w:t>Zdaniem skarżącego, o</w:t>
      </w:r>
      <w:r w:rsidR="001346FD">
        <w:rPr>
          <w:rStyle w:val="JuParaChar"/>
        </w:rPr>
        <w:t>bciążając</w:t>
      </w:r>
      <w:r w:rsidR="0035460F">
        <w:rPr>
          <w:rStyle w:val="JuParaChar"/>
        </w:rPr>
        <w:t xml:space="preserve">e </w:t>
      </w:r>
      <w:r w:rsidR="00AC6BD8">
        <w:rPr>
          <w:rStyle w:val="JuParaChar"/>
        </w:rPr>
        <w:t>stwierdzenia</w:t>
      </w:r>
      <w:r w:rsidR="0035460F">
        <w:rPr>
          <w:rStyle w:val="JuParaChar"/>
        </w:rPr>
        <w:t xml:space="preserve"> zawarte w wyroku Sądu Okręgowego we Frankfurcie nad Menem wydanym przeciwko jego </w:t>
      </w:r>
      <w:proofErr w:type="spellStart"/>
      <w:r w:rsidR="0035460F">
        <w:rPr>
          <w:rStyle w:val="JuParaChar"/>
        </w:rPr>
        <w:t>współ</w:t>
      </w:r>
      <w:r w:rsidR="009314D1">
        <w:rPr>
          <w:rStyle w:val="JuParaChar"/>
        </w:rPr>
        <w:t>podejrzanym</w:t>
      </w:r>
      <w:proofErr w:type="spellEnd"/>
      <w:r w:rsidR="001346FD">
        <w:rPr>
          <w:rStyle w:val="JuParaChar"/>
        </w:rPr>
        <w:t>,</w:t>
      </w:r>
      <w:r w:rsidR="0035460F">
        <w:rPr>
          <w:rStyle w:val="JuParaChar"/>
        </w:rPr>
        <w:t xml:space="preserve"> sądzonym w postępowaniu</w:t>
      </w:r>
      <w:r w:rsidR="004653DE" w:rsidRPr="004653DE">
        <w:rPr>
          <w:rStyle w:val="JuParaChar"/>
        </w:rPr>
        <w:t xml:space="preserve"> </w:t>
      </w:r>
      <w:r w:rsidR="004653DE">
        <w:rPr>
          <w:rStyle w:val="JuParaChar"/>
        </w:rPr>
        <w:t>odrębnym</w:t>
      </w:r>
      <w:r w:rsidR="001346FD">
        <w:rPr>
          <w:rStyle w:val="JuParaChar"/>
        </w:rPr>
        <w:t>,</w:t>
      </w:r>
      <w:r w:rsidR="0035460F">
        <w:rPr>
          <w:rStyle w:val="JuParaChar"/>
        </w:rPr>
        <w:t xml:space="preserve"> wyraźnie sugerują, że sąd uznał go winnym zarzucanego mu przestępstwa. Został opisany jako </w:t>
      </w:r>
      <w:r w:rsidR="001346FD">
        <w:rPr>
          <w:rStyle w:val="JuParaChar"/>
        </w:rPr>
        <w:t>osoba pełniąca</w:t>
      </w:r>
      <w:r w:rsidR="0035460F">
        <w:rPr>
          <w:rStyle w:val="JuParaChar"/>
        </w:rPr>
        <w:t xml:space="preserve"> wiodącą rolę w organizacji przestępstwa, bez możliwości jakiegokolwiek skomentowania stawianych mu oskarżeń. Wyrok nie tylko ustanowił faktyczny precedens, jeżeli chodzi o dalszy tok postępowania przeciwko niemu w Niemczech i Turcji, ale sprawił</w:t>
      </w:r>
      <w:r w:rsidR="001346FD" w:rsidRPr="001346FD">
        <w:rPr>
          <w:rStyle w:val="JuParaChar"/>
        </w:rPr>
        <w:t xml:space="preserve"> </w:t>
      </w:r>
      <w:r w:rsidR="001346FD">
        <w:rPr>
          <w:rStyle w:val="JuParaChar"/>
        </w:rPr>
        <w:t>również</w:t>
      </w:r>
      <w:r w:rsidR="0035460F">
        <w:rPr>
          <w:rStyle w:val="JuParaChar"/>
        </w:rPr>
        <w:t>, że zaczął on być publicznie postrzegany jako szef grupy przestępczej założonej d</w:t>
      </w:r>
      <w:r w:rsidR="00AC6BD8">
        <w:rPr>
          <w:rStyle w:val="JuParaChar"/>
        </w:rPr>
        <w:t>la</w:t>
      </w:r>
      <w:r w:rsidR="0035460F">
        <w:rPr>
          <w:rStyle w:val="JuParaChar"/>
        </w:rPr>
        <w:t xml:space="preserve"> celów</w:t>
      </w:r>
      <w:r w:rsidR="001346FD">
        <w:rPr>
          <w:rStyle w:val="JuParaChar"/>
        </w:rPr>
        <w:t xml:space="preserve"> oszustwa</w:t>
      </w:r>
      <w:r w:rsidR="0035460F">
        <w:rPr>
          <w:rStyle w:val="JuParaChar"/>
        </w:rPr>
        <w:t>.</w:t>
      </w:r>
    </w:p>
    <w:p w14:paraId="0051BD8E" w14:textId="006B9BCC" w:rsidR="0035460F" w:rsidRDefault="00921888" w:rsidP="0035460F">
      <w:pPr>
        <w:pStyle w:val="ECHRPara"/>
      </w:pPr>
      <w:fldSimple w:instr=" SEQ level0 \*arabic ">
        <w:r w:rsidR="00454999">
          <w:rPr>
            <w:noProof/>
          </w:rPr>
          <w:t>56</w:t>
        </w:r>
      </w:fldSimple>
      <w:r w:rsidR="0035460F">
        <w:t xml:space="preserve">.  Skarżący przyznał, że odniesienia w wyrokach sądów karnych do udziału </w:t>
      </w:r>
      <w:proofErr w:type="spellStart"/>
      <w:r w:rsidR="0035460F">
        <w:t>współ</w:t>
      </w:r>
      <w:r w:rsidR="009314D1">
        <w:t>podejrzanych</w:t>
      </w:r>
      <w:proofErr w:type="spellEnd"/>
      <w:r w:rsidR="00C74BE2">
        <w:t>,</w:t>
      </w:r>
      <w:r w:rsidR="0035460F">
        <w:t xml:space="preserve"> </w:t>
      </w:r>
      <w:r w:rsidR="00DA75FA">
        <w:t>objętych postępowaniem</w:t>
      </w:r>
      <w:r w:rsidR="004653DE" w:rsidRPr="004653DE">
        <w:t xml:space="preserve"> </w:t>
      </w:r>
      <w:r w:rsidR="004653DE">
        <w:t>odrębnym</w:t>
      </w:r>
      <w:r w:rsidR="00C74BE2">
        <w:t>,</w:t>
      </w:r>
      <w:r w:rsidR="0035460F">
        <w:t xml:space="preserve"> </w:t>
      </w:r>
      <w:r w:rsidR="00AC6BD8">
        <w:t>są</w:t>
      </w:r>
      <w:r w:rsidR="0035460F">
        <w:t xml:space="preserve"> konieczne w celu określenia okoliczności sprawy obejmującej swoim zakresem szereg podejrzanych oraz w celu ustalenia ich indywidualnego wkładu do popełnienia przestępstwa. Zauważył jednak, że wszelkie takie odniesienia powinny być ograniczone do opisu </w:t>
      </w:r>
      <w:r w:rsidR="009B7324">
        <w:t>stanu podejrzenia w</w:t>
      </w:r>
      <w:r w:rsidR="00C3570E">
        <w:t xml:space="preserve"> sprawie</w:t>
      </w:r>
      <w:r w:rsidR="009B7324">
        <w:t xml:space="preserve"> </w:t>
      </w:r>
      <w:r w:rsidR="00C3570E">
        <w:t>udziału</w:t>
      </w:r>
      <w:r w:rsidR="0035460F">
        <w:t xml:space="preserve"> podejrzanych objętych postępowaniem</w:t>
      </w:r>
      <w:r w:rsidR="004653DE" w:rsidRPr="004653DE">
        <w:t xml:space="preserve"> </w:t>
      </w:r>
      <w:r w:rsidR="004653DE">
        <w:t>odrębnym</w:t>
      </w:r>
      <w:r w:rsidR="0035460F">
        <w:t>, a nie sprowadzać się do stwierdzania ich winy.</w:t>
      </w:r>
    </w:p>
    <w:p w14:paraId="5AE1B0F3" w14:textId="3B44988F" w:rsidR="0035460F" w:rsidRDefault="00921888" w:rsidP="0035460F">
      <w:pPr>
        <w:pStyle w:val="ECHRPara"/>
      </w:pPr>
      <w:fldSimple w:instr=" SEQ level0 \*arabic ">
        <w:r w:rsidR="00454999">
          <w:rPr>
            <w:noProof/>
          </w:rPr>
          <w:t>57</w:t>
        </w:r>
      </w:fldSimple>
      <w:r w:rsidR="0035460F">
        <w:t xml:space="preserve">.  Jego zdaniem, wyrok Sądu Okręgowego </w:t>
      </w:r>
      <w:r w:rsidR="0077276D">
        <w:t xml:space="preserve">zawierał </w:t>
      </w:r>
      <w:r w:rsidR="0035460F">
        <w:t xml:space="preserve">nie tylko </w:t>
      </w:r>
      <w:r w:rsidR="0077276D">
        <w:t>ustalenie</w:t>
      </w:r>
      <w:r w:rsidR="0035460F">
        <w:t xml:space="preserve"> winy oskarżonego, ale również </w:t>
      </w:r>
      <w:r w:rsidR="0077276D">
        <w:t>stwierdzenia</w:t>
      </w:r>
      <w:r w:rsidR="0035460F">
        <w:t xml:space="preserve"> dotyczące odpowiedzialności karnej skarżącego, co wykraczało poza sam opis podejrzeń. Uzasadnienie wyroku nie ograniczało się do neutralnego opisu zarzucanego udziału </w:t>
      </w:r>
      <w:r w:rsidR="00C3570E">
        <w:t xml:space="preserve">skarżącego </w:t>
      </w:r>
      <w:r w:rsidR="0035460F">
        <w:t xml:space="preserve">w popełnieniu przestępstwa, lecz również czyniło odniesienia do jego motywacji, </w:t>
      </w:r>
      <w:r w:rsidR="0077276D">
        <w:t>zamiaru</w:t>
      </w:r>
      <w:r w:rsidR="0035460F">
        <w:t xml:space="preserve"> oraz innych subiektywnych elementów leżących u </w:t>
      </w:r>
      <w:r w:rsidR="0035460F">
        <w:lastRenderedPageBreak/>
        <w:t>podstaw jego zaangażowania w przedmiotowe zdarzenia. Ponadto, Sąd Okręgowy zastosował terminologię i wyrażenia prawne, które wyraźnie sugerowały, iż udział skarżącego można zakwalifikować jako oszustwo w świetle prawa karnego, popełnione w</w:t>
      </w:r>
      <w:r w:rsidR="009314D1">
        <w:t>spólnie</w:t>
      </w:r>
      <w:r w:rsidR="0035460F">
        <w:t xml:space="preserve"> z oskarżonymi.</w:t>
      </w:r>
    </w:p>
    <w:p w14:paraId="1F4E353E" w14:textId="1EDDEC52" w:rsidR="0035460F" w:rsidRDefault="00921888" w:rsidP="0035460F">
      <w:pPr>
        <w:pStyle w:val="ECHRPara"/>
      </w:pPr>
      <w:fldSimple w:instr=" SEQ level0 \*arabic ">
        <w:r w:rsidR="00454999">
          <w:rPr>
            <w:noProof/>
          </w:rPr>
          <w:t>58</w:t>
        </w:r>
      </w:fldSimple>
      <w:r w:rsidR="0035460F">
        <w:t>.  A zatem, kwestionowane stwierdzenia zawarte w uzasadnieniu wyroku</w:t>
      </w:r>
      <w:r w:rsidR="00C3570E">
        <w:t>,</w:t>
      </w:r>
      <w:r w:rsidR="0035460F">
        <w:t xml:space="preserve"> </w:t>
      </w:r>
      <w:r w:rsidR="00C3570E">
        <w:t>oceniane jako całość,</w:t>
      </w:r>
      <w:r w:rsidR="0035460F">
        <w:t xml:space="preserve"> </w:t>
      </w:r>
      <w:r w:rsidR="00C3570E">
        <w:t xml:space="preserve">były </w:t>
      </w:r>
      <w:r w:rsidR="0035460F">
        <w:t>równoznaczne z uznaniem winy skarżącego, co stanowi naruszenie jego prawa do domniemania niewinności.</w:t>
      </w:r>
    </w:p>
    <w:p w14:paraId="165D6105" w14:textId="77777777" w:rsidR="0035460F" w:rsidRDefault="0035460F" w:rsidP="0035460F">
      <w:pPr>
        <w:pStyle w:val="ECHRHeading4"/>
      </w:pPr>
      <w:r>
        <w:t>(b)  Rząd</w:t>
      </w:r>
    </w:p>
    <w:p w14:paraId="175FB9F6" w14:textId="5CDA2E37" w:rsidR="0035460F" w:rsidRDefault="00921888" w:rsidP="0035460F">
      <w:pPr>
        <w:pStyle w:val="ECHRPara"/>
      </w:pPr>
      <w:fldSimple w:instr=" SEQ level0 \*arabic ">
        <w:r w:rsidR="00454999">
          <w:rPr>
            <w:noProof/>
          </w:rPr>
          <w:t>59</w:t>
        </w:r>
      </w:fldSimple>
      <w:r w:rsidR="0035460F">
        <w:t>.  Rząd argumentował, że skoro istniał faktyczny związek międz</w:t>
      </w:r>
      <w:r w:rsidR="009314D1">
        <w:t xml:space="preserve">y oskarżeniami stawianymi </w:t>
      </w:r>
      <w:proofErr w:type="spellStart"/>
      <w:r w:rsidR="009314D1">
        <w:t>współpodejrzany</w:t>
      </w:r>
      <w:r w:rsidR="0035460F">
        <w:t>m</w:t>
      </w:r>
      <w:proofErr w:type="spellEnd"/>
      <w:r w:rsidR="0035460F">
        <w:t xml:space="preserve"> skarżącego a jego własną rol</w:t>
      </w:r>
      <w:r w:rsidR="0077276D">
        <w:t>ą</w:t>
      </w:r>
      <w:r w:rsidR="0035460F">
        <w:t xml:space="preserve"> w procederze stanowiącym podstawę ich skazania, odniesienia do jego udziału w popełnieniu przestępstwa były nieodzowne </w:t>
      </w:r>
      <w:r w:rsidR="000432AF">
        <w:t xml:space="preserve">do </w:t>
      </w:r>
      <w:r w:rsidR="0035460F">
        <w:t xml:space="preserve">oceny wkładu każdego ze współoskarżonych </w:t>
      </w:r>
      <w:r w:rsidR="00A61AAC">
        <w:t>w popełnienie</w:t>
      </w:r>
      <w:r w:rsidR="0035460F">
        <w:t xml:space="preserve"> przestępstwa, a w konsekwencji </w:t>
      </w:r>
      <w:r w:rsidR="000432AF">
        <w:t>do</w:t>
      </w:r>
      <w:r w:rsidR="0035460F">
        <w:t xml:space="preserve"> określenia stopnia ich winy i </w:t>
      </w:r>
      <w:r w:rsidR="0003672E">
        <w:t>właściwego wyroku</w:t>
      </w:r>
      <w:r w:rsidR="0035460F">
        <w:t xml:space="preserve">. Stanowi to </w:t>
      </w:r>
      <w:r w:rsidR="0077276D">
        <w:t>typowe</w:t>
      </w:r>
      <w:r w:rsidR="0035460F">
        <w:t xml:space="preserve"> podejście stosowane przez sądy karne w </w:t>
      </w:r>
      <w:r w:rsidR="0077276D">
        <w:t>postępowaniach</w:t>
      </w:r>
      <w:r w:rsidR="0035460F">
        <w:t xml:space="preserve"> </w:t>
      </w:r>
      <w:r w:rsidR="00A61AAC">
        <w:t xml:space="preserve">o złożonym charakterze, </w:t>
      </w:r>
      <w:r w:rsidR="0035460F">
        <w:t>obejmujący</w:t>
      </w:r>
      <w:r w:rsidR="0077276D">
        <w:t>ch</w:t>
      </w:r>
      <w:r w:rsidR="0035460F">
        <w:t xml:space="preserve"> szereg podejrzanych, w których rzadko kiedy istnieje możliwość </w:t>
      </w:r>
      <w:r w:rsidR="00A61AAC">
        <w:t xml:space="preserve">jednoczesnego </w:t>
      </w:r>
      <w:r w:rsidR="0035460F">
        <w:t>przeprowadzenia i zakończenia postępowania przeciwko wszystkim oskarżonym. Na przykład, podczas ustalania winy podejrzanych sądzonych</w:t>
      </w:r>
      <w:r w:rsidR="004653DE">
        <w:t>,</w:t>
      </w:r>
      <w:r w:rsidR="0035460F">
        <w:t xml:space="preserve"> w</w:t>
      </w:r>
      <w:r w:rsidR="00C74BE2">
        <w:t xml:space="preserve"> </w:t>
      </w:r>
      <w:r w:rsidR="00A61AAC">
        <w:t xml:space="preserve">postępowaniu </w:t>
      </w:r>
      <w:r w:rsidR="004653DE">
        <w:t xml:space="preserve">odrębnym. </w:t>
      </w:r>
      <w:r w:rsidR="00A61AAC">
        <w:t>o podżeganie</w:t>
      </w:r>
      <w:r w:rsidR="0035460F">
        <w:t xml:space="preserve"> </w:t>
      </w:r>
      <w:r w:rsidR="006A0CE1">
        <w:t xml:space="preserve">lub </w:t>
      </w:r>
      <w:r w:rsidR="0035460F">
        <w:t>pomocnictwo w popełnieniu przestępstwa (</w:t>
      </w:r>
      <w:proofErr w:type="spellStart"/>
      <w:r w:rsidR="0035460F">
        <w:rPr>
          <w:i/>
        </w:rPr>
        <w:t>Anstifter</w:t>
      </w:r>
      <w:proofErr w:type="spellEnd"/>
      <w:r w:rsidR="0035460F">
        <w:rPr>
          <w:i/>
        </w:rPr>
        <w:t xml:space="preserve"> </w:t>
      </w:r>
      <w:proofErr w:type="spellStart"/>
      <w:r w:rsidR="0035460F">
        <w:rPr>
          <w:i/>
        </w:rPr>
        <w:t>oder</w:t>
      </w:r>
      <w:proofErr w:type="spellEnd"/>
      <w:r w:rsidR="0035460F">
        <w:rPr>
          <w:i/>
        </w:rPr>
        <w:t xml:space="preserve"> </w:t>
      </w:r>
      <w:proofErr w:type="spellStart"/>
      <w:r w:rsidR="0035460F">
        <w:rPr>
          <w:i/>
        </w:rPr>
        <w:t>Gehilfen</w:t>
      </w:r>
      <w:proofErr w:type="spellEnd"/>
      <w:r w:rsidR="0035460F">
        <w:t>), sąd orzekający zobowiązany jest stwierdzić, czy przestępstwo zostało faktycznie popełnione; samo założenie nie było</w:t>
      </w:r>
      <w:r w:rsidR="006A0CE1">
        <w:t>by</w:t>
      </w:r>
      <w:r w:rsidR="0035460F">
        <w:t xml:space="preserve"> wystarczające w tym zakresie. Podejście to jest zgodne z regułą przewidzianą w ramach zasady praworządności</w:t>
      </w:r>
      <w:r w:rsidR="006A0CE1">
        <w:t xml:space="preserve"> stanowiącą</w:t>
      </w:r>
      <w:r w:rsidR="0035460F">
        <w:t xml:space="preserve">, że postępowanie karne musi być prowadzone w sposób sprawny, w szczególności w sytuacji, gdy mamy do czynienia z tymczasowym aresztowaniem oskarżonego, jak to miało miejsce w przypadku </w:t>
      </w:r>
      <w:r w:rsidR="00A61AAC">
        <w:t>współoskarżonych</w:t>
      </w:r>
      <w:r w:rsidR="0035460F">
        <w:t xml:space="preserve"> </w:t>
      </w:r>
      <w:r w:rsidR="0028635E">
        <w:t>skarżącego</w:t>
      </w:r>
      <w:r w:rsidR="0035460F">
        <w:t xml:space="preserve"> w niniejszej sprawie.</w:t>
      </w:r>
    </w:p>
    <w:p w14:paraId="4E6DCE3C" w14:textId="57ED5AA2" w:rsidR="0035460F" w:rsidRDefault="00921888" w:rsidP="0035460F">
      <w:pPr>
        <w:pStyle w:val="ECHRPara"/>
      </w:pPr>
      <w:fldSimple w:instr=" SEQ level0 \*arabic ">
        <w:r w:rsidR="00454999">
          <w:rPr>
            <w:noProof/>
          </w:rPr>
          <w:t>60</w:t>
        </w:r>
      </w:fldSimple>
      <w:r w:rsidR="0035460F">
        <w:t>.  Ponadto, Rząd stwierdz</w:t>
      </w:r>
      <w:r w:rsidR="003C2109">
        <w:t>i</w:t>
      </w:r>
      <w:r w:rsidR="0035460F">
        <w:t xml:space="preserve">ł, że odniesienia do skarżącego w wyroku Sądu Okręgowego dotyczyły głównie pozycji, jaką miał skarżący w różnych przedsiębiorstwach i stowarzyszeniach zaangażowanych w organizację i utajnienie przedmiotowego przestępstwa. Rząd podkreślał, że wszelkie takie odniesienia były ograniczone </w:t>
      </w:r>
      <w:r w:rsidR="006A0CE1">
        <w:t>d</w:t>
      </w:r>
      <w:r w:rsidR="0035460F">
        <w:t>o neutralnego opisu faktów i nie nawiązywały do jego odpowiedzialności karnej. W żadnym punkcie uzasadnienie Sądu Okręgowego we Frankfurcie nad Menem nie stwarzało wrażenia, że skarżący, do</w:t>
      </w:r>
      <w:r w:rsidR="0028635E">
        <w:t xml:space="preserve"> którego w całej treści wyroku</w:t>
      </w:r>
      <w:r w:rsidR="0035460F">
        <w:t xml:space="preserve"> odnoszono się jako do „sądzonego</w:t>
      </w:r>
      <w:r w:rsidR="00C74BE2">
        <w:t xml:space="preserve"> </w:t>
      </w:r>
      <w:r w:rsidR="004653DE">
        <w:t>w postępowaniu odrębnym</w:t>
      </w:r>
      <w:r w:rsidR="0035460F">
        <w:t>”, był uznany za winnego popełnienia jakiegokolwiek przestępstwa.</w:t>
      </w:r>
    </w:p>
    <w:p w14:paraId="658DB2A7" w14:textId="77777777" w:rsidR="0035460F" w:rsidRDefault="00921888" w:rsidP="0035460F">
      <w:pPr>
        <w:pStyle w:val="ECHRPara"/>
      </w:pPr>
      <w:fldSimple w:instr=" SEQ level0 \*arabic ">
        <w:r w:rsidR="00454999">
          <w:rPr>
            <w:noProof/>
          </w:rPr>
          <w:t>61</w:t>
        </w:r>
      </w:fldSimple>
      <w:r w:rsidR="0035460F">
        <w:t xml:space="preserve">.  Było to tym bardziej ewidentne, jeżeli uwzględnimy fakt, że postępowanie przed Sądem Okręgowym nie było skierowane przeciwko skarżącemu, a zatem nie wymagało ustalenia jego odpowiedzialności karnej. Wyrok Sądu Okręgowego nie miał żadnego wiążącego skutku dla postępowania karnego toczącego się przeciwko skarżącemu lub </w:t>
      </w:r>
      <w:r w:rsidR="0035460F">
        <w:lastRenderedPageBreak/>
        <w:t xml:space="preserve">jakiegokolwiek innego postępowania, którego mógł być stroną w przyszłości, a w konsekwencji nie </w:t>
      </w:r>
      <w:r w:rsidR="006A0CE1">
        <w:t>wywoływał</w:t>
      </w:r>
      <w:r w:rsidR="0035460F">
        <w:t xml:space="preserve"> żadnego szkodliwego rezultatu w tym względzie. Ustalenie winy w odniesieniu do skarżącego było zastrzeżone dla jego własnego procesu, </w:t>
      </w:r>
      <w:r w:rsidR="003C2109">
        <w:t>w którym</w:t>
      </w:r>
      <w:r w:rsidR="0035460F">
        <w:t xml:space="preserve"> miał możliwość zakwestionowania okoliczności leżących u podstaw wydanego wcześniej wyroku Sądu Okręgowego przeciwko jego </w:t>
      </w:r>
      <w:proofErr w:type="spellStart"/>
      <w:r w:rsidR="0035460F">
        <w:t>współ</w:t>
      </w:r>
      <w:r w:rsidR="003C2109">
        <w:t>podejrzanym</w:t>
      </w:r>
      <w:proofErr w:type="spellEnd"/>
      <w:r w:rsidR="0035460F">
        <w:t xml:space="preserve">. Z tego powodu, nie było też konieczności przesłuchiwania skarżącego w postępowaniu przeciwko jego </w:t>
      </w:r>
      <w:proofErr w:type="spellStart"/>
      <w:r w:rsidR="0035460F">
        <w:t>współ</w:t>
      </w:r>
      <w:r w:rsidR="003C2109">
        <w:t>podejrzanym</w:t>
      </w:r>
      <w:proofErr w:type="spellEnd"/>
      <w:r w:rsidR="0035460F">
        <w:t>.</w:t>
      </w:r>
    </w:p>
    <w:p w14:paraId="080BAF3A" w14:textId="575BB146" w:rsidR="0035460F" w:rsidRDefault="00921888" w:rsidP="0035460F">
      <w:pPr>
        <w:pStyle w:val="ECHRPara"/>
      </w:pPr>
      <w:fldSimple w:instr=" SEQ level0 \*arabic ">
        <w:r w:rsidR="00454999">
          <w:rPr>
            <w:noProof/>
          </w:rPr>
          <w:t>62</w:t>
        </w:r>
      </w:fldSimple>
      <w:r w:rsidR="0035460F">
        <w:t>.  Na zakończenie Rząd stwierdził, że</w:t>
      </w:r>
      <w:r w:rsidR="0028635E">
        <w:t xml:space="preserve"> poprzez podkreślenie</w:t>
      </w:r>
      <w:r w:rsidR="00DA75FA">
        <w:t xml:space="preserve"> w</w:t>
      </w:r>
      <w:r w:rsidR="0035460F">
        <w:t xml:space="preserve"> uwagach </w:t>
      </w:r>
      <w:r w:rsidR="0028635E">
        <w:t xml:space="preserve">wprowadzających </w:t>
      </w:r>
      <w:r w:rsidR="0035460F">
        <w:t xml:space="preserve">do internetowej publikacji wyroku w dniu 25 listopada 2008 roku, </w:t>
      </w:r>
      <w:r w:rsidR="0028635E">
        <w:t>i</w:t>
      </w:r>
      <w:r w:rsidR="0035460F">
        <w:t xml:space="preserve">ż wszelkie odniesienia i ustalenia dotyczące </w:t>
      </w:r>
      <w:proofErr w:type="spellStart"/>
      <w:r w:rsidR="0035460F">
        <w:t>współ</w:t>
      </w:r>
      <w:r w:rsidR="003C2109">
        <w:t>podejrzanych</w:t>
      </w:r>
      <w:proofErr w:type="spellEnd"/>
      <w:r w:rsidR="0035460F">
        <w:t xml:space="preserve"> objętych postępowaniem </w:t>
      </w:r>
      <w:r w:rsidR="004653DE">
        <w:t xml:space="preserve">odrębnym </w:t>
      </w:r>
      <w:r w:rsidR="0035460F">
        <w:t>nie są wiążące i że nadal objęci są oni przywilejem domniemania niewinności, władze krajowe zapewniły, że skarżący nie mógł być przedwcześnie publicznie postrzegany jako winny.</w:t>
      </w:r>
    </w:p>
    <w:p w14:paraId="434DEF87" w14:textId="77777777" w:rsidR="0035460F" w:rsidRDefault="0035460F" w:rsidP="0035460F">
      <w:pPr>
        <w:pStyle w:val="ECHRHeading3"/>
      </w:pPr>
      <w:r w:rsidRPr="0011486F">
        <w:t xml:space="preserve">2.  Ocena </w:t>
      </w:r>
      <w:r w:rsidR="007644BF" w:rsidRPr="0011486F">
        <w:t>Trybunału</w:t>
      </w:r>
    </w:p>
    <w:p w14:paraId="1FEAF55F" w14:textId="43B61F41" w:rsidR="0035460F" w:rsidRDefault="00921888" w:rsidP="0035460F">
      <w:pPr>
        <w:pStyle w:val="ECHRPara"/>
        <w:rPr>
          <w:szCs w:val="24"/>
        </w:rPr>
      </w:pPr>
      <w:fldSimple w:instr=" SEQ level0 \*arabic ">
        <w:r w:rsidR="00454999">
          <w:rPr>
            <w:noProof/>
          </w:rPr>
          <w:t>63</w:t>
        </w:r>
      </w:fldSimple>
      <w:r w:rsidR="0035460F">
        <w:t xml:space="preserve">.  W odniesieniu do swojej interpretacji zakresu stosowania </w:t>
      </w:r>
      <w:r w:rsidR="00FD5CEC">
        <w:t>artykułu 6 § 2, opisanej powyżej</w:t>
      </w:r>
      <w:r w:rsidR="0035460F">
        <w:t xml:space="preserve"> w punktach 40-44, </w:t>
      </w:r>
      <w:r w:rsidR="004E2AF6">
        <w:t>Trybunał</w:t>
      </w:r>
      <w:r w:rsidR="0035460F">
        <w:t xml:space="preserve"> podkreśla ponownie, że zasada domniemania niewinności będzie naruszona, jeżeli postanowienie sądu lub oświadczenie urzędnika państwowego dotyczące osoby, której postawiono zarzut popełnienia przestępstwa, odzwierciedla opinię, że osoba ta jest winna, zanim została jej udowodniona wina zgodnie z prawem. Należy poczynić podstawowe rozróżnienie pomiędzy oświadczeniem, że kogoś </w:t>
      </w:r>
      <w:r w:rsidR="0011486F">
        <w:t xml:space="preserve">jedynie </w:t>
      </w:r>
      <w:r w:rsidR="0035460F">
        <w:t>podejrzewa się o popełnienie przestępstwa</w:t>
      </w:r>
      <w:r w:rsidR="0011486F">
        <w:t>,</w:t>
      </w:r>
      <w:r w:rsidR="0035460F">
        <w:t xml:space="preserve"> od wyraźnej deklaracji, w braku prawomocnego wyroku, że osoba ta popełniła dane </w:t>
      </w:r>
      <w:r w:rsidR="0035460F" w:rsidRPr="003A7AEA">
        <w:t>przestępstwo</w:t>
      </w:r>
      <w:r w:rsidR="0035460F">
        <w:t xml:space="preserve">. W tym kontekście, </w:t>
      </w:r>
      <w:r w:rsidR="004E2AF6">
        <w:t>Trybunał</w:t>
      </w:r>
      <w:r w:rsidR="0035460F">
        <w:t xml:space="preserve"> podkreśla znaczenie doboru słów przez urzędników państwowych </w:t>
      </w:r>
      <w:r w:rsidR="004E2AF6">
        <w:t>w</w:t>
      </w:r>
      <w:r w:rsidR="0035460F">
        <w:t xml:space="preserve"> ich oświadczeniach składanych przed osądzeniem i uznaniem osoby za winną popełnienia danego przestępstwa (zobacz </w:t>
      </w:r>
      <w:r w:rsidR="0035460F">
        <w:rPr>
          <w:i/>
        </w:rPr>
        <w:t xml:space="preserve"> </w:t>
      </w:r>
      <w:proofErr w:type="spellStart"/>
      <w:r w:rsidR="0035460F">
        <w:rPr>
          <w:i/>
        </w:rPr>
        <w:t>Daktaras</w:t>
      </w:r>
      <w:proofErr w:type="spellEnd"/>
      <w:r w:rsidR="0035460F">
        <w:t>, cytowany powyżej, § 41;</w:t>
      </w:r>
      <w:r w:rsidR="0035460F">
        <w:rPr>
          <w:i/>
        </w:rPr>
        <w:t xml:space="preserve"> </w:t>
      </w:r>
      <w:proofErr w:type="spellStart"/>
      <w:r w:rsidR="0035460F">
        <w:rPr>
          <w:i/>
        </w:rPr>
        <w:t>Böhmer</w:t>
      </w:r>
      <w:proofErr w:type="spellEnd"/>
      <w:r w:rsidR="0035460F">
        <w:t xml:space="preserve">, cytowany powyżej, §§ 54 i 56; </w:t>
      </w:r>
      <w:proofErr w:type="spellStart"/>
      <w:r w:rsidR="0035460F">
        <w:rPr>
          <w:i/>
        </w:rPr>
        <w:t>Nešťák</w:t>
      </w:r>
      <w:proofErr w:type="spellEnd"/>
      <w:r w:rsidR="0035460F">
        <w:rPr>
          <w:i/>
        </w:rPr>
        <w:t xml:space="preserve"> przeciwko Słowacji</w:t>
      </w:r>
      <w:r w:rsidR="0035460F">
        <w:t>, nr 65559/01, §§ 88 i 89, 27 lutego 2007</w:t>
      </w:r>
      <w:r w:rsidR="003631AF">
        <w:t xml:space="preserve"> roku</w:t>
      </w:r>
      <w:r w:rsidR="0035460F">
        <w:t xml:space="preserve">; </w:t>
      </w:r>
      <w:proofErr w:type="spellStart"/>
      <w:r w:rsidR="0035460F">
        <w:rPr>
          <w:i/>
        </w:rPr>
        <w:t>Khuzhin</w:t>
      </w:r>
      <w:proofErr w:type="spellEnd"/>
      <w:r w:rsidR="0035460F">
        <w:rPr>
          <w:i/>
        </w:rPr>
        <w:t xml:space="preserve"> i inni przeciwko Rosji</w:t>
      </w:r>
      <w:r w:rsidR="0035460F">
        <w:t>, nr 13470/02, § 94, 23 października 2008</w:t>
      </w:r>
      <w:r w:rsidR="003631AF">
        <w:t xml:space="preserve"> roku</w:t>
      </w:r>
      <w:r w:rsidR="0035460F">
        <w:t xml:space="preserve">; oraz </w:t>
      </w:r>
      <w:proofErr w:type="spellStart"/>
      <w:r w:rsidR="0035460F">
        <w:rPr>
          <w:i/>
        </w:rPr>
        <w:t>Borovský</w:t>
      </w:r>
      <w:proofErr w:type="spellEnd"/>
      <w:r w:rsidR="0035460F">
        <w:t xml:space="preserve">, cytowany powyżej, §§ 45 i nast.). </w:t>
      </w:r>
      <w:r w:rsidR="00792150">
        <w:t>Choć</w:t>
      </w:r>
      <w:r w:rsidR="0035460F">
        <w:t xml:space="preserve"> zastosowanie języka ma </w:t>
      </w:r>
      <w:r w:rsidR="004E2AF6">
        <w:t>zasadnicze</w:t>
      </w:r>
      <w:r w:rsidR="0035460F">
        <w:t xml:space="preserve"> znaczenie w tym względzie, </w:t>
      </w:r>
      <w:r w:rsidR="004E2AF6">
        <w:t xml:space="preserve">Trybunał </w:t>
      </w:r>
      <w:r w:rsidR="0035460F">
        <w:t xml:space="preserve">podkreślił ponadto, że to, czy dane oświadczenie urzędnika państwowego stanowi naruszenie zasady domniemania niewinności, winno być stwierdzone w kontekście konkretnych okoliczności, w których złożono kwestionowane oświadczenie (zobacz </w:t>
      </w:r>
      <w:proofErr w:type="spellStart"/>
      <w:r w:rsidR="0035460F">
        <w:rPr>
          <w:i/>
        </w:rPr>
        <w:t>Daktaras</w:t>
      </w:r>
      <w:proofErr w:type="spellEnd"/>
      <w:r w:rsidR="0035460F">
        <w:t xml:space="preserve">, cytowany powyżej, § 43; </w:t>
      </w:r>
      <w:r w:rsidR="0035460F">
        <w:rPr>
          <w:i/>
        </w:rPr>
        <w:t>Y.B. i inni przeciwko Turcji</w:t>
      </w:r>
      <w:r w:rsidR="0035460F">
        <w:t>, nr  48173/99 i 48319/99, § 44, 28 października 2004</w:t>
      </w:r>
      <w:r w:rsidR="003631AF">
        <w:t xml:space="preserve"> roku</w:t>
      </w:r>
      <w:r w:rsidR="0035460F">
        <w:t xml:space="preserve">; </w:t>
      </w:r>
      <w:r w:rsidR="0035460F">
        <w:rPr>
          <w:i/>
        </w:rPr>
        <w:t>A.L. przeciwko Niemcom</w:t>
      </w:r>
      <w:r w:rsidR="0035460F">
        <w:t>, nr 72758/01, § 31, 28 kwietnia 2005</w:t>
      </w:r>
      <w:r w:rsidR="003631AF" w:rsidRPr="003631AF">
        <w:t xml:space="preserve"> </w:t>
      </w:r>
      <w:r w:rsidR="003631AF">
        <w:t>roku</w:t>
      </w:r>
      <w:r w:rsidR="0035460F">
        <w:t xml:space="preserve">; oraz </w:t>
      </w:r>
      <w:r w:rsidR="0035460F">
        <w:rPr>
          <w:i/>
        </w:rPr>
        <w:t>Allen</w:t>
      </w:r>
      <w:r w:rsidR="0035460F">
        <w:t xml:space="preserve">, cytowany powyżej, §§ 125 i 126). Jednak nawet zastosowanie niefortunnego sformułowania nie może mieć decydującego charakteru, jeżeli uwzględnimy charakter i kontekst danego postępowania (zobacz </w:t>
      </w:r>
      <w:r w:rsidR="0035460F">
        <w:rPr>
          <w:i/>
        </w:rPr>
        <w:t>Allen</w:t>
      </w:r>
      <w:r w:rsidR="0035460F">
        <w:t>, cytowany powyżej,</w:t>
      </w:r>
      <w:r w:rsidR="0035460F">
        <w:rPr>
          <w:i/>
        </w:rPr>
        <w:t xml:space="preserve"> </w:t>
      </w:r>
      <w:r w:rsidR="0035460F">
        <w:t>§ 126).</w:t>
      </w:r>
    </w:p>
    <w:p w14:paraId="13D4037F" w14:textId="63F63B42" w:rsidR="0035460F" w:rsidRPr="001459DE" w:rsidRDefault="0035460F" w:rsidP="0035460F">
      <w:pPr>
        <w:pStyle w:val="ECHRPara"/>
        <w:rPr>
          <w:szCs w:val="24"/>
        </w:rPr>
      </w:pPr>
      <w:r>
        <w:rPr>
          <w:szCs w:val="24"/>
        </w:rPr>
        <w:lastRenderedPageBreak/>
        <w:fldChar w:fldCharType="begin"/>
      </w:r>
      <w:r>
        <w:rPr>
          <w:szCs w:val="24"/>
        </w:rPr>
        <w:instrText xml:space="preserve"> SEQ level0 \*arabic </w:instrText>
      </w:r>
      <w:r>
        <w:rPr>
          <w:szCs w:val="24"/>
        </w:rPr>
        <w:fldChar w:fldCharType="separate"/>
      </w:r>
      <w:r w:rsidR="00454999">
        <w:rPr>
          <w:noProof/>
          <w:szCs w:val="24"/>
        </w:rPr>
        <w:t>64</w:t>
      </w:r>
      <w:r>
        <w:rPr>
          <w:szCs w:val="24"/>
        </w:rPr>
        <w:fldChar w:fldCharType="end"/>
      </w:r>
      <w:r>
        <w:t>.  </w:t>
      </w:r>
      <w:r w:rsidR="00792150">
        <w:t xml:space="preserve">Trybunał </w:t>
      </w:r>
      <w:r>
        <w:t xml:space="preserve">akceptuje argument Rządu, że w </w:t>
      </w:r>
      <w:r w:rsidR="0003672E">
        <w:t xml:space="preserve">złożonym </w:t>
      </w:r>
      <w:r>
        <w:t>postępowaniu karnym</w:t>
      </w:r>
      <w:r w:rsidR="003A7AEA">
        <w:t xml:space="preserve">, </w:t>
      </w:r>
      <w:r>
        <w:t>obejmującym szereg osób, które nie mogą być osądz</w:t>
      </w:r>
      <w:r w:rsidR="00792150">
        <w:t>o</w:t>
      </w:r>
      <w:r>
        <w:t>ne we wspólnym procesie, odniesienia ze strony sądu orzekającego do udziału osób trzecich, które mogą następnie być osądz</w:t>
      </w:r>
      <w:r w:rsidR="00792150">
        <w:t>o</w:t>
      </w:r>
      <w:r>
        <w:t xml:space="preserve">ne </w:t>
      </w:r>
      <w:r w:rsidR="004653DE">
        <w:t>w postępowaniu odrębnym</w:t>
      </w:r>
      <w:r>
        <w:t>, mogą okazać się niezbędne dla oceny winy osób</w:t>
      </w:r>
      <w:r w:rsidR="003A7AEA">
        <w:t xml:space="preserve"> sądzonych w danym procesie</w:t>
      </w:r>
      <w:r>
        <w:t xml:space="preserve">. Sądy karne są zobowiązane ustalić okoliczności sprawy istotne dla oceny odpowiedzialności karnej oskarżonych na tyle dokładnie i precyzyjnie, na ile jest to możliwe, przy czym nie mogą przedstawiać ustalonych </w:t>
      </w:r>
      <w:r w:rsidR="00792150">
        <w:t>faktów</w:t>
      </w:r>
      <w:r>
        <w:t xml:space="preserve"> jako jedynie </w:t>
      </w:r>
      <w:r w:rsidR="00A46D37">
        <w:t>domniemywań</w:t>
      </w:r>
      <w:r>
        <w:t xml:space="preserve"> lub przypuszczeń. Ma to również zastosowanie do faktów związanych z zaangażowaniem osób trzecich. Jednakże, jeżeli okoliczności takie m</w:t>
      </w:r>
      <w:r w:rsidR="00A46D37">
        <w:t>uszą</w:t>
      </w:r>
      <w:r>
        <w:t xml:space="preserve"> być wprowadzone, sąd powinien unikać podawania większej ilości informacji niż jest to niezbędne dla oceny odpowiedzialności prawnej tych osób, które są oskarżone w toczącym się przed nim procesie.</w:t>
      </w:r>
    </w:p>
    <w:p w14:paraId="4796EBA3" w14:textId="2740F489" w:rsidR="0035460F" w:rsidRPr="001459DE" w:rsidRDefault="0035460F" w:rsidP="0035460F">
      <w:pPr>
        <w:pStyle w:val="ECHRPara"/>
        <w:rPr>
          <w:szCs w:val="24"/>
        </w:rPr>
      </w:pPr>
      <w:r w:rsidRPr="0032237C">
        <w:rPr>
          <w:szCs w:val="24"/>
        </w:rPr>
        <w:fldChar w:fldCharType="begin"/>
      </w:r>
      <w:r w:rsidRPr="0032237C">
        <w:rPr>
          <w:szCs w:val="24"/>
        </w:rPr>
        <w:instrText xml:space="preserve"> SEQ level0 \*arabic </w:instrText>
      </w:r>
      <w:r w:rsidRPr="0032237C">
        <w:rPr>
          <w:szCs w:val="24"/>
        </w:rPr>
        <w:fldChar w:fldCharType="separate"/>
      </w:r>
      <w:r w:rsidR="00454999">
        <w:rPr>
          <w:noProof/>
          <w:szCs w:val="24"/>
        </w:rPr>
        <w:t>65</w:t>
      </w:r>
      <w:r w:rsidRPr="0032237C">
        <w:rPr>
          <w:szCs w:val="24"/>
        </w:rPr>
        <w:fldChar w:fldCharType="end"/>
      </w:r>
      <w:r>
        <w:t xml:space="preserve">.  Wracając do okoliczności niniejszej sprawy, </w:t>
      </w:r>
      <w:r w:rsidR="00A46D37">
        <w:t>Trybunał</w:t>
      </w:r>
      <w:r>
        <w:t xml:space="preserve"> w pierwszej kolejności zauważa, że przepisy prawa niemieckiego wyraźnie wskazują, że nie można wyciągać żadnych wniosków na temat winy osoby z postępowania karnego, w którym osoba taka nie uczestniczy. Kwestionowane </w:t>
      </w:r>
      <w:r w:rsidR="00A46D37">
        <w:t>stwierdzenia</w:t>
      </w:r>
      <w:r>
        <w:t xml:space="preserve"> w wyroku Sądu Okręgowego we Frankfurcie nad Menem należy odczytywać w tym kontekście (zobacz, </w:t>
      </w:r>
      <w:r>
        <w:rPr>
          <w:i/>
        </w:rPr>
        <w:t>mutatis mutandis</w:t>
      </w:r>
      <w:r>
        <w:t xml:space="preserve">, </w:t>
      </w:r>
      <w:r>
        <w:rPr>
          <w:i/>
        </w:rPr>
        <w:t>Allen</w:t>
      </w:r>
      <w:r>
        <w:t xml:space="preserve">, cytowany powyżej, § 125). Niemniej jednak, </w:t>
      </w:r>
      <w:r w:rsidR="00A46D37">
        <w:t xml:space="preserve">Trybunał </w:t>
      </w:r>
      <w:r>
        <w:t xml:space="preserve">musi również przeanalizować, czy uzasadnienie sądu karnego w niniejszej sprawie zostało sformułowane w taki sposób, że może dawać podstawę do powstania wątpliwości co do potencjalnego przesądzenia o winie skarżącego, a przez to narazić na uszczerbek sprawiedliwą ocenę postawionych mu zarzutów w postępowaniu </w:t>
      </w:r>
      <w:r w:rsidR="004653DE">
        <w:t xml:space="preserve">odrębnym </w:t>
      </w:r>
      <w:r>
        <w:t>w Niemczech oraz/lub Turcji.</w:t>
      </w:r>
    </w:p>
    <w:p w14:paraId="03DAB784" w14:textId="77777777" w:rsidR="0035460F" w:rsidRDefault="0035460F" w:rsidP="0035460F">
      <w:pPr>
        <w:pStyle w:val="ECHRPara"/>
        <w:rPr>
          <w:szCs w:val="24"/>
        </w:rPr>
      </w:pPr>
      <w:r w:rsidRPr="0032237C">
        <w:rPr>
          <w:szCs w:val="24"/>
        </w:rPr>
        <w:fldChar w:fldCharType="begin"/>
      </w:r>
      <w:r w:rsidRPr="0032237C">
        <w:rPr>
          <w:szCs w:val="24"/>
        </w:rPr>
        <w:instrText xml:space="preserve"> SEQ level0 \*arabic </w:instrText>
      </w:r>
      <w:r w:rsidRPr="0032237C">
        <w:rPr>
          <w:szCs w:val="24"/>
        </w:rPr>
        <w:fldChar w:fldCharType="separate"/>
      </w:r>
      <w:r w:rsidR="00454999">
        <w:rPr>
          <w:noProof/>
          <w:szCs w:val="24"/>
        </w:rPr>
        <w:t>66</w:t>
      </w:r>
      <w:r w:rsidRPr="0032237C">
        <w:rPr>
          <w:szCs w:val="24"/>
        </w:rPr>
        <w:fldChar w:fldCharType="end"/>
      </w:r>
      <w:r>
        <w:t xml:space="preserve">.  W przedmiotowej sprawie, Sąd Okręgowy we Frankfurcie nad Menem musiał ocenić, między innymi, zakres, w jakim G., zgodnie z jego twierdzeniami, samodzielnie podjął decyzję o wykorzystaniu darowanych środków bez konsultacji z żadną osobą w Turcji, lub, zgodnie z twierdzeniami świadków i współoskarżonych, w jakim stopniu G. był zintegrowany z hierarchią grupy przestępczej posiadającej swoich liderów w Turcji. W celu znalezienia odpowiedzi na to pytanie, sąd musiał ustalić, kto czynił plany zdefraudowania darowizn oraz, na tej podstawie, kto komu udzielił jakich poleceń. </w:t>
      </w:r>
      <w:r w:rsidR="00A46D37">
        <w:t xml:space="preserve">Trybunał </w:t>
      </w:r>
      <w:r>
        <w:t>przyjmuje, że w tym kontekście sąd musiał w nieodzowny sposób wspomnieć o konkretnej odgrywanej roli, a także o zamierzonych intencjach wszystkich osób stojących za kulisami całego procederu w Turcji, w tym o skarżącym.</w:t>
      </w:r>
    </w:p>
    <w:p w14:paraId="78BEFA9F" w14:textId="01F1F5BA" w:rsidR="0035460F" w:rsidRPr="001459DE" w:rsidRDefault="0035460F" w:rsidP="0035460F">
      <w:pPr>
        <w:pStyle w:val="ECHRPara"/>
        <w:rPr>
          <w:szCs w:val="24"/>
        </w:rPr>
      </w:pPr>
      <w:r w:rsidRPr="0032237C">
        <w:rPr>
          <w:szCs w:val="24"/>
        </w:rPr>
        <w:fldChar w:fldCharType="begin"/>
      </w:r>
      <w:r w:rsidRPr="0032237C">
        <w:rPr>
          <w:szCs w:val="24"/>
        </w:rPr>
        <w:instrText xml:space="preserve"> SEQ level0 \*arabic </w:instrText>
      </w:r>
      <w:r w:rsidRPr="0032237C">
        <w:rPr>
          <w:szCs w:val="24"/>
        </w:rPr>
        <w:fldChar w:fldCharType="separate"/>
      </w:r>
      <w:r w:rsidR="00454999">
        <w:rPr>
          <w:noProof/>
          <w:szCs w:val="24"/>
        </w:rPr>
        <w:t>67</w:t>
      </w:r>
      <w:r w:rsidRPr="0032237C">
        <w:rPr>
          <w:szCs w:val="24"/>
        </w:rPr>
        <w:fldChar w:fldCharType="end"/>
      </w:r>
      <w:r>
        <w:t>.  </w:t>
      </w:r>
      <w:r w:rsidR="00A46D37">
        <w:t xml:space="preserve">Trybunał </w:t>
      </w:r>
      <w:r>
        <w:t>zbada również, czy sąd karny wystarczająco wyr</w:t>
      </w:r>
      <w:r w:rsidR="008B0799">
        <w:t>aźnie podkreślił, że nie ustala</w:t>
      </w:r>
      <w:r>
        <w:t xml:space="preserve"> winy skarżącego również w sposób do</w:t>
      </w:r>
      <w:r w:rsidR="00A269D3">
        <w:t>rozumiany.</w:t>
      </w:r>
    </w:p>
    <w:p w14:paraId="51A1A464" w14:textId="3A6C9EC3" w:rsidR="0035460F" w:rsidRDefault="0035460F" w:rsidP="0035460F">
      <w:pPr>
        <w:pStyle w:val="ECHRPara"/>
        <w:rPr>
          <w:szCs w:val="24"/>
        </w:rPr>
      </w:pPr>
      <w:r>
        <w:rPr>
          <w:szCs w:val="24"/>
        </w:rPr>
        <w:fldChar w:fldCharType="begin"/>
      </w:r>
      <w:r>
        <w:rPr>
          <w:szCs w:val="24"/>
        </w:rPr>
        <w:instrText xml:space="preserve"> SEQ level0 \*arabic </w:instrText>
      </w:r>
      <w:r>
        <w:rPr>
          <w:szCs w:val="24"/>
        </w:rPr>
        <w:fldChar w:fldCharType="separate"/>
      </w:r>
      <w:r w:rsidR="00454999">
        <w:rPr>
          <w:noProof/>
          <w:szCs w:val="24"/>
        </w:rPr>
        <w:t>68</w:t>
      </w:r>
      <w:r>
        <w:rPr>
          <w:szCs w:val="24"/>
        </w:rPr>
        <w:fldChar w:fldCharType="end"/>
      </w:r>
      <w:r>
        <w:t xml:space="preserve">.  Jeżeli chodzi o oświadczenie przewodniczącego ustnie </w:t>
      </w:r>
      <w:r w:rsidR="008B0799">
        <w:t>o</w:t>
      </w:r>
      <w:r>
        <w:t xml:space="preserve">głaszającego postanowienie sądu w dniu 17 września 2008 roku, </w:t>
      </w:r>
      <w:r w:rsidR="00A269D3">
        <w:t>Trybunał</w:t>
      </w:r>
      <w:r>
        <w:t xml:space="preserve"> podkreśla, że nie otrzymał dokładnej treści tego oświadczenia. Skarżący nawiązał jedynie do doniesienia, jakie ukazało się w artykule prasowym opublikowanym na </w:t>
      </w:r>
      <w:r>
        <w:lastRenderedPageBreak/>
        <w:t xml:space="preserve">stronie internetowej w dniu 18 września 2008 roku. Sam wyraził pogląd, że zainteresowanie mediów, jakie następnie miało miejsce w odniesieniu do wyroku, nie miało znaczenia dla ewentualnego stwierdzenia naruszenia artykułu 6 § 2 (zobacz punkt 49 powyżej). Na podstawie materiałów będących w jego posiadaniu, </w:t>
      </w:r>
      <w:r w:rsidR="00A269D3">
        <w:t>Trybunał</w:t>
      </w:r>
      <w:r>
        <w:t xml:space="preserve"> nie może zatem uznać, że sędzia przewodniczący wygłosił oświadczenie, które naruszyło zasadę domniemania niewinności skarżącego. W każdym wypadku, oświadczenia te były</w:t>
      </w:r>
      <w:r w:rsidR="00A269D3">
        <w:t xml:space="preserve"> zastąpi</w:t>
      </w:r>
      <w:r w:rsidR="00453899">
        <w:t>o</w:t>
      </w:r>
      <w:r w:rsidR="00A269D3">
        <w:t>ne</w:t>
      </w:r>
      <w:r>
        <w:t xml:space="preserve"> pisemną wersją wyroku, która została </w:t>
      </w:r>
      <w:r w:rsidR="00453899">
        <w:t>sporządzona</w:t>
      </w:r>
      <w:r>
        <w:t xml:space="preserve"> w późniejszym terminie.</w:t>
      </w:r>
    </w:p>
    <w:p w14:paraId="412C6945" w14:textId="1C562A91" w:rsidR="0035460F" w:rsidRPr="001459DE" w:rsidRDefault="0035460F" w:rsidP="0035460F">
      <w:pPr>
        <w:pStyle w:val="ECHRPara"/>
        <w:rPr>
          <w:szCs w:val="24"/>
        </w:rPr>
      </w:pPr>
      <w:r w:rsidRPr="0032237C">
        <w:rPr>
          <w:szCs w:val="24"/>
        </w:rPr>
        <w:fldChar w:fldCharType="begin"/>
      </w:r>
      <w:r w:rsidRPr="0032237C">
        <w:rPr>
          <w:szCs w:val="24"/>
        </w:rPr>
        <w:instrText xml:space="preserve"> SEQ level0 \*arabic </w:instrText>
      </w:r>
      <w:r w:rsidRPr="0032237C">
        <w:rPr>
          <w:szCs w:val="24"/>
        </w:rPr>
        <w:fldChar w:fldCharType="separate"/>
      </w:r>
      <w:r w:rsidR="00454999">
        <w:rPr>
          <w:noProof/>
          <w:szCs w:val="24"/>
        </w:rPr>
        <w:t>69</w:t>
      </w:r>
      <w:r w:rsidRPr="0032237C">
        <w:rPr>
          <w:szCs w:val="24"/>
        </w:rPr>
        <w:fldChar w:fldCharType="end"/>
      </w:r>
      <w:r>
        <w:t>.  Prawdą jest, że sąd użył pełnego imienia i nazwiska skarżącego w pisemnej wersji wyroku przesłanego oskarżonym, podczas gdy użył inicjałów w wersji wyroku opublikowanej w Internecie w dniu 25 listopada 2008</w:t>
      </w:r>
      <w:r w:rsidR="003631AF">
        <w:t xml:space="preserve"> roku</w:t>
      </w:r>
      <w:r>
        <w:t xml:space="preserve">. </w:t>
      </w:r>
      <w:r w:rsidR="00453899">
        <w:t xml:space="preserve">Trybunał </w:t>
      </w:r>
      <w:r>
        <w:t>nie uważa jednak, że zastosowanie inicjałów w oficjalnej wersji było niezbędne w celu uniknięcia jakichkolwiek błędnych wniosków. Bardziej istotna jest uwaga, że, odnosząc się do skarżącego w całym wyroku jako do „sądzonego</w:t>
      </w:r>
      <w:r w:rsidR="00C74BE2">
        <w:t xml:space="preserve"> </w:t>
      </w:r>
      <w:r w:rsidR="004653DE">
        <w:t>w postępowaniu odrębnym</w:t>
      </w:r>
      <w:r>
        <w:t>”, sąd podkreślił fakt, że nie miał za zadanie stwierdzić win</w:t>
      </w:r>
      <w:r w:rsidR="008B0799">
        <w:t>y</w:t>
      </w:r>
      <w:r>
        <w:t xml:space="preserve"> skarżącego, lecz, zgodnie z przepisami prawa krajowego </w:t>
      </w:r>
      <w:r w:rsidR="008B0799">
        <w:t xml:space="preserve">regulującego </w:t>
      </w:r>
      <w:r>
        <w:t>postępow</w:t>
      </w:r>
      <w:r w:rsidR="008B0799">
        <w:t>anie</w:t>
      </w:r>
      <w:r w:rsidR="000940FF">
        <w:t xml:space="preserve"> karne</w:t>
      </w:r>
      <w:r>
        <w:t xml:space="preserve">, zajmował się jedynie oceną odpowiedzialności karnej tych oskarżonych, którzy byli objęci zakresem postępowania w </w:t>
      </w:r>
      <w:r w:rsidR="00453899">
        <w:t xml:space="preserve">tej </w:t>
      </w:r>
      <w:r>
        <w:t>sprawie. Ocena prawna w części III wyroku odnosi się do „osób stojących za kulisami” i nie zawiera żadnych stwierdzeń, które mogą być zinterpretowane jako ustalenie winy skarżącego.</w:t>
      </w:r>
    </w:p>
    <w:p w14:paraId="5FCF46D8" w14:textId="30ABCBE0" w:rsidR="0035460F" w:rsidRPr="001459DE" w:rsidRDefault="0035460F" w:rsidP="0035460F">
      <w:pPr>
        <w:pStyle w:val="ECHRPara"/>
        <w:rPr>
          <w:szCs w:val="24"/>
        </w:rPr>
      </w:pPr>
      <w:r w:rsidRPr="0032237C">
        <w:rPr>
          <w:szCs w:val="24"/>
        </w:rPr>
        <w:fldChar w:fldCharType="begin"/>
      </w:r>
      <w:r w:rsidRPr="0032237C">
        <w:rPr>
          <w:szCs w:val="24"/>
        </w:rPr>
        <w:instrText xml:space="preserve"> SEQ level0 \*arabic </w:instrText>
      </w:r>
      <w:r w:rsidRPr="0032237C">
        <w:rPr>
          <w:szCs w:val="24"/>
        </w:rPr>
        <w:fldChar w:fldCharType="separate"/>
      </w:r>
      <w:r w:rsidR="00454999">
        <w:rPr>
          <w:noProof/>
          <w:szCs w:val="24"/>
        </w:rPr>
        <w:t>70</w:t>
      </w:r>
      <w:r w:rsidRPr="0032237C">
        <w:rPr>
          <w:szCs w:val="24"/>
        </w:rPr>
        <w:fldChar w:fldCharType="end"/>
      </w:r>
      <w:r>
        <w:t>.  Na zakończenie</w:t>
      </w:r>
      <w:r w:rsidR="00453899">
        <w:t xml:space="preserve"> Trybunał</w:t>
      </w:r>
      <w:r>
        <w:t xml:space="preserve"> zauważa, że w uwagach wprowadzających do internetowej publikacji wyroku, a także w postanowieniu Federalnego Trybunału Konstytucyjnego z dnia 3 września 2009 roku odrzucającego skargę konstytucyjną skarżącego, podkreślono, że sprzeczne z zasadą domnieman</w:t>
      </w:r>
      <w:r w:rsidR="00453899">
        <w:t>ia</w:t>
      </w:r>
      <w:r>
        <w:t xml:space="preserve"> niewinności byłoby przypisywanie jakiejkolwiek winy skarżącemu oraz że ocenę jego ewentualnego zaangażowania w popełnienie przestępstwa należy pozostawić w gestii głównego postępowania, jakie będzie prowadzone przeciwko niemu. A zatem,</w:t>
      </w:r>
      <w:r w:rsidR="003467AC">
        <w:t xml:space="preserve"> Trybunał</w:t>
      </w:r>
      <w:r>
        <w:t xml:space="preserve"> jest usatysfakcjonowany, że sądy uniknęły, w zakresie, w jakim to możliwe – w kontekście wyroku obejmującego kilku współoskarżonych, z których nie wszyscy byli obecni – sprawiania wrażenia, że przesądzał</w:t>
      </w:r>
      <w:r w:rsidR="00005A5F">
        <w:t>y</w:t>
      </w:r>
      <w:r>
        <w:t xml:space="preserve"> o winie skarżącego. Brak jest jakichkolwiek elementów w wyroku Sądu Okręgowego we Frankfurcie nad Menem, które </w:t>
      </w:r>
      <w:r w:rsidR="008B0799">
        <w:t xml:space="preserve">uniemożliwiałyby przeprowadzenie </w:t>
      </w:r>
      <w:r w:rsidR="003467AC">
        <w:t>rzetelnego</w:t>
      </w:r>
      <w:r>
        <w:t xml:space="preserve"> procesu </w:t>
      </w:r>
      <w:r w:rsidR="008B0799">
        <w:t xml:space="preserve">wobec skarżącego </w:t>
      </w:r>
      <w:r>
        <w:t>w sprawach, w które był zaangażowany.</w:t>
      </w:r>
    </w:p>
    <w:p w14:paraId="47A43060" w14:textId="49B929FD" w:rsidR="00E171C2" w:rsidRDefault="00921888" w:rsidP="00206648">
      <w:pPr>
        <w:pStyle w:val="ECHRPara"/>
      </w:pPr>
      <w:fldSimple w:instr=" SEQ level0 \*arabic ">
        <w:r w:rsidR="00454999">
          <w:rPr>
            <w:noProof/>
          </w:rPr>
          <w:t>71</w:t>
        </w:r>
      </w:fldSimple>
      <w:r w:rsidR="0035460F">
        <w:t xml:space="preserve">.  W </w:t>
      </w:r>
      <w:r w:rsidR="008B0799">
        <w:t>świetle</w:t>
      </w:r>
      <w:r w:rsidR="0035460F">
        <w:t xml:space="preserve"> powyższych rozważań, </w:t>
      </w:r>
      <w:r w:rsidR="003467AC">
        <w:t xml:space="preserve">Trybunał </w:t>
      </w:r>
      <w:r w:rsidR="0035460F">
        <w:t>doszedł do wniosku, że kwestionowane</w:t>
      </w:r>
      <w:r w:rsidR="003467AC">
        <w:t xml:space="preserve"> stwierdzenia</w:t>
      </w:r>
      <w:r w:rsidR="0035460F">
        <w:t xml:space="preserve"> w uzasadnieniu wyroku Sądu Okręgowego we Frankfurcie nad Menem z dnia 17 września 2008 roku nie naruszyły zasady domniemania niewinności. Nie nastąpiło zatem naruszenie artykułu 6 § 2.</w:t>
      </w:r>
    </w:p>
    <w:p w14:paraId="00E0AFF1" w14:textId="5F8CB20A" w:rsidR="0035460F" w:rsidRDefault="0035460F" w:rsidP="0035460F">
      <w:pPr>
        <w:pStyle w:val="ECHRTitle1"/>
      </w:pPr>
      <w:r>
        <w:lastRenderedPageBreak/>
        <w:t xml:space="preserve">Z TYCH PRZYCZYN, </w:t>
      </w:r>
      <w:r w:rsidR="003631AF">
        <w:t>TRYBUNAŁ</w:t>
      </w:r>
    </w:p>
    <w:p w14:paraId="46CA5497" w14:textId="33970F63" w:rsidR="0035460F" w:rsidRPr="004218BE" w:rsidRDefault="0035460F" w:rsidP="0035460F">
      <w:pPr>
        <w:pStyle w:val="JuList"/>
      </w:pPr>
      <w:r>
        <w:t>1.  </w:t>
      </w:r>
      <w:r w:rsidR="00E171C2" w:rsidRPr="00E171C2">
        <w:rPr>
          <w:i/>
        </w:rPr>
        <w:t>Uznaje</w:t>
      </w:r>
      <w:r>
        <w:rPr>
          <w:i/>
        </w:rPr>
        <w:t xml:space="preserve"> </w:t>
      </w:r>
      <w:r>
        <w:t>jednogłośnie, że skarga jest dopuszczalna;</w:t>
      </w:r>
    </w:p>
    <w:p w14:paraId="5B1C0CDB" w14:textId="77777777" w:rsidR="0035460F" w:rsidRPr="004218BE" w:rsidRDefault="0035460F" w:rsidP="0035460F">
      <w:pPr>
        <w:pStyle w:val="JuList"/>
      </w:pPr>
    </w:p>
    <w:p w14:paraId="5E26175B" w14:textId="46F9607E" w:rsidR="0035460F" w:rsidRDefault="0035460F" w:rsidP="0035460F">
      <w:pPr>
        <w:pStyle w:val="JuList"/>
      </w:pPr>
      <w:r>
        <w:t>2.  </w:t>
      </w:r>
      <w:r>
        <w:rPr>
          <w:i/>
        </w:rPr>
        <w:t>Orzeka</w:t>
      </w:r>
      <w:r>
        <w:t xml:space="preserve"> większości</w:t>
      </w:r>
      <w:r w:rsidR="008B0799">
        <w:t>ą</w:t>
      </w:r>
      <w:r>
        <w:t xml:space="preserve"> pięciu głosów </w:t>
      </w:r>
      <w:r w:rsidR="00E171C2">
        <w:t>do</w:t>
      </w:r>
      <w:r w:rsidR="008B0799">
        <w:t xml:space="preserve"> dwóch</w:t>
      </w:r>
      <w:r>
        <w:t xml:space="preserve">, że nie nastąpiło naruszenie artykułu 6 § 2 </w:t>
      </w:r>
      <w:r w:rsidR="003467AC">
        <w:t>K</w:t>
      </w:r>
      <w:r>
        <w:t>onwencji.</w:t>
      </w:r>
    </w:p>
    <w:p w14:paraId="765AEA2D" w14:textId="77777777" w:rsidR="00E171C2" w:rsidRPr="004218BE" w:rsidRDefault="00E171C2" w:rsidP="0035460F">
      <w:pPr>
        <w:pStyle w:val="JuList"/>
      </w:pPr>
    </w:p>
    <w:p w14:paraId="18D6C4AC" w14:textId="22899728" w:rsidR="0035460F" w:rsidRPr="004218BE" w:rsidRDefault="0035460F" w:rsidP="0035460F">
      <w:pPr>
        <w:pStyle w:val="JuParaLast"/>
      </w:pPr>
      <w:r>
        <w:t xml:space="preserve">Sporządzono w języku angielskim oraz obwieszczono na piśmie w dniu 27 lutego 2014 roku, zgodnie z </w:t>
      </w:r>
      <w:r w:rsidR="008E04B6">
        <w:t>artykułem</w:t>
      </w:r>
      <w:r>
        <w:t xml:space="preserve"> 77 §§ 2 i 3 Regulaminu </w:t>
      </w:r>
      <w:r w:rsidR="00EE1223">
        <w:t>Trybunału</w:t>
      </w:r>
      <w:r>
        <w:t>.</w:t>
      </w:r>
    </w:p>
    <w:p w14:paraId="0243CBEF" w14:textId="13789627" w:rsidR="0035460F" w:rsidRPr="002F4D5C" w:rsidRDefault="0035460F" w:rsidP="0035460F">
      <w:pPr>
        <w:pStyle w:val="JuSigned"/>
        <w:keepNext/>
        <w:keepLines/>
      </w:pPr>
      <w:r>
        <w:tab/>
        <w:t xml:space="preserve">Claudia </w:t>
      </w:r>
      <w:proofErr w:type="spellStart"/>
      <w:r>
        <w:t>Westerdiek</w:t>
      </w:r>
      <w:proofErr w:type="spellEnd"/>
      <w:r>
        <w:tab/>
        <w:t xml:space="preserve">Mark </w:t>
      </w:r>
      <w:proofErr w:type="spellStart"/>
      <w:r>
        <w:t>Villiger</w:t>
      </w:r>
      <w:proofErr w:type="spellEnd"/>
      <w:r>
        <w:br/>
      </w:r>
      <w:r>
        <w:tab/>
      </w:r>
      <w:r w:rsidR="008B0799">
        <w:t>Kanclerz</w:t>
      </w:r>
      <w:r>
        <w:tab/>
        <w:t>Pr</w:t>
      </w:r>
      <w:r w:rsidR="008B0799">
        <w:t>zewodniczący</w:t>
      </w:r>
    </w:p>
    <w:p w14:paraId="7DF3544E" w14:textId="77777777" w:rsidR="0035460F" w:rsidRDefault="0035460F" w:rsidP="0035460F">
      <w:pPr>
        <w:pStyle w:val="ECHRPara"/>
        <w:ind w:firstLine="0"/>
        <w:rPr>
          <w:b/>
        </w:rPr>
      </w:pPr>
    </w:p>
    <w:p w14:paraId="7AF63549" w14:textId="77777777" w:rsidR="00E90066" w:rsidRDefault="00E90066" w:rsidP="0035460F">
      <w:pPr>
        <w:pStyle w:val="ECHRPara"/>
        <w:ind w:firstLine="0"/>
        <w:jc w:val="right"/>
      </w:pPr>
    </w:p>
    <w:p w14:paraId="52673983" w14:textId="77777777" w:rsidR="0035460F" w:rsidRPr="00DE7706" w:rsidRDefault="0035460F" w:rsidP="0035460F">
      <w:pPr>
        <w:pStyle w:val="ECHRPara"/>
        <w:ind w:firstLine="0"/>
        <w:jc w:val="right"/>
      </w:pPr>
      <w:r>
        <w:t>M.V.</w:t>
      </w:r>
    </w:p>
    <w:p w14:paraId="5D164A81" w14:textId="77777777" w:rsidR="0035460F" w:rsidRPr="00DE7706" w:rsidRDefault="0035460F" w:rsidP="0035460F">
      <w:pPr>
        <w:pStyle w:val="ECHRPara"/>
        <w:ind w:firstLine="0"/>
        <w:jc w:val="right"/>
      </w:pPr>
      <w:r>
        <w:t>C.W.</w:t>
      </w:r>
    </w:p>
    <w:p w14:paraId="3B3510A1" w14:textId="77777777" w:rsidR="0035460F" w:rsidRDefault="0035460F" w:rsidP="0035460F">
      <w:pPr>
        <w:pStyle w:val="ECHRPara"/>
        <w:ind w:firstLine="0"/>
        <w:rPr>
          <w:b/>
        </w:rPr>
      </w:pPr>
    </w:p>
    <w:p w14:paraId="7DCBBB30" w14:textId="0061DE5A" w:rsidR="0035460F" w:rsidRDefault="0035460F" w:rsidP="0035460F">
      <w:pPr>
        <w:pStyle w:val="ECHRPara"/>
        <w:ind w:firstLine="0"/>
        <w:rPr>
          <w:b/>
        </w:rPr>
      </w:pPr>
      <w:r>
        <w:t>Zgodnie z artykułem 45 § 2</w:t>
      </w:r>
      <w:r w:rsidR="003467AC">
        <w:t xml:space="preserve"> K</w:t>
      </w:r>
      <w:r>
        <w:t xml:space="preserve">onwencji i </w:t>
      </w:r>
      <w:r w:rsidR="00A843F3">
        <w:t xml:space="preserve">artykułem </w:t>
      </w:r>
      <w:r>
        <w:t xml:space="preserve">74 § 2 Regulaminu </w:t>
      </w:r>
      <w:r w:rsidR="00A843F3">
        <w:t>Trybunału</w:t>
      </w:r>
      <w:r>
        <w:t xml:space="preserve">, </w:t>
      </w:r>
      <w:r w:rsidR="00F44B65">
        <w:t>do niniejszego wyroku została załączona opinia</w:t>
      </w:r>
      <w:r w:rsidR="000940FF" w:rsidRPr="000940FF">
        <w:t xml:space="preserve"> </w:t>
      </w:r>
      <w:r w:rsidR="000940FF">
        <w:t>odrębna</w:t>
      </w:r>
      <w:r w:rsidR="000D78BA">
        <w:t xml:space="preserve">, którą złożyli </w:t>
      </w:r>
      <w:r>
        <w:t>Sędzi</w:t>
      </w:r>
      <w:r w:rsidR="000D78BA">
        <w:t xml:space="preserve">owie </w:t>
      </w:r>
      <w:proofErr w:type="spellStart"/>
      <w:r>
        <w:t>Villiger</w:t>
      </w:r>
      <w:proofErr w:type="spellEnd"/>
      <w:r>
        <w:t xml:space="preserve"> i </w:t>
      </w:r>
      <w:proofErr w:type="spellStart"/>
      <w:r>
        <w:t>Yudkivska</w:t>
      </w:r>
      <w:proofErr w:type="spellEnd"/>
      <w:r>
        <w:t>.</w:t>
      </w:r>
    </w:p>
    <w:p w14:paraId="0BD92451" w14:textId="77777777" w:rsidR="0035460F" w:rsidRPr="00213FC0" w:rsidRDefault="0035460F" w:rsidP="0035460F">
      <w:pPr>
        <w:pStyle w:val="ECHRPara"/>
        <w:ind w:firstLine="0"/>
        <w:rPr>
          <w:b/>
        </w:rPr>
        <w:sectPr w:rsidR="0035460F" w:rsidRPr="00213FC0" w:rsidSect="009B27E0">
          <w:headerReference w:type="even" r:id="rId14"/>
          <w:headerReference w:type="default" r:id="rId15"/>
          <w:footnotePr>
            <w:numRestart w:val="eachPage"/>
          </w:footnotePr>
          <w:pgSz w:w="11906" w:h="16838" w:code="9"/>
          <w:pgMar w:top="2274" w:right="2274" w:bottom="2274" w:left="2274" w:header="1701" w:footer="720" w:gutter="0"/>
          <w:pgNumType w:start="2"/>
          <w:cols w:space="720"/>
          <w:docGrid w:linePitch="326"/>
        </w:sectPr>
      </w:pPr>
    </w:p>
    <w:p w14:paraId="2452DEEA" w14:textId="45F48D30" w:rsidR="0035460F" w:rsidRPr="00E752E6" w:rsidRDefault="004E1983" w:rsidP="0035460F">
      <w:pPr>
        <w:pStyle w:val="ECHRTitleCentre1"/>
      </w:pPr>
      <w:r>
        <w:lastRenderedPageBreak/>
        <w:t>ROZBIEŻNA OPINIA ODRĘBNA</w:t>
      </w:r>
      <w:r w:rsidR="000940FF">
        <w:t>, KTÓRĄ</w:t>
      </w:r>
      <w:r>
        <w:t xml:space="preserve"> ZŁOŻ</w:t>
      </w:r>
      <w:r w:rsidR="000940FF">
        <w:t>YLI</w:t>
      </w:r>
      <w:r>
        <w:t xml:space="preserve"> WSPÓLNIE SĘDZIOWIE</w:t>
      </w:r>
      <w:r w:rsidR="0035460F">
        <w:t xml:space="preserve"> VILLIGER I YUDKIVSKA</w:t>
      </w:r>
    </w:p>
    <w:p w14:paraId="1A3E8649" w14:textId="51D93BA9" w:rsidR="0035460F" w:rsidRPr="00FE36E5" w:rsidRDefault="0035460F" w:rsidP="0035460F">
      <w:pPr>
        <w:pStyle w:val="OpiPara"/>
      </w:pPr>
      <w:r>
        <w:t xml:space="preserve">Przykro nam, ale nie możemy się przychylić do rozstrzygnięcia większości. </w:t>
      </w:r>
      <w:r w:rsidR="00D94669">
        <w:t>Uw</w:t>
      </w:r>
      <w:r>
        <w:t>ażamy, że kwestionowane</w:t>
      </w:r>
      <w:r w:rsidR="003467AC">
        <w:t xml:space="preserve"> stwierdzenia</w:t>
      </w:r>
      <w:r>
        <w:t xml:space="preserve"> zawarte w uzasadnieniu wyroku Sądu Okręgowego we Frankfurcie nad Menem z dnia 17 września 2008 roku stanowiły naruszenie prawa skarżącego do domniemania niewinności.</w:t>
      </w:r>
    </w:p>
    <w:p w14:paraId="6BB258BD" w14:textId="4B2B0231" w:rsidR="0035460F" w:rsidRPr="004B43DE" w:rsidRDefault="0035768C" w:rsidP="0035460F">
      <w:pPr>
        <w:pStyle w:val="OpiPara"/>
      </w:pPr>
      <w:r>
        <w:t>P</w:t>
      </w:r>
      <w:r w:rsidR="0035460F">
        <w:t>odobnie jak większość</w:t>
      </w:r>
      <w:r>
        <w:t xml:space="preserve"> przyznajemy</w:t>
      </w:r>
      <w:r w:rsidR="0035460F">
        <w:t xml:space="preserve">, że w </w:t>
      </w:r>
      <w:r w:rsidR="004E1983">
        <w:t xml:space="preserve">postępowaniu karnym, mającym złożony charakter, </w:t>
      </w:r>
      <w:r w:rsidR="0035460F">
        <w:t xml:space="preserve">obejmującym szereg podejrzanych, którzy nie mogą być </w:t>
      </w:r>
      <w:r w:rsidR="003467AC">
        <w:t>o</w:t>
      </w:r>
      <w:r w:rsidR="0035460F">
        <w:t xml:space="preserve">sądzeni w jednym procesie, odniesienia do uczestnictwa </w:t>
      </w:r>
      <w:proofErr w:type="spellStart"/>
      <w:r w:rsidR="004653DE">
        <w:t>współpodejrzanych</w:t>
      </w:r>
      <w:proofErr w:type="spellEnd"/>
      <w:r w:rsidR="004653DE">
        <w:t xml:space="preserve">, </w:t>
      </w:r>
      <w:r w:rsidR="0035460F">
        <w:t xml:space="preserve">sądzonych </w:t>
      </w:r>
      <w:r w:rsidR="004653DE">
        <w:t xml:space="preserve">w postępowaniu odrębnym, </w:t>
      </w:r>
      <w:r w:rsidR="0035460F">
        <w:t>przez sąd orzekający mogą być niezbędne dla osądzenia winy oskarżonych. Skarżący sam przyznał, że takie odniesienia były konieczne w celu określenia okoliczności sprawy ob</w:t>
      </w:r>
      <w:r w:rsidR="003467AC">
        <w:t>ejmującej swoim zakresem szereg</w:t>
      </w:r>
      <w:r w:rsidR="0035460F">
        <w:t xml:space="preserve"> oskarżonych oraz w celu ustalenia ich indywidualnego </w:t>
      </w:r>
      <w:r w:rsidR="003467AC">
        <w:t xml:space="preserve">zaangażowania w </w:t>
      </w:r>
      <w:r w:rsidR="0035460F">
        <w:t>popełnieni</w:t>
      </w:r>
      <w:r w:rsidR="003467AC">
        <w:t>e</w:t>
      </w:r>
      <w:r w:rsidR="0035460F">
        <w:t xml:space="preserve"> przestępstwa.</w:t>
      </w:r>
    </w:p>
    <w:p w14:paraId="340329AC" w14:textId="77777777" w:rsidR="0035460F" w:rsidRPr="004B43DE" w:rsidRDefault="0035460F" w:rsidP="0035460F">
      <w:pPr>
        <w:pStyle w:val="OpiPara"/>
      </w:pPr>
      <w:r>
        <w:t>P</w:t>
      </w:r>
      <w:r w:rsidR="008C51EE">
        <w:t>onadto przyjmujemy</w:t>
      </w:r>
      <w:r>
        <w:t xml:space="preserve">, że w przedmiotowym postępowaniu </w:t>
      </w:r>
      <w:r w:rsidR="003467AC">
        <w:t xml:space="preserve">zadaniem </w:t>
      </w:r>
      <w:r>
        <w:t>Sąd</w:t>
      </w:r>
      <w:r w:rsidR="003467AC">
        <w:t>u</w:t>
      </w:r>
      <w:r>
        <w:t xml:space="preserve"> Okręgow</w:t>
      </w:r>
      <w:r w:rsidR="003467AC">
        <w:t>ego</w:t>
      </w:r>
      <w:r>
        <w:t xml:space="preserve"> we Frankfurcie nad Menem nie </w:t>
      </w:r>
      <w:r w:rsidR="003467AC">
        <w:t xml:space="preserve">było stwierdzenie </w:t>
      </w:r>
      <w:r>
        <w:t>winy skarżącego, a jego jurysdykcja, zgodnie z postanowieniami prawa krajowego dotycząc</w:t>
      </w:r>
      <w:r w:rsidR="000120FB">
        <w:t>ymi</w:t>
      </w:r>
      <w:r>
        <w:t xml:space="preserve"> postępowania karnego, została ograniczona do oceny odpowiedzialności karnej oskarżonych w ramach danego prowadzonego przez niego procesu.</w:t>
      </w:r>
    </w:p>
    <w:p w14:paraId="78626B3F" w14:textId="4C0001AB" w:rsidR="0035460F" w:rsidRPr="004B43DE" w:rsidRDefault="0035460F" w:rsidP="0035460F">
      <w:pPr>
        <w:pStyle w:val="OpiPara"/>
      </w:pPr>
      <w:r>
        <w:t>Jednakże, naszym zdaniem</w:t>
      </w:r>
      <w:r w:rsidR="004E1983">
        <w:t>,</w:t>
      </w:r>
      <w:r>
        <w:t xml:space="preserve"> względy </w:t>
      </w:r>
      <w:r w:rsidR="004E1983">
        <w:t xml:space="preserve">te </w:t>
      </w:r>
      <w:r>
        <w:t xml:space="preserve">nie są wystarczające, by dojść do wniosku, że kwestionowane odniesienia do </w:t>
      </w:r>
      <w:r w:rsidR="000120FB">
        <w:t xml:space="preserve">zaangażowania </w:t>
      </w:r>
      <w:r>
        <w:t>skarżąc</w:t>
      </w:r>
      <w:r w:rsidR="000120FB">
        <w:t>ego w popełnienie przestępstw objętych dochodzeniem</w:t>
      </w:r>
      <w:r>
        <w:t xml:space="preserve">, nie stanowiły naruszenia zasady domniemania niewinności, jednej z podstawowych zasad zagwarantowanych w </w:t>
      </w:r>
      <w:r w:rsidR="004E1983">
        <w:t>Konwencji</w:t>
      </w:r>
      <w:r>
        <w:t>.</w:t>
      </w:r>
    </w:p>
    <w:p w14:paraId="72B93FD4" w14:textId="374CDE3B" w:rsidR="0035460F" w:rsidRPr="006B03A2" w:rsidRDefault="0035460F" w:rsidP="0035460F">
      <w:pPr>
        <w:pStyle w:val="OpiPara"/>
      </w:pPr>
      <w:r>
        <w:t xml:space="preserve">W tym kontekście, pragniemy odnieść się do orzecznictwa </w:t>
      </w:r>
      <w:r w:rsidR="000120FB">
        <w:t>Trybunału</w:t>
      </w:r>
      <w:r>
        <w:t xml:space="preserve">, zgodnie z którym, podczas stwierdzania, czy postanowienie sądowe lub oświadczenie złożone przez urzędnika państwowego sprowadza się do przesądzenia o winie osoby, należy poczynić zasadnicze rozróżnienie pomiędzy oświadczeniem, że w stosunku do kogoś istnieje </w:t>
      </w:r>
      <w:r w:rsidR="004E1983">
        <w:t xml:space="preserve">jedynie </w:t>
      </w:r>
      <w:r>
        <w:t xml:space="preserve">podejrzenie o popełnienie przestępstwa, a wyraźną deklaracją, w braku prawomocnego wyroku, że dana osoba popełniła dane przestępstwo. Podczas gdy dobór słów przez urzędników państwowych ma </w:t>
      </w:r>
      <w:r w:rsidR="000120FB">
        <w:t>zasadnicze</w:t>
      </w:r>
      <w:r>
        <w:t xml:space="preserve"> znaczenie w tym względnie (patrz, między innymi, </w:t>
      </w:r>
      <w:proofErr w:type="spellStart"/>
      <w:r>
        <w:rPr>
          <w:i/>
        </w:rPr>
        <w:t>Daktaras</w:t>
      </w:r>
      <w:proofErr w:type="spellEnd"/>
      <w:r>
        <w:rPr>
          <w:i/>
        </w:rPr>
        <w:t xml:space="preserve"> przeciwko Litwie</w:t>
      </w:r>
      <w:r>
        <w:t>, nr 42095/98, § 41, ECHR 2000</w:t>
      </w:r>
      <w:r>
        <w:noBreakHyphen/>
        <w:t xml:space="preserve">X), </w:t>
      </w:r>
      <w:r w:rsidR="000120FB">
        <w:t>Trybunał</w:t>
      </w:r>
      <w:r>
        <w:t xml:space="preserve"> podkreślił w swoim niedawnym wyroku w sprawie </w:t>
      </w:r>
      <w:r>
        <w:rPr>
          <w:i/>
        </w:rPr>
        <w:t xml:space="preserve">Allen przeciwko Zjednoczonemu Królestwu </w:t>
      </w:r>
      <w:r>
        <w:t>(</w:t>
      </w:r>
      <w:r w:rsidR="00C60F96">
        <w:t>[Wielka Izba]</w:t>
      </w:r>
      <w:r>
        <w:t>, nr 25424/09, ECHR 2013), że nawet zastosowanie pewnych niefortunnych sformułowań nie może mieć charakteru decydującego, jeżeli uwzględnimy charakter i kontekst danego postępowania (ibid.,</w:t>
      </w:r>
      <w:r>
        <w:rPr>
          <w:i/>
        </w:rPr>
        <w:t xml:space="preserve"> </w:t>
      </w:r>
      <w:r>
        <w:t>§ 126).</w:t>
      </w:r>
    </w:p>
    <w:p w14:paraId="47D2903E" w14:textId="1AF6407F" w:rsidR="0035460F" w:rsidRPr="004B43DE" w:rsidRDefault="0035460F" w:rsidP="0035460F">
      <w:pPr>
        <w:pStyle w:val="OpiPara"/>
      </w:pPr>
      <w:r>
        <w:t>Domniemanie niewinności zakłada, że moralna i prawna kwalifikacja czynów oskarżonego może być dokonana wyłącznie przez sąd i jedynie w ramach</w:t>
      </w:r>
      <w:r w:rsidR="0015399B">
        <w:t xml:space="preserve"> kontradyktoryjnego </w:t>
      </w:r>
      <w:r>
        <w:t>postępowania sądowego</w:t>
      </w:r>
      <w:r w:rsidR="0015399B">
        <w:t>.</w:t>
      </w:r>
      <w:r>
        <w:t xml:space="preserve"> W niniejszej sprawie, jednakże, sąd wydał ocenę i prawną kwalifikację czynów skarżącego</w:t>
      </w:r>
      <w:r w:rsidR="004653DE">
        <w:t xml:space="preserve"> w </w:t>
      </w:r>
      <w:r>
        <w:lastRenderedPageBreak/>
        <w:t xml:space="preserve">postępowaniu </w:t>
      </w:r>
      <w:r w:rsidR="004653DE">
        <w:t>odrębnym prowadzonym przeciwko jego współoskarżonym</w:t>
      </w:r>
      <w:r>
        <w:t>. W przeciwieństwie do większości, uważamy, że odniesienia do uczestnictwa skarżącego w grupie przestępczej oraz sformułowania użyte przez Sąd Okręgowy w tym względzie, nawet przy uwzględnieniu kontekstu konkretnego postępowania, sprowadzają się do przesądzenia o winie skarżącego.</w:t>
      </w:r>
    </w:p>
    <w:p w14:paraId="73F46779" w14:textId="521A4EC3" w:rsidR="0035460F" w:rsidRPr="004B43DE" w:rsidRDefault="004E1983" w:rsidP="0035460F">
      <w:pPr>
        <w:pStyle w:val="OpiPara"/>
      </w:pPr>
      <w:r>
        <w:t>W wyroku Sądu Okręgowego n</w:t>
      </w:r>
      <w:r w:rsidR="0035460F">
        <w:t xml:space="preserve">ie tylko podaje się </w:t>
      </w:r>
      <w:r w:rsidR="00E617ED">
        <w:t xml:space="preserve">przy wielu okazjach </w:t>
      </w:r>
      <w:r w:rsidR="0035460F">
        <w:t xml:space="preserve">pełne imię i nazwisko </w:t>
      </w:r>
      <w:r>
        <w:t>skarżącego</w:t>
      </w:r>
      <w:r w:rsidR="0035460F">
        <w:t>, ale z tych odniesień</w:t>
      </w:r>
      <w:r>
        <w:t>,</w:t>
      </w:r>
      <w:r w:rsidR="0035460F">
        <w:t xml:space="preserve"> czytanych </w:t>
      </w:r>
      <w:r>
        <w:t>łącznie</w:t>
      </w:r>
      <w:r w:rsidR="0035460F">
        <w:t xml:space="preserve"> z fragmentami opisującymi wkład innych sprawców za granicą, </w:t>
      </w:r>
      <w:r>
        <w:t xml:space="preserve">jasno wynika również, </w:t>
      </w:r>
      <w:r w:rsidR="0035460F">
        <w:t xml:space="preserve">że „osoby za kulisami” w Turcji </w:t>
      </w:r>
      <w:r w:rsidR="00E617ED">
        <w:t>po</w:t>
      </w:r>
      <w:r w:rsidR="0035460F">
        <w:t>ciąg</w:t>
      </w:r>
      <w:r w:rsidR="00E617ED">
        <w:t>a</w:t>
      </w:r>
      <w:r w:rsidR="0035460F">
        <w:t xml:space="preserve">ły za sznurki przedsięwzięcia karnego, </w:t>
      </w:r>
      <w:r>
        <w:t>a skarżący</w:t>
      </w:r>
      <w:r w:rsidR="0035460F">
        <w:t xml:space="preserve"> odgrywał „wiodącą rolę” w tym względzie.</w:t>
      </w:r>
    </w:p>
    <w:p w14:paraId="02327BB5" w14:textId="60CB5AF9" w:rsidR="0035460F" w:rsidRPr="004B43DE" w:rsidRDefault="0035460F" w:rsidP="0035460F">
      <w:pPr>
        <w:pStyle w:val="OpiPara"/>
      </w:pPr>
      <w:r>
        <w:t xml:space="preserve">Tak więc, Sąd Okręgowy ustalił </w:t>
      </w:r>
      <w:proofErr w:type="spellStart"/>
      <w:r>
        <w:rPr>
          <w:i/>
        </w:rPr>
        <w:t>actus</w:t>
      </w:r>
      <w:proofErr w:type="spellEnd"/>
      <w:r>
        <w:rPr>
          <w:i/>
        </w:rPr>
        <w:t xml:space="preserve"> </w:t>
      </w:r>
      <w:proofErr w:type="spellStart"/>
      <w:r>
        <w:rPr>
          <w:i/>
        </w:rPr>
        <w:t>reus</w:t>
      </w:r>
      <w:proofErr w:type="spellEnd"/>
      <w:r>
        <w:rPr>
          <w:b/>
          <w:i/>
        </w:rPr>
        <w:t xml:space="preserve"> </w:t>
      </w:r>
      <w:r>
        <w:t xml:space="preserve">czynów skarżącego w trakcie postępowania </w:t>
      </w:r>
      <w:r w:rsidR="00206648">
        <w:t xml:space="preserve">odrębnego prowadzonego </w:t>
      </w:r>
      <w:r>
        <w:t xml:space="preserve">przeciwko współoskarżonym, podczas gdy jedynym zadaniem sądu w takim postępowaniu było ustalenie, czy współoskarżeni popełnili przestępstwo. Prawdą jest, że kwestie te są w pewnym stopniu połączone i wzajemnie zależne, a wzajemne odniesienia są nieuniknione, tak jak napisano powyżej. Jednakże, w celu ustalenia </w:t>
      </w:r>
      <w:r w:rsidR="003B35DA">
        <w:t>udowodnionego zasięgu działań współoskarżonych</w:t>
      </w:r>
      <w:r>
        <w:t xml:space="preserve">, sąd nie był zobowiązany do precyzyjnego określenia roli skarżącego; odniesienie do </w:t>
      </w:r>
      <w:r w:rsidR="003B35DA" w:rsidRPr="003B35DA">
        <w:rPr>
          <w:i/>
        </w:rPr>
        <w:t>domniemanej</w:t>
      </w:r>
      <w:r>
        <w:rPr>
          <w:i/>
        </w:rPr>
        <w:t xml:space="preserve"> </w:t>
      </w:r>
      <w:r>
        <w:t xml:space="preserve">roli osoby </w:t>
      </w:r>
      <w:r w:rsidR="00206648">
        <w:t xml:space="preserve">sądzonej w postępowaniu odrębnym </w:t>
      </w:r>
      <w:r>
        <w:t>byłoby wystarczające.</w:t>
      </w:r>
    </w:p>
    <w:p w14:paraId="65C06DD9" w14:textId="77777777" w:rsidR="0035460F" w:rsidRPr="004B43DE" w:rsidRDefault="0035460F" w:rsidP="0035460F">
      <w:pPr>
        <w:pStyle w:val="OpiPara"/>
      </w:pPr>
      <w:r>
        <w:t>W tym kontekście pragniemy podkreślić, że Sąd Okręgowy oświadczył w wyroku, że okoliczności sprawy (</w:t>
      </w:r>
      <w:proofErr w:type="spellStart"/>
      <w:r>
        <w:rPr>
          <w:i/>
        </w:rPr>
        <w:t>Sachverhalt</w:t>
      </w:r>
      <w:proofErr w:type="spellEnd"/>
      <w:r>
        <w:t>), w tym rola skarżącego, „zostały stwierdzone” (</w:t>
      </w:r>
      <w:proofErr w:type="spellStart"/>
      <w:r>
        <w:rPr>
          <w:i/>
        </w:rPr>
        <w:t>steht</w:t>
      </w:r>
      <w:proofErr w:type="spellEnd"/>
      <w:r>
        <w:rPr>
          <w:i/>
        </w:rPr>
        <w:t xml:space="preserve"> fest</w:t>
      </w:r>
      <w:r>
        <w:t>) na podstawie dostępnych środków dowodowych (zobacz str. 22 wyroku Sądu Okręgowego). Nie można by oczekiwać jaśniejszego stwierdzenia!</w:t>
      </w:r>
    </w:p>
    <w:p w14:paraId="22430649" w14:textId="746DDAB8" w:rsidR="0035460F" w:rsidRPr="004B43DE" w:rsidRDefault="0035460F" w:rsidP="0035460F">
      <w:pPr>
        <w:pStyle w:val="OpiPara"/>
      </w:pPr>
      <w:r>
        <w:t>W świetle tych rozważań uznajemy, że właściwe fragmenty uzasadnienia wyroku nie były ograniczone jedynie do opisu „podejrzeń” w stosunku do skarżącego, a w konsekwencji wykroczyły poza to, co było niezbędne dla ustalenia winy oskarżonych. Przeciwnie, sugerowały one, że Sąd Okręgowy uznał za wykazane, iż skarżący był jednym z głównych sprawców zaangażowanych we wspólne przedsięwzięcie przestępcze, w ten sposób przesądzając o wyniku przyszłego postępowania karnego przeciwko niemu. Oświadczenia te</w:t>
      </w:r>
      <w:r w:rsidR="00BC4B8B">
        <w:t>,</w:t>
      </w:r>
      <w:r>
        <w:t xml:space="preserve"> uwzględnione całościowo</w:t>
      </w:r>
      <w:r w:rsidR="00BC4B8B">
        <w:t>,</w:t>
      </w:r>
      <w:r>
        <w:t xml:space="preserve"> nie mogły nie zachęcać ogółu społeczeństwa do postrzegania skarżącego jako szefa grupy przestępczej zawiązanej do celów </w:t>
      </w:r>
      <w:r w:rsidR="0026440C">
        <w:t xml:space="preserve">oszustwa </w:t>
      </w:r>
      <w:r>
        <w:t>– a wszystko to pomimo faktu, że skarżący nie był stroną postępowania karnego.</w:t>
      </w:r>
    </w:p>
    <w:p w14:paraId="0054F0F2" w14:textId="356CC3FF" w:rsidR="00E171C2" w:rsidRDefault="0035460F" w:rsidP="0035460F">
      <w:pPr>
        <w:pStyle w:val="OpiPara"/>
      </w:pPr>
      <w:r>
        <w:t xml:space="preserve">Naszym zdaniem, kwalifikacja statusu skarżącego w uzasadnieniu wyroku jako „sądzonego </w:t>
      </w:r>
      <w:r w:rsidR="00206648">
        <w:t>w postępowaniu odrębnym</w:t>
      </w:r>
      <w:r>
        <w:t xml:space="preserve">” nie stanowi wystarczającego zastrzeżenia w tym względzie, podobnie uwagi wstępne do internetowej publikacji wyroku nie </w:t>
      </w:r>
      <w:r w:rsidR="00BC4B8B">
        <w:t>były</w:t>
      </w:r>
      <w:r>
        <w:t xml:space="preserve"> w stanie naprawić krzywdzącego efektu uzasadnienia wyroku.</w:t>
      </w:r>
    </w:p>
    <w:p w14:paraId="55AC1FE5" w14:textId="28A7F0EB" w:rsidR="0035460F" w:rsidRPr="004B43DE" w:rsidRDefault="0035460F" w:rsidP="0035460F">
      <w:pPr>
        <w:pStyle w:val="OpiPara"/>
      </w:pPr>
      <w:r>
        <w:t xml:space="preserve">Dlatego też podsumowujemy, że właściwe fragmenty wyroku Sądu Okręgowego we Frankfurcie nad Menem wzięte razem i postrzegane jako całość są przeciwne prawu skarżącego do domniemania niewinności oraz że nastąpiło naruszenie artykułu 6 § 2 </w:t>
      </w:r>
      <w:r w:rsidR="00BC4B8B">
        <w:t>K</w:t>
      </w:r>
      <w:r>
        <w:t>onwencji.</w:t>
      </w:r>
    </w:p>
    <w:sectPr w:rsidR="0035460F" w:rsidRPr="004B43DE" w:rsidSect="00E171C2">
      <w:headerReference w:type="even" r:id="rId16"/>
      <w:headerReference w:type="default" r:id="rId17"/>
      <w:footnotePr>
        <w:numRestart w:val="eachPage"/>
      </w:footnotePr>
      <w:pgSz w:w="11906" w:h="16838"/>
      <w:pgMar w:top="2274" w:right="2274" w:bottom="1701"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C94ED" w14:textId="77777777" w:rsidR="00177DEA" w:rsidRDefault="00177DEA">
      <w:r>
        <w:separator/>
      </w:r>
    </w:p>
  </w:endnote>
  <w:endnote w:type="continuationSeparator" w:id="0">
    <w:p w14:paraId="01AF061F" w14:textId="77777777" w:rsidR="00177DEA" w:rsidRDefault="00177DEA">
      <w:r>
        <w:continuationSeparator/>
      </w:r>
    </w:p>
  </w:endnote>
  <w:endnote w:type="continuationNotice" w:id="1">
    <w:p w14:paraId="088AC4E3" w14:textId="77777777" w:rsidR="00177DEA" w:rsidRDefault="00177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1913" w14:textId="77777777" w:rsidR="009F1E12" w:rsidRDefault="009F1E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BE38" w14:textId="77777777" w:rsidR="009F1E12" w:rsidRDefault="009F1E1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CC35" w14:textId="77777777" w:rsidR="00E968E2" w:rsidRPr="00150BFA" w:rsidRDefault="00E968E2" w:rsidP="00E7567C">
    <w:pPr>
      <w:jc w:val="center"/>
    </w:pPr>
    <w:r>
      <w:rPr>
        <w:noProof/>
        <w:lang w:bidi="ar-SA"/>
      </w:rPr>
      <w:drawing>
        <wp:inline distT="0" distB="0" distL="0" distR="0" wp14:anchorId="1B5FE6F2" wp14:editId="492B95A6">
          <wp:extent cx="762002" cy="60960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14:paraId="3F46F749" w14:textId="77777777" w:rsidR="00E968E2" w:rsidRDefault="00E968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9BCC1" w14:textId="77777777" w:rsidR="00177DEA" w:rsidRDefault="00177DEA">
      <w:r>
        <w:separator/>
      </w:r>
    </w:p>
  </w:footnote>
  <w:footnote w:type="continuationSeparator" w:id="0">
    <w:p w14:paraId="3E087A9F" w14:textId="77777777" w:rsidR="00177DEA" w:rsidRDefault="00177DEA">
      <w:r>
        <w:continuationSeparator/>
      </w:r>
    </w:p>
  </w:footnote>
  <w:footnote w:type="continuationNotice" w:id="1">
    <w:p w14:paraId="64B955CE" w14:textId="77777777" w:rsidR="00177DEA" w:rsidRDefault="00177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085EF" w14:textId="77777777" w:rsidR="00E968E2" w:rsidRDefault="00E968E2" w:rsidP="009B27E0">
    <w:pPr>
      <w:pStyle w:val="ECHRHeader"/>
      <w:rPr>
        <w:rStyle w:val="Numerstrony"/>
        <w:szCs w:val="18"/>
      </w:rPr>
    </w:pPr>
    <w:r>
      <w:tab/>
      <w:t xml:space="preserve"> </w:t>
    </w:r>
    <w:r>
      <w:rPr>
        <w:noProof/>
        <w:lang w:bidi="ar-SA"/>
      </w:rPr>
      <w:drawing>
        <wp:inline distT="0" distB="0" distL="0" distR="0" wp14:anchorId="67D38985" wp14:editId="394F9F97">
          <wp:extent cx="2962275" cy="1219200"/>
          <wp:effectExtent l="0" t="0" r="9525" b="0"/>
          <wp:docPr id="1" name="Picture 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772EFFB5" w14:textId="77777777" w:rsidR="00E968E2" w:rsidRDefault="00E968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FD72" w14:textId="77777777" w:rsidR="00E968E2" w:rsidRDefault="00E968E2" w:rsidP="00044ABA">
    <w:pPr>
      <w:pStyle w:val="ECHRHeader"/>
      <w:rPr>
        <w:rStyle w:val="Numerstrony"/>
        <w:szCs w:val="18"/>
      </w:rPr>
    </w:pPr>
    <w:r>
      <w:tab/>
      <w:t>WYROK W SPRAWIE KARAMAN PRZECIWKO NIEMCOM</w:t>
    </w:r>
    <w:r>
      <w:tab/>
    </w:r>
    <w:r>
      <w:rPr>
        <w:rStyle w:val="Numerstrony"/>
        <w:szCs w:val="18"/>
      </w:rPr>
      <w:fldChar w:fldCharType="begin"/>
    </w:r>
    <w:r>
      <w:rPr>
        <w:rStyle w:val="Numerstrony"/>
        <w:szCs w:val="18"/>
      </w:rPr>
      <w:instrText xml:space="preserve"> PAGE </w:instrText>
    </w:r>
    <w:r>
      <w:rPr>
        <w:rStyle w:val="Numerstrony"/>
        <w:szCs w:val="18"/>
      </w:rPr>
      <w:fldChar w:fldCharType="separate"/>
    </w:r>
    <w:r w:rsidR="00596265">
      <w:rPr>
        <w:rStyle w:val="Numerstrony"/>
        <w:noProof/>
        <w:szCs w:val="18"/>
      </w:rPr>
      <w:t>3</w:t>
    </w:r>
    <w:r>
      <w:rPr>
        <w:rStyle w:val="Numerstrony"/>
        <w:szCs w:val="18"/>
      </w:rPr>
      <w:fldChar w:fldCharType="end"/>
    </w:r>
  </w:p>
  <w:p w14:paraId="75EBE0DE" w14:textId="77777777" w:rsidR="00E968E2" w:rsidRDefault="00E968E2" w:rsidP="00044ABA">
    <w:pPr>
      <w:pStyle w:val="ECHRHeader"/>
      <w:rPr>
        <w:rStyle w:val="Numerstrony"/>
        <w:szCs w:val="18"/>
      </w:rPr>
    </w:pPr>
  </w:p>
  <w:p w14:paraId="751E988F" w14:textId="77777777" w:rsidR="00E968E2" w:rsidRDefault="00E968E2" w:rsidP="00044ABA">
    <w:pPr>
      <w:pStyle w:val="ECHRHeader"/>
      <w:rPr>
        <w:rStyle w:val="Numerstrony"/>
        <w:szCs w:val="18"/>
      </w:rPr>
    </w:pPr>
  </w:p>
  <w:p w14:paraId="31CFA627" w14:textId="77777777" w:rsidR="00E968E2" w:rsidRPr="0001136E" w:rsidRDefault="00E968E2" w:rsidP="00044ABA">
    <w:pPr>
      <w:pStyle w:val="ECH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03DC" w14:textId="73A4D9B3" w:rsidR="00E617ED" w:rsidRDefault="00E617ED" w:rsidP="00E617ED">
    <w:pPr>
      <w:pStyle w:val="Nagwek"/>
      <w:jc w:val="center"/>
    </w:pPr>
    <w:r w:rsidRPr="00A45145">
      <w:rPr>
        <w:noProof/>
        <w:lang w:bidi="ar-SA"/>
      </w:rPr>
      <w:drawing>
        <wp:inline distT="0" distB="0" distL="0" distR="0" wp14:anchorId="16408C82" wp14:editId="455B2108">
          <wp:extent cx="2943225" cy="1219200"/>
          <wp:effectExtent l="0" t="0" r="9525" b="0"/>
          <wp:docPr id="2" name="Picture 3"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14:paraId="2FE2EFC4" w14:textId="77777777" w:rsidR="00E617ED" w:rsidRDefault="00E617ED" w:rsidP="00E617ED">
    <w:pPr>
      <w:pStyle w:val="Nagwek"/>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455FF" w14:textId="4DD234B2" w:rsidR="00206648" w:rsidRDefault="00206648" w:rsidP="00206648">
    <w:pPr>
      <w:pStyle w:val="ECHRHeader"/>
    </w:pPr>
    <w:r>
      <w:rPr>
        <w:rStyle w:val="Numerstrony"/>
        <w:szCs w:val="18"/>
      </w:rPr>
      <w:fldChar w:fldCharType="begin"/>
    </w:r>
    <w:r>
      <w:rPr>
        <w:rStyle w:val="Numerstrony"/>
        <w:szCs w:val="18"/>
      </w:rPr>
      <w:instrText xml:space="preserve"> PAGE </w:instrText>
    </w:r>
    <w:r>
      <w:rPr>
        <w:rStyle w:val="Numerstrony"/>
        <w:szCs w:val="18"/>
      </w:rPr>
      <w:fldChar w:fldCharType="separate"/>
    </w:r>
    <w:r w:rsidR="00090EC4">
      <w:rPr>
        <w:rStyle w:val="Numerstrony"/>
        <w:noProof/>
        <w:szCs w:val="18"/>
      </w:rPr>
      <w:t>22</w:t>
    </w:r>
    <w:r>
      <w:rPr>
        <w:rStyle w:val="Numerstrony"/>
        <w:szCs w:val="18"/>
      </w:rPr>
      <w:fldChar w:fldCharType="end"/>
    </w:r>
    <w:r>
      <w:tab/>
      <w:t>WYROK W SPRAWIE KARAMAN PRZECIWKO NIEMCOM</w:t>
    </w:r>
  </w:p>
  <w:p w14:paraId="3D755C41" w14:textId="77777777" w:rsidR="00E968E2" w:rsidRDefault="00E968E2">
    <w:pPr>
      <w:pStyle w:val="Nagwek"/>
    </w:pPr>
  </w:p>
  <w:p w14:paraId="5A60F5D0" w14:textId="77777777" w:rsidR="00E968E2" w:rsidRDefault="00E968E2">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1051" w14:textId="143C7BE4" w:rsidR="00E617ED" w:rsidRDefault="00E617ED" w:rsidP="00E617ED">
    <w:pPr>
      <w:pStyle w:val="ECHRHeader"/>
      <w:tabs>
        <w:tab w:val="left" w:pos="1418"/>
      </w:tabs>
      <w:rPr>
        <w:rStyle w:val="Numerstrony"/>
        <w:szCs w:val="18"/>
      </w:rPr>
    </w:pPr>
    <w:r>
      <w:tab/>
      <w:t>WYROK W SPRAWIE KARAMAN PRZECIWKO NIEMCOM</w:t>
    </w:r>
    <w:r>
      <w:tab/>
    </w:r>
    <w:r>
      <w:rPr>
        <w:rStyle w:val="Numerstrony"/>
        <w:szCs w:val="18"/>
      </w:rPr>
      <w:fldChar w:fldCharType="begin"/>
    </w:r>
    <w:r>
      <w:rPr>
        <w:rStyle w:val="Numerstrony"/>
        <w:szCs w:val="18"/>
      </w:rPr>
      <w:instrText xml:space="preserve"> PAGE </w:instrText>
    </w:r>
    <w:r>
      <w:rPr>
        <w:rStyle w:val="Numerstrony"/>
        <w:szCs w:val="18"/>
      </w:rPr>
      <w:fldChar w:fldCharType="separate"/>
    </w:r>
    <w:r w:rsidR="00090EC4">
      <w:rPr>
        <w:rStyle w:val="Numerstrony"/>
        <w:noProof/>
        <w:szCs w:val="18"/>
      </w:rPr>
      <w:t>21</w:t>
    </w:r>
    <w:r>
      <w:rPr>
        <w:rStyle w:val="Numerstrony"/>
        <w:szCs w:val="18"/>
      </w:rPr>
      <w:fldChar w:fldCharType="end"/>
    </w:r>
  </w:p>
  <w:p w14:paraId="5899D767" w14:textId="04FCDC7A" w:rsidR="00E968E2" w:rsidRDefault="00E968E2">
    <w:pPr>
      <w:pStyle w:val="Nagwek"/>
    </w:pPr>
  </w:p>
  <w:p w14:paraId="2B06B714" w14:textId="77777777" w:rsidR="00206648" w:rsidRDefault="00206648">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9EDA" w14:textId="3EF45FCB" w:rsidR="00E968E2" w:rsidRDefault="00E968E2" w:rsidP="006B03A2">
    <w:pPr>
      <w:pStyle w:val="ECHRHeader"/>
    </w:pPr>
    <w:r>
      <w:rPr>
        <w:rStyle w:val="Numerstrony"/>
      </w:rPr>
      <w:fldChar w:fldCharType="begin"/>
    </w:r>
    <w:r w:rsidRPr="006B03A2">
      <w:rPr>
        <w:rStyle w:val="Numerstrony"/>
      </w:rPr>
      <w:instrText xml:space="preserve"> PAGE </w:instrText>
    </w:r>
    <w:r>
      <w:rPr>
        <w:rStyle w:val="Numerstrony"/>
      </w:rPr>
      <w:fldChar w:fldCharType="separate"/>
    </w:r>
    <w:r w:rsidR="00090EC4">
      <w:rPr>
        <w:rStyle w:val="Numerstrony"/>
        <w:noProof/>
      </w:rPr>
      <w:t>24</w:t>
    </w:r>
    <w:r>
      <w:rPr>
        <w:rStyle w:val="Numerstrony"/>
      </w:rPr>
      <w:fldChar w:fldCharType="end"/>
    </w:r>
    <w:r>
      <w:tab/>
      <w:t xml:space="preserve">WYROK W SPRAWIE KARAMAN PRZECIWKO NIEMCOM </w:t>
    </w:r>
    <w:r>
      <w:softHyphen/>
      <w:t xml:space="preserve"> - OPINIA ODRĘBNA</w:t>
    </w:r>
  </w:p>
  <w:p w14:paraId="551FE7F6" w14:textId="77777777" w:rsidR="00E968E2" w:rsidRDefault="00E968E2" w:rsidP="006B03A2">
    <w:pPr>
      <w:pStyle w:val="ECHRHeader"/>
    </w:pPr>
  </w:p>
  <w:p w14:paraId="4412AF3E" w14:textId="77777777" w:rsidR="00E968E2" w:rsidRPr="006B03A2" w:rsidRDefault="00E968E2" w:rsidP="006B03A2">
    <w:pPr>
      <w:pStyle w:val="ECH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E0277" w14:textId="1EE7367F" w:rsidR="00E968E2" w:rsidRDefault="00E968E2" w:rsidP="006B03A2">
    <w:pPr>
      <w:pStyle w:val="ECHRHeader"/>
      <w:rPr>
        <w:rStyle w:val="Numerstrony"/>
      </w:rPr>
    </w:pPr>
    <w:r>
      <w:tab/>
      <w:t>WYROK W SPRAWIE KARAMAN PRZECIWKO NIEMCOM  - OPINIA ODRĘBNA</w:t>
    </w:r>
    <w:r>
      <w:tab/>
    </w:r>
    <w:r>
      <w:rPr>
        <w:rStyle w:val="Numerstrony"/>
      </w:rPr>
      <w:fldChar w:fldCharType="begin"/>
    </w:r>
    <w:r w:rsidRPr="006B03A2">
      <w:rPr>
        <w:rStyle w:val="Numerstrony"/>
      </w:rPr>
      <w:instrText xml:space="preserve"> PAGE </w:instrText>
    </w:r>
    <w:r>
      <w:rPr>
        <w:rStyle w:val="Numerstrony"/>
      </w:rPr>
      <w:fldChar w:fldCharType="separate"/>
    </w:r>
    <w:r w:rsidR="00090EC4">
      <w:rPr>
        <w:rStyle w:val="Numerstrony"/>
        <w:noProof/>
      </w:rPr>
      <w:t>25</w:t>
    </w:r>
    <w:r>
      <w:rPr>
        <w:rStyle w:val="Numerstrony"/>
      </w:rPr>
      <w:fldChar w:fldCharType="end"/>
    </w:r>
  </w:p>
  <w:p w14:paraId="24D151EB" w14:textId="77777777" w:rsidR="00E968E2" w:rsidRDefault="00E968E2" w:rsidP="006B03A2">
    <w:pPr>
      <w:pStyle w:val="ECHRHeader"/>
      <w:rPr>
        <w:rStyle w:val="Numerstrony"/>
      </w:rPr>
    </w:pPr>
  </w:p>
  <w:p w14:paraId="0D40712D" w14:textId="77777777" w:rsidR="00E968E2" w:rsidRPr="006B03A2" w:rsidRDefault="00E968E2" w:rsidP="006B03A2">
    <w:pPr>
      <w:pStyle w:val="ECH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anumerowan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1"/>
    <w:docVar w:name="DocVarPREMATURE" w:val="0"/>
    <w:docVar w:name="EMM" w:val="0"/>
    <w:docVar w:name="ETRANSMISSION" w:val="BY E-TRANSMISSION ONLY"/>
    <w:docVar w:name="L4_1Annex" w:val="0"/>
    <w:docVar w:name="L4_1Anonymity" w:val="0"/>
    <w:docVar w:name="L4_1AppNatList" w:val="Turkish"/>
    <w:docVar w:name="NBEMMDOC" w:val="0"/>
    <w:docVar w:name="SignForeName" w:val="0"/>
  </w:docVars>
  <w:rsids>
    <w:rsidRoot w:val="009C6EA3"/>
    <w:rsid w:val="00000A9D"/>
    <w:rsid w:val="00001CC5"/>
    <w:rsid w:val="00002DD1"/>
    <w:rsid w:val="000042D1"/>
    <w:rsid w:val="00005A5F"/>
    <w:rsid w:val="00007B38"/>
    <w:rsid w:val="00010298"/>
    <w:rsid w:val="00010542"/>
    <w:rsid w:val="00010F7B"/>
    <w:rsid w:val="0001136E"/>
    <w:rsid w:val="000120FB"/>
    <w:rsid w:val="00013894"/>
    <w:rsid w:val="00015D0A"/>
    <w:rsid w:val="0001629A"/>
    <w:rsid w:val="000168F5"/>
    <w:rsid w:val="0001744F"/>
    <w:rsid w:val="000241A0"/>
    <w:rsid w:val="00025599"/>
    <w:rsid w:val="00026850"/>
    <w:rsid w:val="00032633"/>
    <w:rsid w:val="00032B34"/>
    <w:rsid w:val="00032B5C"/>
    <w:rsid w:val="00033160"/>
    <w:rsid w:val="00033FD2"/>
    <w:rsid w:val="0003589E"/>
    <w:rsid w:val="0003672E"/>
    <w:rsid w:val="0003679E"/>
    <w:rsid w:val="00037CE5"/>
    <w:rsid w:val="00042867"/>
    <w:rsid w:val="000432AF"/>
    <w:rsid w:val="00044ABA"/>
    <w:rsid w:val="00047FD6"/>
    <w:rsid w:val="000517A5"/>
    <w:rsid w:val="0005522C"/>
    <w:rsid w:val="00055AC1"/>
    <w:rsid w:val="00057FD8"/>
    <w:rsid w:val="00064A02"/>
    <w:rsid w:val="0006784D"/>
    <w:rsid w:val="000704C4"/>
    <w:rsid w:val="00070537"/>
    <w:rsid w:val="00071675"/>
    <w:rsid w:val="00072417"/>
    <w:rsid w:val="000726F6"/>
    <w:rsid w:val="000748F7"/>
    <w:rsid w:val="00075369"/>
    <w:rsid w:val="000765A7"/>
    <w:rsid w:val="000769D8"/>
    <w:rsid w:val="00076A67"/>
    <w:rsid w:val="00076E84"/>
    <w:rsid w:val="00077EFC"/>
    <w:rsid w:val="00080924"/>
    <w:rsid w:val="00081C20"/>
    <w:rsid w:val="00081F9D"/>
    <w:rsid w:val="0008238E"/>
    <w:rsid w:val="00083D43"/>
    <w:rsid w:val="00085837"/>
    <w:rsid w:val="00085B3A"/>
    <w:rsid w:val="00086240"/>
    <w:rsid w:val="00087C9F"/>
    <w:rsid w:val="00090C82"/>
    <w:rsid w:val="00090EC4"/>
    <w:rsid w:val="000914DC"/>
    <w:rsid w:val="0009219F"/>
    <w:rsid w:val="0009409F"/>
    <w:rsid w:val="000940FF"/>
    <w:rsid w:val="00095BB7"/>
    <w:rsid w:val="0009616F"/>
    <w:rsid w:val="000A0F0E"/>
    <w:rsid w:val="000A1AA3"/>
    <w:rsid w:val="000A4226"/>
    <w:rsid w:val="000A44F7"/>
    <w:rsid w:val="000A76F2"/>
    <w:rsid w:val="000B029F"/>
    <w:rsid w:val="000B207A"/>
    <w:rsid w:val="000B2095"/>
    <w:rsid w:val="000B4774"/>
    <w:rsid w:val="000B6C2B"/>
    <w:rsid w:val="000C0C38"/>
    <w:rsid w:val="000C1349"/>
    <w:rsid w:val="000C2E4F"/>
    <w:rsid w:val="000C3185"/>
    <w:rsid w:val="000C3C3E"/>
    <w:rsid w:val="000C4BB6"/>
    <w:rsid w:val="000C6A7E"/>
    <w:rsid w:val="000C6E16"/>
    <w:rsid w:val="000D204F"/>
    <w:rsid w:val="000D499A"/>
    <w:rsid w:val="000D6108"/>
    <w:rsid w:val="000D6137"/>
    <w:rsid w:val="000D71A5"/>
    <w:rsid w:val="000D78BA"/>
    <w:rsid w:val="000E1449"/>
    <w:rsid w:val="000E2924"/>
    <w:rsid w:val="000E32DA"/>
    <w:rsid w:val="000E4330"/>
    <w:rsid w:val="000E4D7B"/>
    <w:rsid w:val="000F0935"/>
    <w:rsid w:val="000F1D18"/>
    <w:rsid w:val="000F4FC5"/>
    <w:rsid w:val="000F699D"/>
    <w:rsid w:val="000F6A71"/>
    <w:rsid w:val="000F7D46"/>
    <w:rsid w:val="000F7E8C"/>
    <w:rsid w:val="001047FD"/>
    <w:rsid w:val="00104AD1"/>
    <w:rsid w:val="00110DF4"/>
    <w:rsid w:val="00111D99"/>
    <w:rsid w:val="0011486F"/>
    <w:rsid w:val="00114FCA"/>
    <w:rsid w:val="001160E4"/>
    <w:rsid w:val="001164D0"/>
    <w:rsid w:val="0011665B"/>
    <w:rsid w:val="00116669"/>
    <w:rsid w:val="00123165"/>
    <w:rsid w:val="00126213"/>
    <w:rsid w:val="00127B6D"/>
    <w:rsid w:val="001315BA"/>
    <w:rsid w:val="0013290F"/>
    <w:rsid w:val="001338CA"/>
    <w:rsid w:val="00134076"/>
    <w:rsid w:val="001346FD"/>
    <w:rsid w:val="00136B5C"/>
    <w:rsid w:val="001438A7"/>
    <w:rsid w:val="001459DE"/>
    <w:rsid w:val="0014642A"/>
    <w:rsid w:val="00146480"/>
    <w:rsid w:val="00147384"/>
    <w:rsid w:val="0015025E"/>
    <w:rsid w:val="00151CCA"/>
    <w:rsid w:val="0015399B"/>
    <w:rsid w:val="0015638E"/>
    <w:rsid w:val="00157BD8"/>
    <w:rsid w:val="00160D6F"/>
    <w:rsid w:val="0016307A"/>
    <w:rsid w:val="001702A1"/>
    <w:rsid w:val="00171962"/>
    <w:rsid w:val="00173D47"/>
    <w:rsid w:val="00173FA4"/>
    <w:rsid w:val="00174A6F"/>
    <w:rsid w:val="00177DEA"/>
    <w:rsid w:val="001812B2"/>
    <w:rsid w:val="001812F7"/>
    <w:rsid w:val="00185197"/>
    <w:rsid w:val="001911BA"/>
    <w:rsid w:val="001922F7"/>
    <w:rsid w:val="001925C5"/>
    <w:rsid w:val="0019388B"/>
    <w:rsid w:val="001948A7"/>
    <w:rsid w:val="00195378"/>
    <w:rsid w:val="00197867"/>
    <w:rsid w:val="00197C29"/>
    <w:rsid w:val="001A0EBE"/>
    <w:rsid w:val="001A2CB2"/>
    <w:rsid w:val="001A4BE9"/>
    <w:rsid w:val="001A6D6E"/>
    <w:rsid w:val="001B024C"/>
    <w:rsid w:val="001B2BB6"/>
    <w:rsid w:val="001B2EFC"/>
    <w:rsid w:val="001B5918"/>
    <w:rsid w:val="001B62B1"/>
    <w:rsid w:val="001B74F7"/>
    <w:rsid w:val="001C06DF"/>
    <w:rsid w:val="001C1BF1"/>
    <w:rsid w:val="001C5826"/>
    <w:rsid w:val="001C77A7"/>
    <w:rsid w:val="001D0E57"/>
    <w:rsid w:val="001D1209"/>
    <w:rsid w:val="001D1338"/>
    <w:rsid w:val="001D1B31"/>
    <w:rsid w:val="001D35D3"/>
    <w:rsid w:val="001D392D"/>
    <w:rsid w:val="001D3E92"/>
    <w:rsid w:val="001E105D"/>
    <w:rsid w:val="001F1201"/>
    <w:rsid w:val="001F1600"/>
    <w:rsid w:val="001F4EC2"/>
    <w:rsid w:val="001F5586"/>
    <w:rsid w:val="001F6303"/>
    <w:rsid w:val="00201DE5"/>
    <w:rsid w:val="002041E3"/>
    <w:rsid w:val="00206648"/>
    <w:rsid w:val="002076C7"/>
    <w:rsid w:val="00210CFB"/>
    <w:rsid w:val="00210DAD"/>
    <w:rsid w:val="00213FC0"/>
    <w:rsid w:val="0021423D"/>
    <w:rsid w:val="002143A6"/>
    <w:rsid w:val="0021553D"/>
    <w:rsid w:val="002169C7"/>
    <w:rsid w:val="00216A2E"/>
    <w:rsid w:val="00217794"/>
    <w:rsid w:val="00220CAF"/>
    <w:rsid w:val="00222E29"/>
    <w:rsid w:val="00223CDA"/>
    <w:rsid w:val="002248C1"/>
    <w:rsid w:val="00224B84"/>
    <w:rsid w:val="00225BE5"/>
    <w:rsid w:val="002266CD"/>
    <w:rsid w:val="0023163E"/>
    <w:rsid w:val="002320C6"/>
    <w:rsid w:val="00241B87"/>
    <w:rsid w:val="002451E2"/>
    <w:rsid w:val="00246798"/>
    <w:rsid w:val="002477B5"/>
    <w:rsid w:val="0025094E"/>
    <w:rsid w:val="00252B31"/>
    <w:rsid w:val="00253974"/>
    <w:rsid w:val="002548FB"/>
    <w:rsid w:val="00255E28"/>
    <w:rsid w:val="002563F5"/>
    <w:rsid w:val="00257D36"/>
    <w:rsid w:val="00263971"/>
    <w:rsid w:val="0026440C"/>
    <w:rsid w:val="002644BA"/>
    <w:rsid w:val="00265471"/>
    <w:rsid w:val="0026789F"/>
    <w:rsid w:val="00267E01"/>
    <w:rsid w:val="00271A81"/>
    <w:rsid w:val="00273E74"/>
    <w:rsid w:val="00276CBD"/>
    <w:rsid w:val="00283BF1"/>
    <w:rsid w:val="00285041"/>
    <w:rsid w:val="0028635E"/>
    <w:rsid w:val="00291F04"/>
    <w:rsid w:val="002936D9"/>
    <w:rsid w:val="00296B76"/>
    <w:rsid w:val="002973D1"/>
    <w:rsid w:val="00297942"/>
    <w:rsid w:val="002A03C2"/>
    <w:rsid w:val="002A3A18"/>
    <w:rsid w:val="002A4296"/>
    <w:rsid w:val="002A55A2"/>
    <w:rsid w:val="002A5F26"/>
    <w:rsid w:val="002A78AD"/>
    <w:rsid w:val="002A7CEE"/>
    <w:rsid w:val="002B18B7"/>
    <w:rsid w:val="002B39E9"/>
    <w:rsid w:val="002C36D6"/>
    <w:rsid w:val="002C4058"/>
    <w:rsid w:val="002C5069"/>
    <w:rsid w:val="002C7D3E"/>
    <w:rsid w:val="002D1190"/>
    <w:rsid w:val="002D4324"/>
    <w:rsid w:val="002D6075"/>
    <w:rsid w:val="002D6E4D"/>
    <w:rsid w:val="002E1BCA"/>
    <w:rsid w:val="002E2EAF"/>
    <w:rsid w:val="002E4789"/>
    <w:rsid w:val="002E6A74"/>
    <w:rsid w:val="002E6B68"/>
    <w:rsid w:val="002E76C6"/>
    <w:rsid w:val="002E7CC4"/>
    <w:rsid w:val="002F3360"/>
    <w:rsid w:val="002F4BCF"/>
    <w:rsid w:val="002F4D5C"/>
    <w:rsid w:val="002F6883"/>
    <w:rsid w:val="002F6FE9"/>
    <w:rsid w:val="002F707F"/>
    <w:rsid w:val="00300239"/>
    <w:rsid w:val="00302008"/>
    <w:rsid w:val="003037CB"/>
    <w:rsid w:val="00306E93"/>
    <w:rsid w:val="003104E9"/>
    <w:rsid w:val="003112EC"/>
    <w:rsid w:val="00312FC6"/>
    <w:rsid w:val="00314A53"/>
    <w:rsid w:val="0031573C"/>
    <w:rsid w:val="00315A45"/>
    <w:rsid w:val="0032093A"/>
    <w:rsid w:val="00321957"/>
    <w:rsid w:val="0032237C"/>
    <w:rsid w:val="00325C2B"/>
    <w:rsid w:val="0032612F"/>
    <w:rsid w:val="00332403"/>
    <w:rsid w:val="00332547"/>
    <w:rsid w:val="00333897"/>
    <w:rsid w:val="003348EB"/>
    <w:rsid w:val="00336887"/>
    <w:rsid w:val="00337600"/>
    <w:rsid w:val="00337D2F"/>
    <w:rsid w:val="003403BB"/>
    <w:rsid w:val="003413AF"/>
    <w:rsid w:val="003415D2"/>
    <w:rsid w:val="003422E6"/>
    <w:rsid w:val="0034311E"/>
    <w:rsid w:val="0034580F"/>
    <w:rsid w:val="003467AC"/>
    <w:rsid w:val="00347033"/>
    <w:rsid w:val="003475D6"/>
    <w:rsid w:val="00347E11"/>
    <w:rsid w:val="003506C9"/>
    <w:rsid w:val="0035460F"/>
    <w:rsid w:val="00355F8F"/>
    <w:rsid w:val="0035768C"/>
    <w:rsid w:val="00357F85"/>
    <w:rsid w:val="003631AF"/>
    <w:rsid w:val="003634B3"/>
    <w:rsid w:val="003668C6"/>
    <w:rsid w:val="00367792"/>
    <w:rsid w:val="00367EAB"/>
    <w:rsid w:val="0037016A"/>
    <w:rsid w:val="00371277"/>
    <w:rsid w:val="003716C9"/>
    <w:rsid w:val="0037228D"/>
    <w:rsid w:val="00373752"/>
    <w:rsid w:val="00373AEE"/>
    <w:rsid w:val="003810BF"/>
    <w:rsid w:val="00385CAB"/>
    <w:rsid w:val="00387BAE"/>
    <w:rsid w:val="003951E7"/>
    <w:rsid w:val="0039544A"/>
    <w:rsid w:val="00396789"/>
    <w:rsid w:val="00396B46"/>
    <w:rsid w:val="00397FC3"/>
    <w:rsid w:val="003A17E9"/>
    <w:rsid w:val="003A6103"/>
    <w:rsid w:val="003A64D3"/>
    <w:rsid w:val="003A7AEA"/>
    <w:rsid w:val="003B35DA"/>
    <w:rsid w:val="003B41C7"/>
    <w:rsid w:val="003B50D7"/>
    <w:rsid w:val="003B59AF"/>
    <w:rsid w:val="003B6305"/>
    <w:rsid w:val="003C198A"/>
    <w:rsid w:val="003C2109"/>
    <w:rsid w:val="003C4CD4"/>
    <w:rsid w:val="003D0958"/>
    <w:rsid w:val="003D2774"/>
    <w:rsid w:val="003D4334"/>
    <w:rsid w:val="003D70E5"/>
    <w:rsid w:val="003E2006"/>
    <w:rsid w:val="003E20FE"/>
    <w:rsid w:val="003E319C"/>
    <w:rsid w:val="003E3979"/>
    <w:rsid w:val="003E5BBF"/>
    <w:rsid w:val="003E6885"/>
    <w:rsid w:val="003F3BFD"/>
    <w:rsid w:val="003F503E"/>
    <w:rsid w:val="003F5707"/>
    <w:rsid w:val="00401C5B"/>
    <w:rsid w:val="00402677"/>
    <w:rsid w:val="00407A8F"/>
    <w:rsid w:val="00410EA0"/>
    <w:rsid w:val="0041146E"/>
    <w:rsid w:val="00411C86"/>
    <w:rsid w:val="00412F5F"/>
    <w:rsid w:val="00413EFC"/>
    <w:rsid w:val="0041436D"/>
    <w:rsid w:val="004171C0"/>
    <w:rsid w:val="00420180"/>
    <w:rsid w:val="004214B5"/>
    <w:rsid w:val="004218BE"/>
    <w:rsid w:val="00435174"/>
    <w:rsid w:val="004360EE"/>
    <w:rsid w:val="0043664B"/>
    <w:rsid w:val="00436D55"/>
    <w:rsid w:val="00440092"/>
    <w:rsid w:val="004406AA"/>
    <w:rsid w:val="00442790"/>
    <w:rsid w:val="00442FF1"/>
    <w:rsid w:val="0044301C"/>
    <w:rsid w:val="0044343F"/>
    <w:rsid w:val="00443E48"/>
    <w:rsid w:val="00444172"/>
    <w:rsid w:val="00446859"/>
    <w:rsid w:val="00447594"/>
    <w:rsid w:val="004500B0"/>
    <w:rsid w:val="004512E2"/>
    <w:rsid w:val="00452CF1"/>
    <w:rsid w:val="00453899"/>
    <w:rsid w:val="00454999"/>
    <w:rsid w:val="0045551C"/>
    <w:rsid w:val="00457A18"/>
    <w:rsid w:val="00460FAD"/>
    <w:rsid w:val="00461B08"/>
    <w:rsid w:val="00463742"/>
    <w:rsid w:val="00464B68"/>
    <w:rsid w:val="004653DE"/>
    <w:rsid w:val="00465AD7"/>
    <w:rsid w:val="004709B4"/>
    <w:rsid w:val="00471505"/>
    <w:rsid w:val="00476848"/>
    <w:rsid w:val="00483919"/>
    <w:rsid w:val="00483B56"/>
    <w:rsid w:val="00485A6F"/>
    <w:rsid w:val="00486B85"/>
    <w:rsid w:val="004920B1"/>
    <w:rsid w:val="00494F51"/>
    <w:rsid w:val="004A0804"/>
    <w:rsid w:val="004A32F9"/>
    <w:rsid w:val="004A3CA0"/>
    <w:rsid w:val="004A5E56"/>
    <w:rsid w:val="004B0652"/>
    <w:rsid w:val="004B1688"/>
    <w:rsid w:val="004B1B5F"/>
    <w:rsid w:val="004B43DE"/>
    <w:rsid w:val="004B6664"/>
    <w:rsid w:val="004B6BC7"/>
    <w:rsid w:val="004C36E3"/>
    <w:rsid w:val="004C4A7F"/>
    <w:rsid w:val="004D25DF"/>
    <w:rsid w:val="004D442D"/>
    <w:rsid w:val="004D4914"/>
    <w:rsid w:val="004D7281"/>
    <w:rsid w:val="004E1983"/>
    <w:rsid w:val="004E252C"/>
    <w:rsid w:val="004E254C"/>
    <w:rsid w:val="004E2A7A"/>
    <w:rsid w:val="004E2AF6"/>
    <w:rsid w:val="004E3087"/>
    <w:rsid w:val="004E5DFC"/>
    <w:rsid w:val="004F08D9"/>
    <w:rsid w:val="004F0F06"/>
    <w:rsid w:val="004F5E6C"/>
    <w:rsid w:val="004F7619"/>
    <w:rsid w:val="0050096C"/>
    <w:rsid w:val="00502704"/>
    <w:rsid w:val="00502D19"/>
    <w:rsid w:val="00506A60"/>
    <w:rsid w:val="00513446"/>
    <w:rsid w:val="0051424B"/>
    <w:rsid w:val="00515676"/>
    <w:rsid w:val="00516EBF"/>
    <w:rsid w:val="0051789D"/>
    <w:rsid w:val="005205A2"/>
    <w:rsid w:val="005206B1"/>
    <w:rsid w:val="00522362"/>
    <w:rsid w:val="00524FFC"/>
    <w:rsid w:val="00525567"/>
    <w:rsid w:val="00525E5C"/>
    <w:rsid w:val="0053505A"/>
    <w:rsid w:val="005352FD"/>
    <w:rsid w:val="00540BC0"/>
    <w:rsid w:val="00541600"/>
    <w:rsid w:val="005419B6"/>
    <w:rsid w:val="00546271"/>
    <w:rsid w:val="00546F49"/>
    <w:rsid w:val="0054722D"/>
    <w:rsid w:val="00547AED"/>
    <w:rsid w:val="00553ACB"/>
    <w:rsid w:val="00554463"/>
    <w:rsid w:val="00557CBC"/>
    <w:rsid w:val="00565C30"/>
    <w:rsid w:val="00566923"/>
    <w:rsid w:val="0056771C"/>
    <w:rsid w:val="0057463C"/>
    <w:rsid w:val="00575173"/>
    <w:rsid w:val="00577093"/>
    <w:rsid w:val="00577270"/>
    <w:rsid w:val="005777BA"/>
    <w:rsid w:val="00577E6A"/>
    <w:rsid w:val="00581D58"/>
    <w:rsid w:val="00582D1B"/>
    <w:rsid w:val="00583CC8"/>
    <w:rsid w:val="005847D5"/>
    <w:rsid w:val="00584A11"/>
    <w:rsid w:val="00586C1C"/>
    <w:rsid w:val="005874FF"/>
    <w:rsid w:val="00591D33"/>
    <w:rsid w:val="005922A0"/>
    <w:rsid w:val="00592ACC"/>
    <w:rsid w:val="005944D6"/>
    <w:rsid w:val="00595C5D"/>
    <w:rsid w:val="00596265"/>
    <w:rsid w:val="005A0C69"/>
    <w:rsid w:val="005A256E"/>
    <w:rsid w:val="005A3D27"/>
    <w:rsid w:val="005A7ED7"/>
    <w:rsid w:val="005B16A8"/>
    <w:rsid w:val="005B1AD5"/>
    <w:rsid w:val="005B301B"/>
    <w:rsid w:val="005B338B"/>
    <w:rsid w:val="005B41DC"/>
    <w:rsid w:val="005B4233"/>
    <w:rsid w:val="005B449F"/>
    <w:rsid w:val="005B565C"/>
    <w:rsid w:val="005B6561"/>
    <w:rsid w:val="005B7DD7"/>
    <w:rsid w:val="005C1461"/>
    <w:rsid w:val="005C1929"/>
    <w:rsid w:val="005C1956"/>
    <w:rsid w:val="005C238D"/>
    <w:rsid w:val="005C2C88"/>
    <w:rsid w:val="005C41CB"/>
    <w:rsid w:val="005C6209"/>
    <w:rsid w:val="005D00D5"/>
    <w:rsid w:val="005D0BC5"/>
    <w:rsid w:val="005D1B72"/>
    <w:rsid w:val="005D1B96"/>
    <w:rsid w:val="005D4222"/>
    <w:rsid w:val="005D78E1"/>
    <w:rsid w:val="005E08ED"/>
    <w:rsid w:val="005E3160"/>
    <w:rsid w:val="005E3821"/>
    <w:rsid w:val="005E384F"/>
    <w:rsid w:val="005E55C6"/>
    <w:rsid w:val="005E5789"/>
    <w:rsid w:val="005E75C2"/>
    <w:rsid w:val="005F4753"/>
    <w:rsid w:val="005F55D8"/>
    <w:rsid w:val="005F5B8B"/>
    <w:rsid w:val="005F7444"/>
    <w:rsid w:val="005F7A10"/>
    <w:rsid w:val="006053AC"/>
    <w:rsid w:val="006111FF"/>
    <w:rsid w:val="006138EA"/>
    <w:rsid w:val="00615EC9"/>
    <w:rsid w:val="0061634C"/>
    <w:rsid w:val="006168CC"/>
    <w:rsid w:val="006168FA"/>
    <w:rsid w:val="00617813"/>
    <w:rsid w:val="00621C37"/>
    <w:rsid w:val="00623DB5"/>
    <w:rsid w:val="00625699"/>
    <w:rsid w:val="00625AA2"/>
    <w:rsid w:val="00626A7C"/>
    <w:rsid w:val="00627014"/>
    <w:rsid w:val="0062787C"/>
    <w:rsid w:val="006316CA"/>
    <w:rsid w:val="00633478"/>
    <w:rsid w:val="00633B0D"/>
    <w:rsid w:val="00635ADF"/>
    <w:rsid w:val="006369C9"/>
    <w:rsid w:val="00640B82"/>
    <w:rsid w:val="00642C22"/>
    <w:rsid w:val="006432C5"/>
    <w:rsid w:val="006448EF"/>
    <w:rsid w:val="006537F0"/>
    <w:rsid w:val="00653A88"/>
    <w:rsid w:val="00655126"/>
    <w:rsid w:val="00655B64"/>
    <w:rsid w:val="00660F3A"/>
    <w:rsid w:val="00662734"/>
    <w:rsid w:val="006639B6"/>
    <w:rsid w:val="006660B3"/>
    <w:rsid w:val="00672290"/>
    <w:rsid w:val="006722CE"/>
    <w:rsid w:val="006731B6"/>
    <w:rsid w:val="00674A88"/>
    <w:rsid w:val="00677F39"/>
    <w:rsid w:val="00677F46"/>
    <w:rsid w:val="00680143"/>
    <w:rsid w:val="00680876"/>
    <w:rsid w:val="00680CFA"/>
    <w:rsid w:val="00683826"/>
    <w:rsid w:val="006862A2"/>
    <w:rsid w:val="00686D6C"/>
    <w:rsid w:val="006906CC"/>
    <w:rsid w:val="00691C4B"/>
    <w:rsid w:val="00691C73"/>
    <w:rsid w:val="00692128"/>
    <w:rsid w:val="006944F5"/>
    <w:rsid w:val="00696D14"/>
    <w:rsid w:val="00697F14"/>
    <w:rsid w:val="006A0C5A"/>
    <w:rsid w:val="006A0CE1"/>
    <w:rsid w:val="006A38F4"/>
    <w:rsid w:val="006A3A1A"/>
    <w:rsid w:val="006A3D9D"/>
    <w:rsid w:val="006A5E83"/>
    <w:rsid w:val="006A62EC"/>
    <w:rsid w:val="006A7C48"/>
    <w:rsid w:val="006B03A2"/>
    <w:rsid w:val="006B1632"/>
    <w:rsid w:val="006C2B52"/>
    <w:rsid w:val="006C35C5"/>
    <w:rsid w:val="006C4EC5"/>
    <w:rsid w:val="006C5999"/>
    <w:rsid w:val="006D1440"/>
    <w:rsid w:val="006D2614"/>
    <w:rsid w:val="006D71BC"/>
    <w:rsid w:val="006E48A7"/>
    <w:rsid w:val="006E6A56"/>
    <w:rsid w:val="006E6D33"/>
    <w:rsid w:val="006F3A30"/>
    <w:rsid w:val="006F4312"/>
    <w:rsid w:val="006F4751"/>
    <w:rsid w:val="006F735F"/>
    <w:rsid w:val="00706A06"/>
    <w:rsid w:val="00710B3F"/>
    <w:rsid w:val="00711110"/>
    <w:rsid w:val="007126E9"/>
    <w:rsid w:val="007143DB"/>
    <w:rsid w:val="007156E0"/>
    <w:rsid w:val="00726810"/>
    <w:rsid w:val="00730053"/>
    <w:rsid w:val="00730433"/>
    <w:rsid w:val="00732366"/>
    <w:rsid w:val="00733037"/>
    <w:rsid w:val="007352DD"/>
    <w:rsid w:val="00735418"/>
    <w:rsid w:val="0074591E"/>
    <w:rsid w:val="00746AEC"/>
    <w:rsid w:val="00750E5E"/>
    <w:rsid w:val="00751C24"/>
    <w:rsid w:val="00752502"/>
    <w:rsid w:val="00754ABE"/>
    <w:rsid w:val="007564DD"/>
    <w:rsid w:val="00756B58"/>
    <w:rsid w:val="00756D5B"/>
    <w:rsid w:val="007603BB"/>
    <w:rsid w:val="00762627"/>
    <w:rsid w:val="00762982"/>
    <w:rsid w:val="007644BF"/>
    <w:rsid w:val="0077276D"/>
    <w:rsid w:val="00772C24"/>
    <w:rsid w:val="007745AF"/>
    <w:rsid w:val="00776807"/>
    <w:rsid w:val="0077789B"/>
    <w:rsid w:val="0078062F"/>
    <w:rsid w:val="00781917"/>
    <w:rsid w:val="00781B54"/>
    <w:rsid w:val="00781C9B"/>
    <w:rsid w:val="007827E7"/>
    <w:rsid w:val="007847BD"/>
    <w:rsid w:val="0079098E"/>
    <w:rsid w:val="0079163D"/>
    <w:rsid w:val="0079187F"/>
    <w:rsid w:val="00792150"/>
    <w:rsid w:val="00794446"/>
    <w:rsid w:val="00794847"/>
    <w:rsid w:val="00795E6E"/>
    <w:rsid w:val="007A1EC6"/>
    <w:rsid w:val="007A1FFE"/>
    <w:rsid w:val="007A357A"/>
    <w:rsid w:val="007A5939"/>
    <w:rsid w:val="007A60C1"/>
    <w:rsid w:val="007A6DBA"/>
    <w:rsid w:val="007A75C8"/>
    <w:rsid w:val="007B03C9"/>
    <w:rsid w:val="007B1719"/>
    <w:rsid w:val="007B2958"/>
    <w:rsid w:val="007B7909"/>
    <w:rsid w:val="007C090B"/>
    <w:rsid w:val="007C0A1F"/>
    <w:rsid w:val="007C1CE3"/>
    <w:rsid w:val="007C2094"/>
    <w:rsid w:val="007C22E9"/>
    <w:rsid w:val="007C2D1B"/>
    <w:rsid w:val="007C2FDB"/>
    <w:rsid w:val="007D0491"/>
    <w:rsid w:val="007D0D75"/>
    <w:rsid w:val="007D0F78"/>
    <w:rsid w:val="007D10AA"/>
    <w:rsid w:val="007D21E6"/>
    <w:rsid w:val="007D34FC"/>
    <w:rsid w:val="007D4301"/>
    <w:rsid w:val="007D5B48"/>
    <w:rsid w:val="007E0262"/>
    <w:rsid w:val="007E5716"/>
    <w:rsid w:val="007E603C"/>
    <w:rsid w:val="007F735A"/>
    <w:rsid w:val="00801E62"/>
    <w:rsid w:val="00806E5F"/>
    <w:rsid w:val="00811912"/>
    <w:rsid w:val="00811E32"/>
    <w:rsid w:val="008144ED"/>
    <w:rsid w:val="00815446"/>
    <w:rsid w:val="00816998"/>
    <w:rsid w:val="0081700E"/>
    <w:rsid w:val="0082131D"/>
    <w:rsid w:val="00821E20"/>
    <w:rsid w:val="00823AF9"/>
    <w:rsid w:val="008251B1"/>
    <w:rsid w:val="008333C4"/>
    <w:rsid w:val="00836BBA"/>
    <w:rsid w:val="008424AD"/>
    <w:rsid w:val="00844ED2"/>
    <w:rsid w:val="008451CF"/>
    <w:rsid w:val="00846142"/>
    <w:rsid w:val="00846856"/>
    <w:rsid w:val="00851388"/>
    <w:rsid w:val="00853345"/>
    <w:rsid w:val="008555DF"/>
    <w:rsid w:val="00855855"/>
    <w:rsid w:val="008578B5"/>
    <w:rsid w:val="008601F7"/>
    <w:rsid w:val="00860621"/>
    <w:rsid w:val="00862D3B"/>
    <w:rsid w:val="00863E91"/>
    <w:rsid w:val="00864209"/>
    <w:rsid w:val="00865450"/>
    <w:rsid w:val="00870850"/>
    <w:rsid w:val="00871B6A"/>
    <w:rsid w:val="00873679"/>
    <w:rsid w:val="008740D0"/>
    <w:rsid w:val="008824B9"/>
    <w:rsid w:val="008830FE"/>
    <w:rsid w:val="0088315D"/>
    <w:rsid w:val="00884028"/>
    <w:rsid w:val="00884205"/>
    <w:rsid w:val="00886BB5"/>
    <w:rsid w:val="008879B5"/>
    <w:rsid w:val="00890D3D"/>
    <w:rsid w:val="00892E24"/>
    <w:rsid w:val="00893782"/>
    <w:rsid w:val="00893E1E"/>
    <w:rsid w:val="0089522B"/>
    <w:rsid w:val="00897059"/>
    <w:rsid w:val="00897976"/>
    <w:rsid w:val="008A0F92"/>
    <w:rsid w:val="008A1BA9"/>
    <w:rsid w:val="008B0799"/>
    <w:rsid w:val="008B0F81"/>
    <w:rsid w:val="008B1AA0"/>
    <w:rsid w:val="008B2112"/>
    <w:rsid w:val="008B556E"/>
    <w:rsid w:val="008B5BFB"/>
    <w:rsid w:val="008B5E8C"/>
    <w:rsid w:val="008C27BD"/>
    <w:rsid w:val="008C39B5"/>
    <w:rsid w:val="008C51EE"/>
    <w:rsid w:val="008C60EE"/>
    <w:rsid w:val="008C6219"/>
    <w:rsid w:val="008C6F68"/>
    <w:rsid w:val="008C7264"/>
    <w:rsid w:val="008C760F"/>
    <w:rsid w:val="008D1A10"/>
    <w:rsid w:val="008D3A43"/>
    <w:rsid w:val="008D418B"/>
    <w:rsid w:val="008D48BE"/>
    <w:rsid w:val="008D5D4D"/>
    <w:rsid w:val="008D6AC1"/>
    <w:rsid w:val="008D7BF2"/>
    <w:rsid w:val="008D7E5E"/>
    <w:rsid w:val="008E04B6"/>
    <w:rsid w:val="008E05A3"/>
    <w:rsid w:val="008E6A5B"/>
    <w:rsid w:val="008F18D1"/>
    <w:rsid w:val="008F1CA9"/>
    <w:rsid w:val="008F2B9B"/>
    <w:rsid w:val="008F6AC4"/>
    <w:rsid w:val="00900F2B"/>
    <w:rsid w:val="00901475"/>
    <w:rsid w:val="00902C66"/>
    <w:rsid w:val="009041E0"/>
    <w:rsid w:val="009066CA"/>
    <w:rsid w:val="00912AC6"/>
    <w:rsid w:val="00914F2E"/>
    <w:rsid w:val="009164FB"/>
    <w:rsid w:val="009169BC"/>
    <w:rsid w:val="00920A75"/>
    <w:rsid w:val="00921888"/>
    <w:rsid w:val="00923AA2"/>
    <w:rsid w:val="00924E0A"/>
    <w:rsid w:val="00926135"/>
    <w:rsid w:val="00926C22"/>
    <w:rsid w:val="00927277"/>
    <w:rsid w:val="0092741E"/>
    <w:rsid w:val="00930337"/>
    <w:rsid w:val="00930CD7"/>
    <w:rsid w:val="009314D1"/>
    <w:rsid w:val="00931AE0"/>
    <w:rsid w:val="00931F28"/>
    <w:rsid w:val="0093299C"/>
    <w:rsid w:val="00932C7B"/>
    <w:rsid w:val="009341FA"/>
    <w:rsid w:val="00934322"/>
    <w:rsid w:val="00935C32"/>
    <w:rsid w:val="00936153"/>
    <w:rsid w:val="009414B9"/>
    <w:rsid w:val="0094239F"/>
    <w:rsid w:val="00942815"/>
    <w:rsid w:val="009434A7"/>
    <w:rsid w:val="00946B18"/>
    <w:rsid w:val="00946E23"/>
    <w:rsid w:val="00950170"/>
    <w:rsid w:val="00952342"/>
    <w:rsid w:val="00956501"/>
    <w:rsid w:val="0095789B"/>
    <w:rsid w:val="0096104F"/>
    <w:rsid w:val="009621FB"/>
    <w:rsid w:val="009628BB"/>
    <w:rsid w:val="00964F80"/>
    <w:rsid w:val="00965BD4"/>
    <w:rsid w:val="00972124"/>
    <w:rsid w:val="00974D0E"/>
    <w:rsid w:val="00974E2C"/>
    <w:rsid w:val="00975A47"/>
    <w:rsid w:val="009821B8"/>
    <w:rsid w:val="00983FD0"/>
    <w:rsid w:val="0098535B"/>
    <w:rsid w:val="00987E98"/>
    <w:rsid w:val="00987EA5"/>
    <w:rsid w:val="009914F8"/>
    <w:rsid w:val="009932D7"/>
    <w:rsid w:val="0099561C"/>
    <w:rsid w:val="00995F44"/>
    <w:rsid w:val="0099655A"/>
    <w:rsid w:val="009A5C5A"/>
    <w:rsid w:val="009A6925"/>
    <w:rsid w:val="009B039E"/>
    <w:rsid w:val="009B15A1"/>
    <w:rsid w:val="009B27E0"/>
    <w:rsid w:val="009B409C"/>
    <w:rsid w:val="009B4422"/>
    <w:rsid w:val="009B5927"/>
    <w:rsid w:val="009B5FFA"/>
    <w:rsid w:val="009B7324"/>
    <w:rsid w:val="009C1223"/>
    <w:rsid w:val="009C2870"/>
    <w:rsid w:val="009C42F0"/>
    <w:rsid w:val="009C5183"/>
    <w:rsid w:val="009C53D6"/>
    <w:rsid w:val="009C6E6B"/>
    <w:rsid w:val="009C6EA3"/>
    <w:rsid w:val="009D04E9"/>
    <w:rsid w:val="009D073D"/>
    <w:rsid w:val="009D456C"/>
    <w:rsid w:val="009D46D7"/>
    <w:rsid w:val="009D4B87"/>
    <w:rsid w:val="009D51C5"/>
    <w:rsid w:val="009D586C"/>
    <w:rsid w:val="009D625A"/>
    <w:rsid w:val="009D7297"/>
    <w:rsid w:val="009E0EE0"/>
    <w:rsid w:val="009E164A"/>
    <w:rsid w:val="009E1779"/>
    <w:rsid w:val="009E2FBD"/>
    <w:rsid w:val="009F0055"/>
    <w:rsid w:val="009F07CC"/>
    <w:rsid w:val="009F18CE"/>
    <w:rsid w:val="009F1D27"/>
    <w:rsid w:val="009F1E12"/>
    <w:rsid w:val="009F5590"/>
    <w:rsid w:val="009F5625"/>
    <w:rsid w:val="009F6394"/>
    <w:rsid w:val="009F7189"/>
    <w:rsid w:val="00A000A9"/>
    <w:rsid w:val="00A012A5"/>
    <w:rsid w:val="00A03B32"/>
    <w:rsid w:val="00A04592"/>
    <w:rsid w:val="00A04E02"/>
    <w:rsid w:val="00A064C5"/>
    <w:rsid w:val="00A06A89"/>
    <w:rsid w:val="00A10840"/>
    <w:rsid w:val="00A135BE"/>
    <w:rsid w:val="00A200EA"/>
    <w:rsid w:val="00A20B8B"/>
    <w:rsid w:val="00A23811"/>
    <w:rsid w:val="00A25FA8"/>
    <w:rsid w:val="00A269D3"/>
    <w:rsid w:val="00A32B81"/>
    <w:rsid w:val="00A34DA1"/>
    <w:rsid w:val="00A352C0"/>
    <w:rsid w:val="00A35C98"/>
    <w:rsid w:val="00A36290"/>
    <w:rsid w:val="00A45178"/>
    <w:rsid w:val="00A46D37"/>
    <w:rsid w:val="00A47AF2"/>
    <w:rsid w:val="00A50AA2"/>
    <w:rsid w:val="00A516DB"/>
    <w:rsid w:val="00A52DF8"/>
    <w:rsid w:val="00A5331A"/>
    <w:rsid w:val="00A552E2"/>
    <w:rsid w:val="00A61AAC"/>
    <w:rsid w:val="00A61FD3"/>
    <w:rsid w:val="00A62B16"/>
    <w:rsid w:val="00A67032"/>
    <w:rsid w:val="00A7049C"/>
    <w:rsid w:val="00A71029"/>
    <w:rsid w:val="00A7168E"/>
    <w:rsid w:val="00A72D9D"/>
    <w:rsid w:val="00A731FC"/>
    <w:rsid w:val="00A80135"/>
    <w:rsid w:val="00A80E0B"/>
    <w:rsid w:val="00A82D92"/>
    <w:rsid w:val="00A8381C"/>
    <w:rsid w:val="00A843F3"/>
    <w:rsid w:val="00A91B6B"/>
    <w:rsid w:val="00A922E3"/>
    <w:rsid w:val="00A93658"/>
    <w:rsid w:val="00A93B5B"/>
    <w:rsid w:val="00A9426A"/>
    <w:rsid w:val="00A95A7E"/>
    <w:rsid w:val="00A96B87"/>
    <w:rsid w:val="00AA0A20"/>
    <w:rsid w:val="00AA1ACA"/>
    <w:rsid w:val="00AA2839"/>
    <w:rsid w:val="00AA2B6A"/>
    <w:rsid w:val="00AA373E"/>
    <w:rsid w:val="00AA6CAF"/>
    <w:rsid w:val="00AA7AAE"/>
    <w:rsid w:val="00AA7CA2"/>
    <w:rsid w:val="00AB0594"/>
    <w:rsid w:val="00AB09FE"/>
    <w:rsid w:val="00AB2166"/>
    <w:rsid w:val="00AB43D9"/>
    <w:rsid w:val="00AB4F25"/>
    <w:rsid w:val="00AC134B"/>
    <w:rsid w:val="00AC3D86"/>
    <w:rsid w:val="00AC4995"/>
    <w:rsid w:val="00AC4B9B"/>
    <w:rsid w:val="00AC5277"/>
    <w:rsid w:val="00AC6BD8"/>
    <w:rsid w:val="00AD20B5"/>
    <w:rsid w:val="00AD4AC9"/>
    <w:rsid w:val="00AD4D0A"/>
    <w:rsid w:val="00AD57B2"/>
    <w:rsid w:val="00AD794B"/>
    <w:rsid w:val="00AE1E65"/>
    <w:rsid w:val="00AE27E5"/>
    <w:rsid w:val="00AE2F4F"/>
    <w:rsid w:val="00AE4F73"/>
    <w:rsid w:val="00AE765A"/>
    <w:rsid w:val="00AF051A"/>
    <w:rsid w:val="00AF133D"/>
    <w:rsid w:val="00AF28DA"/>
    <w:rsid w:val="00AF30E8"/>
    <w:rsid w:val="00AF7C99"/>
    <w:rsid w:val="00B01936"/>
    <w:rsid w:val="00B02B5B"/>
    <w:rsid w:val="00B02E45"/>
    <w:rsid w:val="00B030BE"/>
    <w:rsid w:val="00B04982"/>
    <w:rsid w:val="00B0594B"/>
    <w:rsid w:val="00B07E5B"/>
    <w:rsid w:val="00B122EA"/>
    <w:rsid w:val="00B12EE9"/>
    <w:rsid w:val="00B13845"/>
    <w:rsid w:val="00B141E3"/>
    <w:rsid w:val="00B16817"/>
    <w:rsid w:val="00B168BE"/>
    <w:rsid w:val="00B30451"/>
    <w:rsid w:val="00B324A5"/>
    <w:rsid w:val="00B3608A"/>
    <w:rsid w:val="00B4551C"/>
    <w:rsid w:val="00B460AF"/>
    <w:rsid w:val="00B52010"/>
    <w:rsid w:val="00B5288D"/>
    <w:rsid w:val="00B550D8"/>
    <w:rsid w:val="00B55A38"/>
    <w:rsid w:val="00B574E7"/>
    <w:rsid w:val="00B603F3"/>
    <w:rsid w:val="00B6108B"/>
    <w:rsid w:val="00B64488"/>
    <w:rsid w:val="00B64B3E"/>
    <w:rsid w:val="00B662B2"/>
    <w:rsid w:val="00B6763B"/>
    <w:rsid w:val="00B67CBD"/>
    <w:rsid w:val="00B743BC"/>
    <w:rsid w:val="00B7560C"/>
    <w:rsid w:val="00B77674"/>
    <w:rsid w:val="00B81192"/>
    <w:rsid w:val="00B82D3C"/>
    <w:rsid w:val="00B921A8"/>
    <w:rsid w:val="00B929E6"/>
    <w:rsid w:val="00B92D1C"/>
    <w:rsid w:val="00B93097"/>
    <w:rsid w:val="00B945AE"/>
    <w:rsid w:val="00B94B25"/>
    <w:rsid w:val="00B971DD"/>
    <w:rsid w:val="00BA1340"/>
    <w:rsid w:val="00BA329A"/>
    <w:rsid w:val="00BA3A69"/>
    <w:rsid w:val="00BA3EE0"/>
    <w:rsid w:val="00BA4F3C"/>
    <w:rsid w:val="00BA5572"/>
    <w:rsid w:val="00BA5FAA"/>
    <w:rsid w:val="00BB13E6"/>
    <w:rsid w:val="00BB3D0A"/>
    <w:rsid w:val="00BB48B2"/>
    <w:rsid w:val="00BB6E81"/>
    <w:rsid w:val="00BC09F2"/>
    <w:rsid w:val="00BC4B8B"/>
    <w:rsid w:val="00BC5052"/>
    <w:rsid w:val="00BC7EEE"/>
    <w:rsid w:val="00BD09B7"/>
    <w:rsid w:val="00BD0B78"/>
    <w:rsid w:val="00BD0F97"/>
    <w:rsid w:val="00BD19AE"/>
    <w:rsid w:val="00BD42AE"/>
    <w:rsid w:val="00BD7BD8"/>
    <w:rsid w:val="00BE1382"/>
    <w:rsid w:val="00BE376D"/>
    <w:rsid w:val="00BE4A9B"/>
    <w:rsid w:val="00BE4E1A"/>
    <w:rsid w:val="00BE50FE"/>
    <w:rsid w:val="00BE5570"/>
    <w:rsid w:val="00BE5958"/>
    <w:rsid w:val="00BF0109"/>
    <w:rsid w:val="00BF0136"/>
    <w:rsid w:val="00BF071D"/>
    <w:rsid w:val="00BF4CA7"/>
    <w:rsid w:val="00C01E1C"/>
    <w:rsid w:val="00C02E48"/>
    <w:rsid w:val="00C030ED"/>
    <w:rsid w:val="00C04127"/>
    <w:rsid w:val="00C046AF"/>
    <w:rsid w:val="00C05C93"/>
    <w:rsid w:val="00C10B40"/>
    <w:rsid w:val="00C11B60"/>
    <w:rsid w:val="00C22AAE"/>
    <w:rsid w:val="00C2358F"/>
    <w:rsid w:val="00C239DD"/>
    <w:rsid w:val="00C240E2"/>
    <w:rsid w:val="00C24931"/>
    <w:rsid w:val="00C26466"/>
    <w:rsid w:val="00C27EF9"/>
    <w:rsid w:val="00C3018F"/>
    <w:rsid w:val="00C30671"/>
    <w:rsid w:val="00C3570E"/>
    <w:rsid w:val="00C374B9"/>
    <w:rsid w:val="00C429DD"/>
    <w:rsid w:val="00C44584"/>
    <w:rsid w:val="00C44B5A"/>
    <w:rsid w:val="00C46A87"/>
    <w:rsid w:val="00C472F7"/>
    <w:rsid w:val="00C47696"/>
    <w:rsid w:val="00C50EB9"/>
    <w:rsid w:val="00C53BED"/>
    <w:rsid w:val="00C54D58"/>
    <w:rsid w:val="00C577C8"/>
    <w:rsid w:val="00C60F96"/>
    <w:rsid w:val="00C63E30"/>
    <w:rsid w:val="00C673B2"/>
    <w:rsid w:val="00C73967"/>
    <w:rsid w:val="00C74BE2"/>
    <w:rsid w:val="00C76B0D"/>
    <w:rsid w:val="00C76D19"/>
    <w:rsid w:val="00C77360"/>
    <w:rsid w:val="00C84877"/>
    <w:rsid w:val="00C94023"/>
    <w:rsid w:val="00C945BF"/>
    <w:rsid w:val="00C95524"/>
    <w:rsid w:val="00C96EBF"/>
    <w:rsid w:val="00C97C20"/>
    <w:rsid w:val="00CA0F56"/>
    <w:rsid w:val="00CA33DD"/>
    <w:rsid w:val="00CA3611"/>
    <w:rsid w:val="00CA559B"/>
    <w:rsid w:val="00CB0D34"/>
    <w:rsid w:val="00CB5899"/>
    <w:rsid w:val="00CC0101"/>
    <w:rsid w:val="00CC1052"/>
    <w:rsid w:val="00CC3BC6"/>
    <w:rsid w:val="00CC55BF"/>
    <w:rsid w:val="00CC6623"/>
    <w:rsid w:val="00CD1489"/>
    <w:rsid w:val="00CD2F89"/>
    <w:rsid w:val="00CD31A0"/>
    <w:rsid w:val="00CD5D90"/>
    <w:rsid w:val="00CD7F1C"/>
    <w:rsid w:val="00CE01B7"/>
    <w:rsid w:val="00CE1C9D"/>
    <w:rsid w:val="00CE5750"/>
    <w:rsid w:val="00CE64B3"/>
    <w:rsid w:val="00CE6D51"/>
    <w:rsid w:val="00CE7965"/>
    <w:rsid w:val="00CF166A"/>
    <w:rsid w:val="00CF2A17"/>
    <w:rsid w:val="00CF2FFB"/>
    <w:rsid w:val="00CF3BFB"/>
    <w:rsid w:val="00CF7C41"/>
    <w:rsid w:val="00D00569"/>
    <w:rsid w:val="00D008E5"/>
    <w:rsid w:val="00D021A9"/>
    <w:rsid w:val="00D03283"/>
    <w:rsid w:val="00D05228"/>
    <w:rsid w:val="00D102A7"/>
    <w:rsid w:val="00D1288A"/>
    <w:rsid w:val="00D151EE"/>
    <w:rsid w:val="00D15473"/>
    <w:rsid w:val="00D15647"/>
    <w:rsid w:val="00D16971"/>
    <w:rsid w:val="00D16A9B"/>
    <w:rsid w:val="00D17AD3"/>
    <w:rsid w:val="00D2387F"/>
    <w:rsid w:val="00D24A1F"/>
    <w:rsid w:val="00D267B3"/>
    <w:rsid w:val="00D30F97"/>
    <w:rsid w:val="00D32087"/>
    <w:rsid w:val="00D3228A"/>
    <w:rsid w:val="00D32749"/>
    <w:rsid w:val="00D33169"/>
    <w:rsid w:val="00D333B8"/>
    <w:rsid w:val="00D353F4"/>
    <w:rsid w:val="00D357B5"/>
    <w:rsid w:val="00D43E6D"/>
    <w:rsid w:val="00D44756"/>
    <w:rsid w:val="00D44EA3"/>
    <w:rsid w:val="00D455E2"/>
    <w:rsid w:val="00D55B1D"/>
    <w:rsid w:val="00D563A5"/>
    <w:rsid w:val="00D56B5D"/>
    <w:rsid w:val="00D60221"/>
    <w:rsid w:val="00D61CB9"/>
    <w:rsid w:val="00D63793"/>
    <w:rsid w:val="00D648D8"/>
    <w:rsid w:val="00D649E5"/>
    <w:rsid w:val="00D64FF6"/>
    <w:rsid w:val="00D6584F"/>
    <w:rsid w:val="00D72050"/>
    <w:rsid w:val="00D72773"/>
    <w:rsid w:val="00D7356E"/>
    <w:rsid w:val="00D73611"/>
    <w:rsid w:val="00D73EF7"/>
    <w:rsid w:val="00D75C76"/>
    <w:rsid w:val="00D76B5D"/>
    <w:rsid w:val="00D77C6C"/>
    <w:rsid w:val="00D812D5"/>
    <w:rsid w:val="00D821E2"/>
    <w:rsid w:val="00D83AAD"/>
    <w:rsid w:val="00D84749"/>
    <w:rsid w:val="00D84B44"/>
    <w:rsid w:val="00D86835"/>
    <w:rsid w:val="00D9056E"/>
    <w:rsid w:val="00D90810"/>
    <w:rsid w:val="00D90F41"/>
    <w:rsid w:val="00D91A8F"/>
    <w:rsid w:val="00D94669"/>
    <w:rsid w:val="00D94E8D"/>
    <w:rsid w:val="00DA312D"/>
    <w:rsid w:val="00DA75FA"/>
    <w:rsid w:val="00DB04C6"/>
    <w:rsid w:val="00DB0A52"/>
    <w:rsid w:val="00DB413C"/>
    <w:rsid w:val="00DB4D06"/>
    <w:rsid w:val="00DB5B90"/>
    <w:rsid w:val="00DB6D44"/>
    <w:rsid w:val="00DB6D67"/>
    <w:rsid w:val="00DB7331"/>
    <w:rsid w:val="00DC2093"/>
    <w:rsid w:val="00DC4B88"/>
    <w:rsid w:val="00DC5C22"/>
    <w:rsid w:val="00DC685C"/>
    <w:rsid w:val="00DD05D4"/>
    <w:rsid w:val="00DD0DB6"/>
    <w:rsid w:val="00DD1325"/>
    <w:rsid w:val="00DE26EB"/>
    <w:rsid w:val="00DE4CEA"/>
    <w:rsid w:val="00DE5E8F"/>
    <w:rsid w:val="00DE7706"/>
    <w:rsid w:val="00DF06A0"/>
    <w:rsid w:val="00DF6BE0"/>
    <w:rsid w:val="00DF7FA7"/>
    <w:rsid w:val="00E00F1E"/>
    <w:rsid w:val="00E021D3"/>
    <w:rsid w:val="00E0255F"/>
    <w:rsid w:val="00E03212"/>
    <w:rsid w:val="00E03317"/>
    <w:rsid w:val="00E049DB"/>
    <w:rsid w:val="00E1053C"/>
    <w:rsid w:val="00E16C55"/>
    <w:rsid w:val="00E171C2"/>
    <w:rsid w:val="00E21D6B"/>
    <w:rsid w:val="00E21E2E"/>
    <w:rsid w:val="00E23202"/>
    <w:rsid w:val="00E2449D"/>
    <w:rsid w:val="00E257D3"/>
    <w:rsid w:val="00E26BDB"/>
    <w:rsid w:val="00E274DF"/>
    <w:rsid w:val="00E27EFB"/>
    <w:rsid w:val="00E306DA"/>
    <w:rsid w:val="00E32625"/>
    <w:rsid w:val="00E32971"/>
    <w:rsid w:val="00E40352"/>
    <w:rsid w:val="00E40495"/>
    <w:rsid w:val="00E422D1"/>
    <w:rsid w:val="00E4255C"/>
    <w:rsid w:val="00E44CAE"/>
    <w:rsid w:val="00E47549"/>
    <w:rsid w:val="00E50968"/>
    <w:rsid w:val="00E51F41"/>
    <w:rsid w:val="00E526A4"/>
    <w:rsid w:val="00E54A4B"/>
    <w:rsid w:val="00E54E71"/>
    <w:rsid w:val="00E5656C"/>
    <w:rsid w:val="00E617ED"/>
    <w:rsid w:val="00E625C8"/>
    <w:rsid w:val="00E7213F"/>
    <w:rsid w:val="00E74C21"/>
    <w:rsid w:val="00E752E6"/>
    <w:rsid w:val="00E7567C"/>
    <w:rsid w:val="00E75A5E"/>
    <w:rsid w:val="00E76F02"/>
    <w:rsid w:val="00E77504"/>
    <w:rsid w:val="00E81663"/>
    <w:rsid w:val="00E81AD5"/>
    <w:rsid w:val="00E86F7E"/>
    <w:rsid w:val="00E90066"/>
    <w:rsid w:val="00E900A3"/>
    <w:rsid w:val="00E904B2"/>
    <w:rsid w:val="00E907D5"/>
    <w:rsid w:val="00E9155E"/>
    <w:rsid w:val="00E93117"/>
    <w:rsid w:val="00E960DD"/>
    <w:rsid w:val="00E968E2"/>
    <w:rsid w:val="00E973F5"/>
    <w:rsid w:val="00E97428"/>
    <w:rsid w:val="00E975B6"/>
    <w:rsid w:val="00EA0E06"/>
    <w:rsid w:val="00EA14DF"/>
    <w:rsid w:val="00EA1A26"/>
    <w:rsid w:val="00EA1CB3"/>
    <w:rsid w:val="00EA4C31"/>
    <w:rsid w:val="00EA4E6A"/>
    <w:rsid w:val="00EA512F"/>
    <w:rsid w:val="00EA7CA7"/>
    <w:rsid w:val="00EB0CCC"/>
    <w:rsid w:val="00EB2A33"/>
    <w:rsid w:val="00EB4083"/>
    <w:rsid w:val="00EB41E9"/>
    <w:rsid w:val="00EB5EBC"/>
    <w:rsid w:val="00EB6361"/>
    <w:rsid w:val="00EB6A68"/>
    <w:rsid w:val="00EC1946"/>
    <w:rsid w:val="00EC3523"/>
    <w:rsid w:val="00ED12C3"/>
    <w:rsid w:val="00ED17C2"/>
    <w:rsid w:val="00ED3AC7"/>
    <w:rsid w:val="00ED3D06"/>
    <w:rsid w:val="00ED667A"/>
    <w:rsid w:val="00ED7A58"/>
    <w:rsid w:val="00ED7BAA"/>
    <w:rsid w:val="00EE1223"/>
    <w:rsid w:val="00EE1252"/>
    <w:rsid w:val="00EE1D44"/>
    <w:rsid w:val="00EE2721"/>
    <w:rsid w:val="00EE329D"/>
    <w:rsid w:val="00EE377B"/>
    <w:rsid w:val="00EE3FB5"/>
    <w:rsid w:val="00EE4012"/>
    <w:rsid w:val="00EE43D3"/>
    <w:rsid w:val="00EE46B9"/>
    <w:rsid w:val="00EE47FF"/>
    <w:rsid w:val="00EE7911"/>
    <w:rsid w:val="00EF2384"/>
    <w:rsid w:val="00EF6F5D"/>
    <w:rsid w:val="00F000B6"/>
    <w:rsid w:val="00F07B4F"/>
    <w:rsid w:val="00F07DDC"/>
    <w:rsid w:val="00F11AEB"/>
    <w:rsid w:val="00F11BFA"/>
    <w:rsid w:val="00F12F0F"/>
    <w:rsid w:val="00F146A7"/>
    <w:rsid w:val="00F20BDA"/>
    <w:rsid w:val="00F22E8B"/>
    <w:rsid w:val="00F2523D"/>
    <w:rsid w:val="00F31384"/>
    <w:rsid w:val="00F324E0"/>
    <w:rsid w:val="00F43FF3"/>
    <w:rsid w:val="00F44B65"/>
    <w:rsid w:val="00F5087A"/>
    <w:rsid w:val="00F5124B"/>
    <w:rsid w:val="00F53AD5"/>
    <w:rsid w:val="00F614C4"/>
    <w:rsid w:val="00F62FA4"/>
    <w:rsid w:val="00F6515A"/>
    <w:rsid w:val="00F66D75"/>
    <w:rsid w:val="00F67EB4"/>
    <w:rsid w:val="00F71040"/>
    <w:rsid w:val="00F71A6A"/>
    <w:rsid w:val="00F73D18"/>
    <w:rsid w:val="00F753D4"/>
    <w:rsid w:val="00F81E74"/>
    <w:rsid w:val="00F84E1D"/>
    <w:rsid w:val="00F9213F"/>
    <w:rsid w:val="00F93179"/>
    <w:rsid w:val="00F94742"/>
    <w:rsid w:val="00FA4B8D"/>
    <w:rsid w:val="00FB5A4D"/>
    <w:rsid w:val="00FB73B3"/>
    <w:rsid w:val="00FC1DC0"/>
    <w:rsid w:val="00FC58CB"/>
    <w:rsid w:val="00FC63DC"/>
    <w:rsid w:val="00FD0403"/>
    <w:rsid w:val="00FD2441"/>
    <w:rsid w:val="00FD3351"/>
    <w:rsid w:val="00FD3E2F"/>
    <w:rsid w:val="00FD5CEC"/>
    <w:rsid w:val="00FD7180"/>
    <w:rsid w:val="00FE09C4"/>
    <w:rsid w:val="00FE1957"/>
    <w:rsid w:val="00FE36E5"/>
    <w:rsid w:val="00FE3B91"/>
    <w:rsid w:val="00FE527F"/>
    <w:rsid w:val="00FE6E31"/>
    <w:rsid w:val="00FE76C2"/>
    <w:rsid w:val="00FF01EF"/>
    <w:rsid w:val="00FF06F0"/>
    <w:rsid w:val="00FF12AE"/>
    <w:rsid w:val="00FF1821"/>
    <w:rsid w:val="00FF2337"/>
    <w:rsid w:val="00FF37D7"/>
    <w:rsid w:val="00FF6F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docDefaults>
  <w:latentStyles w:defLockedState="0" w:defUIPriority="99" w:defSemiHidden="0" w:defUnhideWhenUsed="0" w:defQFormat="0" w:count="37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semiHidden/>
    <w:rsid w:val="004214B5"/>
    <w:pPr>
      <w:jc w:val="both"/>
    </w:pPr>
    <w:rPr>
      <w:rFonts w:eastAsiaTheme="minorEastAsia"/>
      <w:sz w:val="24"/>
    </w:rPr>
  </w:style>
  <w:style w:type="paragraph" w:styleId="Nagwek1">
    <w:name w:val="heading 1"/>
    <w:basedOn w:val="Normalny"/>
    <w:next w:val="Normalny"/>
    <w:link w:val="Nagwek1Znak"/>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4214B5"/>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4214B5"/>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4214B5"/>
    <w:pPr>
      <w:spacing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9"/>
    <w:semiHidden/>
    <w:qFormat/>
    <w:rsid w:val="004214B5"/>
    <w:pPr>
      <w:outlineLvl w:val="6"/>
    </w:pPr>
    <w:rPr>
      <w:rFonts w:asciiTheme="majorHAnsi" w:eastAsiaTheme="majorEastAsia" w:hAnsiTheme="majorHAnsi" w:cstheme="majorBidi"/>
      <w:i/>
      <w:iCs/>
      <w:sz w:val="22"/>
    </w:rPr>
  </w:style>
  <w:style w:type="paragraph" w:styleId="Nagwek8">
    <w:name w:val="heading 8"/>
    <w:basedOn w:val="Normalny"/>
    <w:next w:val="Normalny"/>
    <w:link w:val="Nagwek8Znak"/>
    <w:uiPriority w:val="99"/>
    <w:semiHidden/>
    <w:qFormat/>
    <w:rsid w:val="004214B5"/>
    <w:pPr>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9"/>
    <w:semiHidden/>
    <w:qFormat/>
    <w:rsid w:val="004214B5"/>
    <w:pPr>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CHRHeading1">
    <w:name w:val="ECHR_Heading_1"/>
    <w:aliases w:val="Ju_H_I_Roman"/>
    <w:basedOn w:val="Nagwek1"/>
    <w:next w:val="ECHRPara"/>
    <w:uiPriority w:val="19"/>
    <w:qFormat/>
    <w:rsid w:val="004214B5"/>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ny"/>
    <w:next w:val="ECHRPara"/>
    <w:uiPriority w:val="18"/>
    <w:qFormat/>
    <w:rsid w:val="004214B5"/>
    <w:pPr>
      <w:keepNext/>
      <w:keepLines/>
      <w:spacing w:before="720" w:after="240"/>
      <w:outlineLvl w:val="0"/>
    </w:pPr>
    <w:rPr>
      <w:rFonts w:asciiTheme="majorHAnsi" w:hAnsiTheme="majorHAnsi"/>
      <w:sz w:val="28"/>
    </w:rPr>
  </w:style>
  <w:style w:type="paragraph" w:customStyle="1" w:styleId="ECHRPara">
    <w:name w:val="ECHR_Para"/>
    <w:aliases w:val="Ju_Para,Left,First line:  0 cm,Para"/>
    <w:basedOn w:val="Normalny"/>
    <w:link w:val="JuParaChar"/>
    <w:uiPriority w:val="12"/>
    <w:qFormat/>
    <w:rsid w:val="004214B5"/>
    <w:pPr>
      <w:ind w:firstLine="284"/>
    </w:pPr>
  </w:style>
  <w:style w:type="character" w:customStyle="1" w:styleId="JuParaChar">
    <w:name w:val="Ju_Para Char"/>
    <w:link w:val="ECHRPara"/>
    <w:rsid w:val="00B921A8"/>
    <w:rPr>
      <w:rFonts w:eastAsiaTheme="minorEastAsia"/>
      <w:sz w:val="24"/>
    </w:rPr>
  </w:style>
  <w:style w:type="paragraph" w:styleId="Stopka">
    <w:name w:val="footer"/>
    <w:basedOn w:val="Normalny"/>
    <w:link w:val="StopkaZnak"/>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ny"/>
    <w:link w:val="JuJudgesChar"/>
    <w:uiPriority w:val="11"/>
    <w:qFormat/>
    <w:rsid w:val="004214B5"/>
    <w:pPr>
      <w:tabs>
        <w:tab w:val="left" w:pos="567"/>
        <w:tab w:val="left" w:pos="1134"/>
      </w:tabs>
      <w:jc w:val="left"/>
    </w:p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Nagwek2"/>
    <w:next w:val="ECHRPara"/>
    <w:uiPriority w:val="20"/>
    <w:qFormat/>
    <w:rsid w:val="004214B5"/>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ny"/>
    <w:link w:val="JuQuotChar"/>
    <w:qFormat/>
    <w:rsid w:val="004214B5"/>
    <w:pPr>
      <w:spacing w:before="120" w:after="120"/>
      <w:ind w:left="425" w:firstLine="142"/>
    </w:pPr>
    <w:rPr>
      <w:sz w:val="20"/>
    </w:rPr>
  </w:style>
  <w:style w:type="paragraph" w:customStyle="1" w:styleId="JuSigned">
    <w:name w:val="Ju_Signed"/>
    <w:basedOn w:val="Normalny"/>
    <w:next w:val="JuParaLast"/>
    <w:link w:val="JuSignedChar"/>
    <w:uiPriority w:val="32"/>
    <w:qFormat/>
    <w:rsid w:val="004214B5"/>
    <w:pPr>
      <w:tabs>
        <w:tab w:val="center" w:pos="851"/>
        <w:tab w:val="center" w:pos="6407"/>
      </w:tabs>
      <w:spacing w:before="720"/>
      <w:jc w:val="left"/>
    </w:pPr>
  </w:style>
  <w:style w:type="paragraph" w:customStyle="1" w:styleId="JuParaLast">
    <w:name w:val="Ju_Para_Last"/>
    <w:basedOn w:val="Normalny"/>
    <w:next w:val="ECHRPara"/>
    <w:uiPriority w:val="30"/>
    <w:qFormat/>
    <w:rsid w:val="004214B5"/>
    <w:pPr>
      <w:keepNext/>
      <w:keepLines/>
      <w:spacing w:before="240"/>
      <w:ind w:firstLine="284"/>
    </w:p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ny"/>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pl-PL" w:eastAsia="pl-PL"/>
    </w:rPr>
  </w:style>
  <w:style w:type="paragraph" w:customStyle="1" w:styleId="JuList">
    <w:name w:val="Ju_List"/>
    <w:basedOn w:val="Normalny"/>
    <w:link w:val="JuListChar"/>
    <w:uiPriority w:val="28"/>
    <w:qFormat/>
    <w:rsid w:val="004214B5"/>
    <w:pPr>
      <w:ind w:left="340" w:hanging="340"/>
    </w:p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ny"/>
    <w:next w:val="Normalny"/>
    <w:uiPriority w:val="16"/>
    <w:qFormat/>
    <w:rsid w:val="004214B5"/>
    <w:pPr>
      <w:tabs>
        <w:tab w:val="left" w:pos="907"/>
        <w:tab w:val="left" w:pos="1701"/>
        <w:tab w:val="right" w:pos="7371"/>
      </w:tabs>
      <w:spacing w:before="240"/>
      <w:ind w:left="397" w:hanging="397"/>
      <w:jc w:val="left"/>
    </w:pPr>
  </w:style>
  <w:style w:type="paragraph" w:styleId="Tekstprzypisudolnego">
    <w:name w:val="footnote text"/>
    <w:basedOn w:val="Normalny"/>
    <w:link w:val="TekstprzypisudolnegoZnak"/>
    <w:uiPriority w:val="99"/>
    <w:semiHidden/>
    <w:rsid w:val="004214B5"/>
    <w:rPr>
      <w:sz w:val="20"/>
      <w:szCs w:val="20"/>
    </w:rPr>
  </w:style>
  <w:style w:type="character" w:styleId="Odwoanieprzypisudolnego">
    <w:name w:val="footnote reference"/>
    <w:basedOn w:val="Domylnaczcionkaakapitu"/>
    <w:semiHidden/>
    <w:rsid w:val="004214B5"/>
    <w:rPr>
      <w:vertAlign w:val="superscript"/>
    </w:rPr>
  </w:style>
  <w:style w:type="paragraph" w:styleId="Nagwek">
    <w:name w:val="header"/>
    <w:basedOn w:val="Normalny"/>
    <w:link w:val="NagwekZnak"/>
    <w:uiPriority w:val="99"/>
    <w:semiHidden/>
    <w:rsid w:val="004214B5"/>
    <w:pPr>
      <w:tabs>
        <w:tab w:val="center" w:pos="4536"/>
        <w:tab w:val="right" w:pos="9072"/>
      </w:tabs>
    </w:pPr>
    <w:rPr>
      <w:rFonts w:eastAsiaTheme="minorHAnsi"/>
    </w:rPr>
  </w:style>
  <w:style w:type="character" w:styleId="Numerstrony">
    <w:name w:val="page number"/>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ny"/>
    <w:next w:val="JuLista"/>
    <w:uiPriority w:val="28"/>
    <w:qFormat/>
    <w:rsid w:val="004214B5"/>
    <w:pPr>
      <w:ind w:left="794"/>
    </w:pPr>
  </w:style>
  <w:style w:type="character" w:styleId="Odwoaniedokomentarza">
    <w:name w:val="annotation reference"/>
    <w:uiPriority w:val="99"/>
    <w:semiHidden/>
    <w:rPr>
      <w:sz w:val="16"/>
    </w:rPr>
  </w:style>
  <w:style w:type="paragraph" w:styleId="Tekstkomentarza">
    <w:name w:val="annotation text"/>
    <w:basedOn w:val="Normalny"/>
    <w:uiPriority w:val="99"/>
    <w:semiHidden/>
    <w:rPr>
      <w:sz w:val="20"/>
    </w:rPr>
  </w:style>
  <w:style w:type="paragraph" w:styleId="Tekstdymka">
    <w:name w:val="Balloon Text"/>
    <w:basedOn w:val="Normalny"/>
    <w:link w:val="TekstdymkaZnak"/>
    <w:uiPriority w:val="99"/>
    <w:semiHidden/>
    <w:rsid w:val="004214B5"/>
    <w:rPr>
      <w:rFonts w:ascii="Tahoma" w:hAnsi="Tahoma" w:cs="Tahoma"/>
      <w:sz w:val="16"/>
      <w:szCs w:val="16"/>
    </w:rPr>
  </w:style>
  <w:style w:type="paragraph" w:styleId="Tematkomentarza">
    <w:name w:val="annotation subject"/>
    <w:basedOn w:val="Tekstkomentarza"/>
    <w:next w:val="Tekstkomentarza"/>
    <w:uiPriority w:val="99"/>
    <w:semiHidden/>
    <w:rsid w:val="00D353F4"/>
    <w:rPr>
      <w:b/>
      <w:bCs/>
    </w:rPr>
  </w:style>
  <w:style w:type="character" w:styleId="Odwoanieprzypisukocowego">
    <w:name w:val="endnote reference"/>
    <w:uiPriority w:val="99"/>
    <w:semiHidden/>
    <w:rsid w:val="00D1288A"/>
    <w:rPr>
      <w:vertAlign w:val="superscript"/>
    </w:rPr>
  </w:style>
  <w:style w:type="paragraph" w:styleId="Tekstprzypisukocowego">
    <w:name w:val="endnote text"/>
    <w:basedOn w:val="Normalny"/>
    <w:uiPriority w:val="99"/>
    <w:semiHidden/>
    <w:rsid w:val="00D1288A"/>
    <w:rPr>
      <w:sz w:val="20"/>
    </w:rPr>
  </w:style>
  <w:style w:type="character" w:styleId="UyteHipercze">
    <w:name w:val="FollowedHyperlink"/>
    <w:uiPriority w:val="99"/>
    <w:semiHidden/>
    <w:rsid w:val="00D1288A"/>
    <w:rPr>
      <w:color w:val="800080"/>
      <w:u w:val="single"/>
    </w:rPr>
  </w:style>
  <w:style w:type="character" w:styleId="Hipercze">
    <w:name w:val="Hyperlink"/>
    <w:basedOn w:val="Domylnaczcionkaakapitu"/>
    <w:uiPriority w:val="99"/>
    <w:semiHidden/>
    <w:rsid w:val="004214B5"/>
    <w:rPr>
      <w:color w:val="0072BC" w:themeColor="hyperlink"/>
      <w:u w:val="single"/>
    </w:rPr>
  </w:style>
  <w:style w:type="character" w:styleId="Pogrubienie">
    <w:name w:val="Strong"/>
    <w:uiPriority w:val="99"/>
    <w:semiHidden/>
    <w:qFormat/>
    <w:rsid w:val="004214B5"/>
    <w:rPr>
      <w:b/>
      <w:bCs/>
    </w:rPr>
  </w:style>
  <w:style w:type="paragraph" w:styleId="Mapadokumentu">
    <w:name w:val="Document Map"/>
    <w:basedOn w:val="Normalny"/>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apunktowana">
    <w:name w:val="List Bullet"/>
    <w:basedOn w:val="Normalny"/>
    <w:uiPriority w:val="99"/>
    <w:semiHidden/>
    <w:rsid w:val="008824B9"/>
    <w:pPr>
      <w:numPr>
        <w:numId w:val="1"/>
      </w:numPr>
    </w:pPr>
  </w:style>
  <w:style w:type="character" w:customStyle="1" w:styleId="JuITMark">
    <w:name w:val="Ju_ITMark"/>
    <w:basedOn w:val="Domylnaczcionkaakapitu"/>
    <w:uiPriority w:val="38"/>
    <w:qFormat/>
    <w:rsid w:val="004214B5"/>
    <w:rPr>
      <w:vanish/>
      <w:color w:val="339966"/>
      <w:sz w:val="14"/>
    </w:rPr>
  </w:style>
  <w:style w:type="character" w:customStyle="1" w:styleId="Nagwek1Znak">
    <w:name w:val="Nagłówek 1 Znak"/>
    <w:basedOn w:val="Domylnaczcionkaakapitu"/>
    <w:link w:val="Nagwek1"/>
    <w:uiPriority w:val="99"/>
    <w:semiHidden/>
    <w:rsid w:val="004214B5"/>
    <w:rPr>
      <w:rFonts w:asciiTheme="majorHAnsi" w:eastAsiaTheme="majorEastAsia" w:hAnsiTheme="majorHAnsi" w:cstheme="majorBidi"/>
      <w:b/>
      <w:bCs/>
      <w:color w:val="333333"/>
      <w:sz w:val="28"/>
      <w:szCs w:val="28"/>
      <w:lang w:val="pl-PL" w:eastAsia="pl-PL"/>
    </w:rPr>
  </w:style>
  <w:style w:type="character" w:customStyle="1" w:styleId="Nagwek2Znak">
    <w:name w:val="Nagłówek 2 Znak"/>
    <w:basedOn w:val="Domylnaczcionkaakapitu"/>
    <w:link w:val="Nagwek2"/>
    <w:uiPriority w:val="99"/>
    <w:semiHidden/>
    <w:rsid w:val="004214B5"/>
    <w:rPr>
      <w:rFonts w:asciiTheme="majorHAnsi" w:eastAsiaTheme="majorEastAsia" w:hAnsiTheme="majorHAnsi" w:cstheme="majorBidi"/>
      <w:b/>
      <w:bCs/>
      <w:color w:val="4D4D4D"/>
      <w:sz w:val="26"/>
      <w:szCs w:val="26"/>
      <w:lang w:val="pl-PL" w:eastAsia="pl-PL"/>
    </w:rPr>
  </w:style>
  <w:style w:type="character" w:customStyle="1" w:styleId="Nagwek3Znak">
    <w:name w:val="Nagłówek 3 Znak"/>
    <w:basedOn w:val="Domylnaczcionkaakapitu"/>
    <w:link w:val="Nagwek3"/>
    <w:uiPriority w:val="99"/>
    <w:semiHidden/>
    <w:rsid w:val="004214B5"/>
    <w:rPr>
      <w:rFonts w:asciiTheme="majorHAnsi" w:eastAsiaTheme="majorEastAsia" w:hAnsiTheme="majorHAnsi" w:cstheme="majorBidi"/>
      <w:b/>
      <w:bCs/>
      <w:color w:val="5F5F5F"/>
      <w:sz w:val="24"/>
      <w:lang w:val="pl-PL" w:eastAsia="pl-PL"/>
    </w:rPr>
  </w:style>
  <w:style w:type="character" w:customStyle="1" w:styleId="Nagwek4Znak">
    <w:name w:val="Nagłówek 4 Znak"/>
    <w:basedOn w:val="Domylnaczcionkaakapitu"/>
    <w:link w:val="Nagwek4"/>
    <w:uiPriority w:val="99"/>
    <w:semiHidden/>
    <w:rsid w:val="004214B5"/>
    <w:rPr>
      <w:rFonts w:asciiTheme="majorHAnsi" w:eastAsiaTheme="majorEastAsia" w:hAnsiTheme="majorHAnsi" w:cstheme="majorBidi"/>
      <w:b/>
      <w:bCs/>
      <w:i/>
      <w:iCs/>
      <w:color w:val="777777"/>
      <w:sz w:val="24"/>
      <w:lang w:val="pl-PL" w:eastAsia="pl-PL"/>
    </w:rPr>
  </w:style>
  <w:style w:type="character" w:customStyle="1" w:styleId="Nagwek6Znak">
    <w:name w:val="Nagłówek 6 Znak"/>
    <w:basedOn w:val="Domylnaczcionkaakapitu"/>
    <w:link w:val="Nagwek6"/>
    <w:uiPriority w:val="99"/>
    <w:semiHidden/>
    <w:rsid w:val="004214B5"/>
    <w:rPr>
      <w:rFonts w:asciiTheme="majorHAnsi" w:eastAsiaTheme="majorEastAsia" w:hAnsiTheme="majorHAnsi" w:cstheme="majorBidi"/>
      <w:b/>
      <w:bCs/>
      <w:i/>
      <w:iCs/>
      <w:color w:val="7F7F7F" w:themeColor="text1" w:themeTint="80"/>
      <w:sz w:val="24"/>
      <w:lang w:val="pl-PL" w:eastAsia="pl-PL" w:bidi="pl-PL"/>
    </w:rPr>
  </w:style>
  <w:style w:type="character" w:customStyle="1" w:styleId="TekstdymkaZnak">
    <w:name w:val="Tekst dymka Znak"/>
    <w:basedOn w:val="Domylnaczcionkaakapitu"/>
    <w:link w:val="Tekstdymka"/>
    <w:uiPriority w:val="99"/>
    <w:semiHidden/>
    <w:rsid w:val="004214B5"/>
    <w:rPr>
      <w:rFonts w:ascii="Tahoma" w:eastAsiaTheme="minorEastAsia" w:hAnsi="Tahoma" w:cs="Tahoma"/>
      <w:sz w:val="16"/>
      <w:szCs w:val="16"/>
      <w:lang w:val="pl-PL" w:eastAsia="pl-PL"/>
    </w:rPr>
  </w:style>
  <w:style w:type="paragraph" w:customStyle="1" w:styleId="ECHRFooter">
    <w:name w:val="ECHR_Footer"/>
    <w:aliases w:val="Footer_ECHR"/>
    <w:basedOn w:val="Stopka"/>
    <w:uiPriority w:val="57"/>
    <w:semiHidden/>
    <w:rsid w:val="004214B5"/>
    <w:pPr>
      <w:jc w:val="left"/>
    </w:pPr>
    <w:rPr>
      <w:sz w:val="8"/>
    </w:rPr>
  </w:style>
  <w:style w:type="paragraph" w:customStyle="1" w:styleId="ECHRFooterLine">
    <w:name w:val="ECHR_Footer_Line"/>
    <w:aliases w:val="Footer_Line"/>
    <w:basedOn w:val="Normalny"/>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NagwekZnak">
    <w:name w:val="Nagłówek Znak"/>
    <w:basedOn w:val="Domylnaczcionkaakapitu"/>
    <w:link w:val="Nagwek"/>
    <w:uiPriority w:val="57"/>
    <w:semiHidden/>
    <w:rsid w:val="004214B5"/>
    <w:rPr>
      <w:sz w:val="24"/>
      <w:lang w:val="pl-PL" w:eastAsia="pl-PL"/>
    </w:rPr>
  </w:style>
  <w:style w:type="paragraph" w:customStyle="1" w:styleId="ECHRHeader">
    <w:name w:val="ECHR_Header"/>
    <w:aliases w:val="Ju_Header"/>
    <w:basedOn w:val="Nagwek"/>
    <w:uiPriority w:val="4"/>
    <w:qFormat/>
    <w:rsid w:val="004214B5"/>
    <w:pPr>
      <w:tabs>
        <w:tab w:val="clear" w:pos="4536"/>
        <w:tab w:val="clear" w:pos="9072"/>
        <w:tab w:val="center" w:pos="3686"/>
        <w:tab w:val="right" w:pos="7371"/>
      </w:tabs>
      <w:jc w:val="left"/>
    </w:pPr>
    <w:rPr>
      <w:sz w:val="18"/>
    </w:rPr>
  </w:style>
  <w:style w:type="character" w:customStyle="1" w:styleId="StopkaZnak">
    <w:name w:val="Stopka Znak"/>
    <w:basedOn w:val="Domylnaczcionkaakapitu"/>
    <w:link w:val="Stopka"/>
    <w:uiPriority w:val="57"/>
    <w:semiHidden/>
    <w:rsid w:val="004214B5"/>
    <w:rPr>
      <w:sz w:val="24"/>
      <w:lang w:val="pl-PL" w:eastAsia="pl-PL"/>
    </w:rPr>
  </w:style>
  <w:style w:type="character" w:customStyle="1" w:styleId="TekstprzypisudolnegoZnak">
    <w:name w:val="Tekst przypisu dolnego Znak"/>
    <w:basedOn w:val="Domylnaczcionkaakapitu"/>
    <w:link w:val="Tekstprzypisudolnego"/>
    <w:uiPriority w:val="99"/>
    <w:semiHidden/>
    <w:rsid w:val="004214B5"/>
    <w:rPr>
      <w:rFonts w:eastAsiaTheme="minorEastAsia"/>
      <w:sz w:val="20"/>
      <w:szCs w:val="20"/>
      <w:lang w:val="pl-PL" w:eastAsia="pl-PL"/>
    </w:rPr>
  </w:style>
  <w:style w:type="paragraph" w:customStyle="1" w:styleId="JuAppQuestion">
    <w:name w:val="Ju_App_Question"/>
    <w:basedOn w:val="Normalny"/>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ny"/>
    <w:next w:val="ECHRParaQuote"/>
    <w:uiPriority w:val="27"/>
    <w:qFormat/>
    <w:rsid w:val="004214B5"/>
    <w:pPr>
      <w:keepNext/>
      <w:keepLines/>
      <w:spacing w:before="240" w:after="120"/>
      <w:jc w:val="center"/>
      <w:outlineLvl w:val="3"/>
    </w:pPr>
    <w:rPr>
      <w:rFonts w:asciiTheme="majorHAnsi" w:hAnsiTheme="majorHAnsi"/>
      <w:b/>
      <w:sz w:val="20"/>
    </w:rPr>
  </w:style>
  <w:style w:type="paragraph" w:customStyle="1" w:styleId="ECHRTitleCentre2">
    <w:name w:val="ECHR_Title_Centre_2"/>
    <w:aliases w:val="Dec_H_Case"/>
    <w:basedOn w:val="Normalny"/>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ny"/>
    <w:next w:val="ECHRPara"/>
    <w:uiPriority w:val="3"/>
    <w:semiHidden/>
    <w:rsid w:val="004214B5"/>
    <w:pPr>
      <w:spacing w:before="720" w:after="240"/>
      <w:jc w:val="center"/>
      <w:outlineLvl w:val="0"/>
    </w:pPr>
    <w:rPr>
      <w:rFonts w:asciiTheme="majorHAnsi" w:hAnsiTheme="majorHAnsi"/>
      <w:b/>
      <w:caps/>
    </w:rPr>
  </w:style>
  <w:style w:type="character" w:customStyle="1" w:styleId="Nagwek5Znak">
    <w:name w:val="Nagłówek 5 Znak"/>
    <w:basedOn w:val="Domylnaczcionkaakapitu"/>
    <w:link w:val="Nagwek5"/>
    <w:uiPriority w:val="99"/>
    <w:semiHidden/>
    <w:rsid w:val="004214B5"/>
    <w:rPr>
      <w:rFonts w:asciiTheme="majorHAnsi" w:eastAsiaTheme="majorEastAsia" w:hAnsiTheme="majorHAnsi" w:cstheme="majorBidi"/>
      <w:b/>
      <w:bCs/>
      <w:color w:val="808080"/>
    </w:rPr>
  </w:style>
  <w:style w:type="character" w:customStyle="1" w:styleId="Nagwek7Znak">
    <w:name w:val="Nagłówek 7 Znak"/>
    <w:basedOn w:val="Domylnaczcionkaakapitu"/>
    <w:link w:val="Nagwek7"/>
    <w:uiPriority w:val="99"/>
    <w:semiHidden/>
    <w:rsid w:val="004214B5"/>
    <w:rPr>
      <w:rFonts w:asciiTheme="majorHAnsi" w:eastAsiaTheme="majorEastAsia" w:hAnsiTheme="majorHAnsi" w:cstheme="majorBidi"/>
      <w:i/>
      <w:iCs/>
      <w:lang w:bidi="pl-PL"/>
    </w:rPr>
  </w:style>
  <w:style w:type="character" w:customStyle="1" w:styleId="Nagwek8Znak">
    <w:name w:val="Nagłówek 8 Znak"/>
    <w:basedOn w:val="Domylnaczcionkaakapitu"/>
    <w:link w:val="Nagwek8"/>
    <w:uiPriority w:val="99"/>
    <w:semiHidden/>
    <w:rsid w:val="004214B5"/>
    <w:rPr>
      <w:rFonts w:asciiTheme="majorHAnsi" w:eastAsiaTheme="majorEastAsia" w:hAnsiTheme="majorHAnsi" w:cstheme="majorBidi"/>
      <w:sz w:val="20"/>
      <w:szCs w:val="20"/>
      <w:lang w:bidi="pl-PL"/>
    </w:rPr>
  </w:style>
  <w:style w:type="character" w:customStyle="1" w:styleId="Nagwek9Znak">
    <w:name w:val="Nagłówek 9 Znak"/>
    <w:basedOn w:val="Domylnaczcionkaakapitu"/>
    <w:link w:val="Nagwek9"/>
    <w:uiPriority w:val="99"/>
    <w:semiHidden/>
    <w:rsid w:val="004214B5"/>
    <w:rPr>
      <w:rFonts w:asciiTheme="majorHAnsi" w:eastAsiaTheme="majorEastAsia" w:hAnsiTheme="majorHAnsi" w:cstheme="majorBidi"/>
      <w:i/>
      <w:iCs/>
      <w:spacing w:val="5"/>
      <w:sz w:val="20"/>
      <w:szCs w:val="20"/>
      <w:lang w:bidi="pl-PL"/>
    </w:rPr>
  </w:style>
  <w:style w:type="paragraph" w:styleId="Tytu">
    <w:name w:val="Title"/>
    <w:basedOn w:val="Normalny"/>
    <w:next w:val="Normalny"/>
    <w:link w:val="TytuZnak"/>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99"/>
    <w:semiHidden/>
    <w:rsid w:val="004214B5"/>
    <w:rPr>
      <w:rFonts w:asciiTheme="majorHAnsi" w:eastAsiaTheme="majorEastAsia" w:hAnsiTheme="majorHAnsi" w:cstheme="majorBidi"/>
      <w:spacing w:val="5"/>
      <w:sz w:val="52"/>
      <w:szCs w:val="52"/>
      <w:lang w:bidi="pl-PL"/>
    </w:rPr>
  </w:style>
  <w:style w:type="paragraph" w:styleId="Podtytu">
    <w:name w:val="Subtitle"/>
    <w:basedOn w:val="Normalny"/>
    <w:next w:val="Normalny"/>
    <w:link w:val="PodtytuZnak"/>
    <w:uiPriority w:val="99"/>
    <w:semiHidden/>
    <w:qFormat/>
    <w:rsid w:val="004214B5"/>
    <w:pPr>
      <w:spacing w:after="600"/>
    </w:pPr>
    <w:rPr>
      <w:rFonts w:asciiTheme="majorHAnsi" w:eastAsiaTheme="majorEastAsia" w:hAnsiTheme="majorHAnsi" w:cstheme="majorBidi"/>
      <w:i/>
      <w:iCs/>
      <w:spacing w:val="13"/>
      <w:szCs w:val="24"/>
    </w:rPr>
  </w:style>
  <w:style w:type="character" w:customStyle="1" w:styleId="PodtytuZnak">
    <w:name w:val="Podtytuł Znak"/>
    <w:basedOn w:val="Domylnaczcionkaakapitu"/>
    <w:link w:val="Podtytu"/>
    <w:uiPriority w:val="99"/>
    <w:semiHidden/>
    <w:rsid w:val="004214B5"/>
    <w:rPr>
      <w:rFonts w:asciiTheme="majorHAnsi" w:eastAsiaTheme="majorEastAsia" w:hAnsiTheme="majorHAnsi" w:cstheme="majorBidi"/>
      <w:i/>
      <w:iCs/>
      <w:spacing w:val="13"/>
      <w:sz w:val="24"/>
      <w:szCs w:val="24"/>
      <w:lang w:bidi="pl-PL"/>
    </w:rPr>
  </w:style>
  <w:style w:type="character" w:styleId="Uwydatnienie">
    <w:name w:val="Emphasis"/>
    <w:uiPriority w:val="99"/>
    <w:semiHidden/>
    <w:qFormat/>
    <w:rsid w:val="004214B5"/>
    <w:rPr>
      <w:b/>
      <w:bCs/>
      <w:i/>
      <w:iCs/>
      <w:spacing w:val="10"/>
      <w:bdr w:val="none" w:sz="0" w:space="0" w:color="auto"/>
      <w:shd w:val="clear" w:color="auto" w:fill="auto"/>
    </w:rPr>
  </w:style>
  <w:style w:type="paragraph" w:styleId="Bezodstpw">
    <w:name w:val="No Spacing"/>
    <w:basedOn w:val="Normalny"/>
    <w:link w:val="BezodstpwZnak"/>
    <w:uiPriority w:val="99"/>
    <w:semiHidden/>
    <w:qFormat/>
    <w:rsid w:val="004214B5"/>
    <w:rPr>
      <w:sz w:val="22"/>
    </w:rPr>
  </w:style>
  <w:style w:type="character" w:customStyle="1" w:styleId="BezodstpwZnak">
    <w:name w:val="Bez odstępów Znak"/>
    <w:basedOn w:val="Domylnaczcionkaakapitu"/>
    <w:link w:val="Bezodstpw"/>
    <w:semiHidden/>
    <w:rsid w:val="004214B5"/>
    <w:rPr>
      <w:rFonts w:eastAsiaTheme="minorEastAsia"/>
    </w:rPr>
  </w:style>
  <w:style w:type="paragraph" w:styleId="Akapitzlist">
    <w:name w:val="List Paragraph"/>
    <w:basedOn w:val="Normalny"/>
    <w:uiPriority w:val="99"/>
    <w:semiHidden/>
    <w:qFormat/>
    <w:rsid w:val="004214B5"/>
    <w:pPr>
      <w:ind w:left="720"/>
      <w:contextualSpacing/>
    </w:pPr>
  </w:style>
  <w:style w:type="paragraph" w:styleId="Cytat">
    <w:name w:val="Quote"/>
    <w:basedOn w:val="Normalny"/>
    <w:next w:val="Normalny"/>
    <w:link w:val="CytatZnak"/>
    <w:uiPriority w:val="99"/>
    <w:semiHidden/>
    <w:qFormat/>
    <w:rsid w:val="004214B5"/>
    <w:pPr>
      <w:spacing w:before="200"/>
      <w:ind w:left="360" w:right="360"/>
    </w:pPr>
    <w:rPr>
      <w:i/>
      <w:iCs/>
      <w:sz w:val="22"/>
    </w:rPr>
  </w:style>
  <w:style w:type="character" w:customStyle="1" w:styleId="CytatZnak">
    <w:name w:val="Cytat Znak"/>
    <w:basedOn w:val="Domylnaczcionkaakapitu"/>
    <w:link w:val="Cytat"/>
    <w:uiPriority w:val="99"/>
    <w:semiHidden/>
    <w:rsid w:val="004214B5"/>
    <w:rPr>
      <w:rFonts w:eastAsiaTheme="minorEastAsia"/>
      <w:i/>
      <w:iCs/>
      <w:lang w:bidi="pl-PL"/>
    </w:rPr>
  </w:style>
  <w:style w:type="paragraph" w:styleId="Cytatintensywny">
    <w:name w:val="Intense Quote"/>
    <w:basedOn w:val="Normalny"/>
    <w:next w:val="Normalny"/>
    <w:link w:val="CytatintensywnyZnak"/>
    <w:uiPriority w:val="99"/>
    <w:semiHidden/>
    <w:qFormat/>
    <w:rsid w:val="004214B5"/>
    <w:pPr>
      <w:pBdr>
        <w:bottom w:val="single" w:sz="4" w:space="1" w:color="auto"/>
      </w:pBdr>
      <w:spacing w:before="200" w:after="280"/>
      <w:ind w:left="1008" w:right="1152"/>
    </w:pPr>
    <w:rPr>
      <w:b/>
      <w:bCs/>
      <w:i/>
      <w:iCs/>
      <w:sz w:val="22"/>
    </w:rPr>
  </w:style>
  <w:style w:type="character" w:customStyle="1" w:styleId="CytatintensywnyZnak">
    <w:name w:val="Cytat intensywny Znak"/>
    <w:basedOn w:val="Domylnaczcionkaakapitu"/>
    <w:link w:val="Cytatintensywny"/>
    <w:uiPriority w:val="99"/>
    <w:semiHidden/>
    <w:rsid w:val="004214B5"/>
    <w:rPr>
      <w:rFonts w:eastAsiaTheme="minorEastAsia"/>
      <w:b/>
      <w:bCs/>
      <w:i/>
      <w:iCs/>
      <w:lang w:bidi="pl-PL"/>
    </w:rPr>
  </w:style>
  <w:style w:type="character" w:styleId="Wyrnieniedelikatne">
    <w:name w:val="Subtle Emphasis"/>
    <w:uiPriority w:val="99"/>
    <w:semiHidden/>
    <w:qFormat/>
    <w:rsid w:val="004214B5"/>
    <w:rPr>
      <w:i/>
      <w:iCs/>
    </w:rPr>
  </w:style>
  <w:style w:type="character" w:styleId="Wyrnienieintensywne">
    <w:name w:val="Intense Emphasis"/>
    <w:uiPriority w:val="99"/>
    <w:semiHidden/>
    <w:qFormat/>
    <w:rsid w:val="004214B5"/>
    <w:rPr>
      <w:b/>
      <w:bCs/>
    </w:rPr>
  </w:style>
  <w:style w:type="character" w:styleId="Odwoaniedelikatne">
    <w:name w:val="Subtle Reference"/>
    <w:uiPriority w:val="99"/>
    <w:semiHidden/>
    <w:qFormat/>
    <w:rsid w:val="004214B5"/>
    <w:rPr>
      <w:smallCaps/>
    </w:rPr>
  </w:style>
  <w:style w:type="character" w:styleId="Odwoanieintensywne">
    <w:name w:val="Intense Reference"/>
    <w:uiPriority w:val="99"/>
    <w:semiHidden/>
    <w:qFormat/>
    <w:rsid w:val="004214B5"/>
    <w:rPr>
      <w:smallCaps/>
      <w:spacing w:val="5"/>
      <w:u w:val="single"/>
    </w:rPr>
  </w:style>
  <w:style w:type="character" w:styleId="Tytuksiki">
    <w:name w:val="Book Title"/>
    <w:uiPriority w:val="99"/>
    <w:semiHidden/>
    <w:qFormat/>
    <w:rsid w:val="004214B5"/>
    <w:rPr>
      <w:i/>
      <w:iCs/>
      <w:smallCaps/>
      <w:spacing w:val="5"/>
    </w:rPr>
  </w:style>
  <w:style w:type="paragraph" w:styleId="Nagwekspisutreci">
    <w:name w:val="TOC Heading"/>
    <w:basedOn w:val="Nagwek1"/>
    <w:next w:val="Normalny"/>
    <w:uiPriority w:val="99"/>
    <w:semiHidden/>
    <w:qFormat/>
    <w:rsid w:val="004214B5"/>
    <w:pPr>
      <w:outlineLvl w:val="9"/>
    </w:pPr>
    <w:rPr>
      <w:color w:val="474747" w:themeColor="accent3" w:themeShade="BF"/>
    </w:rPr>
  </w:style>
  <w:style w:type="numbering" w:styleId="111111">
    <w:name w:val="Outline List 2"/>
    <w:basedOn w:val="Bezlisty"/>
    <w:uiPriority w:val="99"/>
    <w:semiHidden/>
    <w:rsid w:val="00171962"/>
    <w:pPr>
      <w:numPr>
        <w:numId w:val="2"/>
      </w:numPr>
    </w:pPr>
  </w:style>
  <w:style w:type="numbering" w:styleId="1ai">
    <w:name w:val="Outline List 1"/>
    <w:basedOn w:val="Bezlisty"/>
    <w:uiPriority w:val="99"/>
    <w:semiHidden/>
    <w:rsid w:val="00171962"/>
    <w:pPr>
      <w:numPr>
        <w:numId w:val="3"/>
      </w:numPr>
    </w:pPr>
  </w:style>
  <w:style w:type="numbering" w:styleId="Artykusekcja">
    <w:name w:val="Outline List 3"/>
    <w:basedOn w:val="Bezlisty"/>
    <w:uiPriority w:val="99"/>
    <w:semiHidden/>
    <w:rsid w:val="00171962"/>
    <w:pPr>
      <w:numPr>
        <w:numId w:val="4"/>
      </w:numPr>
    </w:pPr>
  </w:style>
  <w:style w:type="paragraph" w:styleId="Bibliografia">
    <w:name w:val="Bibliography"/>
    <w:basedOn w:val="Normalny"/>
    <w:next w:val="Normalny"/>
    <w:uiPriority w:val="99"/>
    <w:semiHidden/>
    <w:unhideWhenUsed/>
    <w:rsid w:val="00171962"/>
  </w:style>
  <w:style w:type="paragraph" w:styleId="Tekstblokowy">
    <w:name w:val="Block Text"/>
    <w:basedOn w:val="Normalny"/>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171962"/>
    <w:pPr>
      <w:spacing w:after="120"/>
    </w:pPr>
  </w:style>
  <w:style w:type="character" w:customStyle="1" w:styleId="TekstpodstawowyZnak">
    <w:name w:val="Tekst podstawowy Znak"/>
    <w:basedOn w:val="Domylnaczcionkaakapitu"/>
    <w:link w:val="Tekstpodstawowy"/>
    <w:rsid w:val="00171962"/>
    <w:rPr>
      <w:sz w:val="24"/>
      <w:lang w:val="pl-PL"/>
    </w:rPr>
  </w:style>
  <w:style w:type="paragraph" w:styleId="Tekstpodstawowy2">
    <w:name w:val="Body Text 2"/>
    <w:basedOn w:val="Normalny"/>
    <w:link w:val="Tekstpodstawowy2Znak"/>
    <w:uiPriority w:val="99"/>
    <w:semiHidden/>
    <w:rsid w:val="00171962"/>
    <w:pPr>
      <w:spacing w:after="120" w:line="480" w:lineRule="auto"/>
    </w:pPr>
  </w:style>
  <w:style w:type="character" w:customStyle="1" w:styleId="Tekstpodstawowy2Znak">
    <w:name w:val="Tekst podstawowy 2 Znak"/>
    <w:basedOn w:val="Domylnaczcionkaakapitu"/>
    <w:link w:val="Tekstpodstawowy2"/>
    <w:rsid w:val="00171962"/>
    <w:rPr>
      <w:sz w:val="24"/>
      <w:lang w:val="pl-PL"/>
    </w:rPr>
  </w:style>
  <w:style w:type="paragraph" w:styleId="Tekstpodstawowy3">
    <w:name w:val="Body Text 3"/>
    <w:basedOn w:val="Normalny"/>
    <w:link w:val="Tekstpodstawowy3Znak"/>
    <w:uiPriority w:val="99"/>
    <w:semiHidden/>
    <w:rsid w:val="00171962"/>
    <w:pPr>
      <w:spacing w:after="120"/>
    </w:pPr>
    <w:rPr>
      <w:sz w:val="16"/>
      <w:szCs w:val="16"/>
    </w:rPr>
  </w:style>
  <w:style w:type="character" w:customStyle="1" w:styleId="Tekstpodstawowy3Znak">
    <w:name w:val="Tekst podstawowy 3 Znak"/>
    <w:basedOn w:val="Domylnaczcionkaakapitu"/>
    <w:link w:val="Tekstpodstawowy3"/>
    <w:rsid w:val="00171962"/>
    <w:rPr>
      <w:sz w:val="16"/>
      <w:szCs w:val="16"/>
      <w:lang w:val="pl-PL"/>
    </w:rPr>
  </w:style>
  <w:style w:type="paragraph" w:styleId="Tekstpodstawowyzwciciem">
    <w:name w:val="Body Text First Indent"/>
    <w:basedOn w:val="Tekstpodstawowy"/>
    <w:link w:val="TekstpodstawowyzwciciemZnak"/>
    <w:uiPriority w:val="99"/>
    <w:semiHidden/>
    <w:rsid w:val="00171962"/>
    <w:pPr>
      <w:spacing w:after="0"/>
      <w:ind w:firstLine="360"/>
    </w:pPr>
  </w:style>
  <w:style w:type="character" w:customStyle="1" w:styleId="TekstpodstawowyzwciciemZnak">
    <w:name w:val="Tekst podstawowy z wcięciem Znak"/>
    <w:basedOn w:val="TekstpodstawowyZnak"/>
    <w:link w:val="Tekstpodstawowyzwciciem"/>
    <w:rsid w:val="00171962"/>
    <w:rPr>
      <w:sz w:val="24"/>
      <w:lang w:val="pl-PL"/>
    </w:rPr>
  </w:style>
  <w:style w:type="paragraph" w:styleId="Tekstpodstawowywcity">
    <w:name w:val="Body Text Indent"/>
    <w:basedOn w:val="Normalny"/>
    <w:link w:val="TekstpodstawowywcityZnak"/>
    <w:uiPriority w:val="99"/>
    <w:semiHidden/>
    <w:rsid w:val="00171962"/>
    <w:pPr>
      <w:spacing w:after="120"/>
      <w:ind w:left="283"/>
    </w:pPr>
  </w:style>
  <w:style w:type="character" w:customStyle="1" w:styleId="TekstpodstawowywcityZnak">
    <w:name w:val="Tekst podstawowy wcięty Znak"/>
    <w:basedOn w:val="Domylnaczcionkaakapitu"/>
    <w:link w:val="Tekstpodstawowywcity"/>
    <w:rsid w:val="00171962"/>
    <w:rPr>
      <w:sz w:val="24"/>
      <w:lang w:val="pl-PL"/>
    </w:rPr>
  </w:style>
  <w:style w:type="paragraph" w:styleId="Tekstpodstawowyzwciciem2">
    <w:name w:val="Body Text First Indent 2"/>
    <w:basedOn w:val="Tekstpodstawowywcity"/>
    <w:link w:val="Tekstpodstawowyzwciciem2Znak"/>
    <w:uiPriority w:val="99"/>
    <w:semiHidden/>
    <w:rsid w:val="00171962"/>
    <w:pPr>
      <w:spacing w:after="0"/>
      <w:ind w:left="360" w:firstLine="360"/>
    </w:pPr>
  </w:style>
  <w:style w:type="character" w:customStyle="1" w:styleId="Tekstpodstawowyzwciciem2Znak">
    <w:name w:val="Tekst podstawowy z wcięciem 2 Znak"/>
    <w:basedOn w:val="TekstpodstawowywcityZnak"/>
    <w:link w:val="Tekstpodstawowyzwciciem2"/>
    <w:rsid w:val="00171962"/>
    <w:rPr>
      <w:sz w:val="24"/>
      <w:lang w:val="pl-PL"/>
    </w:rPr>
  </w:style>
  <w:style w:type="paragraph" w:styleId="Tekstpodstawowywcity2">
    <w:name w:val="Body Text Indent 2"/>
    <w:basedOn w:val="Normalny"/>
    <w:link w:val="Tekstpodstawowywcity2Znak"/>
    <w:uiPriority w:val="99"/>
    <w:semiHidden/>
    <w:rsid w:val="00171962"/>
    <w:pPr>
      <w:spacing w:after="120" w:line="480" w:lineRule="auto"/>
      <w:ind w:left="283"/>
    </w:pPr>
  </w:style>
  <w:style w:type="character" w:customStyle="1" w:styleId="Tekstpodstawowywcity2Znak">
    <w:name w:val="Tekst podstawowy wcięty 2 Znak"/>
    <w:basedOn w:val="Domylnaczcionkaakapitu"/>
    <w:link w:val="Tekstpodstawowywcity2"/>
    <w:rsid w:val="00171962"/>
    <w:rPr>
      <w:sz w:val="24"/>
      <w:lang w:val="pl-PL"/>
    </w:rPr>
  </w:style>
  <w:style w:type="paragraph" w:styleId="Tekstpodstawowywcity3">
    <w:name w:val="Body Text Indent 3"/>
    <w:basedOn w:val="Normalny"/>
    <w:link w:val="Tekstpodstawowywcity3Znak"/>
    <w:uiPriority w:val="99"/>
    <w:semiHidden/>
    <w:rsid w:val="00171962"/>
    <w:pPr>
      <w:spacing w:after="120"/>
      <w:ind w:left="283"/>
    </w:pPr>
    <w:rPr>
      <w:sz w:val="16"/>
      <w:szCs w:val="16"/>
    </w:rPr>
  </w:style>
  <w:style w:type="character" w:customStyle="1" w:styleId="Tekstpodstawowywcity3Znak">
    <w:name w:val="Tekst podstawowy wcięty 3 Znak"/>
    <w:basedOn w:val="Domylnaczcionkaakapitu"/>
    <w:link w:val="Tekstpodstawowywcity3"/>
    <w:rsid w:val="00171962"/>
    <w:rPr>
      <w:sz w:val="16"/>
      <w:szCs w:val="16"/>
      <w:lang w:val="pl-PL"/>
    </w:rPr>
  </w:style>
  <w:style w:type="paragraph" w:styleId="Legenda">
    <w:name w:val="caption"/>
    <w:basedOn w:val="Normalny"/>
    <w:next w:val="Normalny"/>
    <w:uiPriority w:val="99"/>
    <w:semiHidden/>
    <w:qFormat/>
    <w:rsid w:val="00171962"/>
    <w:pPr>
      <w:spacing w:after="200"/>
    </w:pPr>
    <w:rPr>
      <w:b/>
      <w:bCs/>
      <w:color w:val="0072BC" w:themeColor="accent1"/>
      <w:sz w:val="18"/>
      <w:szCs w:val="18"/>
    </w:rPr>
  </w:style>
  <w:style w:type="paragraph" w:styleId="Zwrotpoegnalny">
    <w:name w:val="Closing"/>
    <w:basedOn w:val="Normalny"/>
    <w:link w:val="ZwrotpoegnalnyZnak"/>
    <w:uiPriority w:val="99"/>
    <w:semiHidden/>
    <w:rsid w:val="00171962"/>
    <w:pPr>
      <w:ind w:left="4252"/>
    </w:pPr>
  </w:style>
  <w:style w:type="character" w:customStyle="1" w:styleId="ZwrotpoegnalnyZnak">
    <w:name w:val="Zwrot pożegnalny Znak"/>
    <w:basedOn w:val="Domylnaczcionkaakapitu"/>
    <w:link w:val="Zwrotpoegnalny"/>
    <w:rsid w:val="00171962"/>
    <w:rPr>
      <w:sz w:val="24"/>
      <w:lang w:val="pl-PL"/>
    </w:rPr>
  </w:style>
  <w:style w:type="table" w:styleId="Kolorowasiatka">
    <w:name w:val="Colorful Grid"/>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171962"/>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171962"/>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171962"/>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171962"/>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171962"/>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171962"/>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171962"/>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171962"/>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171962"/>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171962"/>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171962"/>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171962"/>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171962"/>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171962"/>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171962"/>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171962"/>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171962"/>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171962"/>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171962"/>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171962"/>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171962"/>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171962"/>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171962"/>
  </w:style>
  <w:style w:type="character" w:customStyle="1" w:styleId="DataZnak">
    <w:name w:val="Data Znak"/>
    <w:basedOn w:val="Domylnaczcionkaakapitu"/>
    <w:link w:val="Data"/>
    <w:rsid w:val="00171962"/>
    <w:rPr>
      <w:sz w:val="24"/>
      <w:lang w:val="pl-PL"/>
    </w:rPr>
  </w:style>
  <w:style w:type="paragraph" w:styleId="Podpise-mail">
    <w:name w:val="E-mail Signature"/>
    <w:basedOn w:val="Normalny"/>
    <w:link w:val="Podpise-mailZnak"/>
    <w:uiPriority w:val="99"/>
    <w:semiHidden/>
    <w:rsid w:val="00171962"/>
  </w:style>
  <w:style w:type="character" w:customStyle="1" w:styleId="Podpise-mailZnak">
    <w:name w:val="Podpis e-mail Znak"/>
    <w:basedOn w:val="Domylnaczcionkaakapitu"/>
    <w:link w:val="Podpise-mail"/>
    <w:rsid w:val="00171962"/>
    <w:rPr>
      <w:sz w:val="24"/>
      <w:lang w:val="pl-PL"/>
    </w:rPr>
  </w:style>
  <w:style w:type="paragraph" w:styleId="Adresnakopercie">
    <w:name w:val="envelope address"/>
    <w:basedOn w:val="Normalny"/>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171962"/>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171962"/>
  </w:style>
  <w:style w:type="paragraph" w:styleId="HTML-adres">
    <w:name w:val="HTML Address"/>
    <w:basedOn w:val="Normalny"/>
    <w:link w:val="HTML-adresZnak"/>
    <w:uiPriority w:val="99"/>
    <w:semiHidden/>
    <w:rsid w:val="00171962"/>
    <w:rPr>
      <w:i/>
      <w:iCs/>
    </w:rPr>
  </w:style>
  <w:style w:type="character" w:customStyle="1" w:styleId="HTML-adresZnak">
    <w:name w:val="HTML - adres Znak"/>
    <w:basedOn w:val="Domylnaczcionkaakapitu"/>
    <w:link w:val="HTML-adres"/>
    <w:rsid w:val="00171962"/>
    <w:rPr>
      <w:i/>
      <w:iCs/>
      <w:sz w:val="24"/>
      <w:lang w:val="pl-PL"/>
    </w:rPr>
  </w:style>
  <w:style w:type="character" w:styleId="HTML-cytat">
    <w:name w:val="HTML Cite"/>
    <w:basedOn w:val="Domylnaczcionkaakapitu"/>
    <w:uiPriority w:val="99"/>
    <w:semiHidden/>
    <w:rsid w:val="00171962"/>
    <w:rPr>
      <w:i/>
      <w:iCs/>
    </w:rPr>
  </w:style>
  <w:style w:type="character" w:styleId="HTML-kod">
    <w:name w:val="HTML Code"/>
    <w:basedOn w:val="Domylnaczcionkaakapitu"/>
    <w:uiPriority w:val="99"/>
    <w:semiHidden/>
    <w:rsid w:val="00171962"/>
    <w:rPr>
      <w:rFonts w:ascii="Consolas" w:hAnsi="Consolas" w:cs="Consolas"/>
      <w:sz w:val="20"/>
      <w:szCs w:val="20"/>
    </w:rPr>
  </w:style>
  <w:style w:type="character" w:styleId="HTML-definicja">
    <w:name w:val="HTML Definition"/>
    <w:basedOn w:val="Domylnaczcionkaakapitu"/>
    <w:uiPriority w:val="99"/>
    <w:semiHidden/>
    <w:rsid w:val="00171962"/>
    <w:rPr>
      <w:i/>
      <w:iCs/>
    </w:rPr>
  </w:style>
  <w:style w:type="character" w:styleId="HTML-klawiatura">
    <w:name w:val="HTML Keyboard"/>
    <w:basedOn w:val="Domylnaczcionkaakapitu"/>
    <w:uiPriority w:val="99"/>
    <w:semiHidden/>
    <w:rsid w:val="00171962"/>
    <w:rPr>
      <w:rFonts w:ascii="Consolas" w:hAnsi="Consolas" w:cs="Consolas"/>
      <w:sz w:val="20"/>
      <w:szCs w:val="20"/>
    </w:rPr>
  </w:style>
  <w:style w:type="paragraph" w:styleId="HTML-wstpniesformatowany">
    <w:name w:val="HTML Preformatted"/>
    <w:basedOn w:val="Normalny"/>
    <w:link w:val="HTML-wstpniesformatowanyZnak"/>
    <w:uiPriority w:val="99"/>
    <w:semiHidden/>
    <w:rsid w:val="0017196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rsid w:val="00171962"/>
    <w:rPr>
      <w:rFonts w:ascii="Consolas" w:hAnsi="Consolas" w:cs="Consolas"/>
      <w:sz w:val="20"/>
      <w:szCs w:val="20"/>
      <w:lang w:val="pl-PL"/>
    </w:rPr>
  </w:style>
  <w:style w:type="character" w:styleId="HTML-przykad">
    <w:name w:val="HTML Sample"/>
    <w:basedOn w:val="Domylnaczcionkaakapitu"/>
    <w:uiPriority w:val="99"/>
    <w:semiHidden/>
    <w:rsid w:val="00171962"/>
    <w:rPr>
      <w:rFonts w:ascii="Consolas" w:hAnsi="Consolas" w:cs="Consolas"/>
      <w:sz w:val="24"/>
      <w:szCs w:val="24"/>
    </w:rPr>
  </w:style>
  <w:style w:type="character" w:styleId="HTML-staaszeroko">
    <w:name w:val="HTML Typewriter"/>
    <w:basedOn w:val="Domylnaczcionkaakapitu"/>
    <w:uiPriority w:val="99"/>
    <w:semiHidden/>
    <w:rsid w:val="00171962"/>
    <w:rPr>
      <w:rFonts w:ascii="Consolas" w:hAnsi="Consolas" w:cs="Consolas"/>
      <w:sz w:val="20"/>
      <w:szCs w:val="20"/>
    </w:rPr>
  </w:style>
  <w:style w:type="character" w:styleId="HTML-zmienna">
    <w:name w:val="HTML Variable"/>
    <w:basedOn w:val="Domylnaczcionkaakapitu"/>
    <w:uiPriority w:val="99"/>
    <w:semiHidden/>
    <w:rsid w:val="00171962"/>
    <w:rPr>
      <w:i/>
      <w:iCs/>
    </w:rPr>
  </w:style>
  <w:style w:type="paragraph" w:styleId="Indeks1">
    <w:name w:val="index 1"/>
    <w:basedOn w:val="Normalny"/>
    <w:next w:val="Normalny"/>
    <w:autoRedefine/>
    <w:uiPriority w:val="99"/>
    <w:semiHidden/>
    <w:rsid w:val="00171962"/>
    <w:pPr>
      <w:ind w:left="240" w:hanging="240"/>
    </w:pPr>
  </w:style>
  <w:style w:type="paragraph" w:styleId="Indeks2">
    <w:name w:val="index 2"/>
    <w:basedOn w:val="Normalny"/>
    <w:next w:val="Normalny"/>
    <w:autoRedefine/>
    <w:uiPriority w:val="99"/>
    <w:semiHidden/>
    <w:rsid w:val="00171962"/>
    <w:pPr>
      <w:ind w:left="480" w:hanging="240"/>
    </w:pPr>
  </w:style>
  <w:style w:type="paragraph" w:styleId="Indeks3">
    <w:name w:val="index 3"/>
    <w:basedOn w:val="Normalny"/>
    <w:next w:val="Normalny"/>
    <w:autoRedefine/>
    <w:uiPriority w:val="99"/>
    <w:semiHidden/>
    <w:rsid w:val="00171962"/>
    <w:pPr>
      <w:ind w:left="720" w:hanging="240"/>
    </w:pPr>
  </w:style>
  <w:style w:type="paragraph" w:styleId="Indeks4">
    <w:name w:val="index 4"/>
    <w:basedOn w:val="Normalny"/>
    <w:next w:val="Normalny"/>
    <w:autoRedefine/>
    <w:uiPriority w:val="99"/>
    <w:semiHidden/>
    <w:rsid w:val="00171962"/>
    <w:pPr>
      <w:ind w:left="960" w:hanging="240"/>
    </w:pPr>
  </w:style>
  <w:style w:type="paragraph" w:styleId="Indeks5">
    <w:name w:val="index 5"/>
    <w:basedOn w:val="Normalny"/>
    <w:next w:val="Normalny"/>
    <w:autoRedefine/>
    <w:uiPriority w:val="99"/>
    <w:semiHidden/>
    <w:rsid w:val="00171962"/>
    <w:pPr>
      <w:ind w:left="1200" w:hanging="240"/>
    </w:pPr>
  </w:style>
  <w:style w:type="paragraph" w:styleId="Indeks6">
    <w:name w:val="index 6"/>
    <w:basedOn w:val="Normalny"/>
    <w:next w:val="Normalny"/>
    <w:autoRedefine/>
    <w:uiPriority w:val="99"/>
    <w:semiHidden/>
    <w:rsid w:val="00171962"/>
    <w:pPr>
      <w:ind w:left="1440" w:hanging="240"/>
    </w:pPr>
  </w:style>
  <w:style w:type="paragraph" w:styleId="Indeks7">
    <w:name w:val="index 7"/>
    <w:basedOn w:val="Normalny"/>
    <w:next w:val="Normalny"/>
    <w:autoRedefine/>
    <w:uiPriority w:val="99"/>
    <w:semiHidden/>
    <w:rsid w:val="00171962"/>
    <w:pPr>
      <w:ind w:left="1680" w:hanging="240"/>
    </w:pPr>
  </w:style>
  <w:style w:type="paragraph" w:styleId="Indeks8">
    <w:name w:val="index 8"/>
    <w:basedOn w:val="Normalny"/>
    <w:next w:val="Normalny"/>
    <w:autoRedefine/>
    <w:uiPriority w:val="99"/>
    <w:semiHidden/>
    <w:rsid w:val="00171962"/>
    <w:pPr>
      <w:ind w:left="1920" w:hanging="240"/>
    </w:pPr>
  </w:style>
  <w:style w:type="paragraph" w:styleId="Indeks9">
    <w:name w:val="index 9"/>
    <w:basedOn w:val="Normalny"/>
    <w:next w:val="Normalny"/>
    <w:autoRedefine/>
    <w:uiPriority w:val="99"/>
    <w:semiHidden/>
    <w:rsid w:val="00171962"/>
    <w:pPr>
      <w:ind w:left="2160" w:hanging="240"/>
    </w:pPr>
  </w:style>
  <w:style w:type="paragraph" w:styleId="Nagwekindeksu">
    <w:name w:val="index heading"/>
    <w:basedOn w:val="Normalny"/>
    <w:next w:val="Indeks1"/>
    <w:uiPriority w:val="99"/>
    <w:semiHidden/>
    <w:rsid w:val="00171962"/>
    <w:rPr>
      <w:rFonts w:asciiTheme="majorHAnsi" w:eastAsiaTheme="majorEastAsia" w:hAnsiTheme="majorHAnsi" w:cstheme="majorBidi"/>
      <w:b/>
      <w:bCs/>
    </w:rPr>
  </w:style>
  <w:style w:type="table" w:styleId="Jasnasiatka">
    <w:name w:val="Light Grid"/>
    <w:basedOn w:val="Standardowy"/>
    <w:uiPriority w:val="99"/>
    <w:semiHidden/>
    <w:rsid w:val="001719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17196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17196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17196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17196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17196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17196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1719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17196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17196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17196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17196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17196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17196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1719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171962"/>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171962"/>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171962"/>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171962"/>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171962"/>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171962"/>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171962"/>
  </w:style>
  <w:style w:type="paragraph" w:styleId="Lista">
    <w:name w:val="List"/>
    <w:basedOn w:val="Normalny"/>
    <w:uiPriority w:val="99"/>
    <w:semiHidden/>
    <w:rsid w:val="00171962"/>
    <w:pPr>
      <w:ind w:left="283" w:hanging="283"/>
      <w:contextualSpacing/>
    </w:pPr>
  </w:style>
  <w:style w:type="paragraph" w:styleId="Lista2">
    <w:name w:val="List 2"/>
    <w:basedOn w:val="Normalny"/>
    <w:uiPriority w:val="99"/>
    <w:semiHidden/>
    <w:rsid w:val="00171962"/>
    <w:pPr>
      <w:ind w:left="566" w:hanging="283"/>
      <w:contextualSpacing/>
    </w:pPr>
  </w:style>
  <w:style w:type="paragraph" w:styleId="Lista3">
    <w:name w:val="List 3"/>
    <w:basedOn w:val="Normalny"/>
    <w:uiPriority w:val="99"/>
    <w:semiHidden/>
    <w:rsid w:val="00171962"/>
    <w:pPr>
      <w:ind w:left="849" w:hanging="283"/>
      <w:contextualSpacing/>
    </w:pPr>
  </w:style>
  <w:style w:type="paragraph" w:styleId="Lista4">
    <w:name w:val="List 4"/>
    <w:basedOn w:val="Normalny"/>
    <w:uiPriority w:val="99"/>
    <w:semiHidden/>
    <w:rsid w:val="00171962"/>
    <w:pPr>
      <w:ind w:left="1132" w:hanging="283"/>
      <w:contextualSpacing/>
    </w:pPr>
  </w:style>
  <w:style w:type="paragraph" w:styleId="Lista5">
    <w:name w:val="List 5"/>
    <w:basedOn w:val="Normalny"/>
    <w:uiPriority w:val="99"/>
    <w:semiHidden/>
    <w:rsid w:val="00171962"/>
    <w:pPr>
      <w:ind w:left="1415" w:hanging="283"/>
      <w:contextualSpacing/>
    </w:pPr>
  </w:style>
  <w:style w:type="paragraph" w:styleId="Listapunktowana2">
    <w:name w:val="List Bullet 2"/>
    <w:basedOn w:val="Normalny"/>
    <w:uiPriority w:val="99"/>
    <w:semiHidden/>
    <w:rsid w:val="00171962"/>
    <w:pPr>
      <w:numPr>
        <w:numId w:val="5"/>
      </w:numPr>
      <w:contextualSpacing/>
    </w:pPr>
  </w:style>
  <w:style w:type="paragraph" w:styleId="Listapunktowana3">
    <w:name w:val="List Bullet 3"/>
    <w:basedOn w:val="Normalny"/>
    <w:uiPriority w:val="99"/>
    <w:semiHidden/>
    <w:rsid w:val="00171962"/>
    <w:pPr>
      <w:numPr>
        <w:numId w:val="6"/>
      </w:numPr>
      <w:contextualSpacing/>
    </w:pPr>
  </w:style>
  <w:style w:type="paragraph" w:styleId="Listapunktowana4">
    <w:name w:val="List Bullet 4"/>
    <w:basedOn w:val="Normalny"/>
    <w:uiPriority w:val="99"/>
    <w:semiHidden/>
    <w:rsid w:val="00171962"/>
    <w:pPr>
      <w:numPr>
        <w:numId w:val="7"/>
      </w:numPr>
      <w:contextualSpacing/>
    </w:pPr>
  </w:style>
  <w:style w:type="paragraph" w:styleId="Listapunktowana5">
    <w:name w:val="List Bullet 5"/>
    <w:basedOn w:val="Normalny"/>
    <w:uiPriority w:val="99"/>
    <w:semiHidden/>
    <w:rsid w:val="00171962"/>
    <w:pPr>
      <w:numPr>
        <w:numId w:val="8"/>
      </w:numPr>
      <w:contextualSpacing/>
    </w:pPr>
  </w:style>
  <w:style w:type="paragraph" w:styleId="Lista-kontynuacja">
    <w:name w:val="List Continue"/>
    <w:basedOn w:val="Normalny"/>
    <w:uiPriority w:val="99"/>
    <w:semiHidden/>
    <w:rsid w:val="00171962"/>
    <w:pPr>
      <w:spacing w:after="120"/>
      <w:ind w:left="283"/>
      <w:contextualSpacing/>
    </w:pPr>
  </w:style>
  <w:style w:type="paragraph" w:styleId="Lista-kontynuacja2">
    <w:name w:val="List Continue 2"/>
    <w:basedOn w:val="Normalny"/>
    <w:uiPriority w:val="99"/>
    <w:semiHidden/>
    <w:rsid w:val="00171962"/>
    <w:pPr>
      <w:spacing w:after="120"/>
      <w:ind w:left="566"/>
      <w:contextualSpacing/>
    </w:pPr>
  </w:style>
  <w:style w:type="paragraph" w:styleId="Lista-kontynuacja3">
    <w:name w:val="List Continue 3"/>
    <w:basedOn w:val="Normalny"/>
    <w:uiPriority w:val="99"/>
    <w:semiHidden/>
    <w:rsid w:val="00171962"/>
    <w:pPr>
      <w:spacing w:after="120"/>
      <w:ind w:left="849"/>
      <w:contextualSpacing/>
    </w:pPr>
  </w:style>
  <w:style w:type="paragraph" w:styleId="Lista-kontynuacja4">
    <w:name w:val="List Continue 4"/>
    <w:basedOn w:val="Normalny"/>
    <w:uiPriority w:val="99"/>
    <w:semiHidden/>
    <w:rsid w:val="00171962"/>
    <w:pPr>
      <w:spacing w:after="120"/>
      <w:ind w:left="1132"/>
      <w:contextualSpacing/>
    </w:pPr>
  </w:style>
  <w:style w:type="paragraph" w:styleId="Lista-kontynuacja5">
    <w:name w:val="List Continue 5"/>
    <w:basedOn w:val="Normalny"/>
    <w:uiPriority w:val="99"/>
    <w:semiHidden/>
    <w:rsid w:val="00171962"/>
    <w:pPr>
      <w:spacing w:after="120"/>
      <w:ind w:left="1415"/>
      <w:contextualSpacing/>
    </w:pPr>
  </w:style>
  <w:style w:type="paragraph" w:styleId="Listanumerowana">
    <w:name w:val="List Number"/>
    <w:basedOn w:val="Normalny"/>
    <w:uiPriority w:val="99"/>
    <w:semiHidden/>
    <w:rsid w:val="00171962"/>
    <w:pPr>
      <w:numPr>
        <w:numId w:val="9"/>
      </w:numPr>
      <w:contextualSpacing/>
    </w:pPr>
  </w:style>
  <w:style w:type="paragraph" w:styleId="Listanumerowana2">
    <w:name w:val="List Number 2"/>
    <w:basedOn w:val="Normalny"/>
    <w:uiPriority w:val="99"/>
    <w:semiHidden/>
    <w:rsid w:val="00171962"/>
    <w:pPr>
      <w:numPr>
        <w:numId w:val="10"/>
      </w:numPr>
      <w:contextualSpacing/>
    </w:pPr>
  </w:style>
  <w:style w:type="paragraph" w:styleId="Listanumerowana3">
    <w:name w:val="List Number 3"/>
    <w:basedOn w:val="Normalny"/>
    <w:uiPriority w:val="99"/>
    <w:semiHidden/>
    <w:rsid w:val="00171962"/>
    <w:pPr>
      <w:numPr>
        <w:numId w:val="11"/>
      </w:numPr>
      <w:contextualSpacing/>
    </w:pPr>
  </w:style>
  <w:style w:type="paragraph" w:styleId="Listanumerowana4">
    <w:name w:val="List Number 4"/>
    <w:basedOn w:val="Normalny"/>
    <w:uiPriority w:val="99"/>
    <w:semiHidden/>
    <w:rsid w:val="00171962"/>
    <w:pPr>
      <w:numPr>
        <w:numId w:val="12"/>
      </w:numPr>
      <w:contextualSpacing/>
    </w:pPr>
  </w:style>
  <w:style w:type="paragraph" w:styleId="Listanumerowana5">
    <w:name w:val="List Number 5"/>
    <w:basedOn w:val="Normalny"/>
    <w:uiPriority w:val="99"/>
    <w:semiHidden/>
    <w:rsid w:val="00171962"/>
    <w:pPr>
      <w:numPr>
        <w:numId w:val="13"/>
      </w:numPr>
      <w:contextualSpacing/>
    </w:pPr>
  </w:style>
  <w:style w:type="paragraph" w:styleId="Tekstmakra">
    <w:name w:val="macro"/>
    <w:link w:val="TekstmakraZnak"/>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TekstmakraZnak">
    <w:name w:val="Tekst makra Znak"/>
    <w:basedOn w:val="Domylnaczcionkaakapitu"/>
    <w:link w:val="Tekstmakra"/>
    <w:rsid w:val="00171962"/>
    <w:rPr>
      <w:rFonts w:ascii="Consolas" w:hAnsi="Consolas" w:cs="Consolas"/>
      <w:sz w:val="20"/>
      <w:szCs w:val="20"/>
      <w:lang w:val="pl-PL"/>
    </w:rPr>
  </w:style>
  <w:style w:type="table" w:styleId="redniasiatka1">
    <w:name w:val="Medium Grid 1"/>
    <w:basedOn w:val="Standardowy"/>
    <w:uiPriority w:val="99"/>
    <w:semiHidden/>
    <w:rsid w:val="001719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17196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17196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17196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17196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17196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17196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17196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1719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171962"/>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171962"/>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171962"/>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171962"/>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171962"/>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171962"/>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17196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1719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17196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17196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17196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17196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17196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17196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rsid w:val="00171962"/>
    <w:rPr>
      <w:rFonts w:asciiTheme="majorHAnsi" w:eastAsiaTheme="majorEastAsia" w:hAnsiTheme="majorHAnsi" w:cstheme="majorBidi"/>
      <w:sz w:val="24"/>
      <w:szCs w:val="24"/>
      <w:shd w:val="pct20" w:color="auto" w:fill="auto"/>
      <w:lang w:val="pl-PL"/>
    </w:rPr>
  </w:style>
  <w:style w:type="paragraph" w:styleId="NormalnyWeb">
    <w:name w:val="Normal (Web)"/>
    <w:basedOn w:val="Normalny"/>
    <w:uiPriority w:val="99"/>
    <w:semiHidden/>
    <w:rsid w:val="00171962"/>
    <w:rPr>
      <w:rFonts w:ascii="Times New Roman" w:hAnsi="Times New Roman" w:cs="Times New Roman"/>
      <w:szCs w:val="24"/>
    </w:rPr>
  </w:style>
  <w:style w:type="paragraph" w:styleId="Wcicienormalne">
    <w:name w:val="Normal Indent"/>
    <w:basedOn w:val="Normalny"/>
    <w:uiPriority w:val="99"/>
    <w:semiHidden/>
    <w:rsid w:val="00171962"/>
    <w:pPr>
      <w:ind w:left="720"/>
    </w:pPr>
  </w:style>
  <w:style w:type="paragraph" w:styleId="Nagweknotatki">
    <w:name w:val="Note Heading"/>
    <w:basedOn w:val="Normalny"/>
    <w:next w:val="Normalny"/>
    <w:link w:val="NagweknotatkiZnak"/>
    <w:uiPriority w:val="99"/>
    <w:semiHidden/>
    <w:rsid w:val="00171962"/>
  </w:style>
  <w:style w:type="character" w:customStyle="1" w:styleId="NagweknotatkiZnak">
    <w:name w:val="Nagłówek notatki Znak"/>
    <w:basedOn w:val="Domylnaczcionkaakapitu"/>
    <w:link w:val="Nagweknotatki"/>
    <w:rsid w:val="00171962"/>
    <w:rPr>
      <w:sz w:val="24"/>
      <w:lang w:val="pl-PL"/>
    </w:rPr>
  </w:style>
  <w:style w:type="character" w:styleId="Tekstzastpczy">
    <w:name w:val="Placeholder Text"/>
    <w:basedOn w:val="Domylnaczcionkaakapitu"/>
    <w:uiPriority w:val="99"/>
    <w:semiHidden/>
    <w:rsid w:val="00171962"/>
    <w:rPr>
      <w:color w:val="808080"/>
    </w:rPr>
  </w:style>
  <w:style w:type="paragraph" w:styleId="Zwykytekst">
    <w:name w:val="Plain Text"/>
    <w:basedOn w:val="Normalny"/>
    <w:link w:val="ZwykytekstZnak"/>
    <w:uiPriority w:val="99"/>
    <w:semiHidden/>
    <w:rsid w:val="00171962"/>
    <w:rPr>
      <w:rFonts w:ascii="Consolas" w:hAnsi="Consolas" w:cs="Consolas"/>
      <w:sz w:val="21"/>
      <w:szCs w:val="21"/>
    </w:rPr>
  </w:style>
  <w:style w:type="character" w:customStyle="1" w:styleId="ZwykytekstZnak">
    <w:name w:val="Zwykły tekst Znak"/>
    <w:basedOn w:val="Domylnaczcionkaakapitu"/>
    <w:link w:val="Zwykytekst"/>
    <w:rsid w:val="00171962"/>
    <w:rPr>
      <w:rFonts w:ascii="Consolas" w:hAnsi="Consolas" w:cs="Consolas"/>
      <w:sz w:val="21"/>
      <w:szCs w:val="21"/>
      <w:lang w:val="pl-PL"/>
    </w:rPr>
  </w:style>
  <w:style w:type="paragraph" w:styleId="Zwrotgrzecznociowy">
    <w:name w:val="Salutation"/>
    <w:basedOn w:val="Normalny"/>
    <w:next w:val="Normalny"/>
    <w:link w:val="ZwrotgrzecznociowyZnak"/>
    <w:uiPriority w:val="99"/>
    <w:semiHidden/>
    <w:rsid w:val="00171962"/>
  </w:style>
  <w:style w:type="character" w:customStyle="1" w:styleId="ZwrotgrzecznociowyZnak">
    <w:name w:val="Zwrot grzecznościowy Znak"/>
    <w:basedOn w:val="Domylnaczcionkaakapitu"/>
    <w:link w:val="Zwrotgrzecznociowy"/>
    <w:rsid w:val="00171962"/>
    <w:rPr>
      <w:sz w:val="24"/>
      <w:lang w:val="pl-PL"/>
    </w:rPr>
  </w:style>
  <w:style w:type="paragraph" w:styleId="Podpis">
    <w:name w:val="Signature"/>
    <w:basedOn w:val="Normalny"/>
    <w:link w:val="PodpisZnak"/>
    <w:uiPriority w:val="99"/>
    <w:semiHidden/>
    <w:rsid w:val="00171962"/>
    <w:pPr>
      <w:ind w:left="4252"/>
    </w:pPr>
  </w:style>
  <w:style w:type="character" w:customStyle="1" w:styleId="PodpisZnak">
    <w:name w:val="Podpis Znak"/>
    <w:basedOn w:val="Domylnaczcionkaakapitu"/>
    <w:link w:val="Podpis"/>
    <w:rsid w:val="00171962"/>
    <w:rPr>
      <w:sz w:val="24"/>
      <w:lang w:val="pl-PL"/>
    </w:rPr>
  </w:style>
  <w:style w:type="table" w:styleId="Tabela-Efekty3W1">
    <w:name w:val="Table 3D effects 1"/>
    <w:basedOn w:val="Standardowy"/>
    <w:uiPriority w:val="99"/>
    <w:semiHidden/>
    <w:rsid w:val="00171962"/>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171962"/>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171962"/>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171962"/>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171962"/>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171962"/>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171962"/>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171962"/>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171962"/>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171962"/>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171962"/>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171962"/>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171962"/>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171962"/>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171962"/>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171962"/>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171962"/>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uiPriority w:val="99"/>
    <w:semiHidden/>
    <w:rsid w:val="004214B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171962"/>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171962"/>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171962"/>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171962"/>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171962"/>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171962"/>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171962"/>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171962"/>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171962"/>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171962"/>
    <w:pPr>
      <w:ind w:left="240" w:hanging="240"/>
    </w:pPr>
  </w:style>
  <w:style w:type="paragraph" w:styleId="Spisilustracji">
    <w:name w:val="table of figures"/>
    <w:basedOn w:val="Normalny"/>
    <w:next w:val="Normalny"/>
    <w:uiPriority w:val="99"/>
    <w:semiHidden/>
    <w:rsid w:val="00171962"/>
  </w:style>
  <w:style w:type="table" w:styleId="Tabela-Profesjonalny">
    <w:name w:val="Table Professional"/>
    <w:basedOn w:val="Standardowy"/>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171962"/>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171962"/>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171962"/>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171962"/>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1719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171962"/>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171962"/>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171962"/>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Spistreci1">
    <w:name w:val="toc 1"/>
    <w:basedOn w:val="Normalny"/>
    <w:next w:val="Normalny"/>
    <w:autoRedefine/>
    <w:uiPriority w:val="99"/>
    <w:semiHidden/>
    <w:rsid w:val="004214B5"/>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4214B5"/>
    <w:pPr>
      <w:spacing w:after="60"/>
      <w:ind w:left="680" w:right="340" w:hanging="340"/>
    </w:pPr>
  </w:style>
  <w:style w:type="paragraph" w:styleId="Spistreci3">
    <w:name w:val="toc 3"/>
    <w:basedOn w:val="Normalny"/>
    <w:next w:val="Normalny"/>
    <w:autoRedefine/>
    <w:uiPriority w:val="99"/>
    <w:semiHidden/>
    <w:rsid w:val="004214B5"/>
    <w:pPr>
      <w:spacing w:after="60"/>
      <w:ind w:left="1020" w:right="340" w:hanging="340"/>
    </w:pPr>
  </w:style>
  <w:style w:type="paragraph" w:styleId="Spistreci4">
    <w:name w:val="toc 4"/>
    <w:basedOn w:val="Normalny"/>
    <w:next w:val="Normalny"/>
    <w:autoRedefine/>
    <w:uiPriority w:val="99"/>
    <w:semiHidden/>
    <w:rsid w:val="004214B5"/>
    <w:pPr>
      <w:tabs>
        <w:tab w:val="right" w:leader="dot" w:pos="9017"/>
      </w:tabs>
      <w:spacing w:after="60"/>
      <w:ind w:left="1361" w:right="340" w:hanging="340"/>
    </w:pPr>
  </w:style>
  <w:style w:type="paragraph" w:styleId="Spistreci5">
    <w:name w:val="toc 5"/>
    <w:basedOn w:val="Normalny"/>
    <w:next w:val="Normalny"/>
    <w:autoRedefine/>
    <w:uiPriority w:val="99"/>
    <w:semiHidden/>
    <w:rsid w:val="004214B5"/>
    <w:pPr>
      <w:spacing w:after="60"/>
      <w:ind w:left="1701" w:right="340" w:hanging="340"/>
    </w:pPr>
  </w:style>
  <w:style w:type="paragraph" w:styleId="Spistreci6">
    <w:name w:val="toc 6"/>
    <w:basedOn w:val="Normalny"/>
    <w:next w:val="Normalny"/>
    <w:autoRedefine/>
    <w:uiPriority w:val="99"/>
    <w:semiHidden/>
    <w:rsid w:val="00171962"/>
    <w:pPr>
      <w:spacing w:after="100"/>
      <w:ind w:left="1200"/>
    </w:pPr>
  </w:style>
  <w:style w:type="paragraph" w:styleId="Spistreci7">
    <w:name w:val="toc 7"/>
    <w:basedOn w:val="Normalny"/>
    <w:next w:val="Normalny"/>
    <w:autoRedefine/>
    <w:uiPriority w:val="99"/>
    <w:semiHidden/>
    <w:rsid w:val="00171962"/>
    <w:pPr>
      <w:spacing w:after="100"/>
      <w:ind w:left="1440"/>
    </w:pPr>
  </w:style>
  <w:style w:type="paragraph" w:styleId="Spistreci8">
    <w:name w:val="toc 8"/>
    <w:basedOn w:val="Normalny"/>
    <w:next w:val="Normalny"/>
    <w:autoRedefine/>
    <w:uiPriority w:val="99"/>
    <w:semiHidden/>
    <w:rsid w:val="00171962"/>
    <w:pPr>
      <w:spacing w:after="100"/>
      <w:ind w:left="1680"/>
    </w:pPr>
  </w:style>
  <w:style w:type="paragraph" w:styleId="Spistreci9">
    <w:name w:val="toc 9"/>
    <w:basedOn w:val="Normalny"/>
    <w:next w:val="Normalny"/>
    <w:autoRedefine/>
    <w:uiPriority w:val="99"/>
    <w:semiHidden/>
    <w:rsid w:val="00171962"/>
    <w:pPr>
      <w:spacing w:after="100"/>
      <w:ind w:left="1920"/>
    </w:pPr>
  </w:style>
  <w:style w:type="paragraph" w:customStyle="1" w:styleId="ECHRTitleCentre1">
    <w:name w:val="ECHR_Title_Centre_1"/>
    <w:aliases w:val="Opi_H_Head"/>
    <w:basedOn w:val="Normalny"/>
    <w:next w:val="OpiPara"/>
    <w:uiPriority w:val="39"/>
    <w:qFormat/>
    <w:rsid w:val="004214B5"/>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ny"/>
    <w:uiPriority w:val="31"/>
    <w:qFormat/>
    <w:rsid w:val="004214B5"/>
    <w:pPr>
      <w:tabs>
        <w:tab w:val="center" w:pos="6407"/>
      </w:tabs>
      <w:spacing w:before="720"/>
      <w:jc w:val="right"/>
    </w:p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ny"/>
    <w:next w:val="OpiPara"/>
    <w:uiPriority w:val="40"/>
    <w:qFormat/>
    <w:rsid w:val="004214B5"/>
    <w:pPr>
      <w:jc w:val="center"/>
      <w:outlineLvl w:val="0"/>
    </w:pPr>
    <w:rPr>
      <w:i/>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Nagwek3"/>
    <w:next w:val="ECHRPara"/>
    <w:qFormat/>
    <w:rsid w:val="004214B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4214B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4214B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4214B5"/>
    <w:pPr>
      <w:keepNext/>
      <w:keepLines/>
      <w:spacing w:before="240" w:after="120"/>
      <w:ind w:left="1236"/>
    </w:pPr>
    <w:rPr>
      <w:sz w:val="20"/>
    </w:rPr>
  </w:style>
  <w:style w:type="paragraph" w:customStyle="1" w:styleId="DecList">
    <w:name w:val="Dec_List"/>
    <w:basedOn w:val="Normalny"/>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Standardowy"/>
    <w:uiPriority w:val="99"/>
    <w:rsid w:val="004214B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sb8d990e2">
    <w:name w:val="sb8d990e2"/>
    <w:basedOn w:val="Domylnaczcionkaakapitu"/>
    <w:rsid w:val="009C2870"/>
  </w:style>
  <w:style w:type="character" w:customStyle="1" w:styleId="JuQuotChar">
    <w:name w:val="Ju_Quot Char"/>
    <w:basedOn w:val="JuParaChar"/>
    <w:link w:val="ECHRParaQuote"/>
    <w:rsid w:val="009C2870"/>
    <w:rPr>
      <w:rFonts w:eastAsiaTheme="minorEastAsia"/>
      <w:sz w:val="20"/>
    </w:rPr>
  </w:style>
  <w:style w:type="character" w:customStyle="1" w:styleId="JuParaCar">
    <w:name w:val="Ju_Para Car"/>
    <w:uiPriority w:val="12"/>
    <w:rsid w:val="00936153"/>
    <w:rPr>
      <w:sz w:val="24"/>
      <w:lang w:val="pl-PL" w:eastAsia="pl-PL" w:bidi="pl-PL"/>
    </w:rPr>
  </w:style>
  <w:style w:type="character" w:customStyle="1" w:styleId="s6b621b36">
    <w:name w:val="s6b621b36"/>
    <w:basedOn w:val="Domylnaczcionkaakapitu"/>
    <w:rsid w:val="00AF28DA"/>
  </w:style>
  <w:style w:type="paragraph" w:styleId="Poprawka">
    <w:name w:val="Revision"/>
    <w:hidden/>
    <w:uiPriority w:val="99"/>
    <w:semiHidden/>
    <w:rsid w:val="00846142"/>
    <w:rPr>
      <w:rFonts w:eastAsiaTheme="minorEastAsia"/>
      <w:sz w:val="24"/>
    </w:rPr>
  </w:style>
  <w:style w:type="paragraph" w:customStyle="1" w:styleId="jupara">
    <w:name w:val="jupara"/>
    <w:basedOn w:val="Normalny"/>
    <w:rsid w:val="00FD7180"/>
    <w:pPr>
      <w:ind w:firstLine="284"/>
    </w:pPr>
    <w:rPr>
      <w:rFonts w:ascii="Times New Roman" w:eastAsia="Times New Roman" w:hAnsi="Times New Roman" w:cs="Times New Roman"/>
      <w:szCs w:val="24"/>
    </w:rPr>
  </w:style>
  <w:style w:type="paragraph" w:customStyle="1" w:styleId="jucase0">
    <w:name w:val="jucase"/>
    <w:basedOn w:val="Normalny"/>
    <w:rsid w:val="00FD7180"/>
    <w:pPr>
      <w:ind w:firstLine="284"/>
    </w:pPr>
    <w:rPr>
      <w:rFonts w:ascii="Times New Roman" w:eastAsia="Times New Roman" w:hAnsi="Times New Roman" w:cs="Times New Roman"/>
      <w:b/>
      <w:bCs/>
      <w:szCs w:val="24"/>
    </w:rPr>
  </w:style>
  <w:style w:type="paragraph" w:customStyle="1" w:styleId="s6e50bd9a">
    <w:name w:val="s6e50bd9a"/>
    <w:basedOn w:val="Normalny"/>
    <w:uiPriority w:val="99"/>
    <w:rsid w:val="00337D2F"/>
    <w:pPr>
      <w:spacing w:before="100" w:beforeAutospacing="1" w:after="100" w:afterAutospacing="1"/>
      <w:jc w:val="left"/>
    </w:pPr>
    <w:rPr>
      <w:rFonts w:ascii="Times New Roman" w:eastAsia="Times New Roman" w:hAnsi="Times New Roman" w:cs="Times New Roman"/>
      <w:szCs w:val="24"/>
      <w:lang w:bidi="ar-SA"/>
    </w:rPr>
  </w:style>
  <w:style w:type="paragraph" w:customStyle="1" w:styleId="s746c8714">
    <w:name w:val="s746c8714"/>
    <w:basedOn w:val="Normalny"/>
    <w:uiPriority w:val="99"/>
    <w:rsid w:val="00337D2F"/>
    <w:pPr>
      <w:spacing w:before="100" w:beforeAutospacing="1" w:after="100" w:afterAutospacing="1"/>
      <w:jc w:val="left"/>
    </w:pPr>
    <w:rPr>
      <w:rFonts w:ascii="Times New Roman" w:eastAsia="Times New Roman" w:hAnsi="Times New Roman" w:cs="Times New Roman"/>
      <w:szCs w:val="24"/>
      <w:lang w:bidi="ar-SA"/>
    </w:rPr>
  </w:style>
  <w:style w:type="character" w:customStyle="1" w:styleId="s4f807e54">
    <w:name w:val="s4f807e54"/>
    <w:uiPriority w:val="99"/>
    <w:rsid w:val="0033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0059">
      <w:bodyDiv w:val="1"/>
      <w:marLeft w:val="0"/>
      <w:marRight w:val="0"/>
      <w:marTop w:val="0"/>
      <w:marBottom w:val="0"/>
      <w:divBdr>
        <w:top w:val="none" w:sz="0" w:space="0" w:color="auto"/>
        <w:left w:val="none" w:sz="0" w:space="0" w:color="auto"/>
        <w:bottom w:val="none" w:sz="0" w:space="0" w:color="auto"/>
        <w:right w:val="none" w:sz="0" w:space="0" w:color="auto"/>
      </w:divBdr>
      <w:divsChild>
        <w:div w:id="1769619795">
          <w:marLeft w:val="0"/>
          <w:marRight w:val="0"/>
          <w:marTop w:val="0"/>
          <w:marBottom w:val="0"/>
          <w:divBdr>
            <w:top w:val="none" w:sz="0" w:space="0" w:color="auto"/>
            <w:left w:val="none" w:sz="0" w:space="0" w:color="auto"/>
            <w:bottom w:val="none" w:sz="0" w:space="0" w:color="auto"/>
            <w:right w:val="none" w:sz="0" w:space="0" w:color="auto"/>
          </w:divBdr>
          <w:divsChild>
            <w:div w:id="1142190601">
              <w:marLeft w:val="0"/>
              <w:marRight w:val="0"/>
              <w:marTop w:val="0"/>
              <w:marBottom w:val="0"/>
              <w:divBdr>
                <w:top w:val="none" w:sz="0" w:space="0" w:color="auto"/>
                <w:left w:val="none" w:sz="0" w:space="0" w:color="auto"/>
                <w:bottom w:val="none" w:sz="0" w:space="0" w:color="auto"/>
                <w:right w:val="none" w:sz="0" w:space="0" w:color="auto"/>
              </w:divBdr>
              <w:divsChild>
                <w:div w:id="480779735">
                  <w:marLeft w:val="0"/>
                  <w:marRight w:val="0"/>
                  <w:marTop w:val="0"/>
                  <w:marBottom w:val="0"/>
                  <w:divBdr>
                    <w:top w:val="none" w:sz="0" w:space="0" w:color="auto"/>
                    <w:left w:val="none" w:sz="0" w:space="0" w:color="auto"/>
                    <w:bottom w:val="none" w:sz="0" w:space="0" w:color="auto"/>
                    <w:right w:val="none" w:sz="0" w:space="0" w:color="auto"/>
                  </w:divBdr>
                  <w:divsChild>
                    <w:div w:id="8226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1648509167">
      <w:bodyDiv w:val="1"/>
      <w:marLeft w:val="0"/>
      <w:marRight w:val="0"/>
      <w:marTop w:val="0"/>
      <w:marBottom w:val="0"/>
      <w:divBdr>
        <w:top w:val="none" w:sz="0" w:space="0" w:color="auto"/>
        <w:left w:val="none" w:sz="0" w:space="0" w:color="auto"/>
        <w:bottom w:val="none" w:sz="0" w:space="0" w:color="auto"/>
        <w:right w:val="none" w:sz="0" w:space="0" w:color="auto"/>
      </w:divBdr>
      <w:divsChild>
        <w:div w:id="1940068109">
          <w:marLeft w:val="0"/>
          <w:marRight w:val="0"/>
          <w:marTop w:val="0"/>
          <w:marBottom w:val="0"/>
          <w:divBdr>
            <w:top w:val="none" w:sz="0" w:space="0" w:color="auto"/>
            <w:left w:val="none" w:sz="0" w:space="0" w:color="auto"/>
            <w:bottom w:val="none" w:sz="0" w:space="0" w:color="auto"/>
            <w:right w:val="none" w:sz="0" w:space="0" w:color="auto"/>
          </w:divBdr>
          <w:divsChild>
            <w:div w:id="13920870">
              <w:marLeft w:val="0"/>
              <w:marRight w:val="0"/>
              <w:marTop w:val="0"/>
              <w:marBottom w:val="0"/>
              <w:divBdr>
                <w:top w:val="none" w:sz="0" w:space="0" w:color="auto"/>
                <w:left w:val="none" w:sz="0" w:space="0" w:color="auto"/>
                <w:bottom w:val="none" w:sz="0" w:space="0" w:color="auto"/>
                <w:right w:val="none" w:sz="0" w:space="0" w:color="auto"/>
              </w:divBdr>
              <w:divsChild>
                <w:div w:id="831869841">
                  <w:marLeft w:val="0"/>
                  <w:marRight w:val="0"/>
                  <w:marTop w:val="0"/>
                  <w:marBottom w:val="0"/>
                  <w:divBdr>
                    <w:top w:val="none" w:sz="0" w:space="0" w:color="auto"/>
                    <w:left w:val="none" w:sz="0" w:space="0" w:color="auto"/>
                    <w:bottom w:val="none" w:sz="0" w:space="0" w:color="auto"/>
                    <w:right w:val="none" w:sz="0" w:space="0" w:color="auto"/>
                  </w:divBdr>
                  <w:divsChild>
                    <w:div w:id="6593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92737">
      <w:bodyDiv w:val="1"/>
      <w:marLeft w:val="0"/>
      <w:marRight w:val="0"/>
      <w:marTop w:val="0"/>
      <w:marBottom w:val="0"/>
      <w:divBdr>
        <w:top w:val="none" w:sz="0" w:space="0" w:color="auto"/>
        <w:left w:val="none" w:sz="0" w:space="0" w:color="auto"/>
        <w:bottom w:val="none" w:sz="0" w:space="0" w:color="auto"/>
        <w:right w:val="none" w:sz="0" w:space="0" w:color="auto"/>
      </w:divBdr>
      <w:divsChild>
        <w:div w:id="2048555469">
          <w:marLeft w:val="0"/>
          <w:marRight w:val="0"/>
          <w:marTop w:val="0"/>
          <w:marBottom w:val="0"/>
          <w:divBdr>
            <w:top w:val="none" w:sz="0" w:space="0" w:color="auto"/>
            <w:left w:val="none" w:sz="0" w:space="0" w:color="auto"/>
            <w:bottom w:val="none" w:sz="0" w:space="0" w:color="auto"/>
            <w:right w:val="none" w:sz="0" w:space="0" w:color="auto"/>
          </w:divBdr>
          <w:divsChild>
            <w:div w:id="338891744">
              <w:marLeft w:val="0"/>
              <w:marRight w:val="0"/>
              <w:marTop w:val="0"/>
              <w:marBottom w:val="0"/>
              <w:divBdr>
                <w:top w:val="none" w:sz="0" w:space="0" w:color="auto"/>
                <w:left w:val="none" w:sz="0" w:space="0" w:color="auto"/>
                <w:bottom w:val="none" w:sz="0" w:space="0" w:color="auto"/>
                <w:right w:val="none" w:sz="0" w:space="0" w:color="auto"/>
              </w:divBdr>
              <w:divsChild>
                <w:div w:id="173302928">
                  <w:marLeft w:val="0"/>
                  <w:marRight w:val="0"/>
                  <w:marTop w:val="0"/>
                  <w:marBottom w:val="0"/>
                  <w:divBdr>
                    <w:top w:val="none" w:sz="0" w:space="0" w:color="auto"/>
                    <w:left w:val="none" w:sz="0" w:space="0" w:color="auto"/>
                    <w:bottom w:val="none" w:sz="0" w:space="0" w:color="auto"/>
                    <w:right w:val="none" w:sz="0" w:space="0" w:color="auto"/>
                  </w:divBdr>
                  <w:divsChild>
                    <w:div w:id="1379554203">
                      <w:marLeft w:val="0"/>
                      <w:marRight w:val="0"/>
                      <w:marTop w:val="0"/>
                      <w:marBottom w:val="0"/>
                      <w:divBdr>
                        <w:top w:val="none" w:sz="0" w:space="0" w:color="auto"/>
                        <w:left w:val="none" w:sz="0" w:space="0" w:color="auto"/>
                        <w:bottom w:val="none" w:sz="0" w:space="0" w:color="auto"/>
                        <w:right w:val="none" w:sz="0" w:space="0" w:color="auto"/>
                      </w:divBdr>
                      <w:divsChild>
                        <w:div w:id="401418158">
                          <w:marLeft w:val="0"/>
                          <w:marRight w:val="0"/>
                          <w:marTop w:val="0"/>
                          <w:marBottom w:val="0"/>
                          <w:divBdr>
                            <w:top w:val="none" w:sz="0" w:space="0" w:color="auto"/>
                            <w:left w:val="none" w:sz="0" w:space="0" w:color="auto"/>
                            <w:bottom w:val="none" w:sz="0" w:space="0" w:color="auto"/>
                            <w:right w:val="none" w:sz="0" w:space="0" w:color="auto"/>
                          </w:divBdr>
                          <w:divsChild>
                            <w:div w:id="3952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04123">
      <w:bodyDiv w:val="1"/>
      <w:marLeft w:val="0"/>
      <w:marRight w:val="0"/>
      <w:marTop w:val="0"/>
      <w:marBottom w:val="0"/>
      <w:divBdr>
        <w:top w:val="none" w:sz="0" w:space="0" w:color="auto"/>
        <w:left w:val="none" w:sz="0" w:space="0" w:color="auto"/>
        <w:bottom w:val="none" w:sz="0" w:space="0" w:color="auto"/>
        <w:right w:val="none" w:sz="0" w:space="0" w:color="auto"/>
      </w:divBdr>
      <w:divsChild>
        <w:div w:id="734206674">
          <w:marLeft w:val="0"/>
          <w:marRight w:val="0"/>
          <w:marTop w:val="0"/>
          <w:marBottom w:val="0"/>
          <w:divBdr>
            <w:top w:val="none" w:sz="0" w:space="0" w:color="auto"/>
            <w:left w:val="none" w:sz="0" w:space="0" w:color="auto"/>
            <w:bottom w:val="none" w:sz="0" w:space="0" w:color="auto"/>
            <w:right w:val="none" w:sz="0" w:space="0" w:color="auto"/>
          </w:divBdr>
          <w:divsChild>
            <w:div w:id="1323774126">
              <w:marLeft w:val="0"/>
              <w:marRight w:val="0"/>
              <w:marTop w:val="0"/>
              <w:marBottom w:val="0"/>
              <w:divBdr>
                <w:top w:val="none" w:sz="0" w:space="0" w:color="auto"/>
                <w:left w:val="none" w:sz="0" w:space="0" w:color="auto"/>
                <w:bottom w:val="none" w:sz="0" w:space="0" w:color="auto"/>
                <w:right w:val="none" w:sz="0" w:space="0" w:color="auto"/>
              </w:divBdr>
              <w:divsChild>
                <w:div w:id="124659500">
                  <w:marLeft w:val="0"/>
                  <w:marRight w:val="0"/>
                  <w:marTop w:val="0"/>
                  <w:marBottom w:val="0"/>
                  <w:divBdr>
                    <w:top w:val="none" w:sz="0" w:space="0" w:color="auto"/>
                    <w:left w:val="none" w:sz="0" w:space="0" w:color="auto"/>
                    <w:bottom w:val="none" w:sz="0" w:space="0" w:color="auto"/>
                    <w:right w:val="none" w:sz="0" w:space="0" w:color="auto"/>
                  </w:divBdr>
                  <w:divsChild>
                    <w:div w:id="2054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71BD-3AF3-40DB-BB67-8A855073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8814</Words>
  <Characters>52887</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61578</CharactersWithSpaces>
  <SharedDoc>false</SharedDoc>
  <HLinks>
    <vt:vector size="6" baseType="variant">
      <vt:variant>
        <vt:i4>4587612</vt:i4>
      </vt:variant>
      <vt:variant>
        <vt:i4>0</vt:i4>
      </vt:variant>
      <vt:variant>
        <vt:i4>0</vt:i4>
      </vt:variant>
      <vt:variant>
        <vt:i4>5</vt:i4>
      </vt:variant>
      <vt:variant>
        <vt:lpwstr>http://insite.dhcour.coe.int/link/tikitlink.asp?doc=2309498&amp;lib=court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2016-08-17T08:58:00Z</dcterms:created>
  <dcterms:modified xsi:type="dcterms:W3CDTF">2016-08-17T09:03:00Z</dcterms:modified>
</cp:coreProperties>
</file>