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noProof/>
          <w:sz w:val="24"/>
          <w:szCs w:val="20"/>
          <w:lang w:val="en-US"/>
        </w:rPr>
        <w:drawing>
          <wp:anchor distT="0" distB="0" distL="114300" distR="114300" simplePos="0" relativeHeight="251659264" behindDoc="1" locked="0" layoutInCell="1" allowOverlap="0" wp14:anchorId="4C74E492" wp14:editId="3B718A3C">
            <wp:simplePos x="0" y="0"/>
            <wp:positionH relativeFrom="column">
              <wp:posOffset>-171450</wp:posOffset>
            </wp:positionH>
            <wp:positionV relativeFrom="paragraph">
              <wp:posOffset>-374015</wp:posOffset>
            </wp:positionV>
            <wp:extent cx="1381125" cy="685800"/>
            <wp:effectExtent l="0" t="0" r="9525" b="0"/>
            <wp:wrapTight wrapText="bothSides">
              <wp:wrapPolygon edited="0">
                <wp:start x="0" y="0"/>
                <wp:lineTo x="0" y="21000"/>
                <wp:lineTo x="21451" y="21000"/>
                <wp:lineTo x="214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VACANCY NOTICE</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t>SECONDED NATIONAL EXPERT TO THE EUROPEAN COMMISSION</w:t>
      </w:r>
    </w:p>
    <w:p w:rsidR="00AF7D78" w:rsidRPr="00AF7D78" w:rsidRDefault="00AF7D78" w:rsidP="00AF7D78">
      <w:pPr>
        <w:spacing w:after="0" w:line="240" w:lineRule="auto"/>
        <w:ind w:left="720" w:right="1317"/>
        <w:jc w:val="center"/>
        <w:rPr>
          <w:rFonts w:ascii="Times New Roman" w:eastAsia="Times New Roman" w:hAnsi="Times New Roman" w:cs="Times New Roman"/>
          <w:b/>
          <w:sz w:val="24"/>
          <w:szCs w:val="20"/>
          <w:lang w:val="en-US" w:eastAsia="en-GB"/>
        </w:rPr>
      </w:pPr>
    </w:p>
    <w:tbl>
      <w:tblPr>
        <w:tblStyle w:val="TableGrid"/>
        <w:tblW w:w="0" w:type="auto"/>
        <w:jc w:val="center"/>
        <w:tblLook w:val="04A0" w:firstRow="1" w:lastRow="0" w:firstColumn="1" w:lastColumn="0" w:noHBand="0" w:noVBand="1"/>
      </w:tblPr>
      <w:tblGrid>
        <w:gridCol w:w="4359"/>
        <w:gridCol w:w="5597"/>
      </w:tblGrid>
      <w:tr w:rsidR="00AF7D78" w:rsidRPr="00AF7D78" w:rsidTr="00EC6FF0">
        <w:trPr>
          <w:trHeight w:val="611"/>
          <w:jc w:val="center"/>
        </w:trPr>
        <w:tc>
          <w:tcPr>
            <w:tcW w:w="4359" w:type="dxa"/>
          </w:tcPr>
          <w:p w:rsidR="00AF7D78" w:rsidRPr="00AF7D78" w:rsidRDefault="00AF7D78" w:rsidP="00AF7D78">
            <w:pPr>
              <w:ind w:right="-1881"/>
              <w:jc w:val="both"/>
              <w:rPr>
                <w:rFonts w:ascii="Times New Roman" w:eastAsia="Times New Roman" w:hAnsi="Times New Roman" w:cs="Times New Roman"/>
                <w:b/>
                <w:sz w:val="24"/>
                <w:szCs w:val="24"/>
                <w:lang w:eastAsia="en-GB"/>
              </w:rPr>
            </w:pPr>
            <w:r w:rsidRPr="00AF7D78">
              <w:rPr>
                <w:rFonts w:ascii="Times New Roman" w:eastAsia="Times New Roman" w:hAnsi="Times New Roman" w:cs="Times New Roman"/>
                <w:b/>
                <w:sz w:val="24"/>
                <w:szCs w:val="24"/>
                <w:lang w:eastAsia="en-GB"/>
              </w:rPr>
              <w:t>Post identification:</w:t>
            </w:r>
          </w:p>
          <w:p w:rsidR="00AF7D78" w:rsidRPr="00AF7D78" w:rsidRDefault="00AF7D78" w:rsidP="00AF7D78">
            <w:pPr>
              <w:ind w:right="-1881"/>
              <w:jc w:val="both"/>
              <w:rPr>
                <w:rFonts w:ascii="Times New Roman" w:eastAsia="Times New Roman" w:hAnsi="Times New Roman" w:cs="Times New Roman"/>
                <w:sz w:val="20"/>
                <w:szCs w:val="20"/>
                <w:lang w:eastAsia="en-GB"/>
              </w:rPr>
            </w:pPr>
            <w:r w:rsidRPr="00AF7D78">
              <w:rPr>
                <w:rFonts w:ascii="Times New Roman" w:eastAsia="Times New Roman" w:hAnsi="Times New Roman" w:cs="Times New Roman"/>
                <w:sz w:val="24"/>
                <w:szCs w:val="24"/>
                <w:lang w:eastAsia="en-GB"/>
              </w:rPr>
              <w:t>(DG-DIR-UNIT)</w:t>
            </w:r>
          </w:p>
        </w:tc>
        <w:tc>
          <w:tcPr>
            <w:tcW w:w="5597" w:type="dxa"/>
            <w:vAlign w:val="center"/>
          </w:tcPr>
          <w:p w:rsidR="00AF7D78" w:rsidRPr="008F1149" w:rsidRDefault="004027DC" w:rsidP="00AF7D78">
            <w:pPr>
              <w:rPr>
                <w:rFonts w:ascii="Times New Roman" w:eastAsia="Times New Roman" w:hAnsi="Times New Roman" w:cs="Times New Roman"/>
                <w:b/>
                <w:sz w:val="24"/>
                <w:szCs w:val="20"/>
                <w:lang w:eastAsia="en-GB"/>
              </w:rPr>
            </w:pPr>
            <w:r>
              <w:rPr>
                <w:rFonts w:ascii="Times New Roman" w:eastAsia="Times New Roman" w:hAnsi="Times New Roman" w:cs="Times New Roman"/>
                <w:b/>
                <w:sz w:val="24"/>
                <w:szCs w:val="20"/>
                <w:lang w:eastAsia="en-GB"/>
              </w:rPr>
              <w:t>TRADE-C-1</w:t>
            </w:r>
          </w:p>
        </w:tc>
      </w:tr>
      <w:tr w:rsidR="00AF7D78" w:rsidRPr="008F1149" w:rsidTr="00EC6FF0">
        <w:trPr>
          <w:trHeight w:val="1977"/>
          <w:jc w:val="center"/>
        </w:trPr>
        <w:tc>
          <w:tcPr>
            <w:tcW w:w="4359" w:type="dxa"/>
            <w:tcBorders>
              <w:bottom w:val="nil"/>
            </w:tcBorders>
          </w:tcPr>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Head of Unit:</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Email address: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Telephone:</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Number of available posts:</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taking up duty:</w:t>
            </w:r>
          </w:p>
          <w:p w:rsidR="00AF7D78" w:rsidRPr="00AF7D78" w:rsidRDefault="00AF7D78" w:rsidP="00AF7D78">
            <w:pPr>
              <w:tabs>
                <w:tab w:val="left" w:pos="1697"/>
              </w:tabs>
              <w:ind w:right="-1739"/>
              <w:jc w:val="both"/>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Suggested initial duration:</w:t>
            </w:r>
          </w:p>
          <w:p w:rsidR="00AF7D78" w:rsidRPr="00AF7D78" w:rsidRDefault="00AF7D78" w:rsidP="00AF7D78">
            <w:pPr>
              <w:tabs>
                <w:tab w:val="left" w:pos="1697"/>
              </w:tabs>
              <w:ind w:right="-1739"/>
              <w:jc w:val="both"/>
              <w:rPr>
                <w:rFonts w:ascii="Times New Roman" w:eastAsia="Times New Roman" w:hAnsi="Times New Roman" w:cs="Times New Roman"/>
                <w:b/>
                <w:sz w:val="24"/>
                <w:szCs w:val="20"/>
                <w:lang w:eastAsia="en-GB"/>
              </w:rPr>
            </w:pPr>
            <w:r w:rsidRPr="00AF7D78">
              <w:rPr>
                <w:rFonts w:ascii="Times New Roman" w:eastAsia="Times New Roman" w:hAnsi="Times New Roman" w:cs="Times New Roman"/>
                <w:b/>
                <w:lang w:val="en-US" w:eastAsia="en-GB"/>
              </w:rPr>
              <w:t>Place of secondment:</w:t>
            </w:r>
          </w:p>
        </w:tc>
        <w:tc>
          <w:tcPr>
            <w:tcW w:w="5597" w:type="dxa"/>
          </w:tcPr>
          <w:p w:rsidR="004027DC" w:rsidRPr="002924F9" w:rsidRDefault="004027DC" w:rsidP="004027DC">
            <w:pPr>
              <w:rPr>
                <w:rFonts w:ascii="Times New Roman" w:hAnsi="Times New Roman" w:cs="Times New Roman"/>
                <w:b/>
                <w:lang w:val="en-US"/>
              </w:rPr>
            </w:pPr>
            <w:r w:rsidRPr="002924F9">
              <w:rPr>
                <w:rFonts w:ascii="Times New Roman" w:hAnsi="Times New Roman" w:cs="Times New Roman"/>
                <w:b/>
                <w:lang w:val="en-US"/>
              </w:rPr>
              <w:t>Adeline Hinderer</w:t>
            </w:r>
          </w:p>
          <w:p w:rsidR="004027DC" w:rsidRPr="002924F9" w:rsidRDefault="002924F9" w:rsidP="004027DC">
            <w:pPr>
              <w:rPr>
                <w:rFonts w:ascii="Times New Roman" w:hAnsi="Times New Roman" w:cs="Times New Roman"/>
                <w:b/>
                <w:lang w:val="en-US"/>
              </w:rPr>
            </w:pPr>
            <w:hyperlink r:id="rId8" w:history="1">
              <w:r w:rsidR="004027DC" w:rsidRPr="002924F9">
                <w:rPr>
                  <w:rFonts w:ascii="Times New Roman" w:hAnsi="Times New Roman" w:cs="Times New Roman"/>
                  <w:b/>
                  <w:color w:val="0000FF" w:themeColor="hyperlink"/>
                  <w:u w:val="single"/>
                  <w:lang w:val="en-US"/>
                </w:rPr>
                <w:t>Adeline.HINDERER@ec.europa.eu</w:t>
              </w:r>
            </w:hyperlink>
            <w:r w:rsidR="004027DC" w:rsidRPr="002924F9">
              <w:rPr>
                <w:rFonts w:ascii="Times New Roman" w:hAnsi="Times New Roman" w:cs="Times New Roman"/>
                <w:b/>
                <w:lang w:val="en-US"/>
              </w:rPr>
              <w:t xml:space="preserve"> </w:t>
            </w:r>
          </w:p>
          <w:p w:rsidR="008F1149" w:rsidRPr="00C90DA3" w:rsidRDefault="004027DC" w:rsidP="004027DC">
            <w:pPr>
              <w:rPr>
                <w:rFonts w:ascii="Times New Roman" w:eastAsia="Times New Roman" w:hAnsi="Times New Roman" w:cs="Times New Roman"/>
                <w:b/>
                <w:lang w:val="en-US" w:eastAsia="en-GB"/>
              </w:rPr>
            </w:pPr>
            <w:r w:rsidRPr="004027DC">
              <w:rPr>
                <w:rFonts w:ascii="Times New Roman" w:hAnsi="Times New Roman" w:cs="Times New Roman"/>
                <w:b/>
              </w:rPr>
              <w:t>+32 2 2992155</w:t>
            </w:r>
          </w:p>
          <w:p w:rsidR="00AF7D78" w:rsidRPr="004D2D75" w:rsidRDefault="008F1149" w:rsidP="008F1149">
            <w:pPr>
              <w:rPr>
                <w:rFonts w:ascii="Times New Roman" w:eastAsia="Times New Roman" w:hAnsi="Times New Roman" w:cs="Times New Roman"/>
                <w:b/>
                <w:lang w:val="en-US" w:eastAsia="en-GB"/>
              </w:rPr>
            </w:pPr>
            <w:r w:rsidRPr="004D2D75">
              <w:rPr>
                <w:rFonts w:ascii="Times New Roman" w:eastAsia="Times New Roman" w:hAnsi="Times New Roman" w:cs="Times New Roman"/>
                <w:b/>
                <w:lang w:val="en-US" w:eastAsia="en-GB"/>
              </w:rPr>
              <w:t>1</w:t>
            </w:r>
          </w:p>
          <w:p w:rsidR="00AF7D78" w:rsidRPr="00AF7D78" w:rsidRDefault="002924F9"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3</w:t>
            </w:r>
            <w:r>
              <w:rPr>
                <w:rFonts w:ascii="Times New Roman" w:eastAsia="Times New Roman" w:hAnsi="Times New Roman" w:cs="Times New Roman"/>
                <w:b/>
                <w:vertAlign w:val="superscript"/>
                <w:lang w:val="en-US" w:eastAsia="en-GB"/>
              </w:rPr>
              <w:t xml:space="preserve">rd  </w:t>
            </w:r>
            <w:bookmarkStart w:id="0" w:name="_GoBack"/>
            <w:bookmarkEnd w:id="0"/>
            <w:r w:rsidR="00AF7D78" w:rsidRPr="00AF7D78">
              <w:rPr>
                <w:rFonts w:ascii="Times New Roman" w:eastAsia="Times New Roman" w:hAnsi="Times New Roman" w:cs="Times New Roman"/>
                <w:b/>
                <w:lang w:val="en-US" w:eastAsia="en-GB"/>
              </w:rPr>
              <w:t>quarter 20</w:t>
            </w:r>
            <w:r w:rsidR="008F1149">
              <w:rPr>
                <w:rFonts w:ascii="Times New Roman" w:eastAsia="Times New Roman" w:hAnsi="Times New Roman" w:cs="Times New Roman"/>
                <w:b/>
                <w:lang w:val="en-US" w:eastAsia="en-GB"/>
              </w:rPr>
              <w:t>20</w:t>
            </w:r>
            <w:r w:rsidR="00AF7D78" w:rsidRPr="00AF7D78">
              <w:rPr>
                <w:rFonts w:ascii="Times New Roman" w:eastAsia="Times New Roman" w:hAnsi="Times New Roman" w:cs="Times New Roman"/>
                <w:b/>
                <w:lang w:val="en-US" w:eastAsia="en-GB"/>
              </w:rPr>
              <w:t xml:space="preserve"> </w:t>
            </w:r>
            <w:r w:rsidR="00AF7D78" w:rsidRPr="00AF7D78">
              <w:rPr>
                <w:rFonts w:ascii="Times New Roman" w:eastAsia="Times New Roman" w:hAnsi="Times New Roman" w:cs="Times New Roman"/>
                <w:b/>
                <w:vertAlign w:val="superscript"/>
                <w:lang w:eastAsia="en-GB"/>
              </w:rPr>
              <w:footnoteReference w:id="1"/>
            </w:r>
          </w:p>
          <w:p w:rsidR="00AF7D78" w:rsidRPr="00AF7D78" w:rsidRDefault="00C90DA3" w:rsidP="00AF7D78">
            <w:pPr>
              <w:ind w:right="1317"/>
              <w:jc w:val="both"/>
              <w:rPr>
                <w:rFonts w:ascii="Times New Roman" w:eastAsia="Times New Roman" w:hAnsi="Times New Roman" w:cs="Times New Roman"/>
                <w:b/>
                <w:lang w:val="en-US" w:eastAsia="en-GB"/>
              </w:rPr>
            </w:pPr>
            <w:r>
              <w:rPr>
                <w:rFonts w:ascii="Times New Roman" w:eastAsia="Times New Roman" w:hAnsi="Times New Roman" w:cs="Times New Roman"/>
                <w:b/>
                <w:lang w:val="en-US" w:eastAsia="en-GB"/>
              </w:rPr>
              <w:t>2</w:t>
            </w:r>
            <w:r w:rsidR="00AF7D78" w:rsidRPr="00AF7D78">
              <w:rPr>
                <w:rFonts w:ascii="Times New Roman" w:eastAsia="Times New Roman" w:hAnsi="Times New Roman" w:cs="Times New Roman"/>
                <w:b/>
                <w:lang w:val="en-US" w:eastAsia="en-GB"/>
              </w:rPr>
              <w:t xml:space="preserve"> year</w:t>
            </w:r>
            <w:r>
              <w:rPr>
                <w:rFonts w:ascii="Times New Roman" w:eastAsia="Times New Roman" w:hAnsi="Times New Roman" w:cs="Times New Roman"/>
                <w:b/>
                <w:lang w:val="en-US" w:eastAsia="en-GB"/>
              </w:rPr>
              <w:t>s</w:t>
            </w:r>
            <w:r w:rsidR="00AF7D78" w:rsidRPr="00AF7D78">
              <w:rPr>
                <w:rFonts w:ascii="Times New Roman" w:eastAsia="Times New Roman" w:hAnsi="Times New Roman" w:cs="Times New Roman"/>
                <w:b/>
                <w:vertAlign w:val="superscript"/>
                <w:lang w:val="en-US" w:eastAsia="en-GB"/>
              </w:rPr>
              <w:t>1</w:t>
            </w:r>
          </w:p>
          <w:p w:rsidR="00AF7D78" w:rsidRPr="00AF7D78" w:rsidRDefault="0072493E" w:rsidP="008F1149">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w:char="F078"/>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Brussels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 xml:space="preserve">Luxemburg  </w:t>
            </w:r>
            <w:r w:rsidR="00AF7D78"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MS Minngs" w:hAnsi="Times New Roman" w:cs="Times New Roman"/>
                <w:b/>
                <w:bCs/>
                <w:lang w:val="en-US" w:eastAsia="en-GB"/>
              </w:rPr>
              <w:t>Other</w:t>
            </w:r>
            <w:r w:rsidR="00AF7D78" w:rsidRPr="00AF7D78">
              <w:rPr>
                <w:rFonts w:ascii="Times New Roman" w:eastAsia="Times New Roman" w:hAnsi="Times New Roman" w:cs="Times New Roman"/>
                <w:b/>
                <w:lang w:val="en-US" w:eastAsia="en-GB"/>
              </w:rPr>
              <w:t>: ……………..</w:t>
            </w:r>
          </w:p>
        </w:tc>
      </w:tr>
      <w:tr w:rsidR="00AF7D78" w:rsidRPr="00AF7D78" w:rsidTr="00EC6FF0">
        <w:trPr>
          <w:trHeight w:val="545"/>
          <w:jc w:val="center"/>
        </w:trPr>
        <w:tc>
          <w:tcPr>
            <w:tcW w:w="4359" w:type="dxa"/>
            <w:tcBorders>
              <w:top w:val="nil"/>
              <w:left w:val="single" w:sz="4" w:space="0" w:color="auto"/>
              <w:bottom w:val="single" w:sz="4" w:space="0" w:color="auto"/>
              <w:right w:val="single" w:sz="4" w:space="0" w:color="auto"/>
            </w:tcBorders>
          </w:tcPr>
          <w:p w:rsidR="00AF7D78" w:rsidRPr="00AF7D78" w:rsidRDefault="00AF7D78" w:rsidP="00AF7D78">
            <w:pPr>
              <w:rPr>
                <w:rFonts w:ascii="Times New Roman" w:eastAsia="Times New Roman" w:hAnsi="Times New Roman" w:cs="Times New Roman"/>
                <w:sz w:val="24"/>
                <w:szCs w:val="20"/>
                <w:lang w:val="en-US" w:eastAsia="en-GB"/>
              </w:rPr>
            </w:pPr>
          </w:p>
        </w:tc>
        <w:tc>
          <w:tcPr>
            <w:tcW w:w="5597" w:type="dxa"/>
            <w:tcBorders>
              <w:left w:val="single" w:sz="4" w:space="0" w:color="auto"/>
            </w:tcBorders>
            <w:vAlign w:val="center"/>
          </w:tcPr>
          <w:p w:rsidR="00AF7D78" w:rsidRPr="00AF7D78" w:rsidRDefault="004D2D75" w:rsidP="00AF7D78">
            <w:pPr>
              <w:rPr>
                <w:rFonts w:ascii="Times New Roman" w:eastAsia="Times New Roman" w:hAnsi="Times New Roman" w:cs="Times New Roman"/>
                <w:sz w:val="24"/>
                <w:szCs w:val="20"/>
                <w:lang w:val="en-US" w:eastAsia="en-GB"/>
              </w:rPr>
            </w:pPr>
            <w:r>
              <w:rPr>
                <w:rFonts w:ascii="Times New Roman" w:eastAsia="MS Minngs" w:hAnsi="Times New Roman" w:cs="Times New Roman"/>
                <w:bCs/>
                <w:lang w:val="fr-FR" w:eastAsia="en-GB"/>
              </w:rPr>
              <w:sym w:font="Wingdings" w:char="F078"/>
            </w:r>
            <w:r w:rsidR="00AF7D78" w:rsidRPr="00AF7D78">
              <w:rPr>
                <w:rFonts w:ascii="Times New Roman" w:eastAsia="Times New Roman" w:hAnsi="Times New Roman" w:cs="Times New Roman"/>
                <w:b/>
                <w:bCs/>
                <w:lang w:val="en-US" w:eastAsia="en-GB"/>
              </w:rPr>
              <w:t xml:space="preserve">    </w:t>
            </w:r>
            <w:r w:rsidR="00AF7D78" w:rsidRPr="00AF7D78">
              <w:rPr>
                <w:rFonts w:ascii="Times New Roman" w:eastAsia="Times New Roman" w:hAnsi="Times New Roman" w:cs="Times New Roman"/>
                <w:b/>
                <w:lang w:val="en-US" w:eastAsia="en-GB"/>
              </w:rPr>
              <w:t xml:space="preserve">With allowances                </w:t>
            </w:r>
            <w:r w:rsidRPr="00AF7D78">
              <w:rPr>
                <w:rFonts w:ascii="Times New Roman" w:eastAsia="MS Minngs" w:hAnsi="Times New Roman" w:cs="Times New Roman"/>
                <w:bCs/>
                <w:lang w:val="fr-FR" w:eastAsia="en-GB"/>
              </w:rPr>
              <w:sym w:font="Wingdings 2" w:char="F0A3"/>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bCs/>
                <w:lang w:val="en-US" w:eastAsia="en-GB"/>
              </w:rPr>
              <w:t> </w:t>
            </w:r>
            <w:r w:rsidR="00AF7D78" w:rsidRPr="00AF7D78">
              <w:rPr>
                <w:rFonts w:ascii="Times New Roman" w:eastAsia="MS Minngs" w:hAnsi="Times New Roman" w:cs="Times New Roman"/>
                <w:bCs/>
                <w:lang w:val="en-US" w:eastAsia="en-GB"/>
              </w:rPr>
              <w:t xml:space="preserve"> </w:t>
            </w:r>
            <w:r w:rsidR="00AF7D78" w:rsidRPr="00AF7D78">
              <w:rPr>
                <w:rFonts w:ascii="Times New Roman" w:eastAsia="Times New Roman" w:hAnsi="Times New Roman" w:cs="Times New Roman"/>
                <w:b/>
                <w:lang w:val="en-US" w:eastAsia="en-GB"/>
              </w:rPr>
              <w:t>Cost-free</w:t>
            </w:r>
          </w:p>
        </w:tc>
      </w:tr>
      <w:tr w:rsidR="00AF7D78" w:rsidRPr="002924F9" w:rsidTr="00EC6FF0">
        <w:trPr>
          <w:trHeight w:val="2112"/>
          <w:jc w:val="center"/>
        </w:trPr>
        <w:tc>
          <w:tcPr>
            <w:tcW w:w="9956" w:type="dxa"/>
            <w:gridSpan w:val="2"/>
            <w:tcBorders>
              <w:top w:val="nil"/>
              <w:left w:val="single" w:sz="4" w:space="0" w:color="auto"/>
              <w:bottom w:val="single" w:sz="4" w:space="0" w:color="auto"/>
            </w:tcBorders>
            <w:vAlign w:val="center"/>
          </w:tcPr>
          <w:p w:rsidR="00AF7D78" w:rsidRPr="00AF7D78" w:rsidRDefault="00AF7D78" w:rsidP="00AF7D78">
            <w:pPr>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This vacancy notice is also open to</w:t>
            </w:r>
          </w:p>
          <w:p w:rsidR="00AF7D78" w:rsidRPr="00AF7D78" w:rsidRDefault="00AF7D78" w:rsidP="00AF7D78">
            <w:pPr>
              <w:rPr>
                <w:rFonts w:ascii="Times New Roman" w:eastAsia="Times New Roman" w:hAnsi="Times New Roman" w:cs="Times New Roman"/>
                <w:b/>
                <w:lang w:val="en-US" w:eastAsia="en-GB"/>
              </w:rPr>
            </w:pPr>
          </w:p>
          <w:p w:rsidR="00AF7D78" w:rsidRPr="00AF7D78" w:rsidRDefault="004D2D75" w:rsidP="00AF7D78">
            <w:pPr>
              <w:rPr>
                <w:rFonts w:ascii="Times New Roman" w:eastAsia="Times New Roman" w:hAnsi="Times New Roman" w:cs="Times New Roman"/>
                <w:lang w:val="en-US" w:eastAsia="en-GB"/>
              </w:rPr>
            </w:pP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the following EFTA countries :</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Iceland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Liechtenstein  </w:t>
            </w:r>
            <w:r w:rsidRPr="00AF7D78">
              <w:rPr>
                <w:rFonts w:ascii="Times New Roman" w:eastAsia="MS Minngs" w:hAnsi="Times New Roman" w:cs="Times New Roman"/>
                <w:bCs/>
                <w:lang w:val="fr-FR" w:eastAsia="en-GB"/>
              </w:rPr>
              <w:sym w:font="Wingdings 2" w:char="F0A3"/>
            </w:r>
            <w:r w:rsidR="00AF7D78" w:rsidRPr="00AF7D78">
              <w:rPr>
                <w:rFonts w:ascii="Times New Roman" w:eastAsia="Times New Roman" w:hAnsi="Times New Roman" w:cs="Times New Roman"/>
                <w:b/>
                <w:sz w:val="24"/>
                <w:szCs w:val="20"/>
                <w:lang w:val="en-US" w:eastAsia="en-GB"/>
              </w:rPr>
              <w:t xml:space="preserve"> Norway  </w:t>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Switzerland</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val="en-US" w:eastAsia="en-GB"/>
              </w:rPr>
              <w:tab/>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EFTA-EEA In-Kind agreement (Iceland, Liechtenstein, Norway)</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the following third countries:</w:t>
            </w:r>
            <w:r w:rsidR="00AF7D78" w:rsidRPr="00AF7D78">
              <w:rPr>
                <w:rFonts w:ascii="Times New Roman" w:eastAsia="Times New Roman" w:hAnsi="Times New Roman" w:cs="Times New Roman"/>
                <w:b/>
                <w:sz w:val="24"/>
                <w:szCs w:val="20"/>
                <w:lang w:val="en-US" w:eastAsia="en-GB"/>
              </w:rPr>
              <w:br/>
            </w:r>
            <w:r w:rsidR="00AF7D78" w:rsidRPr="00AF7D78">
              <w:rPr>
                <w:rFonts w:ascii="Times New Roman" w:eastAsia="Times New Roman" w:hAnsi="Times New Roman" w:cs="Times New Roman"/>
                <w:b/>
                <w:sz w:val="24"/>
                <w:szCs w:val="20"/>
                <w:lang w:eastAsia="en-GB"/>
              </w:rPr>
              <w:sym w:font="Wingdings 2" w:char="F0A3"/>
            </w:r>
            <w:r w:rsidR="00AF7D78" w:rsidRPr="00AF7D78">
              <w:rPr>
                <w:rFonts w:ascii="Times New Roman" w:eastAsia="Times New Roman" w:hAnsi="Times New Roman" w:cs="Times New Roman"/>
                <w:b/>
                <w:sz w:val="24"/>
                <w:szCs w:val="20"/>
                <w:lang w:val="en-US" w:eastAsia="en-GB"/>
              </w:rPr>
              <w:t xml:space="preserve">    the following intergovernmental </w:t>
            </w:r>
            <w:proofErr w:type="spellStart"/>
            <w:r w:rsidR="00AF7D78" w:rsidRPr="00AF7D78">
              <w:rPr>
                <w:rFonts w:ascii="Times New Roman" w:eastAsia="Times New Roman" w:hAnsi="Times New Roman" w:cs="Times New Roman"/>
                <w:b/>
                <w:sz w:val="24"/>
                <w:szCs w:val="20"/>
                <w:lang w:val="en-US" w:eastAsia="en-GB"/>
              </w:rPr>
              <w:t>organisations</w:t>
            </w:r>
            <w:proofErr w:type="spellEnd"/>
            <w:r w:rsidR="00AF7D78" w:rsidRPr="00AF7D78">
              <w:rPr>
                <w:rFonts w:ascii="Times New Roman" w:eastAsia="Times New Roman" w:hAnsi="Times New Roman" w:cs="Times New Roman"/>
                <w:b/>
                <w:sz w:val="24"/>
                <w:szCs w:val="20"/>
                <w:lang w:val="en-US" w:eastAsia="en-GB"/>
              </w:rPr>
              <w:t>:</w:t>
            </w:r>
          </w:p>
        </w:tc>
      </w:tr>
    </w:tbl>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8F1149"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8F1149">
        <w:rPr>
          <w:rFonts w:ascii="Times New Roman" w:eastAsia="Times New Roman" w:hAnsi="Times New Roman" w:cs="Times New Roman"/>
          <w:b/>
          <w:sz w:val="24"/>
          <w:szCs w:val="20"/>
          <w:lang w:val="en-US" w:eastAsia="en-GB"/>
        </w:rPr>
        <w:t>1.</w:t>
      </w:r>
      <w:r w:rsidRPr="008F1149">
        <w:rPr>
          <w:rFonts w:ascii="Times New Roman" w:eastAsia="Times New Roman" w:hAnsi="Times New Roman" w:cs="Times New Roman"/>
          <w:b/>
          <w:sz w:val="24"/>
          <w:szCs w:val="20"/>
          <w:lang w:val="en-US" w:eastAsia="en-GB"/>
        </w:rPr>
        <w:tab/>
      </w:r>
      <w:r w:rsidRPr="008F1149">
        <w:rPr>
          <w:rFonts w:ascii="Times New Roman" w:eastAsia="Times New Roman" w:hAnsi="Times New Roman" w:cs="Times New Roman"/>
          <w:b/>
          <w:sz w:val="24"/>
          <w:szCs w:val="20"/>
          <w:u w:val="single"/>
          <w:lang w:val="en-US" w:eastAsia="en-GB"/>
        </w:rPr>
        <w:t>Nature of the tasks</w:t>
      </w:r>
    </w:p>
    <w:p w:rsidR="00AF7D78" w:rsidRPr="008F1149" w:rsidRDefault="00AF7D78" w:rsidP="00AF7D78">
      <w:pPr>
        <w:spacing w:after="0" w:line="240" w:lineRule="auto"/>
        <w:rPr>
          <w:rFonts w:ascii="Times New Roman" w:eastAsia="Times New Roman" w:hAnsi="Times New Roman" w:cs="Times New Roman"/>
          <w:sz w:val="24"/>
          <w:szCs w:val="20"/>
          <w:lang w:val="en-US" w:eastAsia="en-GB"/>
        </w:rPr>
      </w:pP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 xml:space="preserve">Within the European Commission, DG TRADE is responsible for international trade negotiations, an exclusive competence of the EU. </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The FAR EAST Unit in DG TRADE (14 staff in Brussels, , 12 in Seoul, Hong Kong and Taiwan working closely with a team of 26 colleagues in trade sections in Beijing and Tokyo) coordinates all trade and investment issues with the Far East: China, Japan, Korea, Taiwan, Hong Kong, Macao, Mongolia.</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 xml:space="preserve"> </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 xml:space="preserve">We have in particular responsibility for the management of all bilateral trade and investment issues between the EU and China, and the coordination of  high level contacts. </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 xml:space="preserve">Our trade and economic relations with China have an important strategic dimension, and require close relations with Member States, the European Parliament and European  stakeholders. </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An exciting coordinating role in the Greater China team (China, Hong Kong, Taiwan, Macao, Mongolia).</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The candidate should possess a prior experience on China and develop an overview of all substantive and practical issues affecting China and its political/economic situation.</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 xml:space="preserve">The candidate should be able to work well with others, provide critical analysis on the situation in China and draft policy notes at short notice. </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p>
    <w:p w:rsid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The job involves</w:t>
      </w:r>
      <w:r>
        <w:rPr>
          <w:rFonts w:ascii="Times New Roman" w:eastAsia="Times New Roman" w:hAnsi="Times New Roman" w:cs="Times New Roman"/>
          <w:lang w:val="en-US" w:eastAsia="en-GB"/>
        </w:rPr>
        <w:t xml:space="preserve">: </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w:t>
      </w:r>
      <w:r w:rsidRPr="004027DC">
        <w:rPr>
          <w:rFonts w:ascii="Times New Roman" w:eastAsia="Times New Roman" w:hAnsi="Times New Roman" w:cs="Times New Roman"/>
          <w:lang w:val="en-US" w:eastAsia="en-GB"/>
        </w:rPr>
        <w:tab/>
        <w:t xml:space="preserve">coordination with other Commission services and the European External Action Service , </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w:t>
      </w:r>
      <w:r w:rsidRPr="004027DC">
        <w:rPr>
          <w:rFonts w:ascii="Times New Roman" w:eastAsia="Times New Roman" w:hAnsi="Times New Roman" w:cs="Times New Roman"/>
          <w:lang w:val="en-US" w:eastAsia="en-GB"/>
        </w:rPr>
        <w:tab/>
        <w:t xml:space="preserve">participation in occasional meetings with the EU Commissioner for Trade as well as with DG TRADE middle/senior management on a regular basis, </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lastRenderedPageBreak/>
        <w:t>-</w:t>
      </w:r>
      <w:r w:rsidRPr="004027DC">
        <w:rPr>
          <w:rFonts w:ascii="Times New Roman" w:eastAsia="Times New Roman" w:hAnsi="Times New Roman" w:cs="Times New Roman"/>
          <w:lang w:val="en-US" w:eastAsia="en-GB"/>
        </w:rPr>
        <w:tab/>
        <w:t>contribution to the preparation of high level meetings with briefings and analytical notes and being associated to the development of our policy lines on China.</w:t>
      </w:r>
    </w:p>
    <w:p w:rsidR="004027DC" w:rsidRPr="004027DC" w:rsidRDefault="004027DC" w:rsidP="004027DC">
      <w:pPr>
        <w:spacing w:after="0" w:line="240" w:lineRule="auto"/>
        <w:ind w:left="426"/>
        <w:jc w:val="both"/>
        <w:rPr>
          <w:rFonts w:ascii="Times New Roman" w:eastAsia="Times New Roman" w:hAnsi="Times New Roman" w:cs="Times New Roman"/>
          <w:lang w:val="en-US" w:eastAsia="en-GB"/>
        </w:rPr>
      </w:pPr>
    </w:p>
    <w:p w:rsidR="00AF7D78" w:rsidRPr="008F1149" w:rsidRDefault="004027DC" w:rsidP="004027DC">
      <w:pPr>
        <w:spacing w:after="0" w:line="240" w:lineRule="auto"/>
        <w:ind w:left="426"/>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It also implies regular contacts with Member States, the European Parliament, European stakeholders as well as experts on China.</w:t>
      </w:r>
    </w:p>
    <w:p w:rsidR="00AF7D78" w:rsidRPr="00AF7D78" w:rsidRDefault="00AF7D78" w:rsidP="00AF7D78">
      <w:pPr>
        <w:spacing w:after="0" w:line="240" w:lineRule="auto"/>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u w:val="single"/>
          <w:lang w:val="en-US" w:eastAsia="en-GB"/>
        </w:rPr>
      </w:pPr>
      <w:r w:rsidRPr="00AF7D78">
        <w:rPr>
          <w:rFonts w:ascii="Times New Roman" w:eastAsia="Times New Roman" w:hAnsi="Times New Roman" w:cs="Times New Roman"/>
          <w:b/>
          <w:sz w:val="24"/>
          <w:szCs w:val="20"/>
          <w:lang w:val="en-US" w:eastAsia="en-GB"/>
        </w:rPr>
        <w:t>2.</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Main qualifications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Pr>
          <w:rFonts w:ascii="Times New Roman" w:eastAsia="Times New Roman" w:hAnsi="Times New Roman" w:cs="Times New Roman"/>
          <w:b/>
          <w:lang w:val="en-US" w:eastAsia="en-GB"/>
        </w:rPr>
      </w:pPr>
      <w:r w:rsidRPr="00AF7D78">
        <w:rPr>
          <w:rFonts w:ascii="Times New Roman" w:eastAsia="Times New Roman" w:hAnsi="Times New Roman" w:cs="Times New Roman"/>
          <w:b/>
          <w:lang w:val="en-US" w:eastAsia="en-GB"/>
        </w:rPr>
        <w:t>a) Eligibility criteria</w:t>
      </w:r>
    </w:p>
    <w:p w:rsidR="00AF7D78" w:rsidRPr="00AF7D78" w:rsidRDefault="00AF7D78" w:rsidP="00AF7D78">
      <w:pPr>
        <w:spacing w:after="0" w:line="240" w:lineRule="auto"/>
        <w:ind w:left="426"/>
        <w:rPr>
          <w:rFonts w:ascii="Times New Roman" w:eastAsia="Times New Roman" w:hAnsi="Times New Roman" w:cs="Times New Roman"/>
          <w:lang w:val="en-US" w:eastAsia="en-GB"/>
        </w:rPr>
      </w:pP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The following eligibility criteria must be fulfilled by the candidate in order to be seconded to the Commission. Consequently, the candidate who does not fulfil all of these criteria will be automatically eliminated from the selection process.</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Professional experience</w:t>
      </w:r>
      <w:r w:rsidRPr="00AF7D78">
        <w:rPr>
          <w:rFonts w:ascii="Times New Roman" w:eastAsia="Times New Roman" w:hAnsi="Times New Roman" w:cs="Times New Roman"/>
          <w:lang w:val="en-US" w:eastAsia="en-GB"/>
        </w:rPr>
        <w:t>: at least three years of professional experience in administrative, legal, scientific, technical, advisory or supervisory functions which are equivalent to those of function group AD;</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Seniority</w:t>
      </w:r>
      <w:r w:rsidRPr="00AF7D78">
        <w:rPr>
          <w:rFonts w:ascii="Times New Roman" w:eastAsia="Times New Roman" w:hAnsi="Times New Roman" w:cs="Times New Roman"/>
          <w:lang w:val="en-US" w:eastAsia="en-GB"/>
        </w:rPr>
        <w:t xml:space="preserve">: candidates must have at least one year seniority with their employer, that means having worked for an eligible employer as described in Art. 1 of the SNE decision on a permanent or contract basis for at least one year before the secondment; </w:t>
      </w:r>
    </w:p>
    <w:p w:rsidR="00AF7D78" w:rsidRPr="00AF7D78" w:rsidRDefault="00AF7D78" w:rsidP="00AF7D78">
      <w:pPr>
        <w:spacing w:after="0" w:line="240" w:lineRule="auto"/>
        <w:ind w:left="426"/>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709" w:hanging="283"/>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w:t>
      </w:r>
      <w:r w:rsidRPr="00AF7D78">
        <w:rPr>
          <w:rFonts w:ascii="Times New Roman" w:eastAsia="Times New Roman" w:hAnsi="Times New Roman" w:cs="Times New Roman"/>
          <w:lang w:val="en-US" w:eastAsia="en-GB"/>
        </w:rPr>
        <w:tab/>
      </w:r>
      <w:r w:rsidRPr="00AF7D78">
        <w:rPr>
          <w:rFonts w:ascii="Times New Roman" w:eastAsia="Times New Roman" w:hAnsi="Times New Roman" w:cs="Times New Roman"/>
          <w:u w:val="single"/>
          <w:lang w:val="en-US" w:eastAsia="en-GB"/>
        </w:rPr>
        <w:t>Linguistic skills</w:t>
      </w:r>
      <w:r w:rsidRPr="00AF7D78">
        <w:rPr>
          <w:rFonts w:ascii="Times New Roman" w:eastAsia="Times New Roman" w:hAnsi="Times New Roman" w:cs="Times New Roman"/>
          <w:lang w:val="en-US" w:eastAsia="en-GB"/>
        </w:rPr>
        <w:t>: thorough knowledge of one of the EU languages and a satisfactory knowledge of another EU language to the extent necessary for the performance of the duties. SNE from a third country must produce evidence of a thorough knowledge of one EU language necessary for the performance of his duties.</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317"/>
        </w:tabs>
        <w:spacing w:after="0" w:line="240" w:lineRule="auto"/>
        <w:ind w:left="426"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b/>
          <w:lang w:val="en-US" w:eastAsia="en-GB"/>
        </w:rPr>
        <w:t>b)</w:t>
      </w:r>
      <w:r w:rsidRPr="00AF7D78">
        <w:rPr>
          <w:rFonts w:ascii="Times New Roman" w:eastAsia="Times New Roman" w:hAnsi="Times New Roman" w:cs="Times New Roman"/>
          <w:b/>
          <w:lang w:val="en-US" w:eastAsia="en-GB"/>
        </w:rPr>
        <w:tab/>
      </w:r>
      <w:r w:rsidRPr="00AF7D78">
        <w:rPr>
          <w:rFonts w:ascii="Times New Roman" w:eastAsia="Times New Roman" w:hAnsi="Times New Roman" w:cs="Times New Roman"/>
          <w:b/>
          <w:u w:val="single"/>
          <w:lang w:val="en-US" w:eastAsia="en-GB"/>
        </w:rPr>
        <w:t>Selection criteria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u w:val="single"/>
          <w:lang w:val="en-US" w:eastAsia="en-GB"/>
        </w:rPr>
        <w:t>Diploma</w:t>
      </w:r>
      <w:r w:rsidRPr="00AF7D78">
        <w:rPr>
          <w:rFonts w:ascii="Times New Roman" w:eastAsia="Times New Roman" w:hAnsi="Times New Roman" w:cs="Times New Roman"/>
          <w:lang w:val="en-US" w:eastAsia="en-GB"/>
        </w:rPr>
        <w:t xml:space="preserve">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university degree or </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professional training or professional experience of an equivalent level</w:t>
      </w:r>
    </w:p>
    <w:p w:rsidR="00AF7D78" w:rsidRPr="00AF7D78" w:rsidRDefault="00AF7D78" w:rsidP="00AF7D78">
      <w:pPr>
        <w:tabs>
          <w:tab w:val="left" w:pos="709"/>
        </w:tabs>
        <w:spacing w:after="0" w:line="240" w:lineRule="auto"/>
        <w:ind w:left="709" w:right="1317"/>
        <w:jc w:val="both"/>
        <w:rPr>
          <w:rFonts w:ascii="Times New Roman" w:eastAsia="Times New Roman" w:hAnsi="Times New Roman" w:cs="Times New Roman"/>
          <w:lang w:val="en-US" w:eastAsia="en-GB"/>
        </w:rPr>
      </w:pPr>
    </w:p>
    <w:p w:rsid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AF7D78">
        <w:rPr>
          <w:rFonts w:ascii="Times New Roman" w:eastAsia="Times New Roman" w:hAnsi="Times New Roman" w:cs="Times New Roman"/>
          <w:lang w:val="en-US" w:eastAsia="en-GB"/>
        </w:rPr>
        <w:t xml:space="preserve">  in the field(s) :</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Professional experience</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4027DC" w:rsidRPr="004027DC" w:rsidRDefault="004027DC" w:rsidP="004027DC">
      <w:pPr>
        <w:pStyle w:val="ListParagraph"/>
        <w:numPr>
          <w:ilvl w:val="0"/>
          <w:numId w:val="2"/>
        </w:numPr>
        <w:tabs>
          <w:tab w:val="left" w:pos="709"/>
        </w:tabs>
        <w:spacing w:after="0" w:line="240" w:lineRule="auto"/>
        <w:ind w:left="993" w:right="60" w:hanging="284"/>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China/Asia affairs</w:t>
      </w:r>
    </w:p>
    <w:p w:rsidR="00AF7D78" w:rsidRPr="004027DC" w:rsidRDefault="004027DC" w:rsidP="004027DC">
      <w:pPr>
        <w:pStyle w:val="ListParagraph"/>
        <w:numPr>
          <w:ilvl w:val="0"/>
          <w:numId w:val="2"/>
        </w:numPr>
        <w:tabs>
          <w:tab w:val="left" w:pos="709"/>
        </w:tabs>
        <w:spacing w:after="0" w:line="240" w:lineRule="auto"/>
        <w:ind w:left="993" w:right="60" w:hanging="284"/>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trade and economic issues and working with EU institutions</w:t>
      </w:r>
      <w:r>
        <w:rPr>
          <w:rFonts w:ascii="Times New Roman" w:eastAsia="Times New Roman" w:hAnsi="Times New Roman" w:cs="Times New Roman"/>
          <w:lang w:val="en-US" w:eastAsia="en-GB"/>
        </w:rPr>
        <w:t>.</w:t>
      </w:r>
    </w:p>
    <w:p w:rsidR="004027DC" w:rsidRPr="00AF7D78" w:rsidRDefault="004027DC" w:rsidP="004027DC">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r w:rsidRPr="00AF7D78">
        <w:rPr>
          <w:rFonts w:ascii="Times New Roman" w:eastAsia="Times New Roman" w:hAnsi="Times New Roman" w:cs="Times New Roman"/>
          <w:u w:val="single"/>
          <w:lang w:val="en-US" w:eastAsia="en-GB"/>
        </w:rPr>
        <w:t>Language(s) necessary for the performance of duties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u w:val="single"/>
          <w:lang w:val="en-US" w:eastAsia="en-GB"/>
        </w:rPr>
      </w:pPr>
    </w:p>
    <w:p w:rsidR="00AF7D78" w:rsidRPr="008F1149" w:rsidRDefault="004027DC" w:rsidP="00AF7D78">
      <w:pPr>
        <w:tabs>
          <w:tab w:val="left" w:pos="709"/>
        </w:tabs>
        <w:spacing w:after="0" w:line="240" w:lineRule="auto"/>
        <w:ind w:left="709" w:right="60"/>
        <w:jc w:val="both"/>
        <w:rPr>
          <w:rFonts w:ascii="Times New Roman" w:eastAsia="Times New Roman" w:hAnsi="Times New Roman" w:cs="Times New Roman"/>
          <w:lang w:val="en-US" w:eastAsia="en-GB"/>
        </w:rPr>
      </w:pPr>
      <w:r w:rsidRPr="004027DC">
        <w:rPr>
          <w:rFonts w:ascii="Times New Roman" w:eastAsia="Times New Roman" w:hAnsi="Times New Roman" w:cs="Times New Roman"/>
          <w:lang w:val="en-US" w:eastAsia="en-GB"/>
        </w:rPr>
        <w:t>Excellent command of English is required. Knowledge of mandarin is not necessary but considered a plus.</w:t>
      </w:r>
    </w:p>
    <w:p w:rsidR="00AF7D78" w:rsidRPr="00AF7D78" w:rsidRDefault="00AF7D78" w:rsidP="00AF7D78">
      <w:pPr>
        <w:tabs>
          <w:tab w:val="left" w:pos="709"/>
        </w:tabs>
        <w:spacing w:after="0" w:line="240" w:lineRule="auto"/>
        <w:ind w:left="709" w:right="60"/>
        <w:jc w:val="both"/>
        <w:rPr>
          <w:rFonts w:ascii="Times New Roman" w:eastAsia="Times New Roman" w:hAnsi="Times New Roman" w:cs="Times New Roman"/>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3.</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Submission of applications and selection procedure</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b/>
          <w:lang w:val="en-GB" w:eastAsia="en-GB"/>
        </w:rPr>
      </w:pPr>
      <w:r w:rsidRPr="00AF7D78">
        <w:rPr>
          <w:rFonts w:ascii="Times New Roman" w:eastAsia="Times New Roman" w:hAnsi="Times New Roman" w:cs="Times New Roman"/>
          <w:lang w:val="en-GB" w:eastAsia="en-GB"/>
        </w:rPr>
        <w:t>Candidates should send their application according to the</w:t>
      </w:r>
      <w:r w:rsidRPr="00AF7D78">
        <w:rPr>
          <w:rFonts w:ascii="Times New Roman" w:eastAsia="Times New Roman" w:hAnsi="Times New Roman" w:cs="Times New Roman"/>
          <w:b/>
          <w:lang w:val="en-GB" w:eastAsia="en-GB"/>
        </w:rPr>
        <w:t xml:space="preserve"> Europass CV format </w:t>
      </w:r>
      <w:r w:rsidRPr="00AF7D78">
        <w:rPr>
          <w:rFonts w:ascii="Times New Roman" w:eastAsia="Times New Roman" w:hAnsi="Times New Roman" w:cs="Times New Roman"/>
          <w:lang w:val="en-GB" w:eastAsia="en-GB"/>
        </w:rPr>
        <w:t>(</w:t>
      </w:r>
      <w:hyperlink r:id="rId9" w:history="1">
        <w:r w:rsidRPr="00AF7D78">
          <w:rPr>
            <w:rFonts w:ascii="Times New Roman" w:eastAsia="Times New Roman" w:hAnsi="Times New Roman" w:cs="Times New Roman"/>
            <w:color w:val="0000FF"/>
            <w:u w:val="single"/>
            <w:lang w:val="en-GB" w:eastAsia="en-GB"/>
          </w:rPr>
          <w:t>http://europass.cedefop.europa.eu/en/documents/curriculum-vitae</w:t>
        </w:r>
      </w:hyperlink>
      <w:r w:rsidRPr="00AF7D78">
        <w:rPr>
          <w:rFonts w:ascii="Times New Roman" w:eastAsia="Times New Roman" w:hAnsi="Times New Roman" w:cs="Times New Roman"/>
          <w:lang w:val="en-GB" w:eastAsia="en-GB"/>
        </w:rPr>
        <w:t>) in English, French or German</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b/>
          <w:u w:val="single"/>
          <w:lang w:val="en-GB" w:eastAsia="en-GB"/>
        </w:rPr>
        <w:t>only to the Permanent Representation / Diplomatic Mission to the EU of their country</w:t>
      </w:r>
      <w:r w:rsidRPr="00AF7D78">
        <w:rPr>
          <w:rFonts w:ascii="Times New Roman" w:eastAsia="Times New Roman" w:hAnsi="Times New Roman" w:cs="Times New Roman"/>
          <w:lang w:val="en-GB" w:eastAsia="en-GB"/>
        </w:rPr>
        <w:t>, which will forward it to the competent services of the Commission within the deadline fixed by the latter.</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US" w:eastAsia="en-GB"/>
        </w:rPr>
        <w:t>The CV must mention the date of birth and the nationality of the candidate.</w:t>
      </w:r>
      <w:r w:rsidRPr="00AF7D78">
        <w:rPr>
          <w:rFonts w:ascii="Times New Roman" w:eastAsia="Times New Roman" w:hAnsi="Times New Roman" w:cs="Times New Roman"/>
          <w:b/>
          <w:lang w:val="en-US" w:eastAsia="en-GB"/>
        </w:rPr>
        <w:t xml:space="preserve"> </w:t>
      </w:r>
      <w:r w:rsidRPr="00AF7D78">
        <w:rPr>
          <w:rFonts w:ascii="Times New Roman" w:eastAsia="Times New Roman" w:hAnsi="Times New Roman" w:cs="Times New Roman"/>
          <w:b/>
          <w:lang w:val="en-GB" w:eastAsia="en-GB"/>
        </w:rPr>
        <w:t>Not respecting this procedure or deadlines will automatically invalidate the application.</w:t>
      </w:r>
    </w:p>
    <w:p w:rsidR="00AF7D78" w:rsidRPr="00AF7D78" w:rsidRDefault="00AF7D78" w:rsidP="00AF7D78">
      <w:pPr>
        <w:spacing w:after="0" w:line="240" w:lineRule="auto"/>
        <w:ind w:left="426" w:right="175"/>
        <w:jc w:val="both"/>
        <w:rPr>
          <w:rFonts w:ascii="Times New Roman" w:eastAsia="Times New Roman" w:hAnsi="Times New Roman" w:cs="Times New Roman"/>
          <w:b/>
          <w:u w:val="single"/>
          <w:lang w:val="en-GB" w:eastAsia="en-GB"/>
        </w:rPr>
      </w:pPr>
    </w:p>
    <w:p w:rsidR="00AF7D78" w:rsidRPr="00AF7D78" w:rsidRDefault="00AF7D78" w:rsidP="00AF7D78">
      <w:pPr>
        <w:tabs>
          <w:tab w:val="left" w:pos="8539"/>
        </w:tabs>
        <w:spacing w:after="0" w:line="240" w:lineRule="auto"/>
        <w:ind w:left="426" w:right="161"/>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are asked not to add any other documents</w:t>
      </w:r>
      <w:r w:rsidRPr="00AF7D78">
        <w:rPr>
          <w:rFonts w:ascii="Times New Roman" w:eastAsia="Times New Roman" w:hAnsi="Times New Roman" w:cs="Times New Roman"/>
          <w:b/>
          <w:lang w:val="en-GB" w:eastAsia="en-GB"/>
        </w:rPr>
        <w:t xml:space="preserve"> </w:t>
      </w:r>
      <w:r w:rsidRPr="00AF7D78">
        <w:rPr>
          <w:rFonts w:ascii="Times New Roman" w:eastAsia="Times New Roman" w:hAnsi="Times New Roman" w:cs="Times New Roman"/>
          <w:lang w:val="en-GB" w:eastAsia="en-GB"/>
        </w:rPr>
        <w:t xml:space="preserve">(such as copy of passport, copy of degrees or certificate of professional experience, etc.). If necessary, these will be requested at a later stage. </w:t>
      </w:r>
    </w:p>
    <w:p w:rsidR="00AF7D78" w:rsidRDefault="00AF7D78" w:rsidP="00AF7D78">
      <w:pPr>
        <w:spacing w:after="0" w:line="240" w:lineRule="auto"/>
        <w:ind w:left="426"/>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Candidates will be informed of the follow-up of their application by the unit concerned.</w:t>
      </w:r>
    </w:p>
    <w:p w:rsidR="008F1149" w:rsidRPr="00AF7D78" w:rsidRDefault="008F1149" w:rsidP="00AF7D78">
      <w:pPr>
        <w:spacing w:after="0" w:line="240" w:lineRule="auto"/>
        <w:ind w:left="426"/>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b/>
          <w:sz w:val="24"/>
          <w:szCs w:val="20"/>
          <w:lang w:val="en-US" w:eastAsia="en-GB"/>
        </w:rPr>
      </w:pPr>
      <w:r w:rsidRPr="00AF7D78">
        <w:rPr>
          <w:rFonts w:ascii="Times New Roman" w:eastAsia="Times New Roman" w:hAnsi="Times New Roman" w:cs="Times New Roman"/>
          <w:b/>
          <w:sz w:val="24"/>
          <w:szCs w:val="20"/>
          <w:lang w:val="en-US" w:eastAsia="en-GB"/>
        </w:rPr>
        <w:lastRenderedPageBreak/>
        <w:t>4.</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0"/>
          <w:u w:val="single"/>
          <w:lang w:val="en-US" w:eastAsia="en-GB"/>
        </w:rPr>
        <w:t>Conditions of the secondment</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secondment will be governed by the </w:t>
      </w:r>
      <w:r w:rsidRPr="00AF7D78">
        <w:rPr>
          <w:rFonts w:ascii="Times New Roman" w:eastAsia="Times New Roman" w:hAnsi="Times New Roman" w:cs="Times New Roman"/>
          <w:b/>
          <w:lang w:val="en-GB" w:eastAsia="en-GB"/>
        </w:rPr>
        <w:t>Commission Decision C(2008)6866 of 12/11/2008</w:t>
      </w:r>
      <w:r w:rsidRPr="00AF7D78">
        <w:rPr>
          <w:rFonts w:ascii="Times New Roman" w:eastAsia="Times New Roman" w:hAnsi="Times New Roman" w:cs="Times New Roman"/>
          <w:lang w:val="en-GB" w:eastAsia="en-GB"/>
        </w:rPr>
        <w:t xml:space="preserve"> laying down rules on the secondment to the Commission of national experts and national experts in professional training (SNE Decision).</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SNE will remain employed and remunerated by his/her employer during the secondment. He/she will equally remain covered by the national social security system. </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Unless for cost-free SNE, allowances may be granted by the Commission to SNE fulfilling the conditions provided for in Art. 17 of the SNE decision. </w:t>
      </w:r>
    </w:p>
    <w:p w:rsidR="00AF7D78" w:rsidRPr="00AF7D78" w:rsidRDefault="00AF7D78" w:rsidP="00AF7D78">
      <w:pPr>
        <w:spacing w:after="0" w:line="240" w:lineRule="auto"/>
        <w:ind w:left="426" w:right="175"/>
        <w:jc w:val="both"/>
        <w:rPr>
          <w:rFonts w:ascii="Times New Roman" w:eastAsia="Times New Roman" w:hAnsi="Times New Roman" w:cs="Times New Roman"/>
          <w:lang w:val="en-US"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During the secondment, SNE are subject to confidentiality, loyalty and absence of conflict of interest obligations, as provided for in Art. 6 and 7 of the SNE Decision.</w:t>
      </w:r>
    </w:p>
    <w:p w:rsidR="00AF7D78" w:rsidRPr="00AF7D78" w:rsidRDefault="00AF7D78" w:rsidP="00AF7D78">
      <w:pPr>
        <w:spacing w:after="0" w:line="240" w:lineRule="auto"/>
        <w:ind w:left="426" w:right="175"/>
        <w:jc w:val="both"/>
        <w:rPr>
          <w:rFonts w:ascii="Times New Roman" w:eastAsia="Calibri" w:hAnsi="Times New Roman" w:cs="Times New Roman"/>
          <w:bCs/>
          <w:lang w:val="en-GB"/>
        </w:rPr>
      </w:pPr>
      <w:r w:rsidRPr="00AF7D78">
        <w:rPr>
          <w:rFonts w:ascii="Times New Roman" w:eastAsia="Calibri" w:hAnsi="Times New Roman" w:cs="Times New Roman"/>
          <w:bCs/>
          <w:lang w:val="en-GB"/>
        </w:rPr>
        <w:t>If any document is inexact, incomplete or missing, the application may be cancelled.</w:t>
      </w: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p>
    <w:p w:rsidR="00AF7D78" w:rsidRPr="00AF7D78" w:rsidRDefault="00AF7D78" w:rsidP="00AF7D78">
      <w:pPr>
        <w:spacing w:after="0" w:line="240" w:lineRule="auto"/>
        <w:ind w:left="426" w:right="175"/>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Staff posted in a </w:t>
      </w:r>
      <w:r w:rsidRPr="00AF7D78">
        <w:rPr>
          <w:rFonts w:ascii="Times New Roman" w:eastAsia="Times New Roman" w:hAnsi="Times New Roman" w:cs="Times New Roman"/>
          <w:b/>
          <w:lang w:val="en-GB" w:eastAsia="en-GB"/>
        </w:rPr>
        <w:t>European Union Delegation</w:t>
      </w:r>
      <w:r w:rsidRPr="00AF7D78">
        <w:rPr>
          <w:rFonts w:ascii="Times New Roman" w:eastAsia="Times New Roman" w:hAnsi="Times New Roman" w:cs="Times New Roman"/>
          <w:lang w:val="en-GB" w:eastAsia="en-GB"/>
        </w:rPr>
        <w:t xml:space="preserve"> are required to have a security clearance (up to SECRET UE/EU SECRET level according to Commission Decision (EU, Euratom) 2015/444 of 13 March 2015, OJ L 72, 17.03.2015, p. 53).</w:t>
      </w:r>
    </w:p>
    <w:p w:rsidR="00AF7D78" w:rsidRPr="00AF7D78" w:rsidRDefault="00AF7D78" w:rsidP="00AF7D78">
      <w:pPr>
        <w:spacing w:after="0" w:line="240" w:lineRule="auto"/>
        <w:ind w:left="426"/>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The selected candidate has the obligation to launch the vetting procedure before getting the secondment confirmation.</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tabs>
          <w:tab w:val="left" w:pos="426"/>
        </w:tabs>
        <w:spacing w:after="0" w:line="240" w:lineRule="auto"/>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b/>
          <w:sz w:val="24"/>
          <w:szCs w:val="20"/>
          <w:lang w:val="en-US" w:eastAsia="en-GB"/>
        </w:rPr>
        <w:t>5.</w:t>
      </w:r>
      <w:r w:rsidRPr="00AF7D78">
        <w:rPr>
          <w:rFonts w:ascii="Times New Roman" w:eastAsia="Times New Roman" w:hAnsi="Times New Roman" w:cs="Times New Roman"/>
          <w:b/>
          <w:sz w:val="24"/>
          <w:szCs w:val="20"/>
          <w:lang w:val="en-US" w:eastAsia="en-GB"/>
        </w:rPr>
        <w:tab/>
      </w:r>
      <w:r w:rsidRPr="00AF7D78">
        <w:rPr>
          <w:rFonts w:ascii="Times New Roman" w:eastAsia="Times New Roman" w:hAnsi="Times New Roman" w:cs="Times New Roman"/>
          <w:b/>
          <w:sz w:val="24"/>
          <w:szCs w:val="24"/>
          <w:u w:val="single"/>
          <w:lang w:val="en-US" w:eastAsia="en-GB"/>
        </w:rPr>
        <w:t>Processing of personal data</w:t>
      </w:r>
    </w:p>
    <w:p w:rsidR="00AF7D78" w:rsidRPr="00AF7D78" w:rsidRDefault="00AF7D78" w:rsidP="00AF7D78">
      <w:pPr>
        <w:spacing w:after="0" w:line="240" w:lineRule="auto"/>
        <w:rPr>
          <w:rFonts w:ascii="Times New Roman" w:eastAsia="Times New Roman" w:hAnsi="Times New Roman" w:cs="Times New Roman"/>
          <w:sz w:val="24"/>
          <w:szCs w:val="20"/>
          <w:lang w:val="en-US" w:eastAsia="en-GB"/>
        </w:rPr>
      </w:pP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The selection, secondment and termination of the secondment of a national expert requires the Commission (the competent services of DG HR, DG BUDG, PMO and the DG concerned) to process personal data concerning the person to be seconded, under the responsibility of the Head of Unit of DG HR.DDG.B4. The data processing is subject to the SNE Decision as well as the Regulation </w:t>
      </w:r>
      <w:r w:rsidRPr="00AF7D78">
        <w:rPr>
          <w:rFonts w:ascii="Times New Roman" w:eastAsia="Calibri" w:hAnsi="Times New Roman" w:cs="Times New Roman"/>
          <w:lang w:val="en-GB"/>
        </w:rPr>
        <w:t>(EU) 2018/1725</w:t>
      </w:r>
      <w:r w:rsidRPr="00AF7D78">
        <w:rPr>
          <w:rFonts w:ascii="Times New Roman" w:eastAsia="Times New Roman" w:hAnsi="Times New Roman" w:cs="Times New Roman"/>
          <w:lang w:val="en-GB" w:eastAsia="en-GB"/>
        </w:rPr>
        <w:t xml:space="preserve">. </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Data is kept by the competent services for 10 years after the secondment (2 years for not selected or not seconded experts).</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r w:rsidRPr="00AF7D78">
        <w:rPr>
          <w:rFonts w:ascii="Times New Roman" w:eastAsia="Times New Roman" w:hAnsi="Times New Roman" w:cs="Times New Roman"/>
          <w:lang w:val="en-GB" w:eastAsia="en-GB"/>
        </w:rPr>
        <w:t>You can exercise your rights by contacting the Data Controller, or in case of conflict the Data Protection Officer. If necessary, you can also address the European Data Protection Supervisor. Their contact information is given below.</w:t>
      </w:r>
    </w:p>
    <w:p w:rsidR="00AF7D78" w:rsidRPr="00AF7D78" w:rsidRDefault="00AF7D78" w:rsidP="00AF7D78">
      <w:pPr>
        <w:spacing w:after="0" w:line="240" w:lineRule="auto"/>
        <w:ind w:left="426" w:right="175"/>
        <w:jc w:val="both"/>
        <w:rPr>
          <w:rFonts w:ascii="Times New Roman" w:eastAsia="Times New Roman" w:hAnsi="Times New Roman" w:cs="Times New Roman"/>
          <w:lang w:eastAsia="en-GB"/>
        </w:rPr>
      </w:pPr>
    </w:p>
    <w:p w:rsidR="00AF7D78" w:rsidRPr="00AF7D78" w:rsidRDefault="00AF7D78" w:rsidP="00AF7D78">
      <w:pPr>
        <w:spacing w:after="0" w:line="240" w:lineRule="auto"/>
        <w:ind w:left="426" w:right="176"/>
        <w:rPr>
          <w:rFonts w:ascii="Times New Roman" w:eastAsia="Times New Roman" w:hAnsi="Times New Roman" w:cs="Times New Roman"/>
          <w:b/>
          <w:u w:val="single"/>
          <w:lang w:val="en-GB" w:eastAsia="en-GB"/>
        </w:rPr>
      </w:pPr>
      <w:r w:rsidRPr="00AF7D78">
        <w:rPr>
          <w:rFonts w:ascii="Times New Roman" w:eastAsia="Times New Roman" w:hAnsi="Times New Roman" w:cs="Times New Roman"/>
          <w:b/>
          <w:u w:val="single"/>
          <w:lang w:val="en-GB" w:eastAsia="en-GB"/>
        </w:rPr>
        <w:t>Contact information</w:t>
      </w:r>
    </w:p>
    <w:p w:rsidR="00AF7D78" w:rsidRPr="00AF7D78" w:rsidRDefault="00AF7D78" w:rsidP="00AF7D78">
      <w:pPr>
        <w:spacing w:after="0" w:line="240" w:lineRule="auto"/>
        <w:ind w:left="426" w:right="176"/>
        <w:rPr>
          <w:rFonts w:ascii="Times New Roman" w:eastAsia="Times New Roman" w:hAnsi="Times New Roman" w:cs="Times New Roman"/>
          <w:lang w:val="en-GB" w:eastAsia="en-GB"/>
        </w:rPr>
      </w:pPr>
    </w:p>
    <w:p w:rsidR="00AF7D78" w:rsidRPr="00AF7D78" w:rsidRDefault="00AF7D78" w:rsidP="00D37EF6">
      <w:pPr>
        <w:numPr>
          <w:ilvl w:val="0"/>
          <w:numId w:val="1"/>
        </w:numPr>
        <w:tabs>
          <w:tab w:val="left" w:pos="426"/>
        </w:tabs>
        <w:spacing w:after="0" w:line="240" w:lineRule="auto"/>
        <w:ind w:left="426" w:right="176" w:firstLine="0"/>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Controller</w:t>
      </w:r>
    </w:p>
    <w:p w:rsidR="00AF7D78" w:rsidRPr="00AF7D78" w:rsidRDefault="00AF7D78" w:rsidP="00AF7D78">
      <w:pPr>
        <w:tabs>
          <w:tab w:val="left" w:pos="709"/>
        </w:tabs>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 xml:space="preserve">If you would like to exercise your rights under Regulation (EU) 2018/1725, or if you have comments, questions or concerns, or if you would like to submit a complaint regarding the collection and use of your personal data, please feel free to contact the Data Controller, HR.DDG.B.4, </w:t>
      </w:r>
      <w:hyperlink r:id="rId10" w:history="1">
        <w:r w:rsidRPr="00AF7D78">
          <w:rPr>
            <w:rFonts w:ascii="Times New Roman" w:eastAsia="Times New Roman" w:hAnsi="Times New Roman" w:cs="Times New Roman"/>
            <w:color w:val="0000FF"/>
            <w:u w:val="single"/>
            <w:lang w:val="en-GB" w:eastAsia="en-GB"/>
          </w:rPr>
          <w:t>HR-MAIL-B4@ec.europa.eu</w:t>
        </w:r>
      </w:hyperlink>
      <w:r w:rsidRPr="00AF7D78">
        <w:rPr>
          <w:rFonts w:ascii="Times New Roman" w:eastAsia="Times New Roman" w:hAnsi="Times New Roman" w:cs="Times New Roman"/>
          <w:lang w:val="en-GB" w:eastAsia="en-GB"/>
        </w:rPr>
        <w:t>.</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lang w:val="en-GB" w:eastAsia="en-GB"/>
        </w:rPr>
      </w:pPr>
      <w:r w:rsidRPr="00AF7D78">
        <w:rPr>
          <w:rFonts w:ascii="Times New Roman" w:eastAsia="Times New Roman" w:hAnsi="Times New Roman" w:cs="Times New Roman"/>
          <w:b/>
          <w:lang w:val="en-GB" w:eastAsia="en-GB"/>
        </w:rPr>
        <w:t>The Data Protection Officer (DPO) of the Commission</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may contact the Data Protection Officer (</w:t>
      </w:r>
      <w:hyperlink r:id="rId11" w:history="1">
        <w:r w:rsidRPr="00AF7D78">
          <w:rPr>
            <w:rFonts w:ascii="Times New Roman" w:eastAsia="Times New Roman" w:hAnsi="Times New Roman" w:cs="Times New Roman"/>
            <w:color w:val="0000FF"/>
            <w:u w:val="single"/>
            <w:lang w:val="en-GB" w:eastAsia="en-GB"/>
          </w:rPr>
          <w:t>DATA-PROTECTION-OFFICER@ec.europa.eu</w:t>
        </w:r>
      </w:hyperlink>
      <w:r w:rsidRPr="00AF7D78">
        <w:rPr>
          <w:rFonts w:ascii="Times New Roman" w:eastAsia="Times New Roman" w:hAnsi="Times New Roman" w:cs="Times New Roman"/>
          <w:u w:val="single"/>
          <w:lang w:val="en-GB" w:eastAsia="en-GB"/>
        </w:rPr>
        <w:t xml:space="preserve">) </w:t>
      </w:r>
      <w:r w:rsidRPr="00AF7D78">
        <w:rPr>
          <w:rFonts w:ascii="Times New Roman" w:eastAsia="Times New Roman" w:hAnsi="Times New Roman" w:cs="Times New Roman"/>
          <w:lang w:val="en-GB" w:eastAsia="en-GB"/>
        </w:rPr>
        <w:t>with regard to issues related to the processing of your personal data under Regulation (EU) 2018/1725.</w:t>
      </w:r>
    </w:p>
    <w:p w:rsidR="00AF7D78" w:rsidRPr="00AF7D78" w:rsidRDefault="00AF7D78" w:rsidP="00AF7D78">
      <w:pPr>
        <w:spacing w:after="0" w:line="240" w:lineRule="auto"/>
        <w:ind w:left="426" w:right="176"/>
        <w:jc w:val="both"/>
        <w:rPr>
          <w:rFonts w:ascii="Times New Roman" w:eastAsia="Times New Roman" w:hAnsi="Times New Roman" w:cs="Times New Roman"/>
          <w:lang w:val="en-GB" w:eastAsia="en-GB"/>
        </w:rPr>
      </w:pPr>
    </w:p>
    <w:p w:rsidR="00AF7D78" w:rsidRPr="00AF7D78" w:rsidRDefault="00AF7D78" w:rsidP="00D37EF6">
      <w:pPr>
        <w:numPr>
          <w:ilvl w:val="0"/>
          <w:numId w:val="1"/>
        </w:numPr>
        <w:spacing w:after="0" w:line="240" w:lineRule="auto"/>
        <w:ind w:left="425" w:right="176" w:firstLine="1"/>
        <w:jc w:val="both"/>
        <w:rPr>
          <w:rFonts w:ascii="Times New Roman" w:eastAsia="Times New Roman" w:hAnsi="Times New Roman" w:cs="Times New Roman"/>
          <w:b/>
          <w:lang w:val="en-GB" w:eastAsia="en-GB"/>
        </w:rPr>
      </w:pPr>
      <w:r w:rsidRPr="00AF7D78">
        <w:rPr>
          <w:rFonts w:ascii="Times New Roman" w:eastAsia="Times New Roman" w:hAnsi="Times New Roman" w:cs="Times New Roman"/>
          <w:b/>
          <w:lang w:val="en-GB" w:eastAsia="en-GB"/>
        </w:rPr>
        <w:t>The European Data Protection Supervisor (EDPS)</w:t>
      </w:r>
    </w:p>
    <w:p w:rsidR="00AF7D78" w:rsidRPr="00AF7D78" w:rsidRDefault="00AF7D78" w:rsidP="00AF7D78">
      <w:pPr>
        <w:spacing w:after="0" w:line="240" w:lineRule="auto"/>
        <w:ind w:left="709" w:right="176"/>
        <w:jc w:val="both"/>
        <w:rPr>
          <w:rFonts w:ascii="Times New Roman" w:eastAsia="Times New Roman" w:hAnsi="Times New Roman" w:cs="Times New Roman"/>
          <w:lang w:val="en-GB" w:eastAsia="en-GB"/>
        </w:rPr>
      </w:pPr>
      <w:r w:rsidRPr="00AF7D78">
        <w:rPr>
          <w:rFonts w:ascii="Times New Roman" w:eastAsia="Times New Roman" w:hAnsi="Times New Roman" w:cs="Times New Roman"/>
          <w:lang w:val="en-GB" w:eastAsia="en-GB"/>
        </w:rPr>
        <w:t>You have the right to have recourse (i.e. you can lodge a complaint) to the European Data Protection Supervisor</w:t>
      </w:r>
      <w:r w:rsidRPr="00AF7D78">
        <w:rPr>
          <w:rFonts w:ascii="Times New Roman" w:eastAsia="Times New Roman" w:hAnsi="Times New Roman" w:cs="Times New Roman"/>
          <w:u w:val="single"/>
          <w:lang w:val="en-GB" w:eastAsia="en-GB"/>
        </w:rPr>
        <w:t xml:space="preserve"> (</w:t>
      </w:r>
      <w:hyperlink r:id="rId12" w:history="1">
        <w:r w:rsidRPr="00AF7D78">
          <w:rPr>
            <w:rFonts w:ascii="Times New Roman" w:eastAsia="Times New Roman" w:hAnsi="Times New Roman" w:cs="Times New Roman"/>
            <w:color w:val="0000FF"/>
            <w:u w:val="single"/>
            <w:lang w:val="en-GB" w:eastAsia="en-GB"/>
          </w:rPr>
          <w:t>edps@edps.europa.eu</w:t>
        </w:r>
      </w:hyperlink>
      <w:r w:rsidRPr="00AF7D78">
        <w:rPr>
          <w:rFonts w:ascii="Times New Roman" w:eastAsia="Times New Roman" w:hAnsi="Times New Roman" w:cs="Times New Roman"/>
          <w:u w:val="single"/>
          <w:lang w:val="en-GB" w:eastAsia="en-GB"/>
        </w:rPr>
        <w:t>)</w:t>
      </w:r>
      <w:r w:rsidRPr="00AF7D78">
        <w:rPr>
          <w:rFonts w:ascii="Times New Roman" w:eastAsia="Times New Roman" w:hAnsi="Times New Roman" w:cs="Times New Roman"/>
          <w:lang w:val="en-GB" w:eastAsia="en-GB"/>
        </w:rPr>
        <w:t xml:space="preserve"> if you consider that your rights under Regulation (EU) 2018/1725 have been infringed as a result of the processing of your personal data by the Data Controller.</w:t>
      </w:r>
    </w:p>
    <w:p w:rsidR="00AF7D78" w:rsidRPr="00AF7D78" w:rsidRDefault="00AF7D78" w:rsidP="00AF7D78">
      <w:pPr>
        <w:spacing w:after="0" w:line="240" w:lineRule="auto"/>
        <w:ind w:left="709"/>
        <w:jc w:val="both"/>
        <w:rPr>
          <w:rFonts w:ascii="Times New Roman" w:eastAsia="Times New Roman" w:hAnsi="Times New Roman" w:cs="Times New Roman"/>
          <w:sz w:val="24"/>
          <w:szCs w:val="20"/>
          <w:lang w:val="en-US" w:eastAsia="en-GB"/>
        </w:rPr>
      </w:pPr>
      <w:r w:rsidRPr="00AF7D78">
        <w:rPr>
          <w:rFonts w:ascii="Times New Roman" w:eastAsia="Times New Roman" w:hAnsi="Times New Roman" w:cs="Times New Roman"/>
          <w:lang w:val="en-GB" w:eastAsia="en-GB"/>
        </w:rPr>
        <w:t>To the attention of candidates from third countries: your personal data can be used for necessary checks.</w:t>
      </w:r>
    </w:p>
    <w:p w:rsidR="00AC55BD" w:rsidRPr="00AF7D78" w:rsidRDefault="002924F9">
      <w:pPr>
        <w:rPr>
          <w:lang w:val="en-US"/>
        </w:rPr>
      </w:pPr>
    </w:p>
    <w:sectPr w:rsidR="00AC55BD" w:rsidRPr="00AF7D78" w:rsidSect="004E1C73">
      <w:footerReference w:type="defaul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D78" w:rsidRDefault="00AF7D78" w:rsidP="00AF7D78">
      <w:pPr>
        <w:spacing w:after="0" w:line="240" w:lineRule="auto"/>
      </w:pPr>
      <w:r>
        <w:separator/>
      </w:r>
    </w:p>
  </w:endnote>
  <w:endnote w:type="continuationSeparator" w:id="0">
    <w:p w:rsidR="00AF7D78" w:rsidRDefault="00AF7D78" w:rsidP="00AF7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ng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2" w:rsidRPr="00436362" w:rsidRDefault="00D37EF6" w:rsidP="00436362">
    <w:pPr>
      <w:pStyle w:val="Footer"/>
      <w:jc w:val="right"/>
      <w:rPr>
        <w:sz w:val="16"/>
        <w:szCs w:val="16"/>
      </w:rPr>
    </w:pPr>
    <w:r w:rsidRPr="00436362">
      <w:rPr>
        <w:sz w:val="16"/>
        <w:szCs w:val="16"/>
      </w:rPr>
      <w:t>Version 09-2019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D78" w:rsidRDefault="00AF7D78" w:rsidP="00AF7D78">
      <w:pPr>
        <w:spacing w:after="0" w:line="240" w:lineRule="auto"/>
      </w:pPr>
      <w:r>
        <w:separator/>
      </w:r>
    </w:p>
  </w:footnote>
  <w:footnote w:type="continuationSeparator" w:id="0">
    <w:p w:rsidR="00AF7D78" w:rsidRDefault="00AF7D78" w:rsidP="00AF7D78">
      <w:pPr>
        <w:spacing w:after="0" w:line="240" w:lineRule="auto"/>
      </w:pPr>
      <w:r>
        <w:continuationSeparator/>
      </w:r>
    </w:p>
  </w:footnote>
  <w:footnote w:id="1">
    <w:p w:rsidR="00AF7D78" w:rsidRPr="006C5664" w:rsidRDefault="00AF7D78" w:rsidP="00AF7D78">
      <w:pPr>
        <w:pStyle w:val="FootnoteText"/>
        <w:ind w:right="1175"/>
        <w:jc w:val="both"/>
        <w:rPr>
          <w:lang w:val="en-US"/>
        </w:rPr>
      </w:pPr>
      <w:r>
        <w:rPr>
          <w:rStyle w:val="FootnoteReference"/>
        </w:rPr>
        <w:footnoteRef/>
      </w:r>
      <w:r w:rsidRPr="006C5664">
        <w:rPr>
          <w:lang w:val="en-US"/>
        </w:rPr>
        <w:t xml:space="preserve"> </w:t>
      </w:r>
      <w:r>
        <w:rPr>
          <w:lang w:val="en-GB"/>
        </w:rPr>
        <w:t>These mentions are given o</w:t>
      </w:r>
      <w:r w:rsidRPr="00FE4A6D">
        <w:rPr>
          <w:lang w:val="en-GB"/>
        </w:rPr>
        <w:t xml:space="preserve">n an indicative basis </w:t>
      </w:r>
      <w:r>
        <w:rPr>
          <w:lang w:val="en-GB"/>
        </w:rPr>
        <w:t>only (Art.4 of the SNE Decision).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3E0F65"/>
    <w:multiLevelType w:val="hybridMultilevel"/>
    <w:tmpl w:val="7B96ABC0"/>
    <w:lvl w:ilvl="0" w:tplc="AA784C66">
      <w:numFmt w:val="bullet"/>
      <w:lvlText w:val=""/>
      <w:lvlJc w:val="left"/>
      <w:pPr>
        <w:ind w:left="1414" w:hanging="705"/>
      </w:pPr>
      <w:rPr>
        <w:rFonts w:ascii="Symbol" w:eastAsia="Times New Roman" w:hAnsi="Symbol"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73282751"/>
    <w:multiLevelType w:val="hybridMultilevel"/>
    <w:tmpl w:val="33525CF8"/>
    <w:lvl w:ilvl="0" w:tplc="26CCB696">
      <w:numFmt w:val="bullet"/>
      <w:lvlText w:val="-"/>
      <w:lvlJc w:val="left"/>
      <w:pPr>
        <w:ind w:left="1429" w:hanging="360"/>
      </w:pPr>
      <w:rPr>
        <w:rFonts w:ascii="Calibri" w:eastAsia="Calibri" w:hAnsi="Calibri" w:cs="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F7D78"/>
    <w:rsid w:val="0019598C"/>
    <w:rsid w:val="002924F9"/>
    <w:rsid w:val="003165AD"/>
    <w:rsid w:val="004027DC"/>
    <w:rsid w:val="004D2D75"/>
    <w:rsid w:val="00534042"/>
    <w:rsid w:val="0072493E"/>
    <w:rsid w:val="008F1149"/>
    <w:rsid w:val="008F31B1"/>
    <w:rsid w:val="00AF7D78"/>
    <w:rsid w:val="00BC14A5"/>
    <w:rsid w:val="00C90DA3"/>
    <w:rsid w:val="00CF677F"/>
    <w:rsid w:val="00D37E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AFC6"/>
  <w15:docId w15:val="{4DA17AD4-9C6D-4EB1-968B-EC82209D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7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F7D7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F7D78"/>
    <w:rPr>
      <w:rFonts w:ascii="Times New Roman" w:eastAsia="Times New Roman" w:hAnsi="Times New Roman" w:cs="Times New Roman"/>
      <w:sz w:val="20"/>
      <w:szCs w:val="20"/>
      <w:lang w:eastAsia="en-GB"/>
    </w:rPr>
  </w:style>
  <w:style w:type="character" w:styleId="FootnoteReference">
    <w:name w:val="footnote reference"/>
    <w:rsid w:val="00AF7D78"/>
    <w:rPr>
      <w:vertAlign w:val="superscript"/>
    </w:rPr>
  </w:style>
  <w:style w:type="paragraph" w:styleId="Footer">
    <w:name w:val="footer"/>
    <w:basedOn w:val="Normal"/>
    <w:link w:val="FooterChar"/>
    <w:uiPriority w:val="99"/>
    <w:unhideWhenUsed/>
    <w:rsid w:val="00AF7D78"/>
    <w:pPr>
      <w:tabs>
        <w:tab w:val="center" w:pos="4536"/>
        <w:tab w:val="right" w:pos="9072"/>
      </w:tabs>
      <w:spacing w:after="0" w:line="240" w:lineRule="auto"/>
    </w:pPr>
    <w:rPr>
      <w:rFonts w:ascii="Times New Roman" w:eastAsia="Times New Roman" w:hAnsi="Times New Roman" w:cs="Times New Roman"/>
      <w:sz w:val="24"/>
      <w:szCs w:val="20"/>
      <w:lang w:eastAsia="en-GB"/>
    </w:rPr>
  </w:style>
  <w:style w:type="character" w:customStyle="1" w:styleId="FooterChar">
    <w:name w:val="Footer Char"/>
    <w:basedOn w:val="DefaultParagraphFont"/>
    <w:link w:val="Footer"/>
    <w:uiPriority w:val="99"/>
    <w:rsid w:val="00AF7D78"/>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8F1149"/>
    <w:rPr>
      <w:color w:val="0000FF" w:themeColor="hyperlink"/>
      <w:u w:val="single"/>
    </w:rPr>
  </w:style>
  <w:style w:type="paragraph" w:styleId="ListParagraph">
    <w:name w:val="List Paragraph"/>
    <w:basedOn w:val="Normal"/>
    <w:uiPriority w:val="34"/>
    <w:qFormat/>
    <w:rsid w:val="00402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e.HINDERER@ec.europa.e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dps@edps.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OFFICER@ec.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R-MAIL-B4@ec.europa.eu" TargetMode="External"/><Relationship Id="rId4" Type="http://schemas.openxmlformats.org/officeDocument/2006/relationships/webSettings" Target="webSettings.xml"/><Relationship Id="rId9" Type="http://schemas.openxmlformats.org/officeDocument/2006/relationships/hyperlink" Target="http://europass.cedefop.europa.eu/en/documents/curriculum-vita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7197</Characters>
  <Application>Microsoft Office Word</Application>
  <DocSecurity>0</DocSecurity>
  <Lines>179</Lines>
  <Paragraphs>93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HENROTTE Corinne (HR)</dc:creator>
  <cp:lastModifiedBy>HENROTTE Corinne (HR)</cp:lastModifiedBy>
  <cp:revision>2</cp:revision>
  <dcterms:created xsi:type="dcterms:W3CDTF">2020-05-12T13:55:00Z</dcterms:created>
  <dcterms:modified xsi:type="dcterms:W3CDTF">2020-05-12T13:55:00Z</dcterms:modified>
</cp:coreProperties>
</file>