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-50800</wp:posOffset>
            </wp:positionV>
            <wp:extent cx="719455" cy="78613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9455" cy="7861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</w:rPr>
        <w:t>Ministerstwo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0" w:line="218" w:lineRule="auto"/>
        <w:ind w:left="0" w:right="0" w:firstLine="0"/>
        <w:jc w:val="left"/>
      </w:pPr>
      <w:r>
        <w:rPr>
          <w:rStyle w:val="CharStyle3"/>
        </w:rPr>
        <w:t>Klimatu i Środowiska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rStyle w:val="CharStyle5"/>
        </w:rPr>
        <w:t>Podsekretarz Stanu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DGO-OP.053.3.2025.AK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3902591.15659532.12590745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20" w:line="240" w:lineRule="auto"/>
        <w:ind w:left="0" w:right="0" w:firstLine="0"/>
        <w:jc w:val="both"/>
      </w:pPr>
      <w:r>
        <w:rPr>
          <w:rStyle w:val="CharStyle5"/>
        </w:rPr>
        <w:t>Warszawa, 25-07-2025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Szanowny Panie Prezesie,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rStyle w:val="CharStyle5"/>
        </w:rPr>
        <w:t>w odpowiedzi na petycję z 15.07.2025 r. dot. wyłączenia aptek z systemu kaucyjnego przedstawiam poniższe wyjaśnienia.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rStyle w:val="CharStyle5"/>
        </w:rPr>
        <w:t>Nowelizacją ustawy z dnia 13 czerwca 2013 r. o gospodarce opakowaniami i odpadami opakowaniowymi (Dz. U. z 2025 r. poz. 870) (zwanej dalej „ustawą”) przeprowadzoną w 2024 dokonano zmiany przepisów w celu stworzenia tzw. zamkniętego systemu obiegu kaucji. Zgodnie z art. 40g ust. 16 ustawy kaucję pobiera się na etapach dystrybucji produktu w opakowaniu, o którym mowa w załączniku nr la do ustawy, będącego napojem, poprzedzających sprzedaż tego produktu użytkownikowi końcowemu oraz od użytkownika końcowego nabywającego ten produkt. Jest to rozwiązanie polegające na pobieraniu kaucji w całym łańcuchu dystrybucji produktu, które przyczyni się do uszczelnienia systemu i zapewnienia możliwości monitorowania przepływów kaucji. Mechanizm ten wyeliminuje możliwości defraudacji kaucji, problemów z jej rozliczeniem pomiędzy podmiotami reprezentującymi oraz zagwarantuje poprawne rozliczanie się operatorów z jednostkami handlu detalicznego, zapewniając jego prawidłowe funkcjonowanie.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Ministerstwo Klimatu i Środowiska nie rozważa wprowadzania w ustawie wyłączeń dla żadnych jednostek handlowych, w których dochodzi do sprzedaży produktów w opakowaniach objętych systemem kaucyjnym. Aby zachować szczelność systemu i obieg kaucji w całym łańcuchu sprzedaży, zobowiązanymi do pobrania kaucji będą wszyscy dystrybutorzy produktów w opakowaniach objętych systemem. Jeżeli w aptece dochodzić będzie do sprzedaży napojów w opakowaniach objętych systemem kaucyjnym - apteka będzie zobowiązana do podpisania umowy z operatorem, pobierania kaucji od klienta i rozliczania pobranej kaucji.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64" w:lineRule="auto"/>
        <w:ind w:left="0" w:right="0" w:firstLine="0"/>
        <w:jc w:val="both"/>
      </w:pPr>
      <w:r>
        <w:rPr>
          <w:rStyle w:val="CharStyle5"/>
        </w:rPr>
        <w:t>Istotną kwestią w zakresie obowiązku uczestniczenia w systemie kaucyjnym ma powierzchnia sprzedaży. Prowadzący małe sklepy (w tym apteki) o powierzchni sprzedaży poniżej 200 m</w:t>
      </w:r>
      <w:r>
        <w:rPr>
          <w:rStyle w:val="CharStyle5"/>
          <w:vertAlign w:val="superscript"/>
        </w:rPr>
        <w:t>2</w:t>
      </w:r>
      <w:r>
        <w:rPr>
          <w:rStyle w:val="CharStyle5"/>
        </w:rPr>
        <w:t xml:space="preserve"> będą mogli dobrowolnie przystępować do systemu w zakresie zwrotu kaucji oraz prowadzenia punktów zbiórki opakowań i odpadów opakowaniowych. Zawarta w art. 8 pkt lOa ustawy definicja powierzchni sprzedaży odwołuje się do definicji zawartej w art. 2 pkt 19 ustawy z dnia 27 marca 2003 r. o planowaniu i zagospodarowaniu przestrzennym (Dz. U. z 2024 r. poz. 1130, z późn. zm.), zgodnie z którą przez powierzchnię sprzedaży należy rozumieć tę część ogólnodostępnej powierzchni obiektu handlowego stanowiącego całość techniczno-uźytkową, przeznaczonego do sprzedaży detalicznej, w której odbywa się bezpośrednia sprzedaż towarów (bez wliczania do niej powierzchni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9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9"/>
          <w:lang w:val="en-US" w:eastAsia="en-US"/>
        </w:rPr>
        <w:t>info@klimat.gov.pl</w:t>
      </w:r>
      <w:r>
        <w:fldChar w:fldCharType="end"/>
      </w:r>
      <w:r>
        <w:rPr>
          <w:rStyle w:val="CharStyle9"/>
          <w:lang w:val="en-US" w:eastAsia="en-US"/>
        </w:rPr>
        <w:t xml:space="preserve"> </w:t>
      </w:r>
      <w:r>
        <w:rPr>
          <w:rStyle w:val="CharStyle9"/>
        </w:rPr>
        <w:t xml:space="preserve">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9"/>
          <w:lang w:val="en-US" w:eastAsia="en-US"/>
        </w:rPr>
        <w:t>www.gov.pl/klimat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537" w:right="1853" w:bottom="537" w:left="1910" w:header="109" w:footer="109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</w:rPr>
        <w:t>Działamy zgodnie z EMAS - zarządzając instytucją, dbamy o środowisko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13"/>
        </w:rPr>
        <w:t>usług i gastronomii oraz powierzchni pomocniczej, do której zalicza się powierzchnie magazynów, biur, komunikacji, ekspozycji wystawowej itp.).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>Zależy nam aby zagwarantować przejrzystość, spójność i rzetelność działania systemu, dlatego wprowadzanie jakichkolwiek zwolnień w zakresie pobierania kaucji za opakowania objęte systemem, prowadzące do rozszczelnienia systemu, nie jest możliwe.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>Z wyrazami szacunku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Podsekretarz Stanu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3"/>
        </w:rPr>
        <w:t>Ministerstwo Klimatu i Środowiska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>/ – podpisany cyfrowo/</w:t>
      </w:r>
    </w:p>
    <w:sectPr>
      <w:footnotePr>
        <w:pos w:val="pageBottom"/>
        <w:numFmt w:val="decimal"/>
        <w:numRestart w:val="continuous"/>
      </w:footnotePr>
      <w:pgSz w:w="11900" w:h="16840"/>
      <w:pgMar w:top="2094" w:right="1961" w:bottom="2094" w:left="1956" w:header="1666" w:footer="166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Nagłówek #1_"/>
    <w:basedOn w:val="DefaultParagraphFont"/>
    <w:link w:val="Style2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Tekst treści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Tekst treści (5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Tekst treści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Tekst treści (4)_"/>
    <w:basedOn w:val="DefaultParagraphFont"/>
    <w:link w:val="Style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Tekst treści (2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auto"/>
      <w:spacing w:after="200" w:line="228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Tekst treści"/>
    <w:basedOn w:val="Normal"/>
    <w:link w:val="CharStyle5"/>
    <w:pPr>
      <w:widowControl w:val="0"/>
      <w:shd w:val="clear" w:color="auto" w:fill="auto"/>
      <w:spacing w:after="200" w:line="262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Tekst treści (5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Tekst treści (3)"/>
    <w:basedOn w:val="Normal"/>
    <w:link w:val="CharStyle9"/>
    <w:pPr>
      <w:widowControl w:val="0"/>
      <w:shd w:val="clear" w:color="auto" w:fill="auto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Tekst treści (4)"/>
    <w:basedOn w:val="Normal"/>
    <w:link w:val="CharStyle11"/>
    <w:pPr>
      <w:widowControl w:val="0"/>
      <w:shd w:val="clear" w:color="auto" w:fill="auto"/>
      <w:spacing w:after="300"/>
      <w:jc w:val="center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2">
    <w:name w:val="Tekst treści (2)"/>
    <w:basedOn w:val="Normal"/>
    <w:link w:val="CharStyle13"/>
    <w:pPr>
      <w:widowControl w:val="0"/>
      <w:shd w:val="clear" w:color="auto" w:fill="auto"/>
      <w:spacing w:after="4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Podsekretarz Stanu Anita Sowińska kolor</dc:title>
  <dc:subject/>
  <dc:creator/>
  <cp:keywords>PL, KOLOR</cp:keywords>
</cp:coreProperties>
</file>