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5A2A" w14:textId="77777777" w:rsidR="0084097A" w:rsidRPr="002779EF" w:rsidRDefault="00000000" w:rsidP="0084097A">
      <w:pPr>
        <w:spacing w:after="0" w:line="360" w:lineRule="auto"/>
        <w:jc w:val="center"/>
        <w:outlineLvl w:val="0"/>
        <w:rPr>
          <w:rFonts w:ascii="Arial" w:hAnsi="Arial" w:cs="Arial"/>
          <w:b/>
        </w:rPr>
      </w:pPr>
      <w:r w:rsidRPr="002779EF">
        <w:rPr>
          <w:rFonts w:ascii="Arial" w:hAnsi="Arial" w:cs="Arial"/>
          <w:b/>
        </w:rPr>
        <w:t>Sprawozdanie z wykonania planu działalności</w:t>
      </w:r>
    </w:p>
    <w:p w14:paraId="12200558" w14:textId="77777777" w:rsidR="00D33A46" w:rsidRDefault="00000000" w:rsidP="00D33A46">
      <w:pPr>
        <w:spacing w:after="0" w:line="360" w:lineRule="auto"/>
        <w:jc w:val="center"/>
        <w:rPr>
          <w:rFonts w:ascii="Arial" w:hAnsi="Arial" w:cs="Arial"/>
          <w:b/>
        </w:rPr>
      </w:pPr>
      <w:r w:rsidRPr="002779EF">
        <w:rPr>
          <w:rFonts w:ascii="Arial" w:hAnsi="Arial" w:cs="Arial"/>
          <w:b/>
        </w:rPr>
        <w:t>Ministra Energii</w:t>
      </w:r>
      <w:r>
        <w:rPr>
          <w:rFonts w:ascii="Arial" w:hAnsi="Arial" w:cs="Arial"/>
          <w:b/>
        </w:rPr>
        <w:t xml:space="preserve"> </w:t>
      </w:r>
    </w:p>
    <w:p w14:paraId="1E85BB55" w14:textId="2131E4B7" w:rsidR="0084097A" w:rsidRPr="002779EF" w:rsidRDefault="00000000" w:rsidP="00D33A46">
      <w:pPr>
        <w:spacing w:after="0" w:line="360" w:lineRule="auto"/>
        <w:jc w:val="center"/>
        <w:rPr>
          <w:rFonts w:ascii="Arial" w:hAnsi="Arial" w:cs="Arial"/>
          <w:b/>
        </w:rPr>
      </w:pPr>
      <w:r w:rsidRPr="002779EF">
        <w:rPr>
          <w:rFonts w:ascii="Arial" w:hAnsi="Arial" w:cs="Arial"/>
          <w:b/>
        </w:rPr>
        <w:t>za rok 2025</w:t>
      </w:r>
    </w:p>
    <w:p w14:paraId="0B706C9F" w14:textId="77777777" w:rsidR="0084097A" w:rsidRPr="002779EF" w:rsidRDefault="00000000" w:rsidP="0084097A">
      <w:pPr>
        <w:spacing w:after="0" w:line="360" w:lineRule="auto"/>
        <w:ind w:firstLine="181"/>
        <w:jc w:val="center"/>
        <w:rPr>
          <w:rFonts w:ascii="Arial" w:hAnsi="Arial" w:cs="Arial"/>
          <w:b/>
        </w:rPr>
      </w:pPr>
      <w:r w:rsidRPr="002779EF">
        <w:rPr>
          <w:rFonts w:ascii="Arial" w:hAnsi="Arial" w:cs="Arial"/>
          <w:b/>
        </w:rPr>
        <w:t xml:space="preserve">dla działów administracji rządowej: </w:t>
      </w:r>
      <w:r w:rsidRPr="002779EF">
        <w:rPr>
          <w:rFonts w:ascii="Arial" w:hAnsi="Arial" w:cs="Arial"/>
          <w:b/>
          <w:bCs/>
        </w:rPr>
        <w:t>energia i gospodarka surowcami energetycznymi</w:t>
      </w:r>
    </w:p>
    <w:p w14:paraId="7303C0D6" w14:textId="77777777" w:rsidR="0084097A" w:rsidRPr="00D00EC6" w:rsidRDefault="00000000" w:rsidP="0084097A">
      <w:pPr>
        <w:spacing w:before="360" w:line="360" w:lineRule="auto"/>
        <w:rPr>
          <w:rFonts w:ascii="Arial" w:hAnsi="Arial" w:cs="Arial"/>
          <w:b/>
        </w:rPr>
      </w:pPr>
      <w:r w:rsidRPr="00D00EC6">
        <w:rPr>
          <w:rFonts w:ascii="Arial" w:hAnsi="Arial" w:cs="Arial"/>
          <w:b/>
        </w:rPr>
        <w:t>CZĘŚĆ A: Realizacja najważniejszych celów w roku 2025</w:t>
      </w:r>
    </w:p>
    <w:tbl>
      <w:tblPr>
        <w:tblW w:w="140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317"/>
        <w:gridCol w:w="1985"/>
        <w:gridCol w:w="1559"/>
        <w:gridCol w:w="1701"/>
        <w:gridCol w:w="2835"/>
        <w:gridCol w:w="3119"/>
      </w:tblGrid>
      <w:tr w:rsidR="00C7072F" w14:paraId="0EC31442" w14:textId="77777777" w:rsidTr="00D33A46">
        <w:trPr>
          <w:cantSplit/>
          <w:trHeight w:val="413"/>
        </w:trPr>
        <w:tc>
          <w:tcPr>
            <w:tcW w:w="518" w:type="dxa"/>
            <w:vMerge w:val="restart"/>
            <w:vAlign w:val="center"/>
          </w:tcPr>
          <w:p w14:paraId="7209D0F8" w14:textId="77777777" w:rsidR="0084097A" w:rsidRPr="002779EF" w:rsidRDefault="00000000" w:rsidP="00D7131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317" w:type="dxa"/>
            <w:vMerge w:val="restart"/>
            <w:vAlign w:val="center"/>
          </w:tcPr>
          <w:p w14:paraId="7DA2A46A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 xml:space="preserve">Cel </w:t>
            </w:r>
          </w:p>
        </w:tc>
        <w:tc>
          <w:tcPr>
            <w:tcW w:w="5245" w:type="dxa"/>
            <w:gridSpan w:val="3"/>
            <w:vAlign w:val="center"/>
          </w:tcPr>
          <w:p w14:paraId="638A6D1E" w14:textId="77777777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Mierniki określające stopień realizacji celu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2779EF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089066B" w14:textId="77777777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Najważniejsze planowane zadania służące realizacji celu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"/>
            </w:r>
            <w:r w:rsidRPr="002779EF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33C80DA4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1CC00D18" w14:textId="64A1EFDE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 xml:space="preserve">Najważniejsze podjęte zadania służące realizacji celu </w:t>
            </w:r>
            <w:r w:rsidR="00D33A46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2779EF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</w:tr>
      <w:tr w:rsidR="00C7072F" w14:paraId="51322C0C" w14:textId="77777777" w:rsidTr="00D33A46">
        <w:trPr>
          <w:cantSplit/>
          <w:trHeight w:val="412"/>
        </w:trPr>
        <w:tc>
          <w:tcPr>
            <w:tcW w:w="518" w:type="dxa"/>
            <w:vMerge/>
          </w:tcPr>
          <w:p w14:paraId="6CECE6D7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5760AF27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2C5E7C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559" w:type="dxa"/>
          </w:tcPr>
          <w:p w14:paraId="4831836D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Planowana wartość do osiągnięcia na koniec roku, którego dotyczy sprawozdanie</w:t>
            </w:r>
          </w:p>
        </w:tc>
        <w:tc>
          <w:tcPr>
            <w:tcW w:w="1701" w:type="dxa"/>
          </w:tcPr>
          <w:p w14:paraId="2E8BD845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color w:val="000000"/>
                <w:sz w:val="18"/>
                <w:szCs w:val="18"/>
              </w:rPr>
              <w:t>Osiągnięta wartość na koniec roku, którego dotyczy sprawozdanie</w:t>
            </w:r>
          </w:p>
        </w:tc>
        <w:tc>
          <w:tcPr>
            <w:tcW w:w="2835" w:type="dxa"/>
            <w:vMerge/>
          </w:tcPr>
          <w:p w14:paraId="45F4A994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61A7CCA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72F" w14:paraId="4CDEEB0C" w14:textId="77777777" w:rsidTr="00D33A46">
        <w:tc>
          <w:tcPr>
            <w:tcW w:w="518" w:type="dxa"/>
          </w:tcPr>
          <w:p w14:paraId="0CD099F6" w14:textId="77777777" w:rsidR="0084097A" w:rsidRPr="00D33A46" w:rsidRDefault="00000000" w:rsidP="00D71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3A46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317" w:type="dxa"/>
          </w:tcPr>
          <w:p w14:paraId="39AF1E6D" w14:textId="77777777" w:rsidR="0084097A" w:rsidRPr="00D33A46" w:rsidRDefault="00000000" w:rsidP="00D71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3A46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14:paraId="0E2F0DF2" w14:textId="77777777" w:rsidR="0084097A" w:rsidRPr="00D33A46" w:rsidRDefault="00000000" w:rsidP="00D71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3A46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3E36C84B" w14:textId="77777777" w:rsidR="0084097A" w:rsidRPr="00D33A46" w:rsidRDefault="00000000" w:rsidP="00D71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3A46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56AEB4BE" w14:textId="77777777" w:rsidR="0084097A" w:rsidRPr="00D33A46" w:rsidRDefault="00000000" w:rsidP="00D71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3A46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0758D284" w14:textId="77777777" w:rsidR="0084097A" w:rsidRPr="00D33A46" w:rsidRDefault="00000000" w:rsidP="00D71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3A46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119" w:type="dxa"/>
          </w:tcPr>
          <w:p w14:paraId="7590BE3C" w14:textId="77777777" w:rsidR="0084097A" w:rsidRPr="00D33A46" w:rsidRDefault="00000000" w:rsidP="00D7131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3A46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C7072F" w14:paraId="2D1B2AA2" w14:textId="77777777" w:rsidTr="00D33A46">
        <w:tc>
          <w:tcPr>
            <w:tcW w:w="518" w:type="dxa"/>
            <w:vMerge w:val="restart"/>
          </w:tcPr>
          <w:p w14:paraId="1EEC10E4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7" w:type="dxa"/>
            <w:vMerge w:val="restart"/>
          </w:tcPr>
          <w:p w14:paraId="6150B306" w14:textId="5649F0D2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Rozwój energetyki jądrowej i wodorowej, restrukturyzacja sektora węgla kamiennego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brunatnego</w:t>
            </w:r>
          </w:p>
        </w:tc>
        <w:tc>
          <w:tcPr>
            <w:tcW w:w="1985" w:type="dxa"/>
          </w:tcPr>
          <w:p w14:paraId="6FF0CFDC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Cel operacyjny 1: Zapewnienie bezpieczeństwa paliwowego państwa. </w:t>
            </w:r>
          </w:p>
          <w:p w14:paraId="04630D3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Miernik realizacji celu 1: Poziom zapasów interwencyjnych ropy naftowej i paliw, wyrażony w dniach zabezpieczenia średniego dziennego przywozu (dni).</w:t>
            </w:r>
          </w:p>
        </w:tc>
        <w:tc>
          <w:tcPr>
            <w:tcW w:w="1559" w:type="dxa"/>
          </w:tcPr>
          <w:p w14:paraId="66FF4FE5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≥ 90 dni z uwzględnieniem wydanych decyzji</w:t>
            </w:r>
          </w:p>
        </w:tc>
        <w:tc>
          <w:tcPr>
            <w:tcW w:w="1701" w:type="dxa"/>
          </w:tcPr>
          <w:p w14:paraId="6BA8FE9F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92,48</w:t>
            </w:r>
          </w:p>
        </w:tc>
        <w:tc>
          <w:tcPr>
            <w:tcW w:w="2835" w:type="dxa"/>
          </w:tcPr>
          <w:p w14:paraId="4D3D1252" w14:textId="21BD6D96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Sprawozdanie Prezesa RARS o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stanie i strukturze zapasów interwencyjnych ropy naftowej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paliw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3AF4B7AB" w14:textId="12325F0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1. Monitorowanie poziomu zapasów interwencyjnych ropy naftowej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paliw na podstawie miesięcznych sprawozdań Prezesa RARS o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stanie i strukturze zapasów interwencyjnych ropy naftowej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 xml:space="preserve">paliw. </w:t>
            </w:r>
          </w:p>
          <w:p w14:paraId="5936F9D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2. Cykliczne informowanie Ministra Energii o stanie zapasów interwencyjnych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072F" w14:paraId="656DB680" w14:textId="77777777" w:rsidTr="00D33A46">
        <w:tc>
          <w:tcPr>
            <w:tcW w:w="518" w:type="dxa"/>
            <w:vMerge/>
          </w:tcPr>
          <w:p w14:paraId="063F62EB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48C29196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B57F484" w14:textId="42D59AD4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Cel operacyjny 2: Stabilny i bezpieczny rynek gazu ziemnego.</w:t>
            </w:r>
          </w:p>
          <w:p w14:paraId="284C61AB" w14:textId="17A19D4C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Miernik realizacji celu 2: Stopień </w:t>
            </w: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zaawansowania prac nad dokumentem</w:t>
            </w:r>
          </w:p>
        </w:tc>
        <w:tc>
          <w:tcPr>
            <w:tcW w:w="1559" w:type="dxa"/>
          </w:tcPr>
          <w:p w14:paraId="154B9E63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100%</w:t>
            </w:r>
          </w:p>
        </w:tc>
        <w:tc>
          <w:tcPr>
            <w:tcW w:w="1701" w:type="dxa"/>
          </w:tcPr>
          <w:p w14:paraId="1107F776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79AD25E2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oraz publikacja Sprawozdania z wyników monitorowania bezpieczeństwa dostaw paliw gazowych.</w:t>
            </w:r>
          </w:p>
        </w:tc>
        <w:tc>
          <w:tcPr>
            <w:tcW w:w="3119" w:type="dxa"/>
          </w:tcPr>
          <w:p w14:paraId="02933BE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Publikacja Sprawozdania z wyników monitorowania bezpieczeństwa dostaw paliw gazowych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072F" w14:paraId="142CC277" w14:textId="77777777" w:rsidTr="00D33A46">
        <w:tc>
          <w:tcPr>
            <w:tcW w:w="518" w:type="dxa"/>
            <w:vMerge/>
          </w:tcPr>
          <w:p w14:paraId="3CFF4570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2817AA9D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F9031B" w14:textId="07AEA1AD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Cel operacyjny 3’: Wzmocnienie otoczenia regulacyjnego związanego z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rozbudową infrastruktury stacji wodoru w Polsce.</w:t>
            </w:r>
          </w:p>
          <w:p w14:paraId="21F8F3E2" w14:textId="517D2989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Miernik realizacji celu 3: Stopień zaawansowania prac nad rozporządzeniem.</w:t>
            </w:r>
          </w:p>
        </w:tc>
        <w:tc>
          <w:tcPr>
            <w:tcW w:w="1559" w:type="dxa"/>
          </w:tcPr>
          <w:p w14:paraId="66B0ED1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2C851401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50%</w:t>
            </w:r>
          </w:p>
        </w:tc>
        <w:tc>
          <w:tcPr>
            <w:tcW w:w="2835" w:type="dxa"/>
          </w:tcPr>
          <w:p w14:paraId="085D331F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Opracowanie oraz publikacja Rozporządzenia Ministra Przemysłu w sprawie warunków technicznych jakim powinny odpowiadać stacje wodoru i ich usytuowanie.</w:t>
            </w:r>
          </w:p>
          <w:p w14:paraId="7A7EEE0C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27F2EA1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Opracowanie projektu Rozporządzenia w sprawie warunków technicznych jakim powinny odpowiadać stacje wodoru i ich usytuowanie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072F" w14:paraId="730697AD" w14:textId="77777777" w:rsidTr="00D33A46">
        <w:tc>
          <w:tcPr>
            <w:tcW w:w="518" w:type="dxa"/>
            <w:vMerge/>
          </w:tcPr>
          <w:p w14:paraId="142CF8F8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1C57FC3E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748833" w14:textId="0733AE88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Realizacja zadań wykonanych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porównaniu do zaplanowanych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Programie PEJ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danym roku (w %).</w:t>
            </w:r>
          </w:p>
        </w:tc>
        <w:tc>
          <w:tcPr>
            <w:tcW w:w="1559" w:type="dxa"/>
          </w:tcPr>
          <w:p w14:paraId="6F99F6C6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701" w:type="dxa"/>
          </w:tcPr>
          <w:p w14:paraId="009CF9A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2835" w:type="dxa"/>
          </w:tcPr>
          <w:p w14:paraId="2122288D" w14:textId="00798EAC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Realizacja zadań i działań przewidzianych na rok 2025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Programie polskiej energetyki jądrowej.</w:t>
            </w:r>
          </w:p>
        </w:tc>
        <w:tc>
          <w:tcPr>
            <w:tcW w:w="3119" w:type="dxa"/>
          </w:tcPr>
          <w:p w14:paraId="367A7B7F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1. W 2025 r. zrealizowano szeroki program szkoleń i warsztatów przygotowujących polski przemysł do udziału w Programie PEJ.</w:t>
            </w:r>
          </w:p>
          <w:p w14:paraId="13E0870D" w14:textId="3FC3C6E2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2. Przeszkolono specjalistów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zakresie norm jądrowych, QA/QC, NDT oraz łańcucha dostaw.</w:t>
            </w:r>
          </w:p>
          <w:p w14:paraId="27A9B9A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3. W latach 2022–2025 szkolenia objęły ok. 1500 ekspertów z 300 firm.</w:t>
            </w:r>
          </w:p>
          <w:p w14:paraId="35449496" w14:textId="3CA85233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4. Równolegle prowadzono działania na rzecz local content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wsparcia polskich firm w projekcie jądrowym.</w:t>
            </w:r>
          </w:p>
          <w:p w14:paraId="23051290" w14:textId="41963EE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5. Program „Atom na uczelniach” połączył kształcenie studentów z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praktyką przemysłową i realnymi perspektywami zatrudnienia.</w:t>
            </w:r>
          </w:p>
          <w:p w14:paraId="14A5F083" w14:textId="6F191001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6. W ramach działań edukacyjno-informacyjnych określonych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 xml:space="preserve">PPEJ, w roku 2025 prowadzone były działania informujące społeczeństwo o energetyce jądrowej oraz realizacji PPEJ m.in. poprzez działania w Internecie </w:t>
            </w: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(z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wykorzystaniem kanałów Polskiego Atomu na Youtube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Facebook oraz strony internetowej polski-atom), organizację konferencji prasowych i spotkań z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 xml:space="preserve">mediami. Udzielano odpowiedzi na interpelacje poselskie, wystąpienia obywatelskie oraz zapytania dziennikarskie. </w:t>
            </w:r>
          </w:p>
          <w:p w14:paraId="3D088F08" w14:textId="00FA0CD0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7. Na jesieni 2025 r. zrealizowano kampanię edukacyjno-informacyjną „Czas zrozumieć Atom” (emitowaną w TV oraz Internecie). Ponadto prowadzono szkolenia on-line dla nauczycieli z zakresu energii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energetyki jądrowej, zrealizowano jądrową szkołę letnią dla studentów w ramach współpracy polsko-amerykańskiej RETC (Regional Energy Training Center), przeprowadzono konkursy fizyczne dla uczniów szkół podstawowych oraz ponadpodstawowych. Tematyka energii oraz energetyki jądrowej była obecna na wydarzeniach o charakterze gospodarczym takich, jak kongres EKG oraz Energy Days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Katowicach, na wydarzeniach o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charakterze masowym - Kino Zachodzącego Słońca, Lato z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 xml:space="preserve">Radiem, alfabet orkiestry Polskiego Radia. Działania były realizowane z wykorzystaniem stoisk edukacyjno-informacyjnych resortu z projektem Polski Atom. </w:t>
            </w:r>
          </w:p>
          <w:p w14:paraId="0C63FDA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Pod koniec roku 2025 zrealizowano badania opinii publicznej, których wyniki jednoznacznie wskazały na szerokie poparcie społeczeństwa polskiego dla budowy elektrowni jądrowych w Polsce (91,9% zwolenników)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072F" w14:paraId="00974FFD" w14:textId="77777777" w:rsidTr="00D33A46">
        <w:tc>
          <w:tcPr>
            <w:tcW w:w="518" w:type="dxa"/>
            <w:vMerge/>
          </w:tcPr>
          <w:p w14:paraId="5EF5C7E6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1602ACBB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A9442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1BA9155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40A47DDA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60%</w:t>
            </w:r>
          </w:p>
        </w:tc>
        <w:tc>
          <w:tcPr>
            <w:tcW w:w="2835" w:type="dxa"/>
          </w:tcPr>
          <w:p w14:paraId="017CE679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projektu rozporządzenia Ministra Przemysłu w sprawie przyznawania nagrody rocznej osobom kierującym niektórymi podmiotami prawnymi.</w:t>
            </w:r>
          </w:p>
        </w:tc>
        <w:tc>
          <w:tcPr>
            <w:tcW w:w="3119" w:type="dxa"/>
          </w:tcPr>
          <w:p w14:paraId="2FA24E01" w14:textId="57BC4135" w:rsidR="0084097A" w:rsidRPr="002779EF" w:rsidRDefault="00000000" w:rsidP="00D7131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Akt wraz z załącznikami został przygotowany, a największą przeszkodą było uchylenie dwóch innych rozporządzeń leżących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 xml:space="preserve">gestii Ministerstwa Aktywów Państwowych oraz Ministerstwa Klimatu i Środowiska. </w:t>
            </w:r>
          </w:p>
        </w:tc>
      </w:tr>
      <w:tr w:rsidR="00C7072F" w14:paraId="79166C2C" w14:textId="77777777" w:rsidTr="00D33A46">
        <w:tc>
          <w:tcPr>
            <w:tcW w:w="518" w:type="dxa"/>
            <w:vMerge/>
          </w:tcPr>
          <w:p w14:paraId="47E450CC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1CFC86EE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ED11382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55E61ACC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779EE34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25819BC5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projektu rozporządzenia Ministra Przemysłu w sprawie dotacji podmiotowej i celowej, opłat oraz zawartości rocznego planu finansowo-rzeczowego państwowego przedsiębiorstwa użyteczności publicznej - "Zakład Unieszkodliwiania Odpadów Promieniotwórczych".</w:t>
            </w:r>
          </w:p>
        </w:tc>
        <w:tc>
          <w:tcPr>
            <w:tcW w:w="3119" w:type="dxa"/>
          </w:tcPr>
          <w:p w14:paraId="784195FA" w14:textId="77777777" w:rsidR="0084097A" w:rsidRPr="002779EF" w:rsidRDefault="00000000" w:rsidP="0084097A">
            <w:pPr>
              <w:numPr>
                <w:ilvl w:val="0"/>
                <w:numId w:val="18"/>
              </w:numPr>
              <w:spacing w:after="0" w:line="240" w:lineRule="auto"/>
              <w:ind w:left="181" w:hanging="207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Przeprowadzono postępowanie legislacyjne w zakresie wprowadzenia zarządzenia. </w:t>
            </w:r>
          </w:p>
          <w:p w14:paraId="0723879E" w14:textId="77777777" w:rsidR="0084097A" w:rsidRPr="002779EF" w:rsidRDefault="00000000" w:rsidP="0084097A">
            <w:pPr>
              <w:numPr>
                <w:ilvl w:val="0"/>
                <w:numId w:val="18"/>
              </w:numPr>
              <w:spacing w:after="0" w:line="240" w:lineRule="auto"/>
              <w:ind w:left="181" w:hanging="207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Przyjęto Rozporządzenie Ministra Przemysłu z dnia 17 lipca 2025 r. w sprawie niektórych przychodów oraz rocznego planu finansowo- rzeczowego państwowego przedsiębiorstwa użyteczności publicznej- „Zakład Unieszkodliwiania Odpadów Promieniotwórczych” (Dz. U. Min. Przem. z 2025 r. poz. 982)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072F" w14:paraId="410CF6B5" w14:textId="77777777" w:rsidTr="00D33A46">
        <w:tc>
          <w:tcPr>
            <w:tcW w:w="518" w:type="dxa"/>
            <w:vMerge/>
          </w:tcPr>
          <w:p w14:paraId="6C40C187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0B4D4777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BB579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641C91B3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370E694D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95%</w:t>
            </w:r>
          </w:p>
        </w:tc>
        <w:tc>
          <w:tcPr>
            <w:tcW w:w="2835" w:type="dxa"/>
          </w:tcPr>
          <w:p w14:paraId="3EEA90AE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Przyjęcie przez Radę Ministrów Sprawozdania z realizacji Krajowego planu postępowania z odpadami promieniotwórczymi i wypalonym paliwem jądrowym za lata 2022-2023.</w:t>
            </w:r>
          </w:p>
        </w:tc>
        <w:tc>
          <w:tcPr>
            <w:tcW w:w="3119" w:type="dxa"/>
          </w:tcPr>
          <w:p w14:paraId="47BD37A8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Ze względu na przedłużające się uzgodnienia z RCL oraz z SKRM sprawozdanie na koniec roku było na etapie przyjmowania przez SKRM. W 2026 roku zostanie przesłane na RM i przekazane do publikacji.</w:t>
            </w:r>
          </w:p>
        </w:tc>
      </w:tr>
      <w:tr w:rsidR="00C7072F" w14:paraId="6E7BA3B9" w14:textId="77777777" w:rsidTr="00D33A46">
        <w:tc>
          <w:tcPr>
            <w:tcW w:w="518" w:type="dxa"/>
            <w:vMerge/>
          </w:tcPr>
          <w:p w14:paraId="29614CF4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14D20642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46CEBE" w14:textId="6C1E73EE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</w:t>
            </w:r>
            <w:r w:rsidR="00D33A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2F7634C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64D3836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35%</w:t>
            </w:r>
          </w:p>
        </w:tc>
        <w:tc>
          <w:tcPr>
            <w:tcW w:w="2835" w:type="dxa"/>
          </w:tcPr>
          <w:p w14:paraId="21649003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projektu zmiany rozporządzenia Rady Ministrów w sprawie dotacji udzielanej w celu zapewnienia bezpieczeństwa jądrowego i ochrony radiologicznej kraju przy stosowaniu promieniowania jonizującego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29F58028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Ze względu na konieczność wprowadzenia nowych zmian, realizację zadania zakończono na etapie przygotowania projektu – zawieszono działania na czas ustalania zakresu zmian.</w:t>
            </w:r>
          </w:p>
          <w:p w14:paraId="4A4259C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Dokument zostanie przyjęty do końca roku 2026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7072F" w14:paraId="6C0B2DBC" w14:textId="77777777" w:rsidTr="00D33A46">
        <w:tc>
          <w:tcPr>
            <w:tcW w:w="518" w:type="dxa"/>
            <w:vMerge/>
          </w:tcPr>
          <w:p w14:paraId="1844EE64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277A214F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35CA945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badania miejsca dla budowy nowego składowiska odpadów promieniotwórczych nisko i średnio-aktywnych (%)</w:t>
            </w:r>
          </w:p>
        </w:tc>
        <w:tc>
          <w:tcPr>
            <w:tcW w:w="1559" w:type="dxa"/>
          </w:tcPr>
          <w:p w14:paraId="64D6802D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1701" w:type="dxa"/>
          </w:tcPr>
          <w:p w14:paraId="14001C76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90%</w:t>
            </w:r>
          </w:p>
        </w:tc>
        <w:tc>
          <w:tcPr>
            <w:tcW w:w="2835" w:type="dxa"/>
          </w:tcPr>
          <w:p w14:paraId="635093BC" w14:textId="5FA326BB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Wskazanie potencjalnej lokalizacji składowiska odpadów promieniotwórczych nisko- i średnio- aktywnych krótko-życiowych oraz realizacja zadania pn. „Wstępne rozpoznanie geologiczno-inżynierskie pierwszej lokalizacji składowiska odpadów </w:t>
            </w: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promieniotwórczych nisko-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średnio-aktywnych krótko-życiowych”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25408E55" w14:textId="77777777" w:rsidR="0084097A" w:rsidRPr="002779EF" w:rsidRDefault="00000000" w:rsidP="0084097A">
            <w:pPr>
              <w:numPr>
                <w:ilvl w:val="0"/>
                <w:numId w:val="19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 xml:space="preserve">Skierowane zostały pisma do Krajowego Ośrodka Wsparcia Rolnictwa, Agencji Mienia Wojskowego oraz Dyrekcji Generalnej Lasów Państwowych w celu rozpoznania potencjalnej lokalizacji pod budowę NSPOP – potwierdzono uzyskanie </w:t>
            </w: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wskazania poprzednio wytypowanych lokalizacji.</w:t>
            </w:r>
          </w:p>
          <w:p w14:paraId="38A11019" w14:textId="77777777" w:rsidR="0084097A" w:rsidRPr="002779EF" w:rsidRDefault="00000000" w:rsidP="0084097A">
            <w:pPr>
              <w:numPr>
                <w:ilvl w:val="0"/>
                <w:numId w:val="19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Wytypowano dwie lokalizacje do budowy NSPOP oraz jedną do screaningu.</w:t>
            </w:r>
          </w:p>
          <w:p w14:paraId="15F351EC" w14:textId="77777777" w:rsidR="0084097A" w:rsidRPr="002779EF" w:rsidRDefault="00000000" w:rsidP="0084097A">
            <w:pPr>
              <w:numPr>
                <w:ilvl w:val="0"/>
                <w:numId w:val="19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Dokonano opracowania projektu robót geologicznych.</w:t>
            </w:r>
          </w:p>
          <w:p w14:paraId="329A7F1C" w14:textId="6E303781" w:rsidR="0084097A" w:rsidRPr="002779EF" w:rsidRDefault="00000000" w:rsidP="0084097A">
            <w:pPr>
              <w:numPr>
                <w:ilvl w:val="0"/>
                <w:numId w:val="19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Przeprowadzono badania oraz screaning – obecnie trwa akceptacja prac przez Ministerstwo Klimatu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Środowiska.</w:t>
            </w:r>
          </w:p>
        </w:tc>
      </w:tr>
      <w:tr w:rsidR="00C7072F" w14:paraId="75F48A33" w14:textId="77777777" w:rsidTr="00D33A46">
        <w:tc>
          <w:tcPr>
            <w:tcW w:w="518" w:type="dxa"/>
            <w:vMerge/>
          </w:tcPr>
          <w:p w14:paraId="03E679F7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3BE1A52A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8A0B15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7CD801C3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05C88D9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79EC246E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Planu Działań, tzw. Action Plan w odpowiedzi na rekomendacje i sugestie Międzynarodowej Agencji Energii Atomowej wskazane w wyniku przeprowadzenia w Polsce Zintegrowanego Przeglądu Infrastruktury Jądrowej - misji INIR 2.</w:t>
            </w:r>
          </w:p>
        </w:tc>
        <w:tc>
          <w:tcPr>
            <w:tcW w:w="3119" w:type="dxa"/>
          </w:tcPr>
          <w:p w14:paraId="733E7C9B" w14:textId="77777777" w:rsidR="0084097A" w:rsidRPr="002779EF" w:rsidRDefault="00000000" w:rsidP="0084097A">
            <w:pPr>
              <w:numPr>
                <w:ilvl w:val="0"/>
                <w:numId w:val="20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Przygotowania dokumentu - Plan Działań tzw. Action Plan.</w:t>
            </w:r>
          </w:p>
          <w:p w14:paraId="3F3F2ED5" w14:textId="77777777" w:rsidR="0084097A" w:rsidRPr="002779EF" w:rsidRDefault="00000000" w:rsidP="0084097A">
            <w:pPr>
              <w:numPr>
                <w:ilvl w:val="0"/>
                <w:numId w:val="20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Przekazanie w maju 2025 r. Action Plan do MAEA. </w:t>
            </w:r>
          </w:p>
        </w:tc>
      </w:tr>
      <w:tr w:rsidR="00C7072F" w14:paraId="3B0381DA" w14:textId="77777777" w:rsidTr="00D33A46">
        <w:tc>
          <w:tcPr>
            <w:tcW w:w="518" w:type="dxa"/>
            <w:vMerge/>
          </w:tcPr>
          <w:p w14:paraId="4166CB27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1F8C5E21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03CBFD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Przeprowadzenie uzgodnień międzyresortowych projektu uzasadnienia przystąpienia do Konwencji o uzupełniającym odszkodowaniu za szkody jądrowej</w:t>
            </w:r>
          </w:p>
        </w:tc>
        <w:tc>
          <w:tcPr>
            <w:tcW w:w="1559" w:type="dxa"/>
          </w:tcPr>
          <w:p w14:paraId="17B58500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29BC0D8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2E605E58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Realizacja działań na rzecz uzyskania zgody Rady Ministrów na przystąpienie do Konwencji o uzupełniającym odszkodowaniu za szkody jądrowe.</w:t>
            </w:r>
          </w:p>
        </w:tc>
        <w:tc>
          <w:tcPr>
            <w:tcW w:w="3119" w:type="dxa"/>
          </w:tcPr>
          <w:p w14:paraId="42102F6F" w14:textId="66641F32" w:rsidR="0084097A" w:rsidRPr="002779EF" w:rsidRDefault="00000000" w:rsidP="0084097A">
            <w:pPr>
              <w:numPr>
                <w:ilvl w:val="0"/>
                <w:numId w:val="21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Przeprowadzono uzgodnienia na KSE (zakończone 28 marca 2025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r.)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F88A86" w14:textId="60198735" w:rsidR="0084097A" w:rsidRPr="002779EF" w:rsidRDefault="00000000" w:rsidP="0084097A">
            <w:pPr>
              <w:numPr>
                <w:ilvl w:val="0"/>
                <w:numId w:val="21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Przyjęcie przez Radę Ministrów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dniu 22 kwietnia 2025 r. wniosku Ministra Przemysłu (z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dnia 11 kwietnia 2025 r.) o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zgodę Rady Ministrów na zainicjowanie przez Ministra Przemysłu procedury uzyskania zgody Rady UE na przystąpienie do Konwencji o dodatkowym odszkodowaniu za szkody jądrowe (Konwencja CSC).</w:t>
            </w:r>
          </w:p>
          <w:p w14:paraId="36E6D7F3" w14:textId="77777777" w:rsidR="0084097A" w:rsidRPr="002779EF" w:rsidRDefault="00000000" w:rsidP="0084097A">
            <w:pPr>
              <w:numPr>
                <w:ilvl w:val="0"/>
                <w:numId w:val="21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Działania w zakresie przygotowania i złożenie w KE ww. wniosku. </w:t>
            </w:r>
          </w:p>
          <w:p w14:paraId="50F751A2" w14:textId="0DB5658C" w:rsidR="0084097A" w:rsidRPr="002779EF" w:rsidRDefault="00000000" w:rsidP="0084097A">
            <w:pPr>
              <w:numPr>
                <w:ilvl w:val="0"/>
                <w:numId w:val="21"/>
              </w:numPr>
              <w:spacing w:after="0" w:line="240" w:lineRule="auto"/>
              <w:ind w:left="181" w:hanging="256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Bieżąca współpraca z DG JUST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Ministerstwem Sprawiedliwości.</w:t>
            </w:r>
          </w:p>
        </w:tc>
      </w:tr>
      <w:tr w:rsidR="00C7072F" w14:paraId="3DAE68FD" w14:textId="77777777" w:rsidTr="00D33A46">
        <w:tc>
          <w:tcPr>
            <w:tcW w:w="518" w:type="dxa"/>
            <w:vMerge/>
          </w:tcPr>
          <w:p w14:paraId="10996569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67D41F1F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FBAC805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Ilość funkcjonujących kopalń węgla kamiennego energetycznego</w:t>
            </w:r>
          </w:p>
        </w:tc>
        <w:tc>
          <w:tcPr>
            <w:tcW w:w="1559" w:type="dxa"/>
          </w:tcPr>
          <w:p w14:paraId="4B9846E6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2BE4D2A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14:paraId="04721621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Realizacja postanowień Umowy Społecznej podpisanej w dniu 28.05.2021 r. dotyczącej transformacji sektora górnictwa węgla kamiennego oraz wybranych procesów </w:t>
            </w: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transformacji województwa śląskiego.</w:t>
            </w:r>
          </w:p>
        </w:tc>
        <w:tc>
          <w:tcPr>
            <w:tcW w:w="3119" w:type="dxa"/>
          </w:tcPr>
          <w:p w14:paraId="27C7B214" w14:textId="03BF0E89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Realizacja Programu dla sektora górnictwa węgla kamiennego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Polsce.</w:t>
            </w:r>
          </w:p>
          <w:p w14:paraId="330764AF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72F" w14:paraId="08D87962" w14:textId="77777777" w:rsidTr="00D33A46">
        <w:tc>
          <w:tcPr>
            <w:tcW w:w="518" w:type="dxa"/>
            <w:vMerge/>
          </w:tcPr>
          <w:p w14:paraId="66FE7C76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4BF9B0CE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00A4EE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realizacji zadań (%)</w:t>
            </w:r>
          </w:p>
        </w:tc>
        <w:tc>
          <w:tcPr>
            <w:tcW w:w="1559" w:type="dxa"/>
          </w:tcPr>
          <w:p w14:paraId="44C40CFC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3033072D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30A704D8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Opiniowanie i kształtowanie ram i kierunków zmiany regulacji prawnych w zakresie pozwalającym na rozwój sektora energetycznego w tym w zakresie energetyki jądrowej oraz funkcjonowania rynku wodoru.</w:t>
            </w:r>
          </w:p>
        </w:tc>
        <w:tc>
          <w:tcPr>
            <w:tcW w:w="3119" w:type="dxa"/>
          </w:tcPr>
          <w:p w14:paraId="12718E7D" w14:textId="77777777" w:rsidR="0084097A" w:rsidRPr="002779EF" w:rsidRDefault="00000000" w:rsidP="0084097A">
            <w:pPr>
              <w:numPr>
                <w:ilvl w:val="0"/>
                <w:numId w:val="22"/>
              </w:numPr>
              <w:spacing w:after="0" w:line="240" w:lineRule="auto"/>
              <w:ind w:left="181" w:hanging="2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Dokonano opracowania projektu ustawy Prawo Gazowo-Wodorowe.</w:t>
            </w:r>
          </w:p>
          <w:p w14:paraId="297417D8" w14:textId="77777777" w:rsidR="0084097A" w:rsidRPr="002779EF" w:rsidRDefault="00000000" w:rsidP="0084097A">
            <w:pPr>
              <w:numPr>
                <w:ilvl w:val="0"/>
                <w:numId w:val="22"/>
              </w:numPr>
              <w:spacing w:after="0" w:line="240" w:lineRule="auto"/>
              <w:ind w:left="181" w:hanging="2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Dokonano opracowania projektu nowelizacji Prawa Energetycznego (dot. rurociągu bezpośredniego wodoru).</w:t>
            </w:r>
          </w:p>
          <w:p w14:paraId="65C3896A" w14:textId="77777777" w:rsidR="0084097A" w:rsidRPr="002779EF" w:rsidRDefault="00000000" w:rsidP="0084097A">
            <w:pPr>
              <w:numPr>
                <w:ilvl w:val="0"/>
                <w:numId w:val="22"/>
              </w:numPr>
              <w:spacing w:after="0" w:line="240" w:lineRule="auto"/>
              <w:ind w:left="181" w:hanging="2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Dokonano opracowania projektów Rozporządzeń do Prawa Energetycznego.</w:t>
            </w:r>
          </w:p>
          <w:p w14:paraId="197BA072" w14:textId="5309A028" w:rsidR="0084097A" w:rsidRPr="002779EF" w:rsidRDefault="00000000" w:rsidP="0084097A">
            <w:pPr>
              <w:numPr>
                <w:ilvl w:val="0"/>
                <w:numId w:val="22"/>
              </w:numPr>
              <w:spacing w:after="0" w:line="240" w:lineRule="auto"/>
              <w:ind w:left="181" w:hanging="2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Zaopiniowano kierunki zmian prawnych w ramach prowadzonych konsultacji międzyresortowych projektów aktów normatywnych pod kątem ich znaczenia dla rozwoju energetyki jądrowej (zadanie o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 xml:space="preserve">charakterze ciągłym). </w:t>
            </w:r>
          </w:p>
          <w:p w14:paraId="36C6EF56" w14:textId="77777777" w:rsidR="0084097A" w:rsidRPr="002779EF" w:rsidRDefault="00000000" w:rsidP="0084097A">
            <w:pPr>
              <w:numPr>
                <w:ilvl w:val="0"/>
                <w:numId w:val="22"/>
              </w:numPr>
              <w:spacing w:after="0" w:line="240" w:lineRule="auto"/>
              <w:ind w:left="181" w:hanging="2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Dokonano opracowania projektu aktualizacji PPEJ oraz przeprowadzono konsultacje publiczne.</w:t>
            </w:r>
          </w:p>
        </w:tc>
      </w:tr>
      <w:tr w:rsidR="00C7072F" w14:paraId="08158310" w14:textId="77777777" w:rsidTr="00D33A46">
        <w:tc>
          <w:tcPr>
            <w:tcW w:w="518" w:type="dxa"/>
            <w:vMerge/>
          </w:tcPr>
          <w:p w14:paraId="73B54E7C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0D90D97F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8F486BA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realizacji zadań (%)</w:t>
            </w:r>
          </w:p>
        </w:tc>
        <w:tc>
          <w:tcPr>
            <w:tcW w:w="1559" w:type="dxa"/>
          </w:tcPr>
          <w:p w14:paraId="27E139C8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0672679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6DFC5BE6" w14:textId="4A5758AB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Monitorowanie spraw związanych z uczestnictwem Rzeczypospolitej Polskiej w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postępowaniach toczących się przed Trybunałem Sprawiedliwości Unii Europejskiej, sądem EFTA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Europejskim Trybunałem Praw Człowieka, a także spraw związanych z naruszeniami prawa unijnego, wszczętych przez Komisję Europejską oraz prowadzonych przez Komisję Europejską dotyczących aktów normatywnych znajdujących się w zakresie właściwości Ministra, w zakresie ich wpływu na krajowy proces legislacyjny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stosowanie obowiązującego prawa.</w:t>
            </w:r>
          </w:p>
        </w:tc>
        <w:tc>
          <w:tcPr>
            <w:tcW w:w="3119" w:type="dxa"/>
          </w:tcPr>
          <w:p w14:paraId="055E7D2C" w14:textId="6E471CED" w:rsidR="0084097A" w:rsidRPr="002779EF" w:rsidRDefault="00000000" w:rsidP="0084097A">
            <w:pPr>
              <w:numPr>
                <w:ilvl w:val="0"/>
                <w:numId w:val="23"/>
              </w:numPr>
              <w:spacing w:after="0" w:line="240" w:lineRule="auto"/>
              <w:ind w:left="181" w:hanging="2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Wypracowanie potencjalnych wkładów do stanowiska Polski w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zakresie spraw zainicjowanych przed TSUE oraz w ramach postępowań o naruszenie prawa Unii Europejskiej przez Komisją Europejską i przygotowanie takich wkładów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4F4A2C8" w14:textId="77777777" w:rsidR="0084097A" w:rsidRPr="002779EF" w:rsidRDefault="00000000" w:rsidP="0084097A">
            <w:pPr>
              <w:numPr>
                <w:ilvl w:val="0"/>
                <w:numId w:val="23"/>
              </w:numPr>
              <w:spacing w:after="0" w:line="240" w:lineRule="auto"/>
              <w:ind w:left="181" w:hanging="25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Analiza orzecznictwa dla polskiego systemu prawnego.</w:t>
            </w:r>
          </w:p>
        </w:tc>
      </w:tr>
      <w:tr w:rsidR="00C7072F" w14:paraId="212ED651" w14:textId="77777777" w:rsidTr="00D33A46">
        <w:tc>
          <w:tcPr>
            <w:tcW w:w="518" w:type="dxa"/>
            <w:vMerge/>
          </w:tcPr>
          <w:p w14:paraId="3C51BD54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26D9020E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E3091F3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585C0053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5C85637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25%</w:t>
            </w:r>
          </w:p>
        </w:tc>
        <w:tc>
          <w:tcPr>
            <w:tcW w:w="2835" w:type="dxa"/>
          </w:tcPr>
          <w:p w14:paraId="0445BAFA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projektu nowelizacji ustawy Prawo atomowe.</w:t>
            </w:r>
          </w:p>
        </w:tc>
        <w:tc>
          <w:tcPr>
            <w:tcW w:w="3119" w:type="dxa"/>
          </w:tcPr>
          <w:p w14:paraId="0222CE22" w14:textId="31D5CEB8" w:rsidR="0084097A" w:rsidRPr="002779EF" w:rsidRDefault="00000000" w:rsidP="0084097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83" w:hanging="283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Analizy wewnętrzne i</w:t>
            </w:r>
            <w:r w:rsidR="00D33A46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identyfikacja obszarów regulacji w zakresie OC za szkody Jądrowe.</w:t>
            </w:r>
          </w:p>
          <w:p w14:paraId="0C4AA281" w14:textId="77777777" w:rsidR="0084097A" w:rsidRPr="002779EF" w:rsidRDefault="00000000" w:rsidP="0084097A">
            <w:pPr>
              <w:numPr>
                <w:ilvl w:val="0"/>
                <w:numId w:val="26"/>
              </w:numPr>
              <w:spacing w:after="0" w:line="240" w:lineRule="auto"/>
              <w:ind w:left="183" w:hanging="283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Wyjaśnienia w ramach komitetu technicznego CSC niektórych kwestii związanych z kompatybilnością obecnych polskich regulacji z CSC.</w:t>
            </w:r>
          </w:p>
          <w:p w14:paraId="2648F287" w14:textId="77777777" w:rsidR="0084097A" w:rsidRPr="002779EF" w:rsidRDefault="00000000" w:rsidP="0084097A">
            <w:pPr>
              <w:numPr>
                <w:ilvl w:val="0"/>
                <w:numId w:val="26"/>
              </w:numPr>
              <w:spacing w:after="0" w:line="240" w:lineRule="auto"/>
              <w:ind w:left="183" w:hanging="283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Dialog podczas warsztatów CSC w 2025 r. </w:t>
            </w:r>
          </w:p>
          <w:p w14:paraId="578CF056" w14:textId="77777777" w:rsidR="0084097A" w:rsidRPr="002779EF" w:rsidRDefault="00000000" w:rsidP="0084097A">
            <w:pPr>
              <w:numPr>
                <w:ilvl w:val="0"/>
                <w:numId w:val="26"/>
              </w:numPr>
              <w:spacing w:after="0" w:line="240" w:lineRule="auto"/>
              <w:ind w:left="183" w:hanging="283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Organizacja spotkań między resortowych.</w:t>
            </w:r>
          </w:p>
          <w:p w14:paraId="54ECF2E3" w14:textId="77777777" w:rsidR="0084097A" w:rsidRPr="002779EF" w:rsidRDefault="00000000" w:rsidP="0084097A">
            <w:pPr>
              <w:numPr>
                <w:ilvl w:val="0"/>
                <w:numId w:val="26"/>
              </w:numPr>
              <w:spacing w:after="0" w:line="240" w:lineRule="auto"/>
              <w:ind w:left="183" w:hanging="283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Konsultacje planowanych działań w ramach rozdziału poświęconego ryzykom jądrowym w toku aktualizacji Programu polskiej energetyki jądrowej.</w:t>
            </w:r>
          </w:p>
        </w:tc>
      </w:tr>
      <w:tr w:rsidR="00C7072F" w14:paraId="56B312A5" w14:textId="77777777" w:rsidTr="00D33A46">
        <w:tc>
          <w:tcPr>
            <w:tcW w:w="518" w:type="dxa"/>
            <w:vMerge/>
          </w:tcPr>
          <w:p w14:paraId="1CE0B1D4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7312C1AB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9CAB0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625A8A7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467E6C9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7B18BEA2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projektu ustawy wyodrębniającej prawo gazowe i wodorowe z ustawy Prawo energetyczne.</w:t>
            </w:r>
          </w:p>
        </w:tc>
        <w:tc>
          <w:tcPr>
            <w:tcW w:w="3119" w:type="dxa"/>
          </w:tcPr>
          <w:p w14:paraId="7F564EA0" w14:textId="2462EA4B" w:rsidR="0084097A" w:rsidRPr="002779EF" w:rsidRDefault="00000000" w:rsidP="0084097A">
            <w:pPr>
              <w:numPr>
                <w:ilvl w:val="0"/>
                <w:numId w:val="24"/>
              </w:numPr>
              <w:spacing w:after="0" w:line="240" w:lineRule="auto"/>
              <w:ind w:left="181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Przygotowanie projektu ustawy wyodrębniającej prawo gazowe z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ustawy prawo energetyczne.</w:t>
            </w:r>
          </w:p>
          <w:p w14:paraId="2D13410B" w14:textId="77777777" w:rsidR="0084097A" w:rsidRPr="002779EF" w:rsidRDefault="00000000" w:rsidP="0084097A">
            <w:pPr>
              <w:numPr>
                <w:ilvl w:val="0"/>
                <w:numId w:val="24"/>
              </w:numPr>
              <w:spacing w:after="0" w:line="240" w:lineRule="auto"/>
              <w:ind w:left="181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Prowadzanie działań z obszaru prawo wodorowe zmierzające do nowelizacji ustawy Prawo energetyczne w zakresie prawa wodorowego.</w:t>
            </w:r>
          </w:p>
        </w:tc>
      </w:tr>
      <w:tr w:rsidR="00C7072F" w14:paraId="44B8EDA6" w14:textId="77777777" w:rsidTr="00D33A46">
        <w:tc>
          <w:tcPr>
            <w:tcW w:w="518" w:type="dxa"/>
            <w:vMerge/>
          </w:tcPr>
          <w:p w14:paraId="2EDF2101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4101EDC4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0B6035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0976893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237B43DA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4AE6BB22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Monitorowanie procesu legislacyjnego zmian ustawy o zapasach paliw i ropy.</w:t>
            </w:r>
          </w:p>
        </w:tc>
        <w:tc>
          <w:tcPr>
            <w:tcW w:w="3119" w:type="dxa"/>
          </w:tcPr>
          <w:p w14:paraId="10A5D3BF" w14:textId="16846AE0" w:rsidR="0084097A" w:rsidRPr="002779EF" w:rsidRDefault="00000000" w:rsidP="00D713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Zmiana ustawy weszła w życie z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dniem 12 września 2025 r. ustawa o zmianie ustawy o zapasach ropy naftowej, produktów naftowych i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gazu ziemnego oraz zasadach postępowania w sytuacjach zagrożenia bezpieczeństwa paliwowego państwa i zakłóceń na rynku naftowym oraz ustawy Prawo energetyczne (Dz.U. z 2025 r. poz. 1303).</w:t>
            </w:r>
          </w:p>
        </w:tc>
      </w:tr>
      <w:tr w:rsidR="00C7072F" w14:paraId="13175C19" w14:textId="77777777" w:rsidTr="00D33A46">
        <w:tc>
          <w:tcPr>
            <w:tcW w:w="518" w:type="dxa"/>
            <w:vMerge/>
          </w:tcPr>
          <w:p w14:paraId="0581DA0A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61967837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48EB3DD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519715FA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2C32F8D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3A81A5A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Monitorowanie postępu notyfikacji rozporządzenia metanowego.</w:t>
            </w:r>
          </w:p>
        </w:tc>
        <w:tc>
          <w:tcPr>
            <w:tcW w:w="3119" w:type="dxa"/>
          </w:tcPr>
          <w:p w14:paraId="1ABCC512" w14:textId="77777777" w:rsidR="0084097A" w:rsidRPr="002779EF" w:rsidRDefault="00000000" w:rsidP="00D713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 xml:space="preserve">Podejmowano działania, które doprowadziły do zmiany ustawy Prawo geologiczne i górnicze (Ustawa o zmianie ustawy – Prawo geologiczne i górnicze z dnia 25 czerwca 2025 r. (Dz.U. z 2025 r. poz. 1023). </w:t>
            </w:r>
          </w:p>
          <w:p w14:paraId="56E10F5E" w14:textId="5F086DF8" w:rsidR="0084097A" w:rsidRPr="002779EF" w:rsidRDefault="00000000" w:rsidP="00D713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 xml:space="preserve">Wyżej wymieniona zmiana prawa doprowadziła do wskazania Prezes 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WUG właściwym organem odpowiedzialnym za monitorowanie i egzekwowanie stosowania rozporządzenia Parlamentu Europejskiego i Rady (UE) 2024/1787 z dnia 13 czerwca 2024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r. w sprawie redukcji emisji metanu w sektorze energetycznym oraz zmieniającego rozporządzenie (UE) 2019/942 (Dz. Urz. UE L 2024/1787 z 15.07.2024).</w:t>
            </w:r>
          </w:p>
        </w:tc>
      </w:tr>
      <w:tr w:rsidR="00C7072F" w14:paraId="2693A2C1" w14:textId="77777777" w:rsidTr="00D33A46">
        <w:tc>
          <w:tcPr>
            <w:tcW w:w="518" w:type="dxa"/>
            <w:vMerge/>
          </w:tcPr>
          <w:p w14:paraId="0234E17C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41BB0094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11FFE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53929B4E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3A5CD222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15F6312E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Monitorowanie postępu notyfikacji Nowego systemu wsparcia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20C9687C" w14:textId="77777777" w:rsidR="0084097A" w:rsidRPr="002779EF" w:rsidRDefault="00000000" w:rsidP="0084097A">
            <w:pPr>
              <w:numPr>
                <w:ilvl w:val="0"/>
                <w:numId w:val="25"/>
              </w:numPr>
              <w:spacing w:after="0" w:line="240" w:lineRule="auto"/>
              <w:ind w:left="181" w:hanging="2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 xml:space="preserve">Przedstawiciele Ministerstwa nawiązali i utrzymują kontakt roboczy z przedstawicielami KE (DG COMP). </w:t>
            </w:r>
          </w:p>
          <w:p w14:paraId="69BA2E6B" w14:textId="770612F2" w:rsidR="0084097A" w:rsidRPr="002779EF" w:rsidRDefault="00000000" w:rsidP="0084097A">
            <w:pPr>
              <w:numPr>
                <w:ilvl w:val="0"/>
                <w:numId w:val="25"/>
              </w:numPr>
              <w:spacing w:after="0" w:line="240" w:lineRule="auto"/>
              <w:ind w:left="181" w:hanging="28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 xml:space="preserve">Zorganizowano szereg spotkań dotyczących </w:t>
            </w:r>
            <w:r w:rsidRPr="002779E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Nowego systemu wsparcia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 xml:space="preserve"> (25 września 2025 r., 30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października 2025 r. i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D33A4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grudnia 2025 r.)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7072F" w14:paraId="1B9DA7CC" w14:textId="77777777" w:rsidTr="00D33A46">
        <w:tc>
          <w:tcPr>
            <w:tcW w:w="518" w:type="dxa"/>
            <w:vMerge w:val="restart"/>
          </w:tcPr>
          <w:p w14:paraId="08D77E77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7" w:type="dxa"/>
            <w:vMerge w:val="restart"/>
          </w:tcPr>
          <w:p w14:paraId="4E1B3F1F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Zapewnienie spójnej polityki międzynarodowej Ministra Przemysłu/Energii zgodnie z Założeniami Polityki Zagranicznej RP</w:t>
            </w:r>
          </w:p>
        </w:tc>
        <w:tc>
          <w:tcPr>
            <w:tcW w:w="1985" w:type="dxa"/>
          </w:tcPr>
          <w:p w14:paraId="0651625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Opracowanie planu współpracy zagranicznej Ministerstwa Przemysłu/Energii na 2025 rok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B35F0BA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5F6102F5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14:paraId="27BB66B8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Sporządzenie planu współpracy zagranicznej Ministerstwa Przemysłu/Energii na 2025 rok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5B606208" w14:textId="77777777" w:rsidR="0084097A" w:rsidRPr="002779EF" w:rsidRDefault="00000000" w:rsidP="00D713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Sporządzono plan współpracy zagranicznej Ministerstwa na 2025 rok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7072F" w14:paraId="7BC4F3C3" w14:textId="77777777" w:rsidTr="00D33A46">
        <w:tc>
          <w:tcPr>
            <w:tcW w:w="518" w:type="dxa"/>
            <w:vMerge/>
          </w:tcPr>
          <w:p w14:paraId="0A3AFD40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14124650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20182C" w14:textId="00BC3870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Udział w</w:t>
            </w:r>
            <w:r w:rsidR="00C7702F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konsultacjach, spotkaniach roboczych i</w:t>
            </w:r>
            <w:r w:rsidR="00C7702F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przedsięwzięciach ekonomicznych organizowanych przez instytucje UE (liczba wydarzeń)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164C10CD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14:paraId="7F2D4084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14:paraId="06110310" w14:textId="25F804F1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Realizacja współpracy z</w:t>
            </w:r>
            <w:r w:rsidR="00C7702F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 xml:space="preserve">instytucjami UE, w tym z: </w:t>
            </w:r>
          </w:p>
          <w:p w14:paraId="55AF4112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- Radą UE (w odpowiednich dla Ministerstwa Przemysłu/Energii formacjach), </w:t>
            </w:r>
          </w:p>
          <w:p w14:paraId="3F603B96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- Komisją Europejską, </w:t>
            </w:r>
          </w:p>
          <w:p w14:paraId="69DAC07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- Parlamentem Europejskim (w celu zapewnienia ciągłości realizacji obowiązków wynikających z członkostwa w UE w obszarze części 48 działu administracji).</w:t>
            </w:r>
          </w:p>
        </w:tc>
        <w:tc>
          <w:tcPr>
            <w:tcW w:w="3119" w:type="dxa"/>
          </w:tcPr>
          <w:p w14:paraId="08172A78" w14:textId="797E0CCF" w:rsidR="0084097A" w:rsidRPr="002779EF" w:rsidRDefault="00000000" w:rsidP="00D713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Udział w spotkaniach z</w:t>
            </w:r>
            <w:r w:rsidR="00C770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przedstawicielami Komisji Europejskiej i Parlamentu Europejskiego, w tym w okresie sprawowania przez Polskę Prezydencji w Radzie UE w I połowie 2025 r. oraz w</w:t>
            </w:r>
            <w:r w:rsidR="00C770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posiedzeniach grup roboczych Rady UE ds. energii i zagadnień atomowych.</w:t>
            </w:r>
          </w:p>
        </w:tc>
      </w:tr>
      <w:tr w:rsidR="00C7072F" w14:paraId="50C961C6" w14:textId="77777777" w:rsidTr="00D33A46">
        <w:tc>
          <w:tcPr>
            <w:tcW w:w="518" w:type="dxa"/>
            <w:vMerge/>
          </w:tcPr>
          <w:p w14:paraId="4DC88C8E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21C50239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DF307FF" w14:textId="678396FE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Aktywny udział w pracach na forach organizacji międzynarodowych </w:t>
            </w: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z</w:t>
            </w:r>
            <w:r w:rsidR="00C7702F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zakresu działalności Ministerstwa Przemysłu/Energii (liczba wydarzeń)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0F867976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01" w:type="dxa"/>
          </w:tcPr>
          <w:p w14:paraId="34EE63B5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835" w:type="dxa"/>
          </w:tcPr>
          <w:p w14:paraId="3873E74D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Wzmacnianie pozytywnego wizerunku Polski, w tym Ministra Przemysłu/Energii, przez wzmocnienie pozycji RP na </w:t>
            </w: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forach międzynarodowej współpracy regionalnej, bilateralnej i multilateralnej.</w:t>
            </w:r>
          </w:p>
        </w:tc>
        <w:tc>
          <w:tcPr>
            <w:tcW w:w="3119" w:type="dxa"/>
          </w:tcPr>
          <w:p w14:paraId="517D58ED" w14:textId="77777777" w:rsidR="0084097A" w:rsidRPr="002779EF" w:rsidRDefault="00000000" w:rsidP="00D7131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Udział przedstawicieli Ministerstwa w spotkaniach i konferencjach międzynarodowych z zakresu energetyki, bezpieczeństwa 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energetycznego, gospodarki surowcami energetycznymi, energii jądrowej.</w:t>
            </w:r>
          </w:p>
        </w:tc>
      </w:tr>
      <w:tr w:rsidR="00C7072F" w14:paraId="16F2246D" w14:textId="77777777" w:rsidTr="00D33A46">
        <w:tc>
          <w:tcPr>
            <w:tcW w:w="518" w:type="dxa"/>
            <w:vMerge w:val="restart"/>
          </w:tcPr>
          <w:p w14:paraId="58B8D56D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7" w:type="dxa"/>
            <w:vMerge w:val="restart"/>
          </w:tcPr>
          <w:p w14:paraId="45E09109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Stabilna sprawiedliwa transformacja regionów węglowych</w:t>
            </w:r>
          </w:p>
        </w:tc>
        <w:tc>
          <w:tcPr>
            <w:tcW w:w="1985" w:type="dxa"/>
          </w:tcPr>
          <w:p w14:paraId="5328E953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638BF3EF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0B1A0F6A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01CE0517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projektu nowelizacji ustawy o funkcjonowaniu górnictwa węgla kamiennego.</w:t>
            </w:r>
          </w:p>
        </w:tc>
        <w:tc>
          <w:tcPr>
            <w:tcW w:w="3119" w:type="dxa"/>
          </w:tcPr>
          <w:p w14:paraId="57A603F1" w14:textId="42D645C1" w:rsidR="0084097A" w:rsidRPr="002779EF" w:rsidRDefault="00000000" w:rsidP="00D713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Przygotowanie projektu nowelizacji ustawy o funkcjonowaniu górnictwa węgla kamiennego, zakończone wejściem w życie z dniem 1</w:t>
            </w:r>
            <w:r w:rsidR="00C770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stycznia 2026 r. ustawy z dnia 4</w:t>
            </w:r>
            <w:r w:rsidR="00C770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grudnia 2025 r. o zmianie ustawy o funkcjonowaniu górnictwa węgla kamiennego oraz niektórych innych ustaw (Dz.U. 2025 poz. 1822). Zmiany zawarte w ustawie mają na celu stopniowe i społecznie akceptowalne wygaszanie kopalń, wdrażając postanowienia Umowy Społecznej z 2021 r., wprowadzając pakiet świadczeń osłonowych dla pracowników (urlopy górnicze, odprawy) i wspierając rewitalizację terenów pokopalnianych, aby stworzyć nowe miejsca pracy i</w:t>
            </w:r>
            <w:r w:rsidR="00C770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color w:val="000000"/>
                <w:sz w:val="18"/>
                <w:szCs w:val="18"/>
              </w:rPr>
              <w:t>rozwijać regiony górnicze. Nowelizacja ustawy umożliwia spółkom górniczym samodzielną likwidację kopalń i przekazywanie majątku samorządom, przy wsparciu państwa.</w:t>
            </w:r>
          </w:p>
        </w:tc>
      </w:tr>
      <w:tr w:rsidR="00C7072F" w14:paraId="33AA7958" w14:textId="77777777" w:rsidTr="00D33A46">
        <w:tc>
          <w:tcPr>
            <w:tcW w:w="518" w:type="dxa"/>
            <w:vMerge/>
          </w:tcPr>
          <w:p w14:paraId="626C14FB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676DC18A" w14:textId="77777777" w:rsidR="0084097A" w:rsidRPr="002779EF" w:rsidRDefault="0084097A" w:rsidP="00D713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A6BB99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Stopień zaawansowania prac nad dokumentem (%)</w:t>
            </w:r>
          </w:p>
        </w:tc>
        <w:tc>
          <w:tcPr>
            <w:tcW w:w="1559" w:type="dxa"/>
          </w:tcPr>
          <w:p w14:paraId="2F77CF13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1701" w:type="dxa"/>
          </w:tcPr>
          <w:p w14:paraId="224FD45C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100%</w:t>
            </w:r>
          </w:p>
        </w:tc>
        <w:tc>
          <w:tcPr>
            <w:tcW w:w="2835" w:type="dxa"/>
          </w:tcPr>
          <w:p w14:paraId="6B9299B2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Przygotowanie projektu nowelizacji ustawy o Funduszu Transformacji Województwa Śląskiego S.A.</w:t>
            </w:r>
          </w:p>
        </w:tc>
        <w:tc>
          <w:tcPr>
            <w:tcW w:w="3119" w:type="dxa"/>
          </w:tcPr>
          <w:p w14:paraId="721F3E6B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Przygotowano projekt nowelizacji ustawy o Funduszu Transformacji Województwa Śląskiego S.A.</w:t>
            </w:r>
          </w:p>
        </w:tc>
      </w:tr>
    </w:tbl>
    <w:p w14:paraId="0CCAED43" w14:textId="77777777" w:rsidR="0084097A" w:rsidRDefault="0084097A" w:rsidP="0084097A">
      <w:pPr>
        <w:jc w:val="both"/>
        <w:rPr>
          <w:rFonts w:ascii="Arial" w:hAnsi="Arial" w:cs="Arial"/>
          <w:b/>
        </w:rPr>
      </w:pPr>
    </w:p>
    <w:p w14:paraId="546FAD4D" w14:textId="77777777" w:rsidR="00C7702F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CBD560" w14:textId="313EE1F8" w:rsidR="0084097A" w:rsidRPr="00D00EC6" w:rsidRDefault="00000000" w:rsidP="0084097A">
      <w:pPr>
        <w:jc w:val="both"/>
        <w:rPr>
          <w:rFonts w:ascii="Arial" w:hAnsi="Arial" w:cs="Arial"/>
          <w:b/>
        </w:rPr>
      </w:pPr>
      <w:r w:rsidRPr="00D00EC6">
        <w:rPr>
          <w:rFonts w:ascii="Arial" w:hAnsi="Arial" w:cs="Arial"/>
          <w:b/>
        </w:rPr>
        <w:lastRenderedPageBreak/>
        <w:t>CZEŚĆ B: Realizacja celów priorytetowych wynikających z budżetu państwa w układzie zadaniowym w roku 2025</w:t>
      </w:r>
    </w:p>
    <w:p w14:paraId="1AC56E10" w14:textId="77777777" w:rsidR="0084097A" w:rsidRPr="00D00EC6" w:rsidRDefault="00000000" w:rsidP="0084097A">
      <w:pPr>
        <w:pStyle w:val="Tekstpodstawowy"/>
        <w:spacing w:before="120" w:after="240"/>
        <w:jc w:val="both"/>
        <w:rPr>
          <w:rFonts w:ascii="Arial" w:hAnsi="Arial" w:cs="Arial"/>
          <w:i/>
          <w:sz w:val="16"/>
          <w:szCs w:val="16"/>
        </w:rPr>
      </w:pPr>
      <w:r w:rsidRPr="00D00EC6">
        <w:rPr>
          <w:rFonts w:ascii="Arial" w:hAnsi="Arial" w:cs="Arial"/>
          <w:i/>
          <w:sz w:val="16"/>
          <w:szCs w:val="16"/>
        </w:rPr>
        <w:t>(w tej części sprawozdania należy wymienić cele wskazane w części B planu na rok, którego dotyczy sprawozdanie. Nie należy wymieniać celów uprzednio wskazanych w części A)</w:t>
      </w:r>
    </w:p>
    <w:tbl>
      <w:tblPr>
        <w:tblW w:w="140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317"/>
        <w:gridCol w:w="1843"/>
        <w:gridCol w:w="1701"/>
        <w:gridCol w:w="1701"/>
        <w:gridCol w:w="2693"/>
        <w:gridCol w:w="3261"/>
      </w:tblGrid>
      <w:tr w:rsidR="00C7072F" w14:paraId="55C9BCE2" w14:textId="77777777" w:rsidTr="00C7702F">
        <w:trPr>
          <w:cantSplit/>
          <w:trHeight w:val="413"/>
        </w:trPr>
        <w:tc>
          <w:tcPr>
            <w:tcW w:w="518" w:type="dxa"/>
            <w:vMerge w:val="restart"/>
            <w:vAlign w:val="center"/>
          </w:tcPr>
          <w:p w14:paraId="231C1968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317" w:type="dxa"/>
            <w:vMerge w:val="restart"/>
            <w:vAlign w:val="center"/>
          </w:tcPr>
          <w:p w14:paraId="08076A19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 xml:space="preserve">Cel </w:t>
            </w:r>
          </w:p>
        </w:tc>
        <w:tc>
          <w:tcPr>
            <w:tcW w:w="5245" w:type="dxa"/>
            <w:gridSpan w:val="3"/>
            <w:vAlign w:val="center"/>
          </w:tcPr>
          <w:p w14:paraId="1F7E0738" w14:textId="77777777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Mierniki określające stopień realizacji celu</w:t>
            </w:r>
            <w:r w:rsidRPr="002779EF">
              <w:rPr>
                <w:rFonts w:ascii="Arial" w:hAnsi="Arial" w:cs="Arial"/>
                <w:sz w:val="18"/>
                <w:szCs w:val="18"/>
              </w:rPr>
              <w:t>³</w:t>
            </w:r>
            <w:r w:rsidRPr="002779EF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Align w:val="center"/>
          </w:tcPr>
          <w:p w14:paraId="40E7A36B" w14:textId="77777777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Planowane podzadania budżetowe służące realizacji celu</w:t>
            </w:r>
            <w:r w:rsidRPr="002779EF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2779E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61" w:type="dxa"/>
            <w:vAlign w:val="center"/>
          </w:tcPr>
          <w:p w14:paraId="117522EE" w14:textId="77777777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Podjęte podzadania budżetowe służące realizacji celu</w:t>
            </w:r>
          </w:p>
        </w:tc>
      </w:tr>
      <w:tr w:rsidR="00C7072F" w14:paraId="494BB38A" w14:textId="77777777" w:rsidTr="00C7702F">
        <w:trPr>
          <w:cantSplit/>
          <w:trHeight w:val="412"/>
        </w:trPr>
        <w:tc>
          <w:tcPr>
            <w:tcW w:w="518" w:type="dxa"/>
            <w:vMerge/>
          </w:tcPr>
          <w:p w14:paraId="375FFB53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78397518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4E00AB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701" w:type="dxa"/>
          </w:tcPr>
          <w:p w14:paraId="7E7C9023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Planowana wartość do osiągnięcia na koniec roku, którego dotyczy sprawozdanie</w:t>
            </w:r>
          </w:p>
        </w:tc>
        <w:tc>
          <w:tcPr>
            <w:tcW w:w="1701" w:type="dxa"/>
          </w:tcPr>
          <w:p w14:paraId="0BB27DC3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color w:val="000000"/>
                <w:sz w:val="18"/>
                <w:szCs w:val="18"/>
              </w:rPr>
              <w:t>Osiągnięta wartość na koniec roku, którego dotyczy sprawozdanie</w:t>
            </w:r>
          </w:p>
        </w:tc>
        <w:tc>
          <w:tcPr>
            <w:tcW w:w="2693" w:type="dxa"/>
          </w:tcPr>
          <w:p w14:paraId="598F5CCF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6BE8492A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72F" w14:paraId="574074F7" w14:textId="77777777" w:rsidTr="00C7702F">
        <w:tc>
          <w:tcPr>
            <w:tcW w:w="518" w:type="dxa"/>
            <w:vAlign w:val="center"/>
          </w:tcPr>
          <w:p w14:paraId="78338288" w14:textId="77777777" w:rsidR="0084097A" w:rsidRPr="00D00EC6" w:rsidRDefault="00000000" w:rsidP="00C770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317" w:type="dxa"/>
            <w:vAlign w:val="center"/>
          </w:tcPr>
          <w:p w14:paraId="6B238D98" w14:textId="77777777" w:rsidR="0084097A" w:rsidRPr="00D00EC6" w:rsidRDefault="00000000" w:rsidP="00C770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DFBF987" w14:textId="77777777" w:rsidR="0084097A" w:rsidRPr="00D00EC6" w:rsidRDefault="00000000" w:rsidP="00C770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6A08CE1" w14:textId="77777777" w:rsidR="0084097A" w:rsidRPr="00D00EC6" w:rsidRDefault="00000000" w:rsidP="00C770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8496F99" w14:textId="77777777" w:rsidR="0084097A" w:rsidRPr="00D00EC6" w:rsidRDefault="00000000" w:rsidP="00C770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644B34F2" w14:textId="77777777" w:rsidR="0084097A" w:rsidRPr="00D00EC6" w:rsidRDefault="00000000" w:rsidP="00C770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261" w:type="dxa"/>
            <w:vAlign w:val="center"/>
          </w:tcPr>
          <w:p w14:paraId="343B0520" w14:textId="77777777" w:rsidR="0084097A" w:rsidRPr="00D00EC6" w:rsidRDefault="00000000" w:rsidP="00C7702F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</w:p>
        </w:tc>
      </w:tr>
      <w:tr w:rsidR="00C7072F" w14:paraId="3F338D17" w14:textId="77777777" w:rsidTr="00C7702F">
        <w:tc>
          <w:tcPr>
            <w:tcW w:w="518" w:type="dxa"/>
          </w:tcPr>
          <w:p w14:paraId="5ED4077D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7" w:type="dxa"/>
          </w:tcPr>
          <w:p w14:paraId="0730257F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Zabezpieczenie potrzeb rynku w zakresie dostaw surowca krajowego.</w:t>
            </w:r>
          </w:p>
        </w:tc>
        <w:tc>
          <w:tcPr>
            <w:tcW w:w="1843" w:type="dxa"/>
          </w:tcPr>
          <w:p w14:paraId="5D1B3FDE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Roczne wydobycie węgla kamiennego</w:t>
            </w:r>
          </w:p>
        </w:tc>
        <w:tc>
          <w:tcPr>
            <w:tcW w:w="1701" w:type="dxa"/>
          </w:tcPr>
          <w:p w14:paraId="796E1378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≥ 46 mln t</w:t>
            </w:r>
          </w:p>
        </w:tc>
        <w:tc>
          <w:tcPr>
            <w:tcW w:w="1701" w:type="dxa"/>
          </w:tcPr>
          <w:p w14:paraId="0EEDCB0C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42,8 mln t</w:t>
            </w:r>
          </w:p>
        </w:tc>
        <w:tc>
          <w:tcPr>
            <w:tcW w:w="2693" w:type="dxa"/>
          </w:tcPr>
          <w:p w14:paraId="539346ED" w14:textId="77777777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 xml:space="preserve">Bezpieczeństwo gospodarcze państwa i gospodarka złożami kopalin, w tym surowcami energetycznymi  </w:t>
            </w:r>
          </w:p>
        </w:tc>
        <w:tc>
          <w:tcPr>
            <w:tcW w:w="3261" w:type="dxa"/>
          </w:tcPr>
          <w:p w14:paraId="5414DB72" w14:textId="46AE6BE3" w:rsidR="0084097A" w:rsidRPr="002779EF" w:rsidRDefault="00000000" w:rsidP="00D7131C">
            <w:pPr>
              <w:rPr>
                <w:rFonts w:ascii="Arial" w:hAnsi="Arial" w:cs="Arial"/>
                <w:sz w:val="18"/>
                <w:szCs w:val="18"/>
              </w:rPr>
            </w:pPr>
            <w:r w:rsidRPr="002779EF">
              <w:rPr>
                <w:rFonts w:ascii="Arial" w:hAnsi="Arial" w:cs="Arial"/>
                <w:sz w:val="18"/>
                <w:szCs w:val="18"/>
              </w:rPr>
              <w:t>Realizacja polityki Państwa w</w:t>
            </w:r>
            <w:r w:rsidR="00C7702F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zakresie stopniowego odchodzenia od konwencjonalnych (paliwa stałe) źródeł energii (przy zachowaniu bezpieczeństwa energetycznego kraju) w oparciu o mechanizm finansowania dopłat do redukcji zdolności produkcyjnych, i</w:t>
            </w:r>
            <w:r w:rsidR="00C7702F">
              <w:rPr>
                <w:rFonts w:ascii="Arial" w:hAnsi="Arial" w:cs="Arial"/>
                <w:sz w:val="18"/>
                <w:szCs w:val="18"/>
              </w:rPr>
              <w:t> </w:t>
            </w:r>
            <w:r w:rsidRPr="002779EF">
              <w:rPr>
                <w:rFonts w:ascii="Arial" w:hAnsi="Arial" w:cs="Arial"/>
                <w:sz w:val="18"/>
                <w:szCs w:val="18"/>
              </w:rPr>
              <w:t>zmniejszenie wydobycia</w:t>
            </w:r>
          </w:p>
        </w:tc>
      </w:tr>
    </w:tbl>
    <w:p w14:paraId="37B87BAE" w14:textId="6AC2668C" w:rsidR="0084097A" w:rsidRPr="00D00EC6" w:rsidRDefault="00000000" w:rsidP="0084097A">
      <w:pPr>
        <w:spacing w:before="720"/>
        <w:rPr>
          <w:rFonts w:ascii="Arial" w:hAnsi="Arial" w:cs="Arial"/>
          <w:b/>
        </w:rPr>
      </w:pPr>
      <w:r w:rsidRPr="00D00EC6">
        <w:rPr>
          <w:rFonts w:ascii="Arial" w:hAnsi="Arial" w:cs="Arial"/>
          <w:b/>
        </w:rPr>
        <w:t>CZĘŚĆ C: Realizacja innych celów w roku 2025</w:t>
      </w:r>
    </w:p>
    <w:p w14:paraId="3B6D9143" w14:textId="77777777" w:rsidR="0084097A" w:rsidRPr="00D00EC6" w:rsidRDefault="00000000" w:rsidP="0084097A">
      <w:pPr>
        <w:spacing w:before="120" w:after="240"/>
        <w:ind w:right="23"/>
        <w:jc w:val="both"/>
        <w:rPr>
          <w:rFonts w:ascii="Arial" w:hAnsi="Arial" w:cs="Arial"/>
          <w:sz w:val="16"/>
          <w:szCs w:val="16"/>
        </w:rPr>
      </w:pPr>
      <w:r w:rsidRPr="00D00EC6">
        <w:rPr>
          <w:rFonts w:ascii="Arial" w:hAnsi="Arial" w:cs="Arial"/>
          <w:i/>
          <w:sz w:val="16"/>
          <w:szCs w:val="16"/>
        </w:rPr>
        <w:t>(w tej części sprawozdania należy wymienić cele wskazane w części C planu na rok, którego dotyczy sprawozdanie)</w:t>
      </w:r>
    </w:p>
    <w:tbl>
      <w:tblPr>
        <w:tblW w:w="140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317"/>
        <w:gridCol w:w="1843"/>
        <w:gridCol w:w="1701"/>
        <w:gridCol w:w="1701"/>
        <w:gridCol w:w="2693"/>
        <w:gridCol w:w="3261"/>
      </w:tblGrid>
      <w:tr w:rsidR="00C7072F" w14:paraId="3EB31AF1" w14:textId="77777777" w:rsidTr="00C7702F">
        <w:trPr>
          <w:cantSplit/>
          <w:trHeight w:val="413"/>
        </w:trPr>
        <w:tc>
          <w:tcPr>
            <w:tcW w:w="518" w:type="dxa"/>
            <w:vMerge w:val="restart"/>
            <w:vAlign w:val="center"/>
          </w:tcPr>
          <w:p w14:paraId="756A8304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317" w:type="dxa"/>
            <w:vMerge w:val="restart"/>
            <w:vAlign w:val="center"/>
          </w:tcPr>
          <w:p w14:paraId="12311BD4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 xml:space="preserve">Cel </w:t>
            </w:r>
          </w:p>
        </w:tc>
        <w:tc>
          <w:tcPr>
            <w:tcW w:w="5245" w:type="dxa"/>
            <w:gridSpan w:val="3"/>
            <w:vAlign w:val="center"/>
          </w:tcPr>
          <w:p w14:paraId="010552BC" w14:textId="77777777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Mierniki określające stopień realizacji celu</w:t>
            </w:r>
            <w:r w:rsidRPr="002779EF">
              <w:rPr>
                <w:rFonts w:ascii="Arial" w:hAnsi="Arial" w:cs="Arial"/>
                <w:sz w:val="18"/>
                <w:szCs w:val="18"/>
              </w:rPr>
              <w:t>³</w:t>
            </w:r>
            <w:r w:rsidRPr="002779EF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14:paraId="4443AB0C" w14:textId="77777777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 xml:space="preserve">Najważniejsze planowane zadania służące realizacji celu </w:t>
            </w:r>
            <w:r w:rsidRPr="002779E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3261" w:type="dxa"/>
            <w:vMerge w:val="restart"/>
            <w:vAlign w:val="center"/>
          </w:tcPr>
          <w:p w14:paraId="7305C067" w14:textId="77777777" w:rsidR="0084097A" w:rsidRPr="002779EF" w:rsidRDefault="00000000" w:rsidP="00D7131C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 xml:space="preserve">Najważniejsze podjęte zadania służące realizacji celu </w:t>
            </w:r>
            <w:r w:rsidRPr="002779EF"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</w:tr>
      <w:tr w:rsidR="00C7072F" w14:paraId="622BBBD8" w14:textId="77777777" w:rsidTr="00C7702F">
        <w:trPr>
          <w:cantSplit/>
          <w:trHeight w:val="412"/>
        </w:trPr>
        <w:tc>
          <w:tcPr>
            <w:tcW w:w="518" w:type="dxa"/>
            <w:vMerge/>
          </w:tcPr>
          <w:p w14:paraId="781D5C33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14:paraId="196709C4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0EE53C9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701" w:type="dxa"/>
          </w:tcPr>
          <w:p w14:paraId="7211069B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sz w:val="18"/>
                <w:szCs w:val="18"/>
              </w:rPr>
              <w:t>Planowana wartość do osiągnięcia na koniec roku, którego dotyczy sprawozdanie</w:t>
            </w:r>
          </w:p>
        </w:tc>
        <w:tc>
          <w:tcPr>
            <w:tcW w:w="1701" w:type="dxa"/>
          </w:tcPr>
          <w:p w14:paraId="1237582E" w14:textId="77777777" w:rsidR="0084097A" w:rsidRPr="002779EF" w:rsidRDefault="00000000" w:rsidP="00D7131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79EF">
              <w:rPr>
                <w:rFonts w:ascii="Arial" w:hAnsi="Arial" w:cs="Arial"/>
                <w:b/>
                <w:color w:val="000000"/>
                <w:sz w:val="18"/>
                <w:szCs w:val="18"/>
              </w:rPr>
              <w:t>Osiągnięta wartość na koniec roku, którego dotyczy sprawozdanie</w:t>
            </w:r>
          </w:p>
        </w:tc>
        <w:tc>
          <w:tcPr>
            <w:tcW w:w="2693" w:type="dxa"/>
            <w:vMerge/>
          </w:tcPr>
          <w:p w14:paraId="703E9787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14:paraId="2C480670" w14:textId="77777777" w:rsidR="0084097A" w:rsidRPr="002779EF" w:rsidRDefault="0084097A" w:rsidP="00D713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072F" w14:paraId="37521120" w14:textId="77777777" w:rsidTr="00C7702F">
        <w:tc>
          <w:tcPr>
            <w:tcW w:w="518" w:type="dxa"/>
          </w:tcPr>
          <w:p w14:paraId="42D24069" w14:textId="77777777" w:rsidR="0084097A" w:rsidRPr="00D00EC6" w:rsidRDefault="00000000" w:rsidP="00D7131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317" w:type="dxa"/>
          </w:tcPr>
          <w:p w14:paraId="16FDC80D" w14:textId="77777777" w:rsidR="0084097A" w:rsidRPr="00D00EC6" w:rsidRDefault="00000000" w:rsidP="00D7131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20F04E47" w14:textId="77777777" w:rsidR="0084097A" w:rsidRPr="00D00EC6" w:rsidRDefault="00000000" w:rsidP="00D7131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3DF7AC12" w14:textId="77777777" w:rsidR="0084097A" w:rsidRPr="00D00EC6" w:rsidRDefault="00000000" w:rsidP="00D7131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619103CE" w14:textId="77777777" w:rsidR="0084097A" w:rsidRPr="00D00EC6" w:rsidRDefault="00000000" w:rsidP="00D7131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14:paraId="134BEACD" w14:textId="77777777" w:rsidR="0084097A" w:rsidRPr="00D00EC6" w:rsidRDefault="00000000" w:rsidP="00D7131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261" w:type="dxa"/>
          </w:tcPr>
          <w:p w14:paraId="627B82B4" w14:textId="77777777" w:rsidR="0084097A" w:rsidRPr="00D00EC6" w:rsidRDefault="00000000" w:rsidP="00D7131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00EC6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</w:p>
        </w:tc>
      </w:tr>
      <w:tr w:rsidR="00C7072F" w14:paraId="45580183" w14:textId="77777777" w:rsidTr="00C7702F">
        <w:tc>
          <w:tcPr>
            <w:tcW w:w="14034" w:type="dxa"/>
            <w:gridSpan w:val="7"/>
          </w:tcPr>
          <w:p w14:paraId="6267DB61" w14:textId="77777777" w:rsidR="0084097A" w:rsidRPr="00D00EC6" w:rsidRDefault="00000000" w:rsidP="00D713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EC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</w:tbl>
    <w:p w14:paraId="5C3EE04C" w14:textId="77777777" w:rsidR="0084097A" w:rsidRPr="00D00EC6" w:rsidRDefault="00000000" w:rsidP="0084097A">
      <w:pPr>
        <w:spacing w:before="480"/>
        <w:ind w:right="-468"/>
        <w:jc w:val="both"/>
        <w:rPr>
          <w:rFonts w:ascii="Arial" w:hAnsi="Arial" w:cs="Arial"/>
          <w:b/>
        </w:rPr>
      </w:pPr>
      <w:r w:rsidRPr="00D00EC6">
        <w:rPr>
          <w:rFonts w:ascii="Arial" w:hAnsi="Arial" w:cs="Arial"/>
          <w:b/>
        </w:rPr>
        <w:lastRenderedPageBreak/>
        <w:t>CZĘŚĆ D: Informacja dotycząca realizacji celów objętych planem działalności na rok 2025</w:t>
      </w:r>
    </w:p>
    <w:p w14:paraId="732F980D" w14:textId="77777777" w:rsidR="0084097A" w:rsidRPr="00D00EC6" w:rsidRDefault="00000000" w:rsidP="0084097A">
      <w:pPr>
        <w:pStyle w:val="Tekstpodstawowy"/>
        <w:spacing w:before="120"/>
        <w:jc w:val="both"/>
        <w:rPr>
          <w:rFonts w:ascii="Arial" w:hAnsi="Arial" w:cs="Arial"/>
          <w:i/>
          <w:sz w:val="16"/>
          <w:szCs w:val="16"/>
        </w:rPr>
      </w:pPr>
      <w:r w:rsidRPr="00D00EC6">
        <w:rPr>
          <w:rFonts w:ascii="Arial" w:hAnsi="Arial" w:cs="Arial"/>
          <w:i/>
          <w:sz w:val="16"/>
          <w:szCs w:val="16"/>
        </w:rPr>
        <w:t>(należy krótko opisać najważniejsze przyczyny, które wpłynęły na niezrealizowanie celów, wystąpienie istotnych różnic w planowanych i osiągniętych wartościach mierników lub podjęcie innych niż planowane zadań służących realizacji celów)</w:t>
      </w:r>
    </w:p>
    <w:p w14:paraId="03E91FC4" w14:textId="77777777" w:rsidR="0084097A" w:rsidRPr="00D00EC6" w:rsidRDefault="0084097A" w:rsidP="0084097A">
      <w:pPr>
        <w:pStyle w:val="Tekstpodstawowy"/>
        <w:spacing w:before="120"/>
        <w:jc w:val="both"/>
        <w:rPr>
          <w:rFonts w:ascii="Arial" w:hAnsi="Arial" w:cs="Arial"/>
          <w:i/>
          <w:sz w:val="16"/>
          <w:szCs w:val="16"/>
        </w:rPr>
      </w:pPr>
    </w:p>
    <w:p w14:paraId="21744B31" w14:textId="77777777" w:rsidR="0084097A" w:rsidRPr="002779EF" w:rsidRDefault="00000000" w:rsidP="0084097A">
      <w:pPr>
        <w:pStyle w:val="Tekstpodstawowy"/>
        <w:spacing w:before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2779EF">
        <w:rPr>
          <w:rFonts w:ascii="Arial" w:hAnsi="Arial" w:cs="Arial"/>
          <w:b/>
          <w:bCs/>
          <w:i/>
          <w:sz w:val="20"/>
          <w:szCs w:val="20"/>
          <w:u w:val="single"/>
        </w:rPr>
        <w:t>Najważniejsze przyczyny, które wpłynęły na niezrealizowane celów</w:t>
      </w:r>
      <w:r>
        <w:rPr>
          <w:rFonts w:ascii="Arial" w:hAnsi="Arial" w:cs="Arial"/>
          <w:b/>
          <w:bCs/>
          <w:i/>
          <w:sz w:val="20"/>
          <w:szCs w:val="20"/>
          <w:u w:val="single"/>
        </w:rPr>
        <w:t>:</w:t>
      </w:r>
    </w:p>
    <w:p w14:paraId="057557FE" w14:textId="77777777" w:rsidR="0084097A" w:rsidRPr="002779EF" w:rsidRDefault="00000000" w:rsidP="0084097A">
      <w:pPr>
        <w:pStyle w:val="Tekstpodstawowy"/>
        <w:spacing w:before="12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779EF">
        <w:rPr>
          <w:rFonts w:ascii="Arial" w:hAnsi="Arial" w:cs="Arial"/>
          <w:b/>
          <w:bCs/>
          <w:iCs/>
          <w:sz w:val="20"/>
          <w:szCs w:val="20"/>
        </w:rPr>
        <w:t>Ad. Część A:</w:t>
      </w:r>
    </w:p>
    <w:p w14:paraId="01BD5FCD" w14:textId="77777777" w:rsidR="0084097A" w:rsidRPr="002779EF" w:rsidRDefault="00000000" w:rsidP="0084097A">
      <w:pPr>
        <w:pStyle w:val="Tekstpodstawowy"/>
        <w:spacing w:before="120"/>
        <w:jc w:val="both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2779EF">
        <w:rPr>
          <w:rFonts w:ascii="Arial" w:hAnsi="Arial" w:cs="Arial"/>
          <w:b/>
          <w:bCs/>
          <w:iCs/>
          <w:sz w:val="20"/>
          <w:szCs w:val="20"/>
          <w:u w:val="single"/>
        </w:rPr>
        <w:t>Cel Nr 1 Rozwój energetyki jądrowej i wodorowej, restrukturyzacja sektora węgla kamiennego i brunatnego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.</w:t>
      </w:r>
    </w:p>
    <w:p w14:paraId="5910FB9C" w14:textId="77777777" w:rsidR="0084097A" w:rsidRPr="002779EF" w:rsidRDefault="00000000" w:rsidP="0084097A">
      <w:pPr>
        <w:spacing w:after="120"/>
        <w:jc w:val="both"/>
        <w:rPr>
          <w:rFonts w:ascii="Arial" w:hAnsi="Arial" w:cs="Arial"/>
          <w:b/>
          <w:bCs/>
        </w:rPr>
      </w:pPr>
      <w:r w:rsidRPr="002779EF">
        <w:rPr>
          <w:rFonts w:ascii="Arial" w:hAnsi="Arial" w:cs="Arial"/>
          <w:b/>
          <w:bCs/>
          <w:iCs/>
        </w:rPr>
        <w:t xml:space="preserve">Cel operacyjny 3: </w:t>
      </w:r>
      <w:r w:rsidRPr="002779EF">
        <w:rPr>
          <w:rFonts w:ascii="Arial" w:hAnsi="Arial" w:cs="Arial"/>
          <w:b/>
          <w:bCs/>
        </w:rPr>
        <w:t>Wzmocnienie otoczenia regulacyjnego związanego z rozbudową infrastruktury stacji wodoru w Polsce. Miernik realizacji celu 3: Stopień zaawansowania prac nad rozporządzeniem.</w:t>
      </w:r>
    </w:p>
    <w:p w14:paraId="7B917C18" w14:textId="77777777" w:rsidR="0084097A" w:rsidRPr="002779EF" w:rsidRDefault="00000000" w:rsidP="0084097A">
      <w:pPr>
        <w:spacing w:after="120"/>
        <w:jc w:val="both"/>
        <w:rPr>
          <w:rFonts w:ascii="Arial" w:hAnsi="Arial" w:cs="Arial"/>
        </w:rPr>
      </w:pPr>
      <w:r w:rsidRPr="002779EF">
        <w:rPr>
          <w:rFonts w:ascii="Arial" w:hAnsi="Arial" w:cs="Arial"/>
          <w:b/>
          <w:bCs/>
          <w:u w:val="single"/>
        </w:rPr>
        <w:t>Informacja</w:t>
      </w:r>
      <w:r w:rsidRPr="002779EF">
        <w:rPr>
          <w:rFonts w:ascii="Arial" w:hAnsi="Arial" w:cs="Arial"/>
          <w:u w:val="single"/>
        </w:rPr>
        <w:t>:</w:t>
      </w:r>
      <w:r w:rsidRPr="002779EF">
        <w:rPr>
          <w:rFonts w:ascii="Arial" w:hAnsi="Arial" w:cs="Arial"/>
        </w:rPr>
        <w:t xml:space="preserve"> Z uwagi na podjęte przez rząd działania deregulacyjne, prace nad rozporządzeniem poddano ponownej analizie pod kątem zasadności jego wprowadzenia, gdyż obowiązuje już jedno rozporządzenie w podobnym zakresie (Rozporządzenie Ministra Klimatu i Środowiska w sprawie szczegółowych wymagań technicznych dla stacji wodoru (Dz. U. z 2022 r. poz. 2158)).</w:t>
      </w:r>
    </w:p>
    <w:p w14:paraId="17528F32" w14:textId="77777777" w:rsidR="0084097A" w:rsidRDefault="0084097A" w:rsidP="0084097A">
      <w:pPr>
        <w:spacing w:after="120"/>
        <w:jc w:val="both"/>
        <w:rPr>
          <w:rFonts w:ascii="Arial" w:hAnsi="Arial" w:cs="Arial"/>
          <w:b/>
          <w:bCs/>
        </w:rPr>
      </w:pPr>
    </w:p>
    <w:p w14:paraId="554C28FC" w14:textId="77777777" w:rsidR="0084097A" w:rsidRPr="002779EF" w:rsidRDefault="00000000" w:rsidP="0084097A">
      <w:pPr>
        <w:spacing w:after="120"/>
        <w:jc w:val="both"/>
        <w:rPr>
          <w:rFonts w:ascii="Arial" w:hAnsi="Arial" w:cs="Arial"/>
          <w:b/>
          <w:bCs/>
        </w:rPr>
      </w:pPr>
      <w:r w:rsidRPr="002779EF">
        <w:rPr>
          <w:rFonts w:ascii="Arial" w:hAnsi="Arial" w:cs="Arial"/>
          <w:b/>
          <w:bCs/>
        </w:rPr>
        <w:t>Miernik: Przygotowanie projektu rozporządzenia Ministra Przemysłu w sprawie przyznawania nagrody rocznej osobom kierującym niektórymi podmiotami prawnymi</w:t>
      </w:r>
      <w:r>
        <w:rPr>
          <w:rFonts w:ascii="Arial" w:hAnsi="Arial" w:cs="Arial"/>
          <w:b/>
          <w:bCs/>
        </w:rPr>
        <w:t xml:space="preserve"> </w:t>
      </w:r>
      <w:r w:rsidRPr="002779EF">
        <w:rPr>
          <w:rFonts w:ascii="Arial" w:hAnsi="Arial" w:cs="Arial"/>
          <w:b/>
          <w:bCs/>
        </w:rPr>
        <w:t>- Stopień zaawansowania prac nad dokumentem (%)</w:t>
      </w:r>
      <w:r>
        <w:rPr>
          <w:rFonts w:ascii="Arial" w:hAnsi="Arial" w:cs="Arial"/>
          <w:b/>
          <w:bCs/>
        </w:rPr>
        <w:t>.</w:t>
      </w:r>
    </w:p>
    <w:p w14:paraId="65CD31BF" w14:textId="77777777" w:rsidR="0084097A" w:rsidRPr="002779EF" w:rsidRDefault="00000000" w:rsidP="0084097A">
      <w:pPr>
        <w:spacing w:after="120"/>
        <w:jc w:val="both"/>
        <w:rPr>
          <w:rFonts w:ascii="Arial" w:hAnsi="Arial" w:cs="Arial"/>
        </w:rPr>
      </w:pPr>
      <w:r w:rsidRPr="002779EF">
        <w:rPr>
          <w:rFonts w:ascii="Arial" w:hAnsi="Arial" w:cs="Arial"/>
          <w:b/>
          <w:bCs/>
          <w:u w:val="single"/>
        </w:rPr>
        <w:t>Informacja</w:t>
      </w:r>
      <w:r w:rsidRPr="002779EF">
        <w:rPr>
          <w:rFonts w:ascii="Arial" w:hAnsi="Arial" w:cs="Arial"/>
        </w:rPr>
        <w:t xml:space="preserve">: Osiągnięta wartość jest niższa, ponieważ rozporządzenie Ministra Przemysłu w sprawie przyznania nagrody rocznej osobom kierującym niektórymi podmiotami prawnymi nie zostało przyjęte. Ze względu na reorganizację </w:t>
      </w:r>
      <w:r>
        <w:rPr>
          <w:rFonts w:ascii="Arial" w:hAnsi="Arial" w:cs="Arial"/>
        </w:rPr>
        <w:t>M</w:t>
      </w:r>
      <w:r w:rsidRPr="002779EF">
        <w:rPr>
          <w:rFonts w:ascii="Arial" w:hAnsi="Arial" w:cs="Arial"/>
        </w:rPr>
        <w:t xml:space="preserve">inisterstwa </w:t>
      </w:r>
      <w:r>
        <w:rPr>
          <w:rFonts w:ascii="Arial" w:hAnsi="Arial" w:cs="Arial"/>
        </w:rPr>
        <w:t>oraz poszerzenie kompetencji Ministra</w:t>
      </w:r>
      <w:r w:rsidRPr="002779EF">
        <w:rPr>
          <w:rFonts w:ascii="Arial" w:hAnsi="Arial" w:cs="Arial"/>
        </w:rPr>
        <w:t xml:space="preserve"> ścieżka akceptacji zostanie przeprowadzona ponownie. Akt wraz z załącznikami został przygotowany, </w:t>
      </w:r>
      <w:r>
        <w:rPr>
          <w:rFonts w:ascii="Arial" w:hAnsi="Arial" w:cs="Arial"/>
        </w:rPr>
        <w:t>natomiast</w:t>
      </w:r>
      <w:r w:rsidRPr="002779EF">
        <w:rPr>
          <w:rFonts w:ascii="Arial" w:hAnsi="Arial" w:cs="Arial"/>
        </w:rPr>
        <w:t xml:space="preserve"> przeszkodą jest uchylenie dwóch innych rozporządzeń leżących w gestii Ministerstwa Aktywów Państwowych oraz Ministerstwa Klimatu i Środowiska. Akt zostanie przyjęty w 2026 r.</w:t>
      </w:r>
    </w:p>
    <w:p w14:paraId="0BFA634D" w14:textId="77777777" w:rsidR="0084097A" w:rsidRDefault="0084097A" w:rsidP="0084097A">
      <w:pPr>
        <w:spacing w:after="120"/>
        <w:jc w:val="both"/>
        <w:rPr>
          <w:rFonts w:ascii="Arial" w:hAnsi="Arial" w:cs="Arial"/>
          <w:b/>
          <w:bCs/>
        </w:rPr>
      </w:pPr>
    </w:p>
    <w:p w14:paraId="1FC03E91" w14:textId="77F04FEB" w:rsidR="0084097A" w:rsidRPr="002779EF" w:rsidRDefault="00000000" w:rsidP="0084097A">
      <w:pPr>
        <w:spacing w:after="120"/>
        <w:jc w:val="both"/>
        <w:rPr>
          <w:rFonts w:ascii="Arial" w:hAnsi="Arial" w:cs="Arial"/>
          <w:b/>
          <w:bCs/>
        </w:rPr>
      </w:pPr>
      <w:r w:rsidRPr="002779EF">
        <w:rPr>
          <w:rFonts w:ascii="Arial" w:hAnsi="Arial" w:cs="Arial"/>
          <w:b/>
          <w:bCs/>
        </w:rPr>
        <w:t>Miernik: Przyjęcie przez Radę Ministrów Sprawozdania z realizacji Krajowego planu postępowania z odpadami promieniotwórczymi i</w:t>
      </w:r>
      <w:r w:rsidR="00C7702F">
        <w:rPr>
          <w:rFonts w:ascii="Arial" w:hAnsi="Arial" w:cs="Arial"/>
          <w:b/>
          <w:bCs/>
        </w:rPr>
        <w:t> </w:t>
      </w:r>
      <w:r w:rsidRPr="002779EF">
        <w:rPr>
          <w:rFonts w:ascii="Arial" w:hAnsi="Arial" w:cs="Arial"/>
          <w:b/>
          <w:bCs/>
        </w:rPr>
        <w:t>wypalonym paliwem jądrowym za lata 2022-2023 - Stopień zaawansowania prac nad dokumentem (%)</w:t>
      </w:r>
      <w:r>
        <w:rPr>
          <w:rFonts w:ascii="Arial" w:hAnsi="Arial" w:cs="Arial"/>
          <w:b/>
          <w:bCs/>
        </w:rPr>
        <w:t>.</w:t>
      </w:r>
    </w:p>
    <w:p w14:paraId="2D2CFFFE" w14:textId="77777777" w:rsidR="0084097A" w:rsidRPr="002779EF" w:rsidRDefault="00000000" w:rsidP="0084097A">
      <w:pPr>
        <w:spacing w:after="120"/>
        <w:jc w:val="both"/>
        <w:rPr>
          <w:rFonts w:ascii="Arial" w:hAnsi="Arial" w:cs="Arial"/>
        </w:rPr>
      </w:pPr>
      <w:r w:rsidRPr="002779EF">
        <w:rPr>
          <w:rFonts w:ascii="Arial" w:hAnsi="Arial" w:cs="Arial"/>
          <w:b/>
          <w:bCs/>
          <w:u w:val="single"/>
        </w:rPr>
        <w:t>Informacja:</w:t>
      </w:r>
      <w:r w:rsidRPr="00410605">
        <w:rPr>
          <w:rFonts w:ascii="Arial" w:hAnsi="Arial" w:cs="Arial"/>
          <w:b/>
          <w:bCs/>
        </w:rPr>
        <w:t xml:space="preserve"> </w:t>
      </w:r>
      <w:r w:rsidRPr="002779EF">
        <w:rPr>
          <w:rFonts w:ascii="Arial" w:hAnsi="Arial" w:cs="Arial"/>
        </w:rPr>
        <w:t>Ze względu na przedłużające się uzgodnienia z RCL oraz z SKRM sprawozdanie na koniec roku było na etapie przyjmowania przez SKRM. W 2026 roku zostanie przesłane na Radę Ministrów i przekazane do publikacji.</w:t>
      </w:r>
    </w:p>
    <w:p w14:paraId="32657968" w14:textId="77777777" w:rsidR="0084097A" w:rsidRPr="002779EF" w:rsidRDefault="0084097A" w:rsidP="0084097A">
      <w:pPr>
        <w:spacing w:after="1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9EF6537" w14:textId="77777777" w:rsidR="0084097A" w:rsidRPr="002779EF" w:rsidRDefault="00000000" w:rsidP="0084097A">
      <w:pPr>
        <w:spacing w:after="120"/>
        <w:jc w:val="both"/>
        <w:rPr>
          <w:rFonts w:ascii="Arial" w:hAnsi="Arial" w:cs="Arial"/>
          <w:b/>
          <w:bCs/>
        </w:rPr>
      </w:pPr>
      <w:r w:rsidRPr="002779EF">
        <w:rPr>
          <w:rFonts w:ascii="Arial" w:hAnsi="Arial" w:cs="Arial"/>
          <w:b/>
          <w:bCs/>
        </w:rPr>
        <w:t>Miernik: Przygotowanie projektu zmiany rozporządzenia Rady Ministrów w sprawie dotacji udzielanej w celu zapewnienia bezpieczeństwa jądrowego i ochrony radiologicznej kraju przy stosowaniu promieniowania jonizującego - Stopień zaawansowania prac nad dokumentem (%).</w:t>
      </w:r>
    </w:p>
    <w:p w14:paraId="700AF865" w14:textId="77777777" w:rsidR="0084097A" w:rsidRPr="002779EF" w:rsidRDefault="00000000" w:rsidP="0084097A">
      <w:pPr>
        <w:spacing w:after="120"/>
        <w:jc w:val="both"/>
        <w:rPr>
          <w:rFonts w:ascii="Arial" w:hAnsi="Arial" w:cs="Arial"/>
        </w:rPr>
      </w:pPr>
      <w:r w:rsidRPr="002779EF">
        <w:rPr>
          <w:rFonts w:ascii="Arial" w:hAnsi="Arial" w:cs="Arial"/>
          <w:b/>
          <w:bCs/>
          <w:u w:val="single"/>
        </w:rPr>
        <w:t>Informacja:</w:t>
      </w:r>
      <w:r w:rsidRPr="00410605">
        <w:rPr>
          <w:rFonts w:ascii="Arial" w:hAnsi="Arial" w:cs="Arial"/>
          <w:b/>
          <w:bCs/>
        </w:rPr>
        <w:t xml:space="preserve"> </w:t>
      </w:r>
      <w:r w:rsidRPr="002779EF">
        <w:rPr>
          <w:rFonts w:ascii="Arial" w:hAnsi="Arial" w:cs="Arial"/>
        </w:rPr>
        <w:t>W związku z koniecznością rozszerzenia i doprecyzowania zakresu planowanych zmian, realizacja zadania została zakończona na etapie opracowania wstępnego projektu. Dalsze prace zostały czasowo wstrzymane do momentu ostatecznego ustalenia zakresu zmian wymagających uwzględnienia w projektowanym rozporządzeniu. Przyjęcie dokumentu planowane jest do końca 2026 r.</w:t>
      </w:r>
    </w:p>
    <w:p w14:paraId="6FE83FFC" w14:textId="77777777" w:rsidR="0084097A" w:rsidRPr="002779EF" w:rsidRDefault="0084097A" w:rsidP="0084097A">
      <w:pPr>
        <w:spacing w:after="120"/>
        <w:jc w:val="both"/>
        <w:rPr>
          <w:rFonts w:ascii="Arial" w:hAnsi="Arial" w:cs="Arial"/>
        </w:rPr>
      </w:pPr>
    </w:p>
    <w:p w14:paraId="3ACA50E1" w14:textId="77777777" w:rsidR="00E412F2" w:rsidRDefault="00E412F2" w:rsidP="0084097A">
      <w:pPr>
        <w:spacing w:after="120"/>
        <w:jc w:val="both"/>
        <w:rPr>
          <w:rFonts w:ascii="Arial" w:hAnsi="Arial" w:cs="Arial"/>
          <w:b/>
          <w:bCs/>
        </w:rPr>
      </w:pPr>
    </w:p>
    <w:p w14:paraId="3BEBAC25" w14:textId="6CF980AD" w:rsidR="0084097A" w:rsidRPr="002779EF" w:rsidRDefault="00000000" w:rsidP="0084097A">
      <w:pPr>
        <w:spacing w:after="120"/>
        <w:jc w:val="both"/>
        <w:rPr>
          <w:rFonts w:ascii="Arial" w:hAnsi="Arial" w:cs="Arial"/>
          <w:b/>
          <w:bCs/>
        </w:rPr>
      </w:pPr>
      <w:r w:rsidRPr="002779EF">
        <w:rPr>
          <w:rFonts w:ascii="Arial" w:hAnsi="Arial" w:cs="Arial"/>
          <w:b/>
          <w:bCs/>
        </w:rPr>
        <w:lastRenderedPageBreak/>
        <w:t>Miernik: Przygotowanie projektu nowelizacji ustawy Prawo atomowe - Stopień zaawansowania prac nad dokumentem (%)</w:t>
      </w:r>
      <w:r>
        <w:rPr>
          <w:rFonts w:ascii="Arial" w:hAnsi="Arial" w:cs="Arial"/>
          <w:b/>
          <w:bCs/>
        </w:rPr>
        <w:t>.</w:t>
      </w:r>
    </w:p>
    <w:p w14:paraId="76121ED6" w14:textId="2FA3734E" w:rsidR="00B15AB7" w:rsidRDefault="00000000" w:rsidP="0084097A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2779EF">
        <w:rPr>
          <w:rFonts w:ascii="Arial" w:hAnsi="Arial" w:cs="Arial"/>
          <w:b/>
          <w:bCs/>
          <w:u w:val="single"/>
        </w:rPr>
        <w:t>Informacja:</w:t>
      </w:r>
      <w:r w:rsidRPr="00410605">
        <w:rPr>
          <w:rFonts w:ascii="Arial" w:hAnsi="Arial" w:cs="Arial"/>
          <w:b/>
          <w:bCs/>
        </w:rPr>
        <w:t xml:space="preserve"> </w:t>
      </w:r>
      <w:r w:rsidRPr="002779EF">
        <w:rPr>
          <w:rFonts w:ascii="Arial" w:hAnsi="Arial" w:cs="Arial"/>
        </w:rPr>
        <w:t>Założony cel został zrealizowany w 25 % z uwagi na fakt, że w 2025 r. nastąpiła zmiana priorytetów. Ze względu na reorganizację ministerstwa działanie uległo przeformułowaniu. Wykazywany w tym miejscu projekt zmian będzie dotyczył zagadnień związanych z</w:t>
      </w:r>
      <w:r w:rsidR="00C7702F">
        <w:rPr>
          <w:rFonts w:ascii="Arial" w:hAnsi="Arial" w:cs="Arial"/>
        </w:rPr>
        <w:t> </w:t>
      </w:r>
      <w:r w:rsidRPr="002779EF">
        <w:rPr>
          <w:rFonts w:ascii="Arial" w:hAnsi="Arial" w:cs="Arial"/>
        </w:rPr>
        <w:t>odpowiedzialnością cywilną za szkody jądrowe oraz finansowym zabezpieczeniem tych ryzyk. Jednocześnie, nowelizacja w wyżej wskazanym zakresie wymaga szeroko zakrojonych konsultacji z</w:t>
      </w:r>
      <w:r>
        <w:rPr>
          <w:rFonts w:ascii="Arial" w:hAnsi="Arial" w:cs="Arial"/>
        </w:rPr>
        <w:t> </w:t>
      </w:r>
      <w:r w:rsidRPr="002779EF">
        <w:rPr>
          <w:rFonts w:ascii="Arial" w:hAnsi="Arial" w:cs="Arial"/>
        </w:rPr>
        <w:t>sektorem jądrowym i ubezpieczeniowym oraz z innymi resortami. Nowelizacja nie będzie ograniczać się do rozdziału 12 ustawy Prawo atomowe, a obejmie również ustawę o ubezpieczeniach obowiązkowych. Ponadto, szczegółowe kwestie, która mają znaczenie dla kształtu nowelizacji są w chwili obecnej precyzowane przez strony CSC.</w:t>
      </w:r>
    </w:p>
    <w:p w14:paraId="680A75D6" w14:textId="7649536B" w:rsidR="0084097A" w:rsidRPr="00B15AB7" w:rsidRDefault="00000000" w:rsidP="0084097A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2779EF">
        <w:rPr>
          <w:rFonts w:ascii="Arial" w:hAnsi="Arial" w:cs="Arial"/>
          <w:b/>
          <w:bCs/>
        </w:rPr>
        <w:t>Ad. Część B:</w:t>
      </w:r>
    </w:p>
    <w:p w14:paraId="74579437" w14:textId="77777777" w:rsidR="0084097A" w:rsidRPr="002779EF" w:rsidRDefault="00000000" w:rsidP="0084097A">
      <w:pPr>
        <w:spacing w:after="120"/>
        <w:jc w:val="both"/>
        <w:rPr>
          <w:rFonts w:ascii="Arial" w:hAnsi="Arial" w:cs="Arial"/>
          <w:b/>
          <w:bCs/>
        </w:rPr>
      </w:pPr>
      <w:r w:rsidRPr="002779EF">
        <w:rPr>
          <w:rFonts w:ascii="Arial" w:hAnsi="Arial" w:cs="Arial"/>
          <w:b/>
          <w:bCs/>
        </w:rPr>
        <w:t>Cel Nr 1: Zabezpieczenie potrzeb rynku w zakresie dostaw surowca krajowego.</w:t>
      </w:r>
    </w:p>
    <w:p w14:paraId="5EDDFD63" w14:textId="02BAEB3E" w:rsidR="0084097A" w:rsidRPr="002779EF" w:rsidRDefault="00000000" w:rsidP="0084097A">
      <w:pPr>
        <w:spacing w:after="120"/>
        <w:jc w:val="both"/>
        <w:rPr>
          <w:rFonts w:ascii="Arial" w:hAnsi="Arial" w:cs="Arial"/>
        </w:rPr>
      </w:pPr>
      <w:r w:rsidRPr="002779EF">
        <w:rPr>
          <w:rFonts w:ascii="Arial" w:hAnsi="Arial" w:cs="Arial"/>
          <w:b/>
          <w:bCs/>
          <w:u w:val="single"/>
        </w:rPr>
        <w:t>Informacja:</w:t>
      </w:r>
      <w:r w:rsidRPr="002779EF">
        <w:rPr>
          <w:rFonts w:ascii="Arial" w:hAnsi="Arial" w:cs="Arial"/>
        </w:rPr>
        <w:t xml:space="preserve"> Osiągnięta wartość miernika jest niższa niż zaplanowana, co wynika z nakładających się czynników strukturalnych, regulacyjnych i</w:t>
      </w:r>
      <w:r w:rsidR="00C7702F">
        <w:rPr>
          <w:rFonts w:ascii="Arial" w:hAnsi="Arial" w:cs="Arial"/>
        </w:rPr>
        <w:t> </w:t>
      </w:r>
      <w:r w:rsidRPr="002779EF">
        <w:rPr>
          <w:rFonts w:ascii="Arial" w:hAnsi="Arial" w:cs="Arial"/>
        </w:rPr>
        <w:t>rynkowych, w szczególności z tempa trwającej transformacji energetycznej i zmieniającego się miksu energetycznego. W ostatnich latach systematycznie rośnie udział odnawialnych źródeł energii</w:t>
      </w:r>
      <w:r>
        <w:rPr>
          <w:rFonts w:ascii="Arial" w:hAnsi="Arial" w:cs="Arial"/>
        </w:rPr>
        <w:t>,</w:t>
      </w:r>
      <w:r w:rsidRPr="002779EF">
        <w:rPr>
          <w:rFonts w:ascii="Arial" w:hAnsi="Arial" w:cs="Arial"/>
        </w:rPr>
        <w:t xml:space="preserve"> co ogranicza zapotrzebowanie na energię wytwarzaną z węgla, zwłaszcza w okresach wysokiej generacji z OZE. Jednocześnie rośnie rola gazu jako paliwa przejściowego, co dodatkowo zmniejsza zapotrzebowanie na węgiel. W</w:t>
      </w:r>
      <w:r w:rsidR="00C7702F">
        <w:rPr>
          <w:rFonts w:ascii="Arial" w:hAnsi="Arial" w:cs="Arial"/>
        </w:rPr>
        <w:t> </w:t>
      </w:r>
      <w:r w:rsidRPr="002779EF">
        <w:rPr>
          <w:rFonts w:ascii="Arial" w:hAnsi="Arial" w:cs="Arial"/>
        </w:rPr>
        <w:t>konsekwencji sektor energetyczny ogranicza odbiór węgla, co bezpośrednio przekłada się na niższy poziom wydobycia. Ponadto</w:t>
      </w:r>
      <w:r>
        <w:rPr>
          <w:rFonts w:ascii="Arial" w:hAnsi="Arial" w:cs="Arial"/>
        </w:rPr>
        <w:t>,</w:t>
      </w:r>
      <w:r w:rsidRPr="002779EF">
        <w:rPr>
          <w:rFonts w:ascii="Arial" w:hAnsi="Arial" w:cs="Arial"/>
        </w:rPr>
        <w:t xml:space="preserve"> wpływ na poziom wykonania miernika ma kwestia realizacji założeń Umowy Społecznej dotyczącej transformacji sektora górnictwa węgla kamiennego oraz wybranych procesów transformacji województwa śląskiego z dnia 28 maja 2021 r., która przewiduje stopniowe, rozłożone w czasie wygaszanie zdolności wydobywczych w perspektywie do 2049 r. Dodatkowo</w:t>
      </w:r>
      <w:r>
        <w:rPr>
          <w:rFonts w:ascii="Arial" w:hAnsi="Arial" w:cs="Arial"/>
        </w:rPr>
        <w:t>,</w:t>
      </w:r>
      <w:r w:rsidRPr="002779EF">
        <w:rPr>
          <w:rFonts w:ascii="Arial" w:hAnsi="Arial" w:cs="Arial"/>
        </w:rPr>
        <w:t xml:space="preserve"> nie bez znaczenia pozostają również uwarunkowania techniczne i geologiczne oraz zdarzenia losowe, okresowo ograniczające wydobyci</w:t>
      </w:r>
      <w:r>
        <w:rPr>
          <w:rFonts w:ascii="Arial" w:hAnsi="Arial" w:cs="Arial"/>
        </w:rPr>
        <w:t>e</w:t>
      </w:r>
      <w:r w:rsidRPr="002779EF">
        <w:rPr>
          <w:rFonts w:ascii="Arial" w:hAnsi="Arial" w:cs="Arial"/>
        </w:rPr>
        <w:t xml:space="preserve"> w niektórych ścianach, co naturalnie obniża zdolności produkcyjne części kopalń.</w:t>
      </w:r>
    </w:p>
    <w:p w14:paraId="054E9F1A" w14:textId="77777777" w:rsidR="0084097A" w:rsidRPr="002779EF" w:rsidRDefault="0084097A" w:rsidP="0084097A">
      <w:pPr>
        <w:spacing w:after="120"/>
        <w:rPr>
          <w:rFonts w:ascii="Arial" w:hAnsi="Arial" w:cs="Arial"/>
        </w:rPr>
      </w:pPr>
    </w:p>
    <w:p w14:paraId="60AE14BC" w14:textId="77777777" w:rsidR="0084097A" w:rsidRDefault="0084097A" w:rsidP="00CF3812">
      <w:pPr>
        <w:rPr>
          <w:rFonts w:ascii="Lato" w:hAnsi="Lato"/>
        </w:rPr>
      </w:pPr>
    </w:p>
    <w:p w14:paraId="2482C16B" w14:textId="38A7D1DC" w:rsidR="003E27D4" w:rsidRPr="00012927" w:rsidRDefault="00000000" w:rsidP="0084097A">
      <w:pPr>
        <w:pStyle w:val="Podstawowyakapitowy"/>
        <w:rPr>
          <w:rFonts w:ascii="Lato" w:hAnsi="Lato" w:cstheme="minorHAnsi"/>
        </w:rPr>
      </w:pPr>
      <w:r>
        <w:rPr>
          <w:rFonts w:ascii="Lato" w:hAnsi="Lato" w:cstheme="minorHAnsi"/>
          <w:sz w:val="20"/>
          <w:szCs w:val="20"/>
        </w:rPr>
        <w:t>Warszawa</w:t>
      </w:r>
      <w:r w:rsidRPr="00B91112">
        <w:rPr>
          <w:rFonts w:ascii="Lato" w:hAnsi="Lato" w:cstheme="minorHAnsi"/>
          <w:sz w:val="20"/>
          <w:szCs w:val="20"/>
        </w:rPr>
        <w:t xml:space="preserve">, </w:t>
      </w:r>
      <w:r w:rsidR="00012927">
        <w:rPr>
          <w:rFonts w:ascii="Lato" w:hAnsi="Lato" w:cstheme="minorHAnsi"/>
          <w:sz w:val="20"/>
          <w:szCs w:val="20"/>
        </w:rPr>
        <w:t>2026-04-14</w:t>
      </w:r>
      <w:r w:rsidR="0084097A">
        <w:rPr>
          <w:rFonts w:ascii="Lato" w:hAnsi="Lato" w:cstheme="minorHAnsi"/>
          <w:sz w:val="20"/>
          <w:szCs w:val="20"/>
        </w:rPr>
        <w:tab/>
      </w:r>
      <w:r w:rsidR="0084097A">
        <w:rPr>
          <w:rFonts w:ascii="Lato" w:hAnsi="Lato" w:cstheme="minorHAnsi"/>
          <w:sz w:val="20"/>
          <w:szCs w:val="20"/>
        </w:rPr>
        <w:tab/>
      </w:r>
      <w:r w:rsidR="0084097A">
        <w:rPr>
          <w:rFonts w:ascii="Lato" w:hAnsi="Lato" w:cstheme="minorHAnsi"/>
          <w:sz w:val="20"/>
          <w:szCs w:val="20"/>
        </w:rPr>
        <w:tab/>
      </w:r>
      <w:r w:rsidR="0084097A">
        <w:rPr>
          <w:rFonts w:ascii="Lato" w:hAnsi="Lato" w:cstheme="minorHAnsi"/>
          <w:sz w:val="20"/>
          <w:szCs w:val="20"/>
        </w:rPr>
        <w:tab/>
      </w:r>
    </w:p>
    <w:p w14:paraId="4742DAFF" w14:textId="7B574B63" w:rsidR="003E27D4" w:rsidRPr="00012927" w:rsidRDefault="00012927" w:rsidP="0084097A">
      <w:pPr>
        <w:spacing w:after="0"/>
        <w:ind w:left="8789"/>
        <w:rPr>
          <w:rFonts w:ascii="Lato" w:hAnsi="Lato" w:cstheme="minorHAnsi"/>
          <w:b/>
          <w:bCs/>
          <w:sz w:val="24"/>
          <w:szCs w:val="24"/>
        </w:rPr>
      </w:pPr>
      <w:r w:rsidRPr="00012927">
        <w:rPr>
          <w:rFonts w:ascii="Lato" w:hAnsi="Lato" w:cstheme="minorHAnsi"/>
          <w:b/>
          <w:sz w:val="24"/>
          <w:szCs w:val="24"/>
        </w:rPr>
        <w:t>Miłosz Motyka</w:t>
      </w:r>
    </w:p>
    <w:p w14:paraId="6AD83A28" w14:textId="4CD88C8E" w:rsidR="003E27D4" w:rsidRPr="00157802" w:rsidRDefault="00012927" w:rsidP="0084097A">
      <w:pPr>
        <w:spacing w:after="0"/>
        <w:ind w:left="8789"/>
        <w:rPr>
          <w:rFonts w:ascii="Lato" w:hAnsi="Lato" w:cstheme="minorHAnsi"/>
          <w:b/>
          <w:bCs/>
          <w:sz w:val="18"/>
          <w:szCs w:val="18"/>
        </w:rPr>
      </w:pPr>
      <w:r w:rsidRPr="00157802">
        <w:rPr>
          <w:rFonts w:ascii="Lato" w:hAnsi="Lato" w:cstheme="minorHAnsi"/>
          <w:b/>
          <w:bCs/>
          <w:sz w:val="18"/>
          <w:szCs w:val="18"/>
        </w:rPr>
        <w:t>Minister</w:t>
      </w:r>
    </w:p>
    <w:p w14:paraId="043C025A" w14:textId="01B2F15D" w:rsidR="00FD7CA9" w:rsidRPr="00B91112" w:rsidRDefault="00012927" w:rsidP="0084097A">
      <w:pPr>
        <w:spacing w:after="0"/>
        <w:ind w:left="8789"/>
        <w:rPr>
          <w:rFonts w:ascii="Lato" w:hAnsi="Lato" w:cstheme="minorHAnsi"/>
          <w:b/>
          <w:bCs/>
          <w:sz w:val="16"/>
          <w:szCs w:val="16"/>
        </w:rPr>
      </w:pPr>
      <w:r w:rsidRPr="00157802">
        <w:rPr>
          <w:rFonts w:ascii="Lato" w:hAnsi="Lato" w:cstheme="minorHAnsi"/>
          <w:b/>
          <w:bCs/>
          <w:sz w:val="18"/>
          <w:szCs w:val="18"/>
        </w:rPr>
        <w:t>2026-04-14</w:t>
      </w:r>
      <w:r w:rsidR="00D55251" w:rsidRPr="00B91112">
        <w:rPr>
          <w:rFonts w:ascii="Lato" w:hAnsi="Lato"/>
        </w:rPr>
        <w:tab/>
      </w:r>
      <w:r w:rsidR="00D55251" w:rsidRPr="00B91112">
        <w:rPr>
          <w:rFonts w:ascii="Lato" w:hAnsi="Lato"/>
          <w:color w:val="FFFFFF" w:themeColor="background1"/>
        </w:rPr>
        <w:t>$ezdPolePodpisu1</w:t>
      </w:r>
    </w:p>
    <w:p w14:paraId="0D32E6E1" w14:textId="77777777" w:rsidR="004B34F1" w:rsidRDefault="004B34F1" w:rsidP="002F279B">
      <w:pPr>
        <w:rPr>
          <w:rFonts w:ascii="Lato" w:hAnsi="Lato" w:cstheme="minorHAnsi"/>
          <w:sz w:val="16"/>
          <w:szCs w:val="16"/>
        </w:rPr>
      </w:pPr>
    </w:p>
    <w:p w14:paraId="74CFF158" w14:textId="77777777" w:rsidR="00C93B35" w:rsidRDefault="00C93B35" w:rsidP="002F279B">
      <w:pPr>
        <w:rPr>
          <w:rFonts w:ascii="Lato" w:hAnsi="Lato" w:cstheme="minorHAnsi"/>
          <w:sz w:val="16"/>
          <w:szCs w:val="16"/>
        </w:rPr>
      </w:pPr>
    </w:p>
    <w:p w14:paraId="686AB23B" w14:textId="77777777" w:rsidR="00C93B35" w:rsidRPr="002F279B" w:rsidRDefault="00C93B35" w:rsidP="002F279B">
      <w:pPr>
        <w:rPr>
          <w:rFonts w:ascii="Lato" w:hAnsi="Lato" w:cstheme="minorHAnsi"/>
          <w:sz w:val="16"/>
          <w:szCs w:val="16"/>
        </w:rPr>
      </w:pPr>
    </w:p>
    <w:sectPr w:rsidR="00C93B35" w:rsidRPr="002F279B" w:rsidSect="00D33A46">
      <w:headerReference w:type="default" r:id="rId11"/>
      <w:pgSz w:w="16838" w:h="11906" w:orient="landscape"/>
      <w:pgMar w:top="709" w:right="2113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483E" w14:textId="77777777" w:rsidR="0029322D" w:rsidRDefault="0029322D">
      <w:pPr>
        <w:spacing w:after="0" w:line="240" w:lineRule="auto"/>
      </w:pPr>
      <w:r>
        <w:separator/>
      </w:r>
    </w:p>
  </w:endnote>
  <w:endnote w:type="continuationSeparator" w:id="0">
    <w:p w14:paraId="1829D9BA" w14:textId="77777777" w:rsidR="0029322D" w:rsidRDefault="0029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 2">
    <w:altName w:val="Calibri"/>
    <w:charset w:val="EE"/>
    <w:family w:val="auto"/>
    <w:pitch w:val="variable"/>
    <w:sig w:usb0="80000007" w:usb1="0200E3E4" w:usb2="00040020" w:usb3="00000000" w:csb0="00000093" w:csb1="00000000"/>
  </w:font>
  <w:font w:name="Noto Sans Symbols">
    <w:altName w:val="Calibri"/>
    <w:charset w:val="00"/>
    <w:family w:val="auto"/>
    <w:pitch w:val="variable"/>
    <w:sig w:usb0="00000003" w:usb1="0200E4B4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  <w:embedRegular r:id="rId1" w:subsetted="1" w:fontKey="{7AB0CDDF-92A7-46D0-B81E-CAD394DE648A}"/>
    <w:embedBold r:id="rId2" w:subsetted="1" w:fontKey="{EABBEBF5-BE57-46CF-A049-7726F1D88AC3}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6C8C" w14:textId="77777777" w:rsidR="0029322D" w:rsidRDefault="0029322D">
      <w:pPr>
        <w:spacing w:after="0" w:line="240" w:lineRule="auto"/>
      </w:pPr>
      <w:r>
        <w:separator/>
      </w:r>
    </w:p>
  </w:footnote>
  <w:footnote w:type="continuationSeparator" w:id="0">
    <w:p w14:paraId="3CD85CCA" w14:textId="77777777" w:rsidR="0029322D" w:rsidRDefault="0029322D">
      <w:pPr>
        <w:spacing w:after="0" w:line="240" w:lineRule="auto"/>
      </w:pPr>
      <w:r>
        <w:continuationSeparator/>
      </w:r>
    </w:p>
  </w:footnote>
  <w:footnote w:id="1">
    <w:p w14:paraId="6AE8A7DB" w14:textId="77777777" w:rsidR="0084097A" w:rsidRPr="002779EF" w:rsidRDefault="00000000" w:rsidP="0084097A">
      <w:pPr>
        <w:pStyle w:val="Tekstprzypisudolnego"/>
        <w:jc w:val="both"/>
        <w:rPr>
          <w:sz w:val="16"/>
          <w:szCs w:val="16"/>
        </w:rPr>
      </w:pPr>
      <w:r w:rsidRPr="002779EF">
        <w:rPr>
          <w:rStyle w:val="Odwoanieprzypisudolnego"/>
          <w:sz w:val="16"/>
          <w:szCs w:val="16"/>
        </w:rPr>
        <w:footnoteRef/>
      </w:r>
      <w:r w:rsidRPr="002779EF">
        <w:rPr>
          <w:sz w:val="16"/>
          <w:szCs w:val="16"/>
          <w:vertAlign w:val="superscript"/>
        </w:rPr>
        <w:t>)</w:t>
      </w:r>
      <w:r w:rsidRPr="002779EF">
        <w:rPr>
          <w:sz w:val="16"/>
          <w:szCs w:val="16"/>
        </w:rPr>
        <w:t xml:space="preserve"> Należy podać co najmniej jeden miernik. W przypadku gdy cel jest ujęty w budżecie zadaniowym na rok, którego dotyczy sprawozdanie, należy podać przypisane celowi mierniki wskazane w tym dokumencie.</w:t>
      </w:r>
    </w:p>
  </w:footnote>
  <w:footnote w:id="2">
    <w:p w14:paraId="7A7C6155" w14:textId="77777777" w:rsidR="0084097A" w:rsidRPr="002779EF" w:rsidRDefault="00000000" w:rsidP="0084097A">
      <w:pPr>
        <w:pStyle w:val="Tekstprzypisudolnego"/>
        <w:jc w:val="both"/>
        <w:rPr>
          <w:sz w:val="16"/>
          <w:szCs w:val="16"/>
        </w:rPr>
      </w:pPr>
      <w:r w:rsidRPr="002779EF">
        <w:rPr>
          <w:rStyle w:val="Odwoanieprzypisudolnego"/>
          <w:sz w:val="16"/>
          <w:szCs w:val="16"/>
        </w:rPr>
        <w:footnoteRef/>
      </w:r>
      <w:r w:rsidRPr="002779EF">
        <w:rPr>
          <w:sz w:val="16"/>
          <w:szCs w:val="16"/>
          <w:vertAlign w:val="superscript"/>
        </w:rPr>
        <w:t>)</w:t>
      </w:r>
      <w:r w:rsidRPr="002779EF">
        <w:rPr>
          <w:sz w:val="16"/>
          <w:szCs w:val="16"/>
        </w:rPr>
        <w:t xml:space="preserve"> Należy wpisać zadania służące realizacji celu wymienione w kolumnie 5 w poszczególnych częściach planu na rok, którego dotyczy sprawozdanie.</w:t>
      </w:r>
    </w:p>
    <w:p w14:paraId="10AF05EC" w14:textId="3A781A32" w:rsidR="0084097A" w:rsidRDefault="00000000" w:rsidP="0084097A">
      <w:pPr>
        <w:pStyle w:val="Tekstprzypisudolnego"/>
        <w:jc w:val="both"/>
      </w:pPr>
      <w:r>
        <w:rPr>
          <w:sz w:val="16"/>
          <w:szCs w:val="16"/>
          <w:vertAlign w:val="superscript"/>
        </w:rPr>
        <w:t>3</w:t>
      </w:r>
      <w:r w:rsidRPr="002779EF">
        <w:rPr>
          <w:sz w:val="16"/>
          <w:szCs w:val="16"/>
          <w:vertAlign w:val="superscript"/>
        </w:rPr>
        <w:t>)</w:t>
      </w:r>
      <w:r w:rsidRPr="002779EF">
        <w:rPr>
          <w:sz w:val="16"/>
          <w:szCs w:val="16"/>
        </w:rPr>
        <w:t xml:space="preserve"> W przypadku, gdy wskazany cel był ujęty w budżecie państwa w układzie zadaniowym na rok, którego dotyczy sprawozdanie, należy podać wszystkie podjęte podzadania budżetowe służące realizacji tego celu.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AF77" w14:textId="77777777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CA5"/>
    <w:multiLevelType w:val="hybridMultilevel"/>
    <w:tmpl w:val="B1242F5C"/>
    <w:lvl w:ilvl="0" w:tplc="B7CC9302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  <w:b w:val="0"/>
        <w:i w:val="0"/>
        <w:sz w:val="20"/>
      </w:rPr>
    </w:lvl>
    <w:lvl w:ilvl="1" w:tplc="25D83B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C8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80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23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902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0C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4E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8D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A18"/>
    <w:multiLevelType w:val="hybridMultilevel"/>
    <w:tmpl w:val="4224F048"/>
    <w:lvl w:ilvl="0" w:tplc="D382CB24">
      <w:start w:val="1"/>
      <w:numFmt w:val="decimal"/>
      <w:lvlText w:val="%1."/>
      <w:lvlJc w:val="left"/>
      <w:pPr>
        <w:ind w:left="720" w:hanging="360"/>
      </w:pPr>
    </w:lvl>
    <w:lvl w:ilvl="1" w:tplc="B38CA176" w:tentative="1">
      <w:start w:val="1"/>
      <w:numFmt w:val="lowerLetter"/>
      <w:lvlText w:val="%2."/>
      <w:lvlJc w:val="left"/>
      <w:pPr>
        <w:ind w:left="1440" w:hanging="360"/>
      </w:pPr>
    </w:lvl>
    <w:lvl w:ilvl="2" w:tplc="BE568E22" w:tentative="1">
      <w:start w:val="1"/>
      <w:numFmt w:val="lowerRoman"/>
      <w:lvlText w:val="%3."/>
      <w:lvlJc w:val="right"/>
      <w:pPr>
        <w:ind w:left="2160" w:hanging="180"/>
      </w:pPr>
    </w:lvl>
    <w:lvl w:ilvl="3" w:tplc="353A7186" w:tentative="1">
      <w:start w:val="1"/>
      <w:numFmt w:val="decimal"/>
      <w:lvlText w:val="%4."/>
      <w:lvlJc w:val="left"/>
      <w:pPr>
        <w:ind w:left="2880" w:hanging="360"/>
      </w:pPr>
    </w:lvl>
    <w:lvl w:ilvl="4" w:tplc="A6323A2E" w:tentative="1">
      <w:start w:val="1"/>
      <w:numFmt w:val="lowerLetter"/>
      <w:lvlText w:val="%5."/>
      <w:lvlJc w:val="left"/>
      <w:pPr>
        <w:ind w:left="3600" w:hanging="360"/>
      </w:pPr>
    </w:lvl>
    <w:lvl w:ilvl="5" w:tplc="4CA6FB24" w:tentative="1">
      <w:start w:val="1"/>
      <w:numFmt w:val="lowerRoman"/>
      <w:lvlText w:val="%6."/>
      <w:lvlJc w:val="right"/>
      <w:pPr>
        <w:ind w:left="4320" w:hanging="180"/>
      </w:pPr>
    </w:lvl>
    <w:lvl w:ilvl="6" w:tplc="23FE1664" w:tentative="1">
      <w:start w:val="1"/>
      <w:numFmt w:val="decimal"/>
      <w:lvlText w:val="%7."/>
      <w:lvlJc w:val="left"/>
      <w:pPr>
        <w:ind w:left="5040" w:hanging="360"/>
      </w:pPr>
    </w:lvl>
    <w:lvl w:ilvl="7" w:tplc="4DCE4C76" w:tentative="1">
      <w:start w:val="1"/>
      <w:numFmt w:val="lowerLetter"/>
      <w:lvlText w:val="%8."/>
      <w:lvlJc w:val="left"/>
      <w:pPr>
        <w:ind w:left="5760" w:hanging="360"/>
      </w:pPr>
    </w:lvl>
    <w:lvl w:ilvl="8" w:tplc="AE265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509"/>
    <w:multiLevelType w:val="hybridMultilevel"/>
    <w:tmpl w:val="9424A678"/>
    <w:lvl w:ilvl="0" w:tplc="4D588B48">
      <w:start w:val="2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B0E85110" w:tentative="1">
      <w:start w:val="1"/>
      <w:numFmt w:val="lowerLetter"/>
      <w:lvlText w:val="%2."/>
      <w:lvlJc w:val="left"/>
      <w:pPr>
        <w:ind w:left="1440" w:hanging="360"/>
      </w:pPr>
    </w:lvl>
    <w:lvl w:ilvl="2" w:tplc="2D907294" w:tentative="1">
      <w:start w:val="1"/>
      <w:numFmt w:val="lowerRoman"/>
      <w:lvlText w:val="%3."/>
      <w:lvlJc w:val="right"/>
      <w:pPr>
        <w:ind w:left="2160" w:hanging="180"/>
      </w:pPr>
    </w:lvl>
    <w:lvl w:ilvl="3" w:tplc="0C3CB25C" w:tentative="1">
      <w:start w:val="1"/>
      <w:numFmt w:val="decimal"/>
      <w:lvlText w:val="%4."/>
      <w:lvlJc w:val="left"/>
      <w:pPr>
        <w:ind w:left="2880" w:hanging="360"/>
      </w:pPr>
    </w:lvl>
    <w:lvl w:ilvl="4" w:tplc="23A61A24" w:tentative="1">
      <w:start w:val="1"/>
      <w:numFmt w:val="lowerLetter"/>
      <w:lvlText w:val="%5."/>
      <w:lvlJc w:val="left"/>
      <w:pPr>
        <w:ind w:left="3600" w:hanging="360"/>
      </w:pPr>
    </w:lvl>
    <w:lvl w:ilvl="5" w:tplc="2094399A" w:tentative="1">
      <w:start w:val="1"/>
      <w:numFmt w:val="lowerRoman"/>
      <w:lvlText w:val="%6."/>
      <w:lvlJc w:val="right"/>
      <w:pPr>
        <w:ind w:left="4320" w:hanging="180"/>
      </w:pPr>
    </w:lvl>
    <w:lvl w:ilvl="6" w:tplc="2F94CD30" w:tentative="1">
      <w:start w:val="1"/>
      <w:numFmt w:val="decimal"/>
      <w:lvlText w:val="%7."/>
      <w:lvlJc w:val="left"/>
      <w:pPr>
        <w:ind w:left="5040" w:hanging="360"/>
      </w:pPr>
    </w:lvl>
    <w:lvl w:ilvl="7" w:tplc="4CF234DA" w:tentative="1">
      <w:start w:val="1"/>
      <w:numFmt w:val="lowerLetter"/>
      <w:lvlText w:val="%8."/>
      <w:lvlJc w:val="left"/>
      <w:pPr>
        <w:ind w:left="5760" w:hanging="360"/>
      </w:pPr>
    </w:lvl>
    <w:lvl w:ilvl="8" w:tplc="E2B0F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A2D"/>
    <w:multiLevelType w:val="hybridMultilevel"/>
    <w:tmpl w:val="3F366D6C"/>
    <w:lvl w:ilvl="0" w:tplc="79F4ED08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ED464AC0" w:tentative="1">
      <w:start w:val="1"/>
      <w:numFmt w:val="lowerLetter"/>
      <w:lvlText w:val="%2."/>
      <w:lvlJc w:val="left"/>
      <w:pPr>
        <w:ind w:left="1108" w:hanging="360"/>
      </w:pPr>
    </w:lvl>
    <w:lvl w:ilvl="2" w:tplc="3C6C6F1E" w:tentative="1">
      <w:start w:val="1"/>
      <w:numFmt w:val="lowerRoman"/>
      <w:lvlText w:val="%3."/>
      <w:lvlJc w:val="right"/>
      <w:pPr>
        <w:ind w:left="1828" w:hanging="180"/>
      </w:pPr>
    </w:lvl>
    <w:lvl w:ilvl="3" w:tplc="5886A316" w:tentative="1">
      <w:start w:val="1"/>
      <w:numFmt w:val="decimal"/>
      <w:lvlText w:val="%4."/>
      <w:lvlJc w:val="left"/>
      <w:pPr>
        <w:ind w:left="2548" w:hanging="360"/>
      </w:pPr>
    </w:lvl>
    <w:lvl w:ilvl="4" w:tplc="21A29058" w:tentative="1">
      <w:start w:val="1"/>
      <w:numFmt w:val="lowerLetter"/>
      <w:lvlText w:val="%5."/>
      <w:lvlJc w:val="left"/>
      <w:pPr>
        <w:ind w:left="3268" w:hanging="360"/>
      </w:pPr>
    </w:lvl>
    <w:lvl w:ilvl="5" w:tplc="07D6E1DE" w:tentative="1">
      <w:start w:val="1"/>
      <w:numFmt w:val="lowerRoman"/>
      <w:lvlText w:val="%6."/>
      <w:lvlJc w:val="right"/>
      <w:pPr>
        <w:ind w:left="3988" w:hanging="180"/>
      </w:pPr>
    </w:lvl>
    <w:lvl w:ilvl="6" w:tplc="983E16D8" w:tentative="1">
      <w:start w:val="1"/>
      <w:numFmt w:val="decimal"/>
      <w:lvlText w:val="%7."/>
      <w:lvlJc w:val="left"/>
      <w:pPr>
        <w:ind w:left="4708" w:hanging="360"/>
      </w:pPr>
    </w:lvl>
    <w:lvl w:ilvl="7" w:tplc="CA386494" w:tentative="1">
      <w:start w:val="1"/>
      <w:numFmt w:val="lowerLetter"/>
      <w:lvlText w:val="%8."/>
      <w:lvlJc w:val="left"/>
      <w:pPr>
        <w:ind w:left="5428" w:hanging="360"/>
      </w:pPr>
    </w:lvl>
    <w:lvl w:ilvl="8" w:tplc="0E9CB5F8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16DA6F88"/>
    <w:multiLevelType w:val="hybridMultilevel"/>
    <w:tmpl w:val="07521540"/>
    <w:lvl w:ilvl="0" w:tplc="81D425B6">
      <w:start w:val="1"/>
      <w:numFmt w:val="decimal"/>
      <w:lvlText w:val="%1."/>
      <w:lvlJc w:val="left"/>
      <w:pPr>
        <w:ind w:left="360" w:hanging="360"/>
      </w:pPr>
    </w:lvl>
    <w:lvl w:ilvl="1" w:tplc="288021D4" w:tentative="1">
      <w:start w:val="1"/>
      <w:numFmt w:val="lowerLetter"/>
      <w:lvlText w:val="%2."/>
      <w:lvlJc w:val="left"/>
      <w:pPr>
        <w:ind w:left="1080" w:hanging="360"/>
      </w:pPr>
    </w:lvl>
    <w:lvl w:ilvl="2" w:tplc="068A5216" w:tentative="1">
      <w:start w:val="1"/>
      <w:numFmt w:val="lowerRoman"/>
      <w:lvlText w:val="%3."/>
      <w:lvlJc w:val="right"/>
      <w:pPr>
        <w:ind w:left="1800" w:hanging="180"/>
      </w:pPr>
    </w:lvl>
    <w:lvl w:ilvl="3" w:tplc="68062B3A" w:tentative="1">
      <w:start w:val="1"/>
      <w:numFmt w:val="decimal"/>
      <w:lvlText w:val="%4."/>
      <w:lvlJc w:val="left"/>
      <w:pPr>
        <w:ind w:left="2520" w:hanging="360"/>
      </w:pPr>
    </w:lvl>
    <w:lvl w:ilvl="4" w:tplc="C36CA3A0" w:tentative="1">
      <w:start w:val="1"/>
      <w:numFmt w:val="lowerLetter"/>
      <w:lvlText w:val="%5."/>
      <w:lvlJc w:val="left"/>
      <w:pPr>
        <w:ind w:left="3240" w:hanging="360"/>
      </w:pPr>
    </w:lvl>
    <w:lvl w:ilvl="5" w:tplc="D938D25C" w:tentative="1">
      <w:start w:val="1"/>
      <w:numFmt w:val="lowerRoman"/>
      <w:lvlText w:val="%6."/>
      <w:lvlJc w:val="right"/>
      <w:pPr>
        <w:ind w:left="3960" w:hanging="180"/>
      </w:pPr>
    </w:lvl>
    <w:lvl w:ilvl="6" w:tplc="A0FA2882" w:tentative="1">
      <w:start w:val="1"/>
      <w:numFmt w:val="decimal"/>
      <w:lvlText w:val="%7."/>
      <w:lvlJc w:val="left"/>
      <w:pPr>
        <w:ind w:left="4680" w:hanging="360"/>
      </w:pPr>
    </w:lvl>
    <w:lvl w:ilvl="7" w:tplc="4D5ACDE0" w:tentative="1">
      <w:start w:val="1"/>
      <w:numFmt w:val="lowerLetter"/>
      <w:lvlText w:val="%8."/>
      <w:lvlJc w:val="left"/>
      <w:pPr>
        <w:ind w:left="5400" w:hanging="360"/>
      </w:pPr>
    </w:lvl>
    <w:lvl w:ilvl="8" w:tplc="A9967B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24E75"/>
    <w:multiLevelType w:val="hybridMultilevel"/>
    <w:tmpl w:val="CCA2EDFA"/>
    <w:lvl w:ilvl="0" w:tplc="6BCCF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EA8E0" w:tentative="1">
      <w:start w:val="1"/>
      <w:numFmt w:val="lowerLetter"/>
      <w:lvlText w:val="%2."/>
      <w:lvlJc w:val="left"/>
      <w:pPr>
        <w:ind w:left="1440" w:hanging="360"/>
      </w:pPr>
    </w:lvl>
    <w:lvl w:ilvl="2" w:tplc="0CE03B7E" w:tentative="1">
      <w:start w:val="1"/>
      <w:numFmt w:val="lowerRoman"/>
      <w:lvlText w:val="%3."/>
      <w:lvlJc w:val="right"/>
      <w:pPr>
        <w:ind w:left="2160" w:hanging="180"/>
      </w:pPr>
    </w:lvl>
    <w:lvl w:ilvl="3" w:tplc="A1C0DC78" w:tentative="1">
      <w:start w:val="1"/>
      <w:numFmt w:val="decimal"/>
      <w:lvlText w:val="%4."/>
      <w:lvlJc w:val="left"/>
      <w:pPr>
        <w:ind w:left="2880" w:hanging="360"/>
      </w:pPr>
    </w:lvl>
    <w:lvl w:ilvl="4" w:tplc="965CEF38" w:tentative="1">
      <w:start w:val="1"/>
      <w:numFmt w:val="lowerLetter"/>
      <w:lvlText w:val="%5."/>
      <w:lvlJc w:val="left"/>
      <w:pPr>
        <w:ind w:left="3600" w:hanging="360"/>
      </w:pPr>
    </w:lvl>
    <w:lvl w:ilvl="5" w:tplc="DB5606C6" w:tentative="1">
      <w:start w:val="1"/>
      <w:numFmt w:val="lowerRoman"/>
      <w:lvlText w:val="%6."/>
      <w:lvlJc w:val="right"/>
      <w:pPr>
        <w:ind w:left="4320" w:hanging="180"/>
      </w:pPr>
    </w:lvl>
    <w:lvl w:ilvl="6" w:tplc="4AA406EA" w:tentative="1">
      <w:start w:val="1"/>
      <w:numFmt w:val="decimal"/>
      <w:lvlText w:val="%7."/>
      <w:lvlJc w:val="left"/>
      <w:pPr>
        <w:ind w:left="5040" w:hanging="360"/>
      </w:pPr>
    </w:lvl>
    <w:lvl w:ilvl="7" w:tplc="A67A3BF6" w:tentative="1">
      <w:start w:val="1"/>
      <w:numFmt w:val="lowerLetter"/>
      <w:lvlText w:val="%8."/>
      <w:lvlJc w:val="left"/>
      <w:pPr>
        <w:ind w:left="5760" w:hanging="360"/>
      </w:pPr>
    </w:lvl>
    <w:lvl w:ilvl="8" w:tplc="BF048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5600"/>
    <w:multiLevelType w:val="hybridMultilevel"/>
    <w:tmpl w:val="4D262FC6"/>
    <w:lvl w:ilvl="0" w:tplc="09FA0FEC">
      <w:start w:val="1"/>
      <w:numFmt w:val="bullet"/>
      <w:lvlText w:val="•"/>
      <w:lvlJc w:val="left"/>
      <w:pPr>
        <w:ind w:left="720" w:hanging="360"/>
      </w:pPr>
      <w:rPr>
        <w:rFonts w:ascii="Noto Sans Symbols 2" w:hAnsi="Noto Sans Symbols 2" w:hint="default"/>
        <w:b w:val="0"/>
        <w:i w:val="0"/>
        <w:sz w:val="20"/>
      </w:rPr>
    </w:lvl>
    <w:lvl w:ilvl="1" w:tplc="3B58F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CD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60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5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74F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E0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A4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46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83B"/>
    <w:multiLevelType w:val="hybridMultilevel"/>
    <w:tmpl w:val="3CFCF9EE"/>
    <w:lvl w:ilvl="0" w:tplc="94D2EA00">
      <w:start w:val="1"/>
      <w:numFmt w:val="decimal"/>
      <w:lvlText w:val="%1."/>
      <w:lvlJc w:val="left"/>
      <w:pPr>
        <w:ind w:left="720" w:hanging="360"/>
      </w:pPr>
    </w:lvl>
    <w:lvl w:ilvl="1" w:tplc="8D9E6F08" w:tentative="1">
      <w:start w:val="1"/>
      <w:numFmt w:val="lowerLetter"/>
      <w:lvlText w:val="%2."/>
      <w:lvlJc w:val="left"/>
      <w:pPr>
        <w:ind w:left="1440" w:hanging="360"/>
      </w:pPr>
    </w:lvl>
    <w:lvl w:ilvl="2" w:tplc="E34442B2" w:tentative="1">
      <w:start w:val="1"/>
      <w:numFmt w:val="lowerRoman"/>
      <w:lvlText w:val="%3."/>
      <w:lvlJc w:val="right"/>
      <w:pPr>
        <w:ind w:left="2160" w:hanging="180"/>
      </w:pPr>
    </w:lvl>
    <w:lvl w:ilvl="3" w:tplc="1D580E4A" w:tentative="1">
      <w:start w:val="1"/>
      <w:numFmt w:val="decimal"/>
      <w:lvlText w:val="%4."/>
      <w:lvlJc w:val="left"/>
      <w:pPr>
        <w:ind w:left="2880" w:hanging="360"/>
      </w:pPr>
    </w:lvl>
    <w:lvl w:ilvl="4" w:tplc="695ED270" w:tentative="1">
      <w:start w:val="1"/>
      <w:numFmt w:val="lowerLetter"/>
      <w:lvlText w:val="%5."/>
      <w:lvlJc w:val="left"/>
      <w:pPr>
        <w:ind w:left="3600" w:hanging="360"/>
      </w:pPr>
    </w:lvl>
    <w:lvl w:ilvl="5" w:tplc="AB9E7FC4" w:tentative="1">
      <w:start w:val="1"/>
      <w:numFmt w:val="lowerRoman"/>
      <w:lvlText w:val="%6."/>
      <w:lvlJc w:val="right"/>
      <w:pPr>
        <w:ind w:left="4320" w:hanging="180"/>
      </w:pPr>
    </w:lvl>
    <w:lvl w:ilvl="6" w:tplc="EE524F2C" w:tentative="1">
      <w:start w:val="1"/>
      <w:numFmt w:val="decimal"/>
      <w:lvlText w:val="%7."/>
      <w:lvlJc w:val="left"/>
      <w:pPr>
        <w:ind w:left="5040" w:hanging="360"/>
      </w:pPr>
    </w:lvl>
    <w:lvl w:ilvl="7" w:tplc="AD0647CA" w:tentative="1">
      <w:start w:val="1"/>
      <w:numFmt w:val="lowerLetter"/>
      <w:lvlText w:val="%8."/>
      <w:lvlJc w:val="left"/>
      <w:pPr>
        <w:ind w:left="5760" w:hanging="360"/>
      </w:pPr>
    </w:lvl>
    <w:lvl w:ilvl="8" w:tplc="80B87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3080F"/>
    <w:multiLevelType w:val="hybridMultilevel"/>
    <w:tmpl w:val="C39A66B8"/>
    <w:lvl w:ilvl="0" w:tplc="E0FEE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C804CE" w:tentative="1">
      <w:start w:val="1"/>
      <w:numFmt w:val="lowerLetter"/>
      <w:lvlText w:val="%2."/>
      <w:lvlJc w:val="left"/>
      <w:pPr>
        <w:ind w:left="1440" w:hanging="360"/>
      </w:pPr>
    </w:lvl>
    <w:lvl w:ilvl="2" w:tplc="9C586450" w:tentative="1">
      <w:start w:val="1"/>
      <w:numFmt w:val="lowerRoman"/>
      <w:lvlText w:val="%3."/>
      <w:lvlJc w:val="right"/>
      <w:pPr>
        <w:ind w:left="2160" w:hanging="180"/>
      </w:pPr>
    </w:lvl>
    <w:lvl w:ilvl="3" w:tplc="AEB28CA8" w:tentative="1">
      <w:start w:val="1"/>
      <w:numFmt w:val="decimal"/>
      <w:lvlText w:val="%4."/>
      <w:lvlJc w:val="left"/>
      <w:pPr>
        <w:ind w:left="2880" w:hanging="360"/>
      </w:pPr>
    </w:lvl>
    <w:lvl w:ilvl="4" w:tplc="8982A834" w:tentative="1">
      <w:start w:val="1"/>
      <w:numFmt w:val="lowerLetter"/>
      <w:lvlText w:val="%5."/>
      <w:lvlJc w:val="left"/>
      <w:pPr>
        <w:ind w:left="3600" w:hanging="360"/>
      </w:pPr>
    </w:lvl>
    <w:lvl w:ilvl="5" w:tplc="6A1294D2" w:tentative="1">
      <w:start w:val="1"/>
      <w:numFmt w:val="lowerRoman"/>
      <w:lvlText w:val="%6."/>
      <w:lvlJc w:val="right"/>
      <w:pPr>
        <w:ind w:left="4320" w:hanging="180"/>
      </w:pPr>
    </w:lvl>
    <w:lvl w:ilvl="6" w:tplc="E154DD80" w:tentative="1">
      <w:start w:val="1"/>
      <w:numFmt w:val="decimal"/>
      <w:lvlText w:val="%7."/>
      <w:lvlJc w:val="left"/>
      <w:pPr>
        <w:ind w:left="5040" w:hanging="360"/>
      </w:pPr>
    </w:lvl>
    <w:lvl w:ilvl="7" w:tplc="1494DA76" w:tentative="1">
      <w:start w:val="1"/>
      <w:numFmt w:val="lowerLetter"/>
      <w:lvlText w:val="%8."/>
      <w:lvlJc w:val="left"/>
      <w:pPr>
        <w:ind w:left="5760" w:hanging="360"/>
      </w:pPr>
    </w:lvl>
    <w:lvl w:ilvl="8" w:tplc="9410C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D4BC3"/>
    <w:multiLevelType w:val="hybridMultilevel"/>
    <w:tmpl w:val="4B346358"/>
    <w:lvl w:ilvl="0" w:tplc="694E66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BB0E0BC" w:tentative="1">
      <w:start w:val="1"/>
      <w:numFmt w:val="lowerLetter"/>
      <w:lvlText w:val="%2."/>
      <w:lvlJc w:val="left"/>
      <w:pPr>
        <w:ind w:left="1440" w:hanging="360"/>
      </w:pPr>
    </w:lvl>
    <w:lvl w:ilvl="2" w:tplc="26B44F06" w:tentative="1">
      <w:start w:val="1"/>
      <w:numFmt w:val="lowerRoman"/>
      <w:lvlText w:val="%3."/>
      <w:lvlJc w:val="right"/>
      <w:pPr>
        <w:ind w:left="2160" w:hanging="180"/>
      </w:pPr>
    </w:lvl>
    <w:lvl w:ilvl="3" w:tplc="06EA91D0" w:tentative="1">
      <w:start w:val="1"/>
      <w:numFmt w:val="decimal"/>
      <w:lvlText w:val="%4."/>
      <w:lvlJc w:val="left"/>
      <w:pPr>
        <w:ind w:left="2880" w:hanging="360"/>
      </w:pPr>
    </w:lvl>
    <w:lvl w:ilvl="4" w:tplc="70D07916" w:tentative="1">
      <w:start w:val="1"/>
      <w:numFmt w:val="lowerLetter"/>
      <w:lvlText w:val="%5."/>
      <w:lvlJc w:val="left"/>
      <w:pPr>
        <w:ind w:left="3600" w:hanging="360"/>
      </w:pPr>
    </w:lvl>
    <w:lvl w:ilvl="5" w:tplc="9C14324A" w:tentative="1">
      <w:start w:val="1"/>
      <w:numFmt w:val="lowerRoman"/>
      <w:lvlText w:val="%6."/>
      <w:lvlJc w:val="right"/>
      <w:pPr>
        <w:ind w:left="4320" w:hanging="180"/>
      </w:pPr>
    </w:lvl>
    <w:lvl w:ilvl="6" w:tplc="A19A3D8A" w:tentative="1">
      <w:start w:val="1"/>
      <w:numFmt w:val="decimal"/>
      <w:lvlText w:val="%7."/>
      <w:lvlJc w:val="left"/>
      <w:pPr>
        <w:ind w:left="5040" w:hanging="360"/>
      </w:pPr>
    </w:lvl>
    <w:lvl w:ilvl="7" w:tplc="5B509D1A" w:tentative="1">
      <w:start w:val="1"/>
      <w:numFmt w:val="lowerLetter"/>
      <w:lvlText w:val="%8."/>
      <w:lvlJc w:val="left"/>
      <w:pPr>
        <w:ind w:left="5760" w:hanging="360"/>
      </w:pPr>
    </w:lvl>
    <w:lvl w:ilvl="8" w:tplc="788AE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700AA"/>
    <w:multiLevelType w:val="hybridMultilevel"/>
    <w:tmpl w:val="30A0BFA4"/>
    <w:lvl w:ilvl="0" w:tplc="CBA61CB0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  <w:b w:val="0"/>
        <w:i w:val="0"/>
        <w:sz w:val="20"/>
      </w:rPr>
    </w:lvl>
    <w:lvl w:ilvl="1" w:tplc="DF8471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0F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05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E6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81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E2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5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A8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43A89"/>
    <w:multiLevelType w:val="hybridMultilevel"/>
    <w:tmpl w:val="8188B732"/>
    <w:lvl w:ilvl="0" w:tplc="089CBAE2">
      <w:start w:val="1"/>
      <w:numFmt w:val="bullet"/>
      <w:lvlText w:val="•"/>
      <w:lvlJc w:val="left"/>
      <w:pPr>
        <w:ind w:left="720" w:hanging="360"/>
      </w:pPr>
      <w:rPr>
        <w:rFonts w:ascii="Noto Sans Symbols 2" w:hAnsi="Noto Sans Symbols 2" w:hint="default"/>
        <w:b w:val="0"/>
        <w:i w:val="0"/>
        <w:sz w:val="20"/>
      </w:rPr>
    </w:lvl>
    <w:lvl w:ilvl="1" w:tplc="E7DEE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0F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06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E8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20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89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A1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A1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442E4"/>
    <w:multiLevelType w:val="hybridMultilevel"/>
    <w:tmpl w:val="CF2C64B8"/>
    <w:lvl w:ilvl="0" w:tplc="59347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1C092E" w:tentative="1">
      <w:start w:val="1"/>
      <w:numFmt w:val="lowerLetter"/>
      <w:lvlText w:val="%2."/>
      <w:lvlJc w:val="left"/>
      <w:pPr>
        <w:ind w:left="1440" w:hanging="360"/>
      </w:pPr>
    </w:lvl>
    <w:lvl w:ilvl="2" w:tplc="91469978" w:tentative="1">
      <w:start w:val="1"/>
      <w:numFmt w:val="lowerRoman"/>
      <w:lvlText w:val="%3."/>
      <w:lvlJc w:val="right"/>
      <w:pPr>
        <w:ind w:left="2160" w:hanging="180"/>
      </w:pPr>
    </w:lvl>
    <w:lvl w:ilvl="3" w:tplc="2ADC7DE2" w:tentative="1">
      <w:start w:val="1"/>
      <w:numFmt w:val="decimal"/>
      <w:lvlText w:val="%4."/>
      <w:lvlJc w:val="left"/>
      <w:pPr>
        <w:ind w:left="2880" w:hanging="360"/>
      </w:pPr>
    </w:lvl>
    <w:lvl w:ilvl="4" w:tplc="E216ECD8" w:tentative="1">
      <w:start w:val="1"/>
      <w:numFmt w:val="lowerLetter"/>
      <w:lvlText w:val="%5."/>
      <w:lvlJc w:val="left"/>
      <w:pPr>
        <w:ind w:left="3600" w:hanging="360"/>
      </w:pPr>
    </w:lvl>
    <w:lvl w:ilvl="5" w:tplc="D842E276" w:tentative="1">
      <w:start w:val="1"/>
      <w:numFmt w:val="lowerRoman"/>
      <w:lvlText w:val="%6."/>
      <w:lvlJc w:val="right"/>
      <w:pPr>
        <w:ind w:left="4320" w:hanging="180"/>
      </w:pPr>
    </w:lvl>
    <w:lvl w:ilvl="6" w:tplc="5C6C0A7E" w:tentative="1">
      <w:start w:val="1"/>
      <w:numFmt w:val="decimal"/>
      <w:lvlText w:val="%7."/>
      <w:lvlJc w:val="left"/>
      <w:pPr>
        <w:ind w:left="5040" w:hanging="360"/>
      </w:pPr>
    </w:lvl>
    <w:lvl w:ilvl="7" w:tplc="DE087BC4" w:tentative="1">
      <w:start w:val="1"/>
      <w:numFmt w:val="lowerLetter"/>
      <w:lvlText w:val="%8."/>
      <w:lvlJc w:val="left"/>
      <w:pPr>
        <w:ind w:left="5760" w:hanging="360"/>
      </w:pPr>
    </w:lvl>
    <w:lvl w:ilvl="8" w:tplc="88302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D073A"/>
    <w:multiLevelType w:val="multilevel"/>
    <w:tmpl w:val="E33E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356D1C"/>
    <w:multiLevelType w:val="hybridMultilevel"/>
    <w:tmpl w:val="C1EE7152"/>
    <w:lvl w:ilvl="0" w:tplc="8AE28652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  <w:b w:val="0"/>
        <w:i w:val="0"/>
        <w:sz w:val="20"/>
      </w:rPr>
    </w:lvl>
    <w:lvl w:ilvl="1" w:tplc="712AE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B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23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82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4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82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66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A3108"/>
    <w:multiLevelType w:val="multilevel"/>
    <w:tmpl w:val="86AC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FB3F2D"/>
    <w:multiLevelType w:val="hybridMultilevel"/>
    <w:tmpl w:val="8E9C88AE"/>
    <w:lvl w:ilvl="0" w:tplc="06180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1A5578" w:tentative="1">
      <w:start w:val="1"/>
      <w:numFmt w:val="lowerLetter"/>
      <w:lvlText w:val="%2."/>
      <w:lvlJc w:val="left"/>
      <w:pPr>
        <w:ind w:left="1440" w:hanging="360"/>
      </w:pPr>
    </w:lvl>
    <w:lvl w:ilvl="2" w:tplc="4B462E48" w:tentative="1">
      <w:start w:val="1"/>
      <w:numFmt w:val="lowerRoman"/>
      <w:lvlText w:val="%3."/>
      <w:lvlJc w:val="right"/>
      <w:pPr>
        <w:ind w:left="2160" w:hanging="180"/>
      </w:pPr>
    </w:lvl>
    <w:lvl w:ilvl="3" w:tplc="F846458C" w:tentative="1">
      <w:start w:val="1"/>
      <w:numFmt w:val="decimal"/>
      <w:lvlText w:val="%4."/>
      <w:lvlJc w:val="left"/>
      <w:pPr>
        <w:ind w:left="2880" w:hanging="360"/>
      </w:pPr>
    </w:lvl>
    <w:lvl w:ilvl="4" w:tplc="9E98DAF8" w:tentative="1">
      <w:start w:val="1"/>
      <w:numFmt w:val="lowerLetter"/>
      <w:lvlText w:val="%5."/>
      <w:lvlJc w:val="left"/>
      <w:pPr>
        <w:ind w:left="3600" w:hanging="360"/>
      </w:pPr>
    </w:lvl>
    <w:lvl w:ilvl="5" w:tplc="F5848FAE" w:tentative="1">
      <w:start w:val="1"/>
      <w:numFmt w:val="lowerRoman"/>
      <w:lvlText w:val="%6."/>
      <w:lvlJc w:val="right"/>
      <w:pPr>
        <w:ind w:left="4320" w:hanging="180"/>
      </w:pPr>
    </w:lvl>
    <w:lvl w:ilvl="6" w:tplc="8B6C2DD8" w:tentative="1">
      <w:start w:val="1"/>
      <w:numFmt w:val="decimal"/>
      <w:lvlText w:val="%7."/>
      <w:lvlJc w:val="left"/>
      <w:pPr>
        <w:ind w:left="5040" w:hanging="360"/>
      </w:pPr>
    </w:lvl>
    <w:lvl w:ilvl="7" w:tplc="2976DD30" w:tentative="1">
      <w:start w:val="1"/>
      <w:numFmt w:val="lowerLetter"/>
      <w:lvlText w:val="%8."/>
      <w:lvlJc w:val="left"/>
      <w:pPr>
        <w:ind w:left="5760" w:hanging="360"/>
      </w:pPr>
    </w:lvl>
    <w:lvl w:ilvl="8" w:tplc="32FC3E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E1A96"/>
    <w:multiLevelType w:val="hybridMultilevel"/>
    <w:tmpl w:val="D3889954"/>
    <w:lvl w:ilvl="0" w:tplc="D2F6A828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hint="default"/>
      </w:rPr>
    </w:lvl>
    <w:lvl w:ilvl="1" w:tplc="A16C1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69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0E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AA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40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E4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EF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EF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409B"/>
    <w:multiLevelType w:val="hybridMultilevel"/>
    <w:tmpl w:val="81EE0E3E"/>
    <w:lvl w:ilvl="0" w:tplc="42A41F3C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hint="default"/>
        <w:b w:val="0"/>
        <w:i w:val="0"/>
        <w:sz w:val="20"/>
      </w:rPr>
    </w:lvl>
    <w:lvl w:ilvl="1" w:tplc="BB403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2C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C4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A7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F22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C3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8C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06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A73F2"/>
    <w:multiLevelType w:val="hybridMultilevel"/>
    <w:tmpl w:val="F54AAE82"/>
    <w:lvl w:ilvl="0" w:tplc="E2C05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5EBE70" w:tentative="1">
      <w:start w:val="1"/>
      <w:numFmt w:val="lowerLetter"/>
      <w:lvlText w:val="%2."/>
      <w:lvlJc w:val="left"/>
      <w:pPr>
        <w:ind w:left="1440" w:hanging="360"/>
      </w:pPr>
    </w:lvl>
    <w:lvl w:ilvl="2" w:tplc="6D6EB824" w:tentative="1">
      <w:start w:val="1"/>
      <w:numFmt w:val="lowerRoman"/>
      <w:lvlText w:val="%3."/>
      <w:lvlJc w:val="right"/>
      <w:pPr>
        <w:ind w:left="2160" w:hanging="180"/>
      </w:pPr>
    </w:lvl>
    <w:lvl w:ilvl="3" w:tplc="CD885262" w:tentative="1">
      <w:start w:val="1"/>
      <w:numFmt w:val="decimal"/>
      <w:lvlText w:val="%4."/>
      <w:lvlJc w:val="left"/>
      <w:pPr>
        <w:ind w:left="2880" w:hanging="360"/>
      </w:pPr>
    </w:lvl>
    <w:lvl w:ilvl="4" w:tplc="E8DCCB24" w:tentative="1">
      <w:start w:val="1"/>
      <w:numFmt w:val="lowerLetter"/>
      <w:lvlText w:val="%5."/>
      <w:lvlJc w:val="left"/>
      <w:pPr>
        <w:ind w:left="3600" w:hanging="360"/>
      </w:pPr>
    </w:lvl>
    <w:lvl w:ilvl="5" w:tplc="98CE7BC8" w:tentative="1">
      <w:start w:val="1"/>
      <w:numFmt w:val="lowerRoman"/>
      <w:lvlText w:val="%6."/>
      <w:lvlJc w:val="right"/>
      <w:pPr>
        <w:ind w:left="4320" w:hanging="180"/>
      </w:pPr>
    </w:lvl>
    <w:lvl w:ilvl="6" w:tplc="28FCA64A" w:tentative="1">
      <w:start w:val="1"/>
      <w:numFmt w:val="decimal"/>
      <w:lvlText w:val="%7."/>
      <w:lvlJc w:val="left"/>
      <w:pPr>
        <w:ind w:left="5040" w:hanging="360"/>
      </w:pPr>
    </w:lvl>
    <w:lvl w:ilvl="7" w:tplc="E24C2424" w:tentative="1">
      <w:start w:val="1"/>
      <w:numFmt w:val="lowerLetter"/>
      <w:lvlText w:val="%8."/>
      <w:lvlJc w:val="left"/>
      <w:pPr>
        <w:ind w:left="5760" w:hanging="360"/>
      </w:pPr>
    </w:lvl>
    <w:lvl w:ilvl="8" w:tplc="E4C05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35F7F"/>
    <w:multiLevelType w:val="hybridMultilevel"/>
    <w:tmpl w:val="94EA7C90"/>
    <w:lvl w:ilvl="0" w:tplc="60F03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C8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87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CD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08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ED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68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06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5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11306"/>
    <w:multiLevelType w:val="hybridMultilevel"/>
    <w:tmpl w:val="02E6AEAC"/>
    <w:lvl w:ilvl="0" w:tplc="A01A871E">
      <w:start w:val="1"/>
      <w:numFmt w:val="decimal"/>
      <w:lvlText w:val="%1."/>
      <w:lvlJc w:val="left"/>
      <w:pPr>
        <w:ind w:left="360" w:hanging="360"/>
      </w:pPr>
    </w:lvl>
    <w:lvl w:ilvl="1" w:tplc="2B5A79B4" w:tentative="1">
      <w:start w:val="1"/>
      <w:numFmt w:val="lowerLetter"/>
      <w:lvlText w:val="%2."/>
      <w:lvlJc w:val="left"/>
      <w:pPr>
        <w:ind w:left="1080" w:hanging="360"/>
      </w:pPr>
    </w:lvl>
    <w:lvl w:ilvl="2" w:tplc="62E66A2A" w:tentative="1">
      <w:start w:val="1"/>
      <w:numFmt w:val="lowerRoman"/>
      <w:lvlText w:val="%3."/>
      <w:lvlJc w:val="right"/>
      <w:pPr>
        <w:ind w:left="1800" w:hanging="180"/>
      </w:pPr>
    </w:lvl>
    <w:lvl w:ilvl="3" w:tplc="69D8034C" w:tentative="1">
      <w:start w:val="1"/>
      <w:numFmt w:val="decimal"/>
      <w:lvlText w:val="%4."/>
      <w:lvlJc w:val="left"/>
      <w:pPr>
        <w:ind w:left="2520" w:hanging="360"/>
      </w:pPr>
    </w:lvl>
    <w:lvl w:ilvl="4" w:tplc="F1BE8D38" w:tentative="1">
      <w:start w:val="1"/>
      <w:numFmt w:val="lowerLetter"/>
      <w:lvlText w:val="%5."/>
      <w:lvlJc w:val="left"/>
      <w:pPr>
        <w:ind w:left="3240" w:hanging="360"/>
      </w:pPr>
    </w:lvl>
    <w:lvl w:ilvl="5" w:tplc="14EE3616" w:tentative="1">
      <w:start w:val="1"/>
      <w:numFmt w:val="lowerRoman"/>
      <w:lvlText w:val="%6."/>
      <w:lvlJc w:val="right"/>
      <w:pPr>
        <w:ind w:left="3960" w:hanging="180"/>
      </w:pPr>
    </w:lvl>
    <w:lvl w:ilvl="6" w:tplc="53F2C0C4" w:tentative="1">
      <w:start w:val="1"/>
      <w:numFmt w:val="decimal"/>
      <w:lvlText w:val="%7."/>
      <w:lvlJc w:val="left"/>
      <w:pPr>
        <w:ind w:left="4680" w:hanging="360"/>
      </w:pPr>
    </w:lvl>
    <w:lvl w:ilvl="7" w:tplc="9F88D704" w:tentative="1">
      <w:start w:val="1"/>
      <w:numFmt w:val="lowerLetter"/>
      <w:lvlText w:val="%8."/>
      <w:lvlJc w:val="left"/>
      <w:pPr>
        <w:ind w:left="5400" w:hanging="360"/>
      </w:pPr>
    </w:lvl>
    <w:lvl w:ilvl="8" w:tplc="547462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FF22E6"/>
    <w:multiLevelType w:val="hybridMultilevel"/>
    <w:tmpl w:val="2A0A1900"/>
    <w:lvl w:ilvl="0" w:tplc="19541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892E4" w:tentative="1">
      <w:start w:val="1"/>
      <w:numFmt w:val="lowerLetter"/>
      <w:lvlText w:val="%2."/>
      <w:lvlJc w:val="left"/>
      <w:pPr>
        <w:ind w:left="1440" w:hanging="360"/>
      </w:pPr>
    </w:lvl>
    <w:lvl w:ilvl="2" w:tplc="AB9C2EDE" w:tentative="1">
      <w:start w:val="1"/>
      <w:numFmt w:val="lowerRoman"/>
      <w:lvlText w:val="%3."/>
      <w:lvlJc w:val="right"/>
      <w:pPr>
        <w:ind w:left="2160" w:hanging="180"/>
      </w:pPr>
    </w:lvl>
    <w:lvl w:ilvl="3" w:tplc="4D68F7F4" w:tentative="1">
      <w:start w:val="1"/>
      <w:numFmt w:val="decimal"/>
      <w:lvlText w:val="%4."/>
      <w:lvlJc w:val="left"/>
      <w:pPr>
        <w:ind w:left="2880" w:hanging="360"/>
      </w:pPr>
    </w:lvl>
    <w:lvl w:ilvl="4" w:tplc="E2A42E9A" w:tentative="1">
      <w:start w:val="1"/>
      <w:numFmt w:val="lowerLetter"/>
      <w:lvlText w:val="%5."/>
      <w:lvlJc w:val="left"/>
      <w:pPr>
        <w:ind w:left="3600" w:hanging="360"/>
      </w:pPr>
    </w:lvl>
    <w:lvl w:ilvl="5" w:tplc="45B0E0AE" w:tentative="1">
      <w:start w:val="1"/>
      <w:numFmt w:val="lowerRoman"/>
      <w:lvlText w:val="%6."/>
      <w:lvlJc w:val="right"/>
      <w:pPr>
        <w:ind w:left="4320" w:hanging="180"/>
      </w:pPr>
    </w:lvl>
    <w:lvl w:ilvl="6" w:tplc="0C94C868" w:tentative="1">
      <w:start w:val="1"/>
      <w:numFmt w:val="decimal"/>
      <w:lvlText w:val="%7."/>
      <w:lvlJc w:val="left"/>
      <w:pPr>
        <w:ind w:left="5040" w:hanging="360"/>
      </w:pPr>
    </w:lvl>
    <w:lvl w:ilvl="7" w:tplc="CDFCB1C8" w:tentative="1">
      <w:start w:val="1"/>
      <w:numFmt w:val="lowerLetter"/>
      <w:lvlText w:val="%8."/>
      <w:lvlJc w:val="left"/>
      <w:pPr>
        <w:ind w:left="5760" w:hanging="360"/>
      </w:pPr>
    </w:lvl>
    <w:lvl w:ilvl="8" w:tplc="FB603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25231"/>
    <w:multiLevelType w:val="hybridMultilevel"/>
    <w:tmpl w:val="C982115E"/>
    <w:lvl w:ilvl="0" w:tplc="69520EFE">
      <w:start w:val="1"/>
      <w:numFmt w:val="bullet"/>
      <w:lvlText w:val="•"/>
      <w:lvlJc w:val="left"/>
      <w:pPr>
        <w:ind w:left="720" w:hanging="360"/>
      </w:pPr>
      <w:rPr>
        <w:rFonts w:ascii="Noto Sans Symbols" w:hAnsi="Noto Sans Symbols" w:hint="default"/>
        <w:b w:val="0"/>
        <w:i w:val="0"/>
        <w:sz w:val="20"/>
      </w:rPr>
    </w:lvl>
    <w:lvl w:ilvl="1" w:tplc="9AF08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308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05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EA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61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65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CA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A0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B63A5"/>
    <w:multiLevelType w:val="hybridMultilevel"/>
    <w:tmpl w:val="E5CA3812"/>
    <w:lvl w:ilvl="0" w:tplc="D5A8268A">
      <w:start w:val="1"/>
      <w:numFmt w:val="bullet"/>
      <w:lvlText w:val="●"/>
      <w:lvlJc w:val="left"/>
      <w:pPr>
        <w:ind w:left="720" w:hanging="360"/>
      </w:pPr>
      <w:rPr>
        <w:rFonts w:ascii="Noto Sans" w:hAnsi="Noto Sans" w:hint="default"/>
        <w:b w:val="0"/>
        <w:i w:val="0"/>
        <w:sz w:val="20"/>
      </w:rPr>
    </w:lvl>
    <w:lvl w:ilvl="1" w:tplc="E286B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9A7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D2A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C0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B2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47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C7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C0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978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196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1185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361195">
    <w:abstractNumId w:val="2"/>
  </w:num>
  <w:num w:numId="5" w16cid:durableId="2141529327">
    <w:abstractNumId w:val="4"/>
  </w:num>
  <w:num w:numId="6" w16cid:durableId="1201161551">
    <w:abstractNumId w:val="7"/>
  </w:num>
  <w:num w:numId="7" w16cid:durableId="692921532">
    <w:abstractNumId w:val="21"/>
  </w:num>
  <w:num w:numId="8" w16cid:durableId="1239294030">
    <w:abstractNumId w:val="0"/>
  </w:num>
  <w:num w:numId="9" w16cid:durableId="1246694043">
    <w:abstractNumId w:val="24"/>
  </w:num>
  <w:num w:numId="10" w16cid:durableId="1236014869">
    <w:abstractNumId w:val="10"/>
  </w:num>
  <w:num w:numId="11" w16cid:durableId="1462725430">
    <w:abstractNumId w:val="11"/>
  </w:num>
  <w:num w:numId="12" w16cid:durableId="1180586605">
    <w:abstractNumId w:val="20"/>
  </w:num>
  <w:num w:numId="13" w16cid:durableId="536891139">
    <w:abstractNumId w:val="18"/>
  </w:num>
  <w:num w:numId="14" w16cid:durableId="1130788234">
    <w:abstractNumId w:val="23"/>
  </w:num>
  <w:num w:numId="15" w16cid:durableId="256527724">
    <w:abstractNumId w:val="17"/>
  </w:num>
  <w:num w:numId="16" w16cid:durableId="564805498">
    <w:abstractNumId w:val="14"/>
  </w:num>
  <w:num w:numId="17" w16cid:durableId="1829318426">
    <w:abstractNumId w:val="6"/>
  </w:num>
  <w:num w:numId="18" w16cid:durableId="1447962029">
    <w:abstractNumId w:val="3"/>
  </w:num>
  <w:num w:numId="19" w16cid:durableId="159272602">
    <w:abstractNumId w:val="8"/>
  </w:num>
  <w:num w:numId="20" w16cid:durableId="894581811">
    <w:abstractNumId w:val="22"/>
  </w:num>
  <w:num w:numId="21" w16cid:durableId="1042905676">
    <w:abstractNumId w:val="12"/>
  </w:num>
  <w:num w:numId="22" w16cid:durableId="2057312626">
    <w:abstractNumId w:val="19"/>
  </w:num>
  <w:num w:numId="23" w16cid:durableId="1476753177">
    <w:abstractNumId w:val="5"/>
  </w:num>
  <w:num w:numId="24" w16cid:durableId="1001280216">
    <w:abstractNumId w:val="16"/>
  </w:num>
  <w:num w:numId="25" w16cid:durableId="50808451">
    <w:abstractNumId w:val="9"/>
  </w:num>
  <w:num w:numId="26" w16cid:durableId="70530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12927"/>
    <w:rsid w:val="0001353A"/>
    <w:rsid w:val="0002039B"/>
    <w:rsid w:val="00021723"/>
    <w:rsid w:val="0002571A"/>
    <w:rsid w:val="00055F10"/>
    <w:rsid w:val="00062205"/>
    <w:rsid w:val="000629A5"/>
    <w:rsid w:val="00075FB8"/>
    <w:rsid w:val="000875E9"/>
    <w:rsid w:val="00095C9B"/>
    <w:rsid w:val="000A60F1"/>
    <w:rsid w:val="000B126A"/>
    <w:rsid w:val="000C3261"/>
    <w:rsid w:val="000D52EE"/>
    <w:rsid w:val="000F64BF"/>
    <w:rsid w:val="00100315"/>
    <w:rsid w:val="0010646E"/>
    <w:rsid w:val="001070F7"/>
    <w:rsid w:val="001236B0"/>
    <w:rsid w:val="00145673"/>
    <w:rsid w:val="00157802"/>
    <w:rsid w:val="00166A88"/>
    <w:rsid w:val="0017390B"/>
    <w:rsid w:val="00183B62"/>
    <w:rsid w:val="001969A5"/>
    <w:rsid w:val="001A29A2"/>
    <w:rsid w:val="001B70EB"/>
    <w:rsid w:val="001C548E"/>
    <w:rsid w:val="001D1983"/>
    <w:rsid w:val="001D216B"/>
    <w:rsid w:val="001D73F7"/>
    <w:rsid w:val="001E1C3B"/>
    <w:rsid w:val="001E2BB6"/>
    <w:rsid w:val="001E3732"/>
    <w:rsid w:val="001F1FF5"/>
    <w:rsid w:val="001F21B6"/>
    <w:rsid w:val="001F7272"/>
    <w:rsid w:val="00217866"/>
    <w:rsid w:val="00221DAA"/>
    <w:rsid w:val="00223DB1"/>
    <w:rsid w:val="002317FD"/>
    <w:rsid w:val="002779EF"/>
    <w:rsid w:val="002835DE"/>
    <w:rsid w:val="0029322D"/>
    <w:rsid w:val="00295AB8"/>
    <w:rsid w:val="002C604A"/>
    <w:rsid w:val="002C71CB"/>
    <w:rsid w:val="002D0B98"/>
    <w:rsid w:val="002D2467"/>
    <w:rsid w:val="002E0C9D"/>
    <w:rsid w:val="002E5877"/>
    <w:rsid w:val="002F279B"/>
    <w:rsid w:val="002F2881"/>
    <w:rsid w:val="00305412"/>
    <w:rsid w:val="00315D17"/>
    <w:rsid w:val="00322055"/>
    <w:rsid w:val="0032426D"/>
    <w:rsid w:val="0032466D"/>
    <w:rsid w:val="0035294D"/>
    <w:rsid w:val="00381C9D"/>
    <w:rsid w:val="0038354E"/>
    <w:rsid w:val="00387912"/>
    <w:rsid w:val="003B02B9"/>
    <w:rsid w:val="003D6BE7"/>
    <w:rsid w:val="003E27D4"/>
    <w:rsid w:val="00410605"/>
    <w:rsid w:val="004863A5"/>
    <w:rsid w:val="00491621"/>
    <w:rsid w:val="004A2223"/>
    <w:rsid w:val="004B34F1"/>
    <w:rsid w:val="004C38F6"/>
    <w:rsid w:val="004D025D"/>
    <w:rsid w:val="004D6331"/>
    <w:rsid w:val="004E6409"/>
    <w:rsid w:val="004F5D02"/>
    <w:rsid w:val="00500A3B"/>
    <w:rsid w:val="005054F4"/>
    <w:rsid w:val="0051547C"/>
    <w:rsid w:val="00530EF9"/>
    <w:rsid w:val="00531FA7"/>
    <w:rsid w:val="00567403"/>
    <w:rsid w:val="00590C4E"/>
    <w:rsid w:val="0059120A"/>
    <w:rsid w:val="005A7493"/>
    <w:rsid w:val="005A7845"/>
    <w:rsid w:val="005B3E4D"/>
    <w:rsid w:val="005D1FCF"/>
    <w:rsid w:val="005E282E"/>
    <w:rsid w:val="005F7030"/>
    <w:rsid w:val="006219F4"/>
    <w:rsid w:val="006335B8"/>
    <w:rsid w:val="0065320D"/>
    <w:rsid w:val="006605F2"/>
    <w:rsid w:val="0066677D"/>
    <w:rsid w:val="00673E82"/>
    <w:rsid w:val="00683AC3"/>
    <w:rsid w:val="00691419"/>
    <w:rsid w:val="0069435E"/>
    <w:rsid w:val="00695DF8"/>
    <w:rsid w:val="006A6F42"/>
    <w:rsid w:val="006C1911"/>
    <w:rsid w:val="006F548D"/>
    <w:rsid w:val="006F5A74"/>
    <w:rsid w:val="0070631E"/>
    <w:rsid w:val="00716214"/>
    <w:rsid w:val="00717376"/>
    <w:rsid w:val="0072164F"/>
    <w:rsid w:val="007337A9"/>
    <w:rsid w:val="007416FD"/>
    <w:rsid w:val="00760176"/>
    <w:rsid w:val="00763318"/>
    <w:rsid w:val="00765772"/>
    <w:rsid w:val="00766B95"/>
    <w:rsid w:val="007859A1"/>
    <w:rsid w:val="00797577"/>
    <w:rsid w:val="007A678A"/>
    <w:rsid w:val="007B323E"/>
    <w:rsid w:val="007B4EF7"/>
    <w:rsid w:val="007C5B16"/>
    <w:rsid w:val="007C712F"/>
    <w:rsid w:val="007D12D4"/>
    <w:rsid w:val="007D2D5D"/>
    <w:rsid w:val="007F5DE4"/>
    <w:rsid w:val="007F605B"/>
    <w:rsid w:val="00821B52"/>
    <w:rsid w:val="00824AE9"/>
    <w:rsid w:val="0084097A"/>
    <w:rsid w:val="0084281D"/>
    <w:rsid w:val="0085662C"/>
    <w:rsid w:val="008624D6"/>
    <w:rsid w:val="00865F03"/>
    <w:rsid w:val="008712DF"/>
    <w:rsid w:val="00896623"/>
    <w:rsid w:val="008A3D01"/>
    <w:rsid w:val="008A4F38"/>
    <w:rsid w:val="008B10E0"/>
    <w:rsid w:val="008B3A40"/>
    <w:rsid w:val="008D2E78"/>
    <w:rsid w:val="008E4CAF"/>
    <w:rsid w:val="008F5132"/>
    <w:rsid w:val="00901244"/>
    <w:rsid w:val="009276B2"/>
    <w:rsid w:val="00956396"/>
    <w:rsid w:val="00961882"/>
    <w:rsid w:val="0096352A"/>
    <w:rsid w:val="009A773A"/>
    <w:rsid w:val="009B7F9B"/>
    <w:rsid w:val="009C123D"/>
    <w:rsid w:val="009D16ED"/>
    <w:rsid w:val="009D5FB1"/>
    <w:rsid w:val="009E1F96"/>
    <w:rsid w:val="009F36B9"/>
    <w:rsid w:val="00A228D7"/>
    <w:rsid w:val="00A2500E"/>
    <w:rsid w:val="00A411F9"/>
    <w:rsid w:val="00A54A49"/>
    <w:rsid w:val="00A70790"/>
    <w:rsid w:val="00A75397"/>
    <w:rsid w:val="00A8169B"/>
    <w:rsid w:val="00A8382B"/>
    <w:rsid w:val="00AB4CEE"/>
    <w:rsid w:val="00AC1BDF"/>
    <w:rsid w:val="00AE6415"/>
    <w:rsid w:val="00B0231C"/>
    <w:rsid w:val="00B06AAD"/>
    <w:rsid w:val="00B15AB7"/>
    <w:rsid w:val="00B20AD8"/>
    <w:rsid w:val="00B577FA"/>
    <w:rsid w:val="00B77A31"/>
    <w:rsid w:val="00B87744"/>
    <w:rsid w:val="00B91112"/>
    <w:rsid w:val="00B96AB2"/>
    <w:rsid w:val="00BA0FF7"/>
    <w:rsid w:val="00BE55CB"/>
    <w:rsid w:val="00BE6444"/>
    <w:rsid w:val="00C217E7"/>
    <w:rsid w:val="00C408BC"/>
    <w:rsid w:val="00C7072F"/>
    <w:rsid w:val="00C7702F"/>
    <w:rsid w:val="00C8064A"/>
    <w:rsid w:val="00C85D56"/>
    <w:rsid w:val="00C93B35"/>
    <w:rsid w:val="00CC0063"/>
    <w:rsid w:val="00CF21C3"/>
    <w:rsid w:val="00CF3783"/>
    <w:rsid w:val="00CF3812"/>
    <w:rsid w:val="00D00EC6"/>
    <w:rsid w:val="00D132C0"/>
    <w:rsid w:val="00D138E3"/>
    <w:rsid w:val="00D13DD3"/>
    <w:rsid w:val="00D23E69"/>
    <w:rsid w:val="00D263B9"/>
    <w:rsid w:val="00D33A46"/>
    <w:rsid w:val="00D51489"/>
    <w:rsid w:val="00D55251"/>
    <w:rsid w:val="00D62997"/>
    <w:rsid w:val="00D638E2"/>
    <w:rsid w:val="00D67B77"/>
    <w:rsid w:val="00D7131C"/>
    <w:rsid w:val="00D73437"/>
    <w:rsid w:val="00D82B54"/>
    <w:rsid w:val="00DA46CC"/>
    <w:rsid w:val="00DD1517"/>
    <w:rsid w:val="00DE3281"/>
    <w:rsid w:val="00E01EBE"/>
    <w:rsid w:val="00E01F69"/>
    <w:rsid w:val="00E14923"/>
    <w:rsid w:val="00E2215D"/>
    <w:rsid w:val="00E31779"/>
    <w:rsid w:val="00E3400A"/>
    <w:rsid w:val="00E412F2"/>
    <w:rsid w:val="00E615F7"/>
    <w:rsid w:val="00EB1E2B"/>
    <w:rsid w:val="00ED25BE"/>
    <w:rsid w:val="00ED6039"/>
    <w:rsid w:val="00F00BD8"/>
    <w:rsid w:val="00F03E70"/>
    <w:rsid w:val="00F05F16"/>
    <w:rsid w:val="00F13890"/>
    <w:rsid w:val="00F25F12"/>
    <w:rsid w:val="00F45D7A"/>
    <w:rsid w:val="00F54A9D"/>
    <w:rsid w:val="00F61232"/>
    <w:rsid w:val="00F82B4B"/>
    <w:rsid w:val="00F84F7B"/>
    <w:rsid w:val="00F90397"/>
    <w:rsid w:val="00F93AF2"/>
    <w:rsid w:val="00F96896"/>
    <w:rsid w:val="00FA5E3A"/>
    <w:rsid w:val="00FA6BD4"/>
    <w:rsid w:val="00FB7155"/>
    <w:rsid w:val="00FC5122"/>
    <w:rsid w:val="00FD4956"/>
    <w:rsid w:val="00FD7CA9"/>
    <w:rsid w:val="00FE45A6"/>
    <w:rsid w:val="00FF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0394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Lato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Podstawowyakapitowy">
    <w:name w:val="[Podstawowy akapitowy]"/>
    <w:basedOn w:val="Normalny"/>
    <w:uiPriority w:val="99"/>
    <w:rsid w:val="003E27D4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428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81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28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84097A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4097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semiHidden/>
    <w:rsid w:val="0084097A"/>
    <w:rPr>
      <w:vertAlign w:val="superscript"/>
    </w:rPr>
  </w:style>
  <w:style w:type="paragraph" w:styleId="Tekstpodstawowy">
    <w:name w:val="Body Text"/>
    <w:basedOn w:val="Normalny"/>
    <w:link w:val="TekstpodstawowyZnak"/>
    <w:rsid w:val="008409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09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7A4EEAFCF8A045B44B2853ADD33369" ma:contentTypeVersion="3" ma:contentTypeDescription="Utwórz nowy dokument." ma:contentTypeScope="" ma:versionID="a5b6038c19b5d72cd4340523c2b73dc1">
  <xsd:schema xmlns:xsd="http://www.w3.org/2001/XMLSchema" xmlns:xs="http://www.w3.org/2001/XMLSchema" xmlns:p="http://schemas.microsoft.com/office/2006/metadata/properties" xmlns:ns2="afb97769-e7c1-40e3-8964-d7ba288047ba" targetNamespace="http://schemas.microsoft.com/office/2006/metadata/properties" ma:root="true" ma:fieldsID="4647edd15f0cfe2de308bce0e222a637" ns2:_="">
    <xsd:import namespace="afb97769-e7c1-40e3-8964-d7ba2880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97769-e7c1-40e3-8964-d7ba28804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96DE-A72F-4998-B44F-14C88C5C8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983159-9B08-4134-B610-FF2A96DA2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97769-e7c1-40e3-8964-d7ba2880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7826B-6D54-4376-9AA1-76A8F5C1A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F497F-8297-42C7-99D7-57F2EE07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3205</Words>
  <Characters>19230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Anna Knaś</cp:lastModifiedBy>
  <cp:revision>48</cp:revision>
  <cp:lastPrinted>2025-12-08T10:20:00Z</cp:lastPrinted>
  <dcterms:created xsi:type="dcterms:W3CDTF">2025-07-29T08:41:00Z</dcterms:created>
  <dcterms:modified xsi:type="dcterms:W3CDTF">2026-04-23T08:33:00Z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0x010100D97A4EEAFCF8A045B44B2853ADD33369</vt:lpwstr>
  </property>
</Properties>
</file>