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5C" w:rsidRPr="007D0F94" w:rsidRDefault="00B25F32" w:rsidP="008903C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AE785C" w:rsidRPr="007D0F94" w:rsidRDefault="00B25F32" w:rsidP="008903C7">
      <w:pPr>
        <w:jc w:val="both"/>
        <w:rPr>
          <w:rFonts w:asciiTheme="minorHAnsi" w:hAnsiTheme="minorHAnsi"/>
        </w:rPr>
      </w:pPr>
    </w:p>
    <w:p w:rsidR="00E2128A" w:rsidRPr="007D0F94" w:rsidRDefault="00E2128A" w:rsidP="00E2128A">
      <w:pPr>
        <w:spacing w:line="264" w:lineRule="auto"/>
        <w:jc w:val="center"/>
        <w:rPr>
          <w:rFonts w:asciiTheme="minorHAnsi" w:eastAsia="Times New Roman" w:hAnsiTheme="minorHAnsi"/>
          <w:b/>
          <w:u w:val="single"/>
          <w:lang w:eastAsia="pl-PL"/>
        </w:rPr>
      </w:pPr>
      <w:r w:rsidRPr="007D0F94">
        <w:rPr>
          <w:rFonts w:asciiTheme="minorHAnsi" w:hAnsiTheme="minorHAnsi"/>
          <w:b/>
          <w:u w:val="single"/>
        </w:rPr>
        <w:t>TRANSFERY FINANSOWE POMIĘDZY POLSKĄ A BUDŻETEM UE WEDŁUG STANU NA DZIEŃ</w:t>
      </w:r>
    </w:p>
    <w:p w:rsidR="00E2128A" w:rsidRPr="007D0F94" w:rsidRDefault="00E2128A" w:rsidP="00E2128A">
      <w:pPr>
        <w:pStyle w:val="Tekstpodstawowy"/>
        <w:tabs>
          <w:tab w:val="left" w:pos="357"/>
        </w:tabs>
        <w:spacing w:line="264" w:lineRule="auto"/>
        <w:jc w:val="center"/>
        <w:rPr>
          <w:rFonts w:asciiTheme="minorHAnsi" w:hAnsiTheme="minorHAnsi"/>
          <w:b/>
          <w:szCs w:val="24"/>
          <w:u w:val="single"/>
        </w:rPr>
      </w:pPr>
      <w:r w:rsidRPr="007D0F94">
        <w:rPr>
          <w:rFonts w:asciiTheme="minorHAnsi" w:hAnsiTheme="minorHAnsi"/>
          <w:b/>
          <w:szCs w:val="24"/>
          <w:u w:val="single"/>
        </w:rPr>
        <w:t>31 PAŹDZIERNIKA 2020 R.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</w:rPr>
      </w:pPr>
    </w:p>
    <w:p w:rsidR="005B2988" w:rsidRDefault="005B2988" w:rsidP="00E2128A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p w:rsidR="00E2128A" w:rsidRPr="007D0F94" w:rsidRDefault="00E2128A" w:rsidP="00E2128A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  <w:r w:rsidRPr="007D0F94">
        <w:rPr>
          <w:rFonts w:asciiTheme="minorHAnsi" w:hAnsiTheme="minorHAnsi"/>
          <w:b/>
          <w:szCs w:val="24"/>
          <w:u w:val="single"/>
        </w:rPr>
        <w:t>I.</w:t>
      </w:r>
      <w:r w:rsidRPr="007D0F94">
        <w:rPr>
          <w:rFonts w:asciiTheme="minorHAnsi" w:hAnsiTheme="minorHAnsi"/>
          <w:b/>
          <w:szCs w:val="24"/>
          <w:u w:val="single"/>
        </w:rPr>
        <w:tab/>
        <w:t xml:space="preserve">ROZLICZENIA POLSKI Z UE 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E2128A" w:rsidRPr="007D0F94" w:rsidRDefault="00E2128A" w:rsidP="00E2128A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b/>
          <w:u w:val="single"/>
        </w:rPr>
      </w:pPr>
      <w:r w:rsidRPr="007D0F94">
        <w:rPr>
          <w:rFonts w:asciiTheme="minorHAnsi" w:hAnsiTheme="minorHAnsi"/>
          <w:b/>
          <w:u w:val="single"/>
        </w:rPr>
        <w:t>I.1</w:t>
      </w:r>
      <w:r w:rsidRPr="007D0F94">
        <w:rPr>
          <w:rFonts w:asciiTheme="minorHAnsi" w:hAnsiTheme="minorHAnsi"/>
          <w:b/>
          <w:u w:val="single"/>
        </w:rPr>
        <w:tab/>
        <w:t xml:space="preserve">Rozliczenia </w:t>
      </w:r>
      <w:r w:rsidR="00241877" w:rsidRPr="007D0F94">
        <w:rPr>
          <w:rFonts w:asciiTheme="minorHAnsi" w:hAnsiTheme="minorHAnsi"/>
          <w:b/>
          <w:u w:val="single"/>
        </w:rPr>
        <w:t xml:space="preserve">Polski z budżetem UE </w:t>
      </w:r>
      <w:r w:rsidR="00EF3B58" w:rsidRPr="007D0F94">
        <w:rPr>
          <w:rFonts w:asciiTheme="minorHAnsi" w:hAnsiTheme="minorHAnsi"/>
          <w:b/>
          <w:u w:val="single"/>
        </w:rPr>
        <w:t>w październiku</w:t>
      </w:r>
      <w:r w:rsidRPr="007D0F94">
        <w:rPr>
          <w:rFonts w:asciiTheme="minorHAnsi" w:hAnsiTheme="minorHAnsi"/>
          <w:b/>
          <w:u w:val="single"/>
        </w:rPr>
        <w:t xml:space="preserve"> 2020 r. </w:t>
      </w:r>
    </w:p>
    <w:p w:rsidR="00E2128A" w:rsidRPr="007D0F94" w:rsidRDefault="00481776" w:rsidP="00E2128A">
      <w:pPr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W październiku</w:t>
      </w:r>
      <w:r w:rsidR="00E2128A" w:rsidRPr="007D0F94">
        <w:rPr>
          <w:rFonts w:asciiTheme="minorHAnsi" w:hAnsiTheme="minorHAnsi"/>
        </w:rPr>
        <w:t xml:space="preserve"> z budżetu UE do Polski w formie transferów finansowych wpłynęło</w:t>
      </w:r>
      <w:r w:rsidR="00F2051B" w:rsidRPr="007D0F94">
        <w:rPr>
          <w:rFonts w:asciiTheme="minorHAnsi" w:hAnsiTheme="minorHAnsi"/>
        </w:rPr>
        <w:t xml:space="preserve"> </w:t>
      </w:r>
      <w:r w:rsidR="00F2051B" w:rsidRPr="007D0F94">
        <w:rPr>
          <w:rFonts w:asciiTheme="minorHAnsi" w:hAnsiTheme="minorHAnsi"/>
          <w:b/>
        </w:rPr>
        <w:t>1,99</w:t>
      </w:r>
      <w:r w:rsidR="005D263B" w:rsidRPr="007D0F94">
        <w:rPr>
          <w:rFonts w:asciiTheme="minorHAnsi" w:hAnsiTheme="minorHAnsi"/>
          <w:b/>
        </w:rPr>
        <w:t>7</w:t>
      </w:r>
      <w:r w:rsidR="00F2051B" w:rsidRPr="007D0F94">
        <w:rPr>
          <w:rFonts w:asciiTheme="minorHAnsi" w:hAnsiTheme="minorHAnsi"/>
        </w:rPr>
        <w:t> </w:t>
      </w:r>
      <w:r w:rsidR="00F2051B" w:rsidRPr="007D0F94">
        <w:rPr>
          <w:rFonts w:asciiTheme="minorHAnsi" w:hAnsiTheme="minorHAnsi"/>
          <w:b/>
        </w:rPr>
        <w:t>mld</w:t>
      </w:r>
      <w:r w:rsidR="00E2128A" w:rsidRPr="007D0F94">
        <w:rPr>
          <w:rFonts w:asciiTheme="minorHAnsi" w:hAnsiTheme="minorHAnsi"/>
          <w:b/>
        </w:rPr>
        <w:t> EUR</w:t>
      </w:r>
      <w:r w:rsidR="00E2128A" w:rsidRPr="007D0F94">
        <w:rPr>
          <w:rFonts w:asciiTheme="minorHAnsi" w:hAnsiTheme="minorHAnsi"/>
        </w:rPr>
        <w:t xml:space="preserve">. 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u w:val="single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u w:val="single"/>
        </w:rPr>
      </w:pPr>
      <w:r w:rsidRPr="007D0F94">
        <w:rPr>
          <w:rFonts w:asciiTheme="minorHAnsi" w:hAnsiTheme="minorHAnsi"/>
          <w:u w:val="single"/>
        </w:rPr>
        <w:t xml:space="preserve">Polityka spójności 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W ramach polityki spójności Polska otrzymała </w:t>
      </w:r>
      <w:r w:rsidRPr="007D0F94">
        <w:rPr>
          <w:rFonts w:asciiTheme="minorHAnsi" w:hAnsiTheme="minorHAnsi"/>
          <w:b/>
        </w:rPr>
        <w:t>1</w:t>
      </w:r>
      <w:r w:rsidR="00F2051B" w:rsidRPr="007D0F94">
        <w:rPr>
          <w:rFonts w:asciiTheme="minorHAnsi" w:hAnsiTheme="minorHAnsi"/>
          <w:b/>
        </w:rPr>
        <w:t>,</w:t>
      </w:r>
      <w:r w:rsidRPr="007D0F94">
        <w:rPr>
          <w:rFonts w:asciiTheme="minorHAnsi" w:hAnsiTheme="minorHAnsi"/>
          <w:b/>
        </w:rPr>
        <w:t>8</w:t>
      </w:r>
      <w:r w:rsidR="00F2051B" w:rsidRPr="007D0F94">
        <w:rPr>
          <w:rFonts w:asciiTheme="minorHAnsi" w:hAnsiTheme="minorHAnsi"/>
          <w:b/>
        </w:rPr>
        <w:t>4</w:t>
      </w:r>
      <w:r w:rsidRPr="007D0F94">
        <w:rPr>
          <w:rFonts w:asciiTheme="minorHAnsi" w:hAnsiTheme="minorHAnsi"/>
          <w:b/>
        </w:rPr>
        <w:t>6 ml</w:t>
      </w:r>
      <w:r w:rsidR="00F2051B" w:rsidRPr="007D0F94">
        <w:rPr>
          <w:rFonts w:asciiTheme="minorHAnsi" w:hAnsiTheme="minorHAnsi"/>
          <w:b/>
        </w:rPr>
        <w:t>d</w:t>
      </w:r>
      <w:r w:rsidRPr="007D0F94">
        <w:rPr>
          <w:rFonts w:asciiTheme="minorHAnsi" w:hAnsiTheme="minorHAnsi"/>
          <w:b/>
        </w:rPr>
        <w:t xml:space="preserve"> EUR</w:t>
      </w:r>
      <w:r w:rsidRPr="007D0F94">
        <w:rPr>
          <w:rFonts w:asciiTheme="minorHAnsi" w:hAnsiTheme="minorHAnsi"/>
        </w:rPr>
        <w:t>, w tym:</w:t>
      </w:r>
    </w:p>
    <w:p w:rsidR="00E2128A" w:rsidRPr="007D0F94" w:rsidRDefault="00E2128A" w:rsidP="00E2128A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  <w:b/>
        </w:rPr>
        <w:t>1</w:t>
      </w:r>
      <w:r w:rsidR="00F2051B" w:rsidRPr="007D0F94">
        <w:rPr>
          <w:rFonts w:asciiTheme="minorHAnsi" w:hAnsiTheme="minorHAnsi"/>
          <w:b/>
        </w:rPr>
        <w:t>,115</w:t>
      </w:r>
      <w:r w:rsidRPr="007D0F94">
        <w:rPr>
          <w:rFonts w:asciiTheme="minorHAnsi" w:hAnsiTheme="minorHAnsi"/>
          <w:b/>
        </w:rPr>
        <w:t xml:space="preserve"> ml</w:t>
      </w:r>
      <w:r w:rsidR="00F2051B" w:rsidRPr="007D0F94">
        <w:rPr>
          <w:rFonts w:asciiTheme="minorHAnsi" w:hAnsiTheme="minorHAnsi"/>
          <w:b/>
        </w:rPr>
        <w:t>d</w:t>
      </w:r>
      <w:r w:rsidRPr="007D0F94">
        <w:rPr>
          <w:rFonts w:asciiTheme="minorHAnsi" w:hAnsiTheme="minorHAnsi"/>
          <w:b/>
        </w:rPr>
        <w:t xml:space="preserve"> EUR </w:t>
      </w:r>
      <w:r w:rsidRPr="007D0F94">
        <w:rPr>
          <w:rFonts w:asciiTheme="minorHAnsi" w:hAnsiTheme="minorHAnsi"/>
        </w:rPr>
        <w:t>z Europejskiego Funduszu Rozwoju Regionalnego,</w:t>
      </w:r>
    </w:p>
    <w:p w:rsidR="00450438" w:rsidRPr="007D0F94" w:rsidRDefault="00450438" w:rsidP="00E2128A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  <w:b/>
        </w:rPr>
        <w:t xml:space="preserve">581 mln EUR </w:t>
      </w:r>
      <w:r w:rsidRPr="007D0F94">
        <w:rPr>
          <w:rFonts w:asciiTheme="minorHAnsi" w:hAnsiTheme="minorHAnsi"/>
        </w:rPr>
        <w:t>z Funduszu Spójności,</w:t>
      </w:r>
    </w:p>
    <w:p w:rsidR="00E2128A" w:rsidRPr="007D0F94" w:rsidRDefault="00450438" w:rsidP="00E2128A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  <w:b/>
        </w:rPr>
        <w:t>150</w:t>
      </w:r>
      <w:r w:rsidR="00E2128A" w:rsidRPr="007D0F94">
        <w:rPr>
          <w:rFonts w:asciiTheme="minorHAnsi" w:hAnsiTheme="minorHAnsi"/>
          <w:b/>
        </w:rPr>
        <w:t xml:space="preserve"> mln EUR </w:t>
      </w:r>
      <w:r w:rsidR="00E2128A" w:rsidRPr="007D0F94">
        <w:rPr>
          <w:rFonts w:asciiTheme="minorHAnsi" w:hAnsiTheme="minorHAnsi"/>
        </w:rPr>
        <w:t>z Europejskiego Funduszu Społecznego.</w:t>
      </w:r>
    </w:p>
    <w:p w:rsidR="00E2128A" w:rsidRPr="007D0F94" w:rsidRDefault="00E2128A" w:rsidP="00E2128A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sz w:val="20"/>
          <w:szCs w:val="20"/>
          <w:u w:val="single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u w:val="single"/>
        </w:rPr>
      </w:pPr>
      <w:r w:rsidRPr="007D0F94">
        <w:rPr>
          <w:rFonts w:asciiTheme="minorHAnsi" w:hAnsiTheme="minorHAnsi"/>
          <w:u w:val="single"/>
        </w:rPr>
        <w:t>Wspólna polityka rolna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W ramach wspólnej polityki rolnej do Polski wpłynęło</w:t>
      </w:r>
      <w:r w:rsidRPr="007D0F94">
        <w:rPr>
          <w:rFonts w:asciiTheme="minorHAnsi" w:hAnsiTheme="minorHAnsi"/>
          <w:b/>
        </w:rPr>
        <w:t xml:space="preserve"> 2 mln EUR</w:t>
      </w:r>
      <w:r w:rsidRPr="007D0F94">
        <w:rPr>
          <w:rFonts w:asciiTheme="minorHAnsi" w:hAnsiTheme="minorHAnsi"/>
        </w:rPr>
        <w:t xml:space="preserve"> z tytułu działań realizowanych przez ARiMR (płatności bezpośrednie).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</w:rPr>
      </w:pPr>
    </w:p>
    <w:p w:rsidR="00E2128A" w:rsidRPr="007D0F94" w:rsidRDefault="00E2128A" w:rsidP="00E2128A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b/>
        </w:rPr>
      </w:pPr>
      <w:r w:rsidRPr="007D0F94">
        <w:rPr>
          <w:rFonts w:asciiTheme="minorHAnsi" w:hAnsiTheme="minorHAnsi"/>
        </w:rPr>
        <w:t xml:space="preserve">Napłynęły także środki z Instrumentu "Łącząc Europę" (CEF) w wysokości </w:t>
      </w:r>
      <w:r w:rsidR="005D263B" w:rsidRPr="007D0F94">
        <w:rPr>
          <w:rFonts w:asciiTheme="minorHAnsi" w:hAnsiTheme="minorHAnsi"/>
          <w:b/>
        </w:rPr>
        <w:t>149</w:t>
      </w:r>
      <w:r w:rsidRPr="007D0F94">
        <w:rPr>
          <w:rFonts w:asciiTheme="minorHAnsi" w:hAnsiTheme="minorHAnsi"/>
          <w:b/>
        </w:rPr>
        <w:t xml:space="preserve"> mln EUR.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u w:val="single"/>
        </w:rPr>
      </w:pPr>
      <w:r w:rsidRPr="007D0F94">
        <w:rPr>
          <w:rFonts w:asciiTheme="minorHAnsi" w:hAnsiTheme="minorHAnsi"/>
          <w:u w:val="single"/>
        </w:rPr>
        <w:t>Wpłaty do budżetu ogólnego UE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Składka przekazana przez Polskę do budżetu ogólnego UE wyniosła</w:t>
      </w:r>
      <w:r w:rsidR="005D263B" w:rsidRPr="007D0F94">
        <w:rPr>
          <w:rFonts w:asciiTheme="minorHAnsi" w:hAnsiTheme="minorHAnsi"/>
          <w:b/>
        </w:rPr>
        <w:t xml:space="preserve"> 450</w:t>
      </w:r>
      <w:r w:rsidRPr="007D0F94">
        <w:rPr>
          <w:rFonts w:asciiTheme="minorHAnsi" w:hAnsiTheme="minorHAnsi"/>
          <w:b/>
        </w:rPr>
        <w:t xml:space="preserve"> mln EUR</w:t>
      </w:r>
      <w:r w:rsidRPr="007D0F94">
        <w:rPr>
          <w:rFonts w:asciiTheme="minorHAnsi" w:hAnsiTheme="minorHAnsi"/>
        </w:rPr>
        <w:t>.</w:t>
      </w: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u w:val="single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7D0F94">
        <w:rPr>
          <w:rFonts w:asciiTheme="minorHAnsi" w:hAnsiTheme="minorHAnsi"/>
          <w:b/>
          <w:u w:val="single"/>
        </w:rPr>
        <w:t>Podsumowanie</w:t>
      </w:r>
    </w:p>
    <w:p w:rsidR="00E2128A" w:rsidRPr="007D0F94" w:rsidRDefault="00EF3B58" w:rsidP="00E2128A">
      <w:pPr>
        <w:pStyle w:val="Tekstpodstawowy"/>
        <w:tabs>
          <w:tab w:val="left" w:pos="284"/>
        </w:tabs>
        <w:spacing w:line="264" w:lineRule="auto"/>
        <w:rPr>
          <w:rFonts w:asciiTheme="minorHAnsi" w:hAnsiTheme="minorHAnsi"/>
          <w:szCs w:val="24"/>
        </w:rPr>
      </w:pPr>
      <w:r w:rsidRPr="007D0F94">
        <w:rPr>
          <w:rFonts w:asciiTheme="minorHAnsi" w:hAnsiTheme="minorHAnsi"/>
          <w:szCs w:val="24"/>
        </w:rPr>
        <w:t>W</w:t>
      </w:r>
      <w:r w:rsidR="00E2128A" w:rsidRPr="007D0F94">
        <w:rPr>
          <w:rFonts w:asciiTheme="minorHAnsi" w:hAnsiTheme="minorHAnsi"/>
          <w:szCs w:val="24"/>
        </w:rPr>
        <w:t xml:space="preserve"> </w:t>
      </w:r>
      <w:r w:rsidRPr="007D0F94">
        <w:rPr>
          <w:rFonts w:asciiTheme="minorHAnsi" w:hAnsiTheme="minorHAnsi"/>
        </w:rPr>
        <w:t>październiku</w:t>
      </w:r>
      <w:r w:rsidR="00E2128A" w:rsidRPr="007D0F94">
        <w:rPr>
          <w:rFonts w:asciiTheme="minorHAnsi" w:hAnsiTheme="minorHAnsi"/>
          <w:szCs w:val="24"/>
        </w:rPr>
        <w:t xml:space="preserve"> saldo rozliczeń pomiędzy Polską a budżetem UE było </w:t>
      </w:r>
      <w:r w:rsidR="005D263B" w:rsidRPr="007D0F94">
        <w:rPr>
          <w:rFonts w:asciiTheme="minorHAnsi" w:hAnsiTheme="minorHAnsi"/>
          <w:szCs w:val="24"/>
        </w:rPr>
        <w:t>dodatnie</w:t>
      </w:r>
      <w:r w:rsidR="00E2128A" w:rsidRPr="007D0F94">
        <w:rPr>
          <w:rFonts w:asciiTheme="minorHAnsi" w:hAnsiTheme="minorHAnsi"/>
          <w:szCs w:val="24"/>
        </w:rPr>
        <w:t xml:space="preserve"> i wyniosło: </w:t>
      </w:r>
    </w:p>
    <w:p w:rsidR="00E2128A" w:rsidRPr="007D0F94" w:rsidRDefault="005D263B" w:rsidP="00E2128A">
      <w:pPr>
        <w:pStyle w:val="Tekstpodstawowy"/>
        <w:tabs>
          <w:tab w:val="left" w:pos="284"/>
        </w:tabs>
        <w:spacing w:line="264" w:lineRule="auto"/>
        <w:rPr>
          <w:rFonts w:asciiTheme="minorHAnsi" w:hAnsiTheme="minorHAnsi"/>
          <w:szCs w:val="24"/>
        </w:rPr>
      </w:pPr>
      <w:r w:rsidRPr="007D0F94">
        <w:rPr>
          <w:rFonts w:asciiTheme="minorHAnsi" w:hAnsiTheme="minorHAnsi"/>
          <w:b/>
          <w:szCs w:val="24"/>
        </w:rPr>
        <w:t>+ 1,547</w:t>
      </w:r>
      <w:r w:rsidR="00E2128A" w:rsidRPr="007D0F94">
        <w:rPr>
          <w:rFonts w:asciiTheme="minorHAnsi" w:hAnsiTheme="minorHAnsi"/>
          <w:b/>
          <w:szCs w:val="24"/>
        </w:rPr>
        <w:t> ml</w:t>
      </w:r>
      <w:r w:rsidRPr="007D0F94">
        <w:rPr>
          <w:rFonts w:asciiTheme="minorHAnsi" w:hAnsiTheme="minorHAnsi"/>
          <w:b/>
          <w:szCs w:val="24"/>
        </w:rPr>
        <w:t>d</w:t>
      </w:r>
      <w:r w:rsidR="00E2128A" w:rsidRPr="007D0F94">
        <w:rPr>
          <w:rFonts w:asciiTheme="minorHAnsi" w:hAnsiTheme="minorHAnsi"/>
          <w:b/>
          <w:szCs w:val="24"/>
        </w:rPr>
        <w:t> EUR</w:t>
      </w:r>
      <w:r w:rsidR="00E2128A" w:rsidRPr="007D0F94">
        <w:rPr>
          <w:rFonts w:asciiTheme="minorHAnsi" w:hAnsiTheme="minorHAnsi"/>
          <w:szCs w:val="24"/>
        </w:rPr>
        <w:t>.</w:t>
      </w:r>
    </w:p>
    <w:p w:rsidR="00E2128A" w:rsidRPr="007D0F94" w:rsidRDefault="00E2128A" w:rsidP="00E2128A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szCs w:val="24"/>
        </w:rPr>
      </w:pPr>
    </w:p>
    <w:p w:rsidR="00E2128A" w:rsidRPr="007D0F94" w:rsidRDefault="00E2128A" w:rsidP="00E2128A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b/>
          <w:u w:val="single"/>
        </w:rPr>
      </w:pPr>
    </w:p>
    <w:p w:rsidR="00E2128A" w:rsidRPr="007D0F94" w:rsidRDefault="00E2128A" w:rsidP="00E2128A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7D0F94">
        <w:rPr>
          <w:rFonts w:asciiTheme="minorHAnsi" w:hAnsiTheme="minorHAnsi"/>
          <w:b/>
          <w:u w:val="single"/>
        </w:rPr>
        <w:t>I.2</w:t>
      </w:r>
      <w:r w:rsidRPr="007D0F94">
        <w:rPr>
          <w:rFonts w:asciiTheme="minorHAnsi" w:hAnsiTheme="minorHAnsi"/>
          <w:b/>
          <w:u w:val="single"/>
        </w:rPr>
        <w:tab/>
        <w:t>Rozliczenia Polski z budżetem UE od p</w:t>
      </w:r>
      <w:r w:rsidR="005B2988">
        <w:rPr>
          <w:rFonts w:asciiTheme="minorHAnsi" w:hAnsiTheme="minorHAnsi"/>
          <w:b/>
          <w:u w:val="single"/>
        </w:rPr>
        <w:t>oczątku członkostwa Polski w UE</w:t>
      </w:r>
    </w:p>
    <w:p w:rsidR="00BA355E" w:rsidRDefault="005D263B" w:rsidP="009C1BCE">
      <w:pPr>
        <w:pStyle w:val="Tekstpodstawowy"/>
        <w:tabs>
          <w:tab w:val="left" w:pos="567"/>
        </w:tabs>
        <w:spacing w:line="264" w:lineRule="auto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W październiku </w:t>
      </w:r>
      <w:r w:rsidR="00E2128A" w:rsidRPr="007D0F94">
        <w:rPr>
          <w:rFonts w:asciiTheme="minorHAnsi" w:hAnsiTheme="minorHAnsi"/>
        </w:rPr>
        <w:t xml:space="preserve">saldo rozliczeń pomiędzy Polską a budżetem UE osiągnęło </w:t>
      </w:r>
      <w:r w:rsidRPr="007D0F94">
        <w:rPr>
          <w:rFonts w:asciiTheme="minorHAnsi" w:hAnsiTheme="minorHAnsi"/>
          <w:b/>
        </w:rPr>
        <w:t>+129,</w:t>
      </w:r>
      <w:r w:rsidR="00C92EFB" w:rsidRPr="007D0F94">
        <w:rPr>
          <w:rFonts w:asciiTheme="minorHAnsi" w:hAnsiTheme="minorHAnsi"/>
          <w:b/>
        </w:rPr>
        <w:t>31</w:t>
      </w:r>
      <w:r w:rsidR="007B4346" w:rsidRPr="007D0F94">
        <w:rPr>
          <w:rFonts w:asciiTheme="minorHAnsi" w:hAnsiTheme="minorHAnsi"/>
          <w:b/>
        </w:rPr>
        <w:t>7</w:t>
      </w:r>
      <w:r w:rsidR="00E2128A" w:rsidRPr="007D0F94">
        <w:rPr>
          <w:rFonts w:asciiTheme="minorHAnsi" w:hAnsiTheme="minorHAnsi"/>
          <w:b/>
        </w:rPr>
        <w:t xml:space="preserve"> mld EUR</w:t>
      </w:r>
      <w:r w:rsidR="00E2128A" w:rsidRPr="007D0F94">
        <w:rPr>
          <w:rFonts w:asciiTheme="minorHAnsi" w:hAnsiTheme="minorHAnsi"/>
        </w:rPr>
        <w:t xml:space="preserve">. Całkowita wartość transferów z budżetu UE do Polski wyniosła </w:t>
      </w:r>
      <w:r w:rsidR="007B4346" w:rsidRPr="007D0F94">
        <w:rPr>
          <w:rFonts w:asciiTheme="minorHAnsi" w:hAnsiTheme="minorHAnsi"/>
          <w:b/>
        </w:rPr>
        <w:t>190,843</w:t>
      </w:r>
      <w:r w:rsidR="00E2128A" w:rsidRPr="007D0F94">
        <w:rPr>
          <w:rFonts w:asciiTheme="minorHAnsi" w:hAnsiTheme="minorHAnsi"/>
        </w:rPr>
        <w:t xml:space="preserve"> </w:t>
      </w:r>
      <w:r w:rsidR="00E2128A" w:rsidRPr="007D0F94">
        <w:rPr>
          <w:rFonts w:asciiTheme="minorHAnsi" w:hAnsiTheme="minorHAnsi"/>
          <w:b/>
        </w:rPr>
        <w:t>mld EUR</w:t>
      </w:r>
      <w:r w:rsidR="00E2128A" w:rsidRPr="007D0F94">
        <w:rPr>
          <w:rFonts w:asciiTheme="minorHAnsi" w:hAnsiTheme="minorHAnsi"/>
        </w:rPr>
        <w:t>. Składka odprowadzona do budżetu UE osiągnęła</w:t>
      </w:r>
      <w:r w:rsidR="007B4346" w:rsidRPr="007D0F94">
        <w:rPr>
          <w:rFonts w:asciiTheme="minorHAnsi" w:hAnsiTheme="minorHAnsi"/>
          <w:b/>
        </w:rPr>
        <w:t xml:space="preserve"> 61,356</w:t>
      </w:r>
      <w:r w:rsidR="00E2128A" w:rsidRPr="007D0F94">
        <w:rPr>
          <w:rFonts w:asciiTheme="minorHAnsi" w:hAnsiTheme="minorHAnsi"/>
          <w:b/>
        </w:rPr>
        <w:t xml:space="preserve"> mld EUR</w:t>
      </w:r>
      <w:r w:rsidR="00E2128A" w:rsidRPr="007D0F94">
        <w:rPr>
          <w:rFonts w:asciiTheme="minorHAnsi" w:hAnsiTheme="minorHAnsi"/>
        </w:rPr>
        <w:t xml:space="preserve">, natomiast kwota zwrócona do budżetu UE wyniosła </w:t>
      </w:r>
      <w:r w:rsidR="00E2128A" w:rsidRPr="007D0F94">
        <w:rPr>
          <w:rFonts w:asciiTheme="minorHAnsi" w:hAnsiTheme="minorHAnsi"/>
          <w:b/>
        </w:rPr>
        <w:t>170 mln EUR</w:t>
      </w:r>
      <w:r w:rsidR="00E2128A" w:rsidRPr="007D0F94">
        <w:rPr>
          <w:rFonts w:asciiTheme="minorHAnsi" w:hAnsiTheme="minorHAnsi"/>
        </w:rPr>
        <w:t>.</w:t>
      </w:r>
    </w:p>
    <w:p w:rsidR="00E2128A" w:rsidRPr="00A17610" w:rsidRDefault="00BA355E" w:rsidP="00A17610">
      <w:pPr>
        <w:rPr>
          <w:rFonts w:asciiTheme="minorHAnsi" w:eastAsia="Times New Roman" w:hAnsiTheme="minorHAnsi"/>
          <w:szCs w:val="20"/>
          <w:lang w:eastAsia="pl-PL"/>
        </w:rPr>
      </w:pPr>
      <w:r>
        <w:rPr>
          <w:rFonts w:asciiTheme="minorHAnsi" w:hAnsiTheme="minorHAnsi"/>
        </w:rPr>
        <w:br w:type="page"/>
      </w:r>
    </w:p>
    <w:p w:rsidR="000664A5" w:rsidRPr="007D0F94" w:rsidRDefault="00E2128A" w:rsidP="000664A5">
      <w:pPr>
        <w:pStyle w:val="Tekstpodstawowy"/>
        <w:spacing w:line="264" w:lineRule="auto"/>
        <w:ind w:left="567" w:hanging="567"/>
        <w:rPr>
          <w:rFonts w:asciiTheme="minorHAnsi" w:hAnsiTheme="minorHAnsi"/>
          <w:b/>
          <w:szCs w:val="24"/>
          <w:u w:val="single"/>
        </w:rPr>
      </w:pPr>
      <w:r w:rsidRPr="007D0F94">
        <w:rPr>
          <w:rFonts w:asciiTheme="minorHAnsi" w:hAnsiTheme="minorHAnsi"/>
          <w:b/>
          <w:szCs w:val="24"/>
          <w:u w:val="single"/>
        </w:rPr>
        <w:lastRenderedPageBreak/>
        <w:t>II.</w:t>
      </w:r>
      <w:r w:rsidRPr="007D0F94">
        <w:rPr>
          <w:rFonts w:asciiTheme="minorHAnsi" w:hAnsiTheme="minorHAnsi"/>
          <w:b/>
          <w:szCs w:val="24"/>
          <w:u w:val="single"/>
        </w:rPr>
        <w:tab/>
        <w:t>ZAGADNIENIA ZWIĄZANE Z BUDŻETEM UNII EUROPEJSKIEJ, TRANSFERY FINANSOWE BUDŻET UE – PAŃSTWA CZŁONKOWSKIE</w:t>
      </w:r>
    </w:p>
    <w:p w:rsidR="00CB2CFA" w:rsidRPr="00E545B3" w:rsidRDefault="00CB2CFA" w:rsidP="009C1BCE">
      <w:pPr>
        <w:pStyle w:val="Tekstpodstawowy"/>
        <w:spacing w:line="264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4F72F9" w:rsidRPr="007D0F94" w:rsidRDefault="004F72F9" w:rsidP="009C1BCE">
      <w:pPr>
        <w:tabs>
          <w:tab w:val="left" w:pos="567"/>
        </w:tabs>
        <w:ind w:left="567" w:hanging="567"/>
        <w:jc w:val="both"/>
        <w:rPr>
          <w:rFonts w:asciiTheme="minorHAnsi" w:hAnsiTheme="minorHAnsi"/>
          <w:b/>
          <w:bCs/>
          <w:u w:val="single"/>
        </w:rPr>
      </w:pPr>
      <w:r w:rsidRPr="007D0F94">
        <w:rPr>
          <w:rFonts w:asciiTheme="minorHAnsi" w:hAnsiTheme="minorHAnsi"/>
          <w:b/>
          <w:bCs/>
          <w:u w:val="single"/>
        </w:rPr>
        <w:t xml:space="preserve">II.1  </w:t>
      </w:r>
      <w:r w:rsidRPr="007D0F94">
        <w:rPr>
          <w:rFonts w:asciiTheme="minorHAnsi" w:hAnsiTheme="minorHAnsi"/>
          <w:b/>
          <w:bCs/>
          <w:u w:val="single"/>
        </w:rPr>
        <w:tab/>
        <w:t>Autopoprawka Komisji Europejskiej - list korygujący nr 1 do projektu budżetu UE na rok 2021 (AL1/2021).</w:t>
      </w:r>
    </w:p>
    <w:p w:rsidR="004F72F9" w:rsidRPr="00E545B3" w:rsidRDefault="004F72F9" w:rsidP="004F72F9">
      <w:pPr>
        <w:spacing w:line="288" w:lineRule="auto"/>
        <w:jc w:val="both"/>
        <w:rPr>
          <w:rFonts w:asciiTheme="minorHAnsi" w:eastAsia="Times New Roman" w:hAnsiTheme="minorHAnsi"/>
          <w:sz w:val="16"/>
          <w:szCs w:val="16"/>
          <w:lang w:eastAsia="de-DE"/>
        </w:rPr>
      </w:pPr>
    </w:p>
    <w:p w:rsidR="009C1BCE" w:rsidRDefault="004F72F9" w:rsidP="004F72F9">
      <w:pPr>
        <w:jc w:val="both"/>
        <w:rPr>
          <w:rFonts w:asciiTheme="minorHAnsi" w:hAnsiTheme="minorHAnsi"/>
          <w:noProof/>
        </w:rPr>
      </w:pPr>
      <w:r w:rsidRPr="007D0F94">
        <w:rPr>
          <w:rFonts w:asciiTheme="minorHAnsi" w:hAnsiTheme="minorHAnsi"/>
          <w:noProof/>
        </w:rPr>
        <w:t>13 listopada br. Komisja Europejska (KE) przedstawiła list korygujący nr 1 (AL1/2021) do projektu budżetu ogólnego UE na rok 2021 (dokument COM(2020)74</w:t>
      </w:r>
      <w:r w:rsidR="000A6B3B">
        <w:rPr>
          <w:rFonts w:asciiTheme="minorHAnsi" w:hAnsiTheme="minorHAnsi"/>
          <w:noProof/>
        </w:rPr>
        <w:t>8</w:t>
      </w:r>
      <w:r w:rsidRPr="007D0F94">
        <w:rPr>
          <w:rFonts w:asciiTheme="minorHAnsi" w:hAnsiTheme="minorHAnsi"/>
          <w:noProof/>
        </w:rPr>
        <w:t xml:space="preserve">). </w:t>
      </w:r>
    </w:p>
    <w:p w:rsidR="004F72F9" w:rsidRPr="007D0F94" w:rsidRDefault="004F72F9" w:rsidP="007B1E56">
      <w:pPr>
        <w:spacing w:before="120"/>
        <w:jc w:val="both"/>
        <w:rPr>
          <w:rFonts w:asciiTheme="minorHAnsi" w:hAnsiTheme="minorHAnsi"/>
          <w:noProof/>
        </w:rPr>
      </w:pPr>
      <w:r w:rsidRPr="007D0F94">
        <w:rPr>
          <w:rFonts w:asciiTheme="minorHAnsi" w:hAnsiTheme="minorHAnsi"/>
        </w:rPr>
        <w:t>Główne elementy AL1/2021:</w:t>
      </w:r>
    </w:p>
    <w:p w:rsidR="004F72F9" w:rsidRPr="007D0F94" w:rsidRDefault="004F72F9" w:rsidP="004F72F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7B1E56">
        <w:rPr>
          <w:rFonts w:asciiTheme="minorHAnsi" w:hAnsiTheme="minorHAnsi"/>
          <w:u w:val="single"/>
        </w:rPr>
        <w:t>Uwzględnienie porozumienia pomiędzy Radą a Parlamentem Europejskim</w:t>
      </w:r>
      <w:r w:rsidR="000A6B3B" w:rsidRPr="007B1E56">
        <w:rPr>
          <w:rFonts w:asciiTheme="minorHAnsi" w:hAnsiTheme="minorHAnsi"/>
          <w:u w:val="single"/>
        </w:rPr>
        <w:t xml:space="preserve"> (PE)</w:t>
      </w:r>
      <w:r w:rsidRPr="007B1E56">
        <w:rPr>
          <w:rFonts w:asciiTheme="minorHAnsi" w:hAnsiTheme="minorHAnsi"/>
          <w:u w:val="single"/>
        </w:rPr>
        <w:t xml:space="preserve"> w sprawie kolejnych Wieloletnich Ram Finansowych</w:t>
      </w:r>
      <w:r w:rsidR="009C1BCE" w:rsidRPr="007B1E56">
        <w:rPr>
          <w:rFonts w:asciiTheme="minorHAnsi" w:hAnsiTheme="minorHAnsi"/>
          <w:u w:val="single"/>
        </w:rPr>
        <w:t xml:space="preserve"> UE</w:t>
      </w:r>
      <w:r w:rsidRPr="007B1E56">
        <w:rPr>
          <w:rFonts w:asciiTheme="minorHAnsi" w:hAnsiTheme="minorHAnsi"/>
          <w:u w:val="single"/>
        </w:rPr>
        <w:t xml:space="preserve"> (WRF) na lata 2021-27</w:t>
      </w:r>
      <w:r w:rsidRPr="007D0F94">
        <w:rPr>
          <w:rFonts w:asciiTheme="minorHAnsi" w:hAnsiTheme="minorHAnsi"/>
        </w:rPr>
        <w:t xml:space="preserve"> osiągniętego 10 listopada br. Ma ono wpływ na szereg programów i instrumentów specjalnych odnośnie do poziomu środków, struktury działów i nomenklatury.</w:t>
      </w:r>
    </w:p>
    <w:p w:rsidR="000A6B3B" w:rsidRPr="000A6B3B" w:rsidRDefault="004F72F9" w:rsidP="000A6B3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7B1E56">
        <w:rPr>
          <w:rFonts w:asciiTheme="minorHAnsi" w:hAnsiTheme="minorHAnsi"/>
          <w:u w:val="single"/>
        </w:rPr>
        <w:t>Aktualizacja szacowanych potrzeb, dochodów przeznaczonych na określony</w:t>
      </w:r>
      <w:r w:rsidR="000A6B3B" w:rsidRPr="007B1E56">
        <w:rPr>
          <w:rFonts w:asciiTheme="minorHAnsi" w:hAnsiTheme="minorHAnsi"/>
          <w:u w:val="single"/>
        </w:rPr>
        <w:t xml:space="preserve"> cel i środków na wydatki rolne</w:t>
      </w:r>
      <w:r w:rsidR="000A6B3B">
        <w:rPr>
          <w:rFonts w:asciiTheme="minorHAnsi" w:hAnsiTheme="minorHAnsi"/>
        </w:rPr>
        <w:t xml:space="preserve"> związana</w:t>
      </w:r>
      <w:r w:rsidR="000A6B3B" w:rsidRPr="000A6B3B">
        <w:rPr>
          <w:rFonts w:asciiTheme="minorHAnsi" w:hAnsiTheme="minorHAnsi"/>
        </w:rPr>
        <w:t xml:space="preserve"> z zakończeniem roku rolnego, które p</w:t>
      </w:r>
      <w:r w:rsidR="000A6B3B">
        <w:rPr>
          <w:rFonts w:asciiTheme="minorHAnsi" w:hAnsiTheme="minorHAnsi"/>
        </w:rPr>
        <w:t>rzypada w połowie października.</w:t>
      </w:r>
    </w:p>
    <w:p w:rsidR="004F72F9" w:rsidRPr="007D0F94" w:rsidRDefault="004F72F9" w:rsidP="004F72F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Korekty wynikające z przedłożenia Komitetowi Agencji Wykonawczych, Radzie i </w:t>
      </w:r>
      <w:r w:rsidR="009C1BCE">
        <w:rPr>
          <w:rFonts w:asciiTheme="minorHAnsi" w:hAnsiTheme="minorHAnsi"/>
        </w:rPr>
        <w:t>PE</w:t>
      </w:r>
      <w:r w:rsidRPr="007D0F94">
        <w:rPr>
          <w:rFonts w:asciiTheme="minorHAnsi" w:hAnsiTheme="minorHAnsi"/>
        </w:rPr>
        <w:t xml:space="preserve"> wniosku dotyczącego aktu ustawodawczego określając</w:t>
      </w:r>
      <w:r w:rsidR="00E545B3">
        <w:rPr>
          <w:rFonts w:asciiTheme="minorHAnsi" w:hAnsiTheme="minorHAnsi"/>
        </w:rPr>
        <w:t>ego mandat</w:t>
      </w:r>
      <w:r w:rsidR="005B2988">
        <w:rPr>
          <w:rFonts w:asciiTheme="minorHAnsi" w:hAnsiTheme="minorHAnsi"/>
        </w:rPr>
        <w:t xml:space="preserve"> i zadania</w:t>
      </w:r>
      <w:r w:rsidRPr="007D0F94">
        <w:rPr>
          <w:rFonts w:asciiTheme="minorHAnsi" w:hAnsiTheme="minorHAnsi"/>
        </w:rPr>
        <w:t xml:space="preserve"> nowych agencji wykonawczych od 2021 roku.</w:t>
      </w:r>
    </w:p>
    <w:p w:rsidR="000A6B3B" w:rsidRPr="00A250A9" w:rsidRDefault="004F72F9" w:rsidP="000A6B3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Dostosowanie poziomu środków niektórych agencji zdec</w:t>
      </w:r>
      <w:r w:rsidR="00E545B3">
        <w:rPr>
          <w:rFonts w:asciiTheme="minorHAnsi" w:hAnsiTheme="minorHAnsi"/>
        </w:rPr>
        <w:t>entralizowanych uwzględniające</w:t>
      </w:r>
      <w:r w:rsidRPr="007D0F94">
        <w:rPr>
          <w:rFonts w:asciiTheme="minorHAnsi" w:hAnsiTheme="minorHAnsi"/>
        </w:rPr>
        <w:t xml:space="preserve"> najnowsze zmiany legislacyjne lub polityczne, w szczególności wpływ zaproponowanego przez KE „Pakietu zdrowotnego</w:t>
      </w:r>
      <w:r w:rsidR="006C01E7">
        <w:rPr>
          <w:rStyle w:val="Odwoanieprzypisudolnego"/>
          <w:rFonts w:asciiTheme="minorHAnsi" w:hAnsiTheme="minorHAnsi"/>
        </w:rPr>
        <w:footnoteReference w:id="1"/>
      </w:r>
      <w:r w:rsidRPr="007D0F94">
        <w:rPr>
          <w:rFonts w:asciiTheme="minorHAnsi" w:hAnsiTheme="minorHAnsi"/>
        </w:rPr>
        <w:t>”.</w:t>
      </w:r>
    </w:p>
    <w:p w:rsidR="004F72F9" w:rsidRPr="007D0F94" w:rsidRDefault="004F72F9" w:rsidP="004F72F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Korekty w dziale 7 budżetu UE (Europejska Administracja Publiczna), w tym m.in. wpływ obniżenia wskaźnika aktualizacji wynagrodzeń od 1 lipca br. z 0,9% do 0,7%.</w:t>
      </w:r>
    </w:p>
    <w:p w:rsidR="00BA355E" w:rsidRDefault="00BA355E" w:rsidP="004F72F9">
      <w:pPr>
        <w:jc w:val="both"/>
        <w:rPr>
          <w:rFonts w:asciiTheme="minorHAnsi" w:hAnsiTheme="minorHAnsi"/>
        </w:rPr>
      </w:pPr>
    </w:p>
    <w:p w:rsidR="004F72F9" w:rsidRPr="007D0F94" w:rsidRDefault="004F72F9" w:rsidP="004F72F9">
      <w:pPr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Wpływ netto AL 1/2021 na wydatki w projekcie budżetu UE na rok 2021 </w:t>
      </w:r>
      <w:r w:rsidRPr="007B1E56">
        <w:rPr>
          <w:rFonts w:asciiTheme="minorHAnsi" w:hAnsiTheme="minorHAnsi"/>
          <w:b/>
        </w:rPr>
        <w:t>to zmniejszenie o 2 mld 608 mln EUR środków na zobowiązania oraz wzrost o 2 mld 609 mln EUR środków na płatności.</w:t>
      </w:r>
    </w:p>
    <w:p w:rsidR="004F72F9" w:rsidRPr="00E545B3" w:rsidRDefault="004F72F9" w:rsidP="004F72F9">
      <w:pPr>
        <w:rPr>
          <w:rFonts w:asciiTheme="minorHAnsi" w:hAnsiTheme="minorHAnsi"/>
          <w:sz w:val="6"/>
          <w:szCs w:val="6"/>
        </w:rPr>
      </w:pPr>
    </w:p>
    <w:p w:rsidR="004F72F9" w:rsidRPr="007D0F94" w:rsidRDefault="004F72F9" w:rsidP="004F72F9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  <w:r w:rsidRPr="007D0F94">
        <w:rPr>
          <w:rFonts w:asciiTheme="minorHAnsi" w:eastAsiaTheme="minorHAnsi" w:hAnsiTheme="minorHAnsi" w:cs="TimesNewRomanPSMT"/>
        </w:rPr>
        <w:t>21 listopada br. prezydencja niemiecka przedstawiła propozycję zrewidowanego mandatu Rady</w:t>
      </w:r>
      <w:r w:rsidR="000A6B3B">
        <w:rPr>
          <w:rFonts w:asciiTheme="minorHAnsi" w:eastAsiaTheme="minorHAnsi" w:hAnsiTheme="minorHAnsi" w:cs="TimesNewRomanPSMT"/>
        </w:rPr>
        <w:t xml:space="preserve"> UE</w:t>
      </w:r>
      <w:r w:rsidRPr="007D0F94">
        <w:rPr>
          <w:rFonts w:asciiTheme="minorHAnsi" w:eastAsiaTheme="minorHAnsi" w:hAnsiTheme="minorHAnsi" w:cs="TimesNewRomanPSMT"/>
        </w:rPr>
        <w:t xml:space="preserve"> odnośnie do projektu budżetu UE na rok 2021 w perspektywie </w:t>
      </w:r>
      <w:r w:rsidR="000A6B3B">
        <w:rPr>
          <w:rFonts w:asciiTheme="minorHAnsi" w:eastAsiaTheme="minorHAnsi" w:hAnsiTheme="minorHAnsi" w:cs="TimesNewRomanPSMT"/>
        </w:rPr>
        <w:t>trwających od 17 listopada br. (w ramach tzw. procedury pojednawczej)</w:t>
      </w:r>
      <w:r w:rsidRPr="007D0F94">
        <w:rPr>
          <w:rFonts w:asciiTheme="minorHAnsi" w:eastAsiaTheme="minorHAnsi" w:hAnsiTheme="minorHAnsi" w:cs="TimesNewRomanPSMT"/>
        </w:rPr>
        <w:t xml:space="preserve"> negocjacji z </w:t>
      </w:r>
      <w:r w:rsidR="000A6B3B">
        <w:rPr>
          <w:rFonts w:asciiTheme="minorHAnsi" w:eastAsiaTheme="minorHAnsi" w:hAnsiTheme="minorHAnsi" w:cs="TimesNewRomanPSMT"/>
        </w:rPr>
        <w:t>PE</w:t>
      </w:r>
      <w:r w:rsidRPr="007D0F94">
        <w:rPr>
          <w:rFonts w:asciiTheme="minorHAnsi" w:eastAsiaTheme="minorHAnsi" w:hAnsiTheme="minorHAnsi" w:cs="TimesNewRomanPSMT"/>
        </w:rPr>
        <w:t xml:space="preserve">. Podejście Rady zakłada, że podstawą negocjacji z PE będzie stanowisko Rady przyjęte 29 września br., które jest w dużej mierze zgodne z AL1/2020. </w:t>
      </w:r>
      <w:r w:rsidR="007B1E56">
        <w:rPr>
          <w:rFonts w:asciiTheme="minorHAnsi" w:eastAsiaTheme="minorHAnsi" w:hAnsiTheme="minorHAnsi" w:cs="TimesNewRomanPSMT"/>
        </w:rPr>
        <w:t>Przewiduje</w:t>
      </w:r>
      <w:r w:rsidRPr="007D0F94">
        <w:rPr>
          <w:rFonts w:asciiTheme="minorHAnsi" w:eastAsiaTheme="minorHAnsi" w:hAnsiTheme="minorHAnsi" w:cs="TimesNewRomanPSMT"/>
        </w:rPr>
        <w:t xml:space="preserve"> ono uwzględnienie </w:t>
      </w:r>
      <w:r w:rsidRPr="007B1E56">
        <w:rPr>
          <w:rFonts w:asciiTheme="minorHAnsi" w:eastAsiaTheme="minorHAnsi" w:hAnsiTheme="minorHAnsi" w:cs="TimesNewRomanPSMT"/>
          <w:u w:val="single"/>
        </w:rPr>
        <w:t xml:space="preserve">konkluzji Rady Europejskiej z lipca br. oraz politycznego porozumienia w sprawie </w:t>
      </w:r>
      <w:r w:rsidR="000A6B3B" w:rsidRPr="007B1E56">
        <w:rPr>
          <w:rFonts w:asciiTheme="minorHAnsi" w:eastAsiaTheme="minorHAnsi" w:hAnsiTheme="minorHAnsi" w:cs="TimesNewRomanPSMT"/>
          <w:u w:val="single"/>
        </w:rPr>
        <w:t>WRF</w:t>
      </w:r>
      <w:r w:rsidRPr="007B1E56">
        <w:rPr>
          <w:rFonts w:asciiTheme="minorHAnsi" w:eastAsiaTheme="minorHAnsi" w:hAnsiTheme="minorHAnsi" w:cs="TimesNewRomanPSMT"/>
          <w:u w:val="single"/>
        </w:rPr>
        <w:t xml:space="preserve"> na lata 2021-27 osiągniętego 10 listopada br</w:t>
      </w:r>
      <w:r w:rsidRPr="007D0F94">
        <w:rPr>
          <w:rFonts w:asciiTheme="minorHAnsi" w:eastAsiaTheme="minorHAnsi" w:hAnsiTheme="minorHAnsi" w:cs="TimesNewRomanPSMT"/>
        </w:rPr>
        <w:t>. Dotyczy to m.in. zwiększenia środków na zob</w:t>
      </w:r>
      <w:r w:rsidR="007B1E56">
        <w:rPr>
          <w:rFonts w:asciiTheme="minorHAnsi" w:eastAsiaTheme="minorHAnsi" w:hAnsiTheme="minorHAnsi" w:cs="TimesNewRomanPSMT"/>
        </w:rPr>
        <w:t>owiązania dla programów Erasmus</w:t>
      </w:r>
      <w:r w:rsidRPr="007D0F94">
        <w:rPr>
          <w:rFonts w:asciiTheme="minorHAnsi" w:eastAsiaTheme="minorHAnsi" w:hAnsiTheme="minorHAnsi" w:cs="TimesNewRomanPSMT"/>
        </w:rPr>
        <w:t xml:space="preserve">+ oraz </w:t>
      </w:r>
      <w:r w:rsidR="007B1E56">
        <w:rPr>
          <w:rFonts w:asciiTheme="minorHAnsi" w:eastAsiaTheme="minorHAnsi" w:hAnsiTheme="minorHAnsi" w:cs="TimesNewRomanPSMT"/>
        </w:rPr>
        <w:t xml:space="preserve">programu zdrowotnego </w:t>
      </w:r>
      <w:r w:rsidRPr="007D0F94">
        <w:rPr>
          <w:rFonts w:asciiTheme="minorHAnsi" w:eastAsiaTheme="minorHAnsi" w:hAnsiTheme="minorHAnsi" w:cs="TimesNewRomanPSMT"/>
        </w:rPr>
        <w:t>EU4Health (odpowiednio o 17</w:t>
      </w:r>
      <w:r w:rsidR="007B1E56">
        <w:rPr>
          <w:rFonts w:asciiTheme="minorHAnsi" w:eastAsiaTheme="minorHAnsi" w:hAnsiTheme="minorHAnsi" w:cs="TimesNewRomanPSMT"/>
        </w:rPr>
        <w:t>5,1 mln EUR i 74,3 mln EUR) i o </w:t>
      </w:r>
      <w:r w:rsidRPr="007D0F94">
        <w:rPr>
          <w:rFonts w:asciiTheme="minorHAnsi" w:eastAsiaTheme="minorHAnsi" w:hAnsiTheme="minorHAnsi" w:cs="TimesNewRomanPSMT"/>
        </w:rPr>
        <w:t>odpowiadające i</w:t>
      </w:r>
      <w:r w:rsidR="007B1E56">
        <w:rPr>
          <w:rFonts w:asciiTheme="minorHAnsi" w:eastAsiaTheme="minorHAnsi" w:hAnsiTheme="minorHAnsi" w:cs="TimesNewRomanPSMT"/>
        </w:rPr>
        <w:t xml:space="preserve">m kwoty środków na płatności. W </w:t>
      </w:r>
      <w:r w:rsidRPr="007D0F94">
        <w:rPr>
          <w:rFonts w:asciiTheme="minorHAnsi" w:eastAsiaTheme="minorHAnsi" w:hAnsiTheme="minorHAnsi" w:cs="TimesNewRomanPSMT"/>
        </w:rPr>
        <w:t>porównaniu do stanowiska z września br. zrewidowane podejście Rady podnosi środki na zobowiązania o 1 mld 98 mln EUR i środki na płatności o 526 mln EUR.</w:t>
      </w:r>
    </w:p>
    <w:p w:rsidR="007B1E56" w:rsidRDefault="004F72F9" w:rsidP="000A6B3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  <w:r w:rsidRPr="007D0F94">
        <w:rPr>
          <w:rFonts w:asciiTheme="minorHAnsi" w:eastAsiaTheme="minorHAnsi" w:hAnsiTheme="minorHAnsi" w:cs="TimesNewRomanPSMT"/>
        </w:rPr>
        <w:t>Rada akceptuje także projekt budżetu korygującego nr 10 do budżetu U</w:t>
      </w:r>
      <w:r w:rsidR="007B1E56">
        <w:rPr>
          <w:rFonts w:asciiTheme="minorHAnsi" w:eastAsiaTheme="minorHAnsi" w:hAnsiTheme="minorHAnsi" w:cs="TimesNewRomanPSMT"/>
        </w:rPr>
        <w:t>E na rok 2020 w </w:t>
      </w:r>
      <w:r w:rsidRPr="007D0F94">
        <w:rPr>
          <w:rFonts w:asciiTheme="minorHAnsi" w:eastAsiaTheme="minorHAnsi" w:hAnsiTheme="minorHAnsi" w:cs="TimesNewRomanPSMT"/>
        </w:rPr>
        <w:t>ksz</w:t>
      </w:r>
      <w:r w:rsidR="000A6B3B">
        <w:rPr>
          <w:rFonts w:asciiTheme="minorHAnsi" w:eastAsiaTheme="minorHAnsi" w:hAnsiTheme="minorHAnsi" w:cs="TimesNewRomanPSMT"/>
        </w:rPr>
        <w:t>tałcie zaproponowanym przez KE</w:t>
      </w:r>
      <w:r w:rsidR="000A6B3B" w:rsidRPr="000A6B3B">
        <w:rPr>
          <w:rFonts w:asciiTheme="minorHAnsi" w:eastAsiaTheme="minorHAnsi" w:hAnsiTheme="minorHAnsi" w:cs="TimesNewRomanPSMT"/>
        </w:rPr>
        <w:t>, ale postanowiła negocjować go razem z</w:t>
      </w:r>
      <w:r w:rsidR="000A6B3B">
        <w:rPr>
          <w:rFonts w:asciiTheme="minorHAnsi" w:eastAsiaTheme="minorHAnsi" w:hAnsiTheme="minorHAnsi" w:cs="TimesNewRomanPSMT"/>
        </w:rPr>
        <w:t xml:space="preserve"> </w:t>
      </w:r>
      <w:r w:rsidR="000A6B3B" w:rsidRPr="000A6B3B">
        <w:rPr>
          <w:rFonts w:asciiTheme="minorHAnsi" w:eastAsiaTheme="minorHAnsi" w:hAnsiTheme="minorHAnsi" w:cs="TimesNewRomanPSMT"/>
        </w:rPr>
        <w:t xml:space="preserve">projektem budżetu UE na rok 2021. </w:t>
      </w:r>
    </w:p>
    <w:p w:rsidR="00A17610" w:rsidRDefault="00A17610" w:rsidP="000A6B3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</w:p>
    <w:p w:rsidR="00A17610" w:rsidRDefault="00A17610" w:rsidP="000A6B3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</w:p>
    <w:p w:rsidR="00A17610" w:rsidRDefault="00A17610" w:rsidP="000A6B3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</w:p>
    <w:p w:rsidR="00A17610" w:rsidRDefault="00A17610" w:rsidP="000A6B3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</w:p>
    <w:p w:rsidR="004F72F9" w:rsidRDefault="000A6B3B" w:rsidP="000A6B3B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  <w:r w:rsidRPr="000A6B3B">
        <w:rPr>
          <w:rFonts w:asciiTheme="minorHAnsi" w:eastAsiaTheme="minorHAnsi" w:hAnsiTheme="minorHAnsi" w:cs="TimesNewRomanPSMT"/>
        </w:rPr>
        <w:t>Procedura pojednawcza Rady i PE będzie trwała do 7 grudnia br.</w:t>
      </w:r>
      <w:r>
        <w:rPr>
          <w:rFonts w:asciiTheme="minorHAnsi" w:eastAsiaTheme="minorHAnsi" w:hAnsiTheme="minorHAnsi" w:cs="TimesNewRomanPSMT"/>
        </w:rPr>
        <w:t xml:space="preserve"> </w:t>
      </w:r>
      <w:r w:rsidRPr="000A6B3B">
        <w:rPr>
          <w:rFonts w:asciiTheme="minorHAnsi" w:eastAsiaTheme="minorHAnsi" w:hAnsiTheme="minorHAnsi" w:cs="TimesNewRomanPSMT"/>
        </w:rPr>
        <w:t xml:space="preserve">Jednakże warunkiem koniecznym akceptacji obecnego projektu budżetu UE na rok 2021 jest wcześniejsze </w:t>
      </w:r>
      <w:r w:rsidR="007B1E56">
        <w:rPr>
          <w:rFonts w:asciiTheme="minorHAnsi" w:eastAsiaTheme="minorHAnsi" w:hAnsiTheme="minorHAnsi" w:cs="TimesNewRomanPSMT"/>
        </w:rPr>
        <w:t>uzgodnienie</w:t>
      </w:r>
      <w:r w:rsidRPr="000A6B3B">
        <w:rPr>
          <w:rFonts w:asciiTheme="minorHAnsi" w:eastAsiaTheme="minorHAnsi" w:hAnsiTheme="minorHAnsi" w:cs="TimesNewRomanPSMT"/>
        </w:rPr>
        <w:t xml:space="preserve"> WRF na lata 2021-27</w:t>
      </w:r>
      <w:r w:rsidR="007B1E56">
        <w:rPr>
          <w:rFonts w:asciiTheme="minorHAnsi" w:eastAsiaTheme="minorHAnsi" w:hAnsiTheme="minorHAnsi" w:cs="TimesNewRomanPSMT"/>
        </w:rPr>
        <w:t>.</w:t>
      </w:r>
    </w:p>
    <w:p w:rsidR="000A6B3B" w:rsidRPr="007D0F94" w:rsidRDefault="000A6B3B" w:rsidP="004F72F9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</w:p>
    <w:p w:rsidR="004F72F9" w:rsidRPr="007D0F94" w:rsidRDefault="00AF71A3" w:rsidP="00AF71A3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t>II.2</w:t>
      </w:r>
      <w:r>
        <w:rPr>
          <w:rFonts w:asciiTheme="minorHAnsi" w:hAnsiTheme="minorHAnsi"/>
          <w:b/>
          <w:szCs w:val="20"/>
          <w:u w:val="single"/>
        </w:rPr>
        <w:tab/>
      </w:r>
      <w:r w:rsidR="004F72F9" w:rsidRPr="007D0F94">
        <w:rPr>
          <w:rFonts w:asciiTheme="minorHAnsi" w:hAnsiTheme="minorHAnsi"/>
          <w:b/>
          <w:szCs w:val="20"/>
          <w:u w:val="single"/>
        </w:rPr>
        <w:t>Sprawozdanie roczne Europejskiego Trybunału Obrachunkowego z wykonania budżetu UE za rok budżetowy 2019</w:t>
      </w:r>
    </w:p>
    <w:p w:rsidR="004F72F9" w:rsidRPr="007D0F94" w:rsidRDefault="004F72F9" w:rsidP="004F72F9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  <w:szCs w:val="20"/>
        </w:rPr>
      </w:pPr>
    </w:p>
    <w:p w:rsidR="004F72F9" w:rsidRPr="007D0F94" w:rsidRDefault="004F72F9" w:rsidP="00AF71A3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</w:rPr>
      </w:pPr>
      <w:r w:rsidRPr="007D0F94">
        <w:rPr>
          <w:rFonts w:asciiTheme="minorHAnsi" w:eastAsiaTheme="minorHAnsi" w:hAnsiTheme="minorHAnsi" w:cs="TimesNewRomanPSMT"/>
        </w:rPr>
        <w:t>10 listopada br. Europejski Trybunał Obrachunkowy (ETO) op</w:t>
      </w:r>
      <w:r w:rsidR="001E2F6D">
        <w:rPr>
          <w:rFonts w:asciiTheme="minorHAnsi" w:eastAsiaTheme="minorHAnsi" w:hAnsiTheme="minorHAnsi" w:cs="TimesNewRomanPSMT"/>
        </w:rPr>
        <w:t>ublikował sprawozdanie roczne z </w:t>
      </w:r>
      <w:r w:rsidRPr="007D0F94">
        <w:rPr>
          <w:rFonts w:asciiTheme="minorHAnsi" w:eastAsiaTheme="minorHAnsi" w:hAnsiTheme="minorHAnsi" w:cs="TimesNewRomanPSMT"/>
        </w:rPr>
        <w:t xml:space="preserve">wykonania budżetu UE za </w:t>
      </w:r>
      <w:r w:rsidR="007B1E56">
        <w:rPr>
          <w:rFonts w:asciiTheme="minorHAnsi" w:eastAsiaTheme="minorHAnsi" w:hAnsiTheme="minorHAnsi" w:cs="TimesNewRomanPSMT"/>
        </w:rPr>
        <w:t xml:space="preserve">rok </w:t>
      </w:r>
      <w:r w:rsidRPr="007D0F94">
        <w:rPr>
          <w:rFonts w:asciiTheme="minorHAnsi" w:eastAsiaTheme="minorHAnsi" w:hAnsiTheme="minorHAnsi" w:cs="TimesNewRomanPSMT"/>
        </w:rPr>
        <w:t xml:space="preserve">2019 dotyczące wiarygodności rozliczeń i prawidłowości transakcji finansowych. ETO sprawdził m.in. czy transakcje przeprowadzone w ramach zarządzania budżetem UE były zgodne z obowiązującymi przepisami oraz czy skonsolidowane sprawozdanie finansowe rzetelnie przedstawia sytuację finansową. Na tej podstawie ETO wydał poświadczenie wiarygodności (tzw. DAS) z wykonania budżetu UE. </w:t>
      </w:r>
      <w:r w:rsidR="000A6B3B">
        <w:rPr>
          <w:rFonts w:asciiTheme="minorHAnsi" w:eastAsiaTheme="minorHAnsi" w:hAnsiTheme="minorHAnsi" w:cs="TimesNewRomanPSMT"/>
        </w:rPr>
        <w:t>Dzięki temu</w:t>
      </w:r>
      <w:r w:rsidRPr="007D0F94">
        <w:rPr>
          <w:rFonts w:asciiTheme="minorHAnsi" w:eastAsiaTheme="minorHAnsi" w:hAnsiTheme="minorHAnsi" w:cs="TimesNewRomanPSMT"/>
        </w:rPr>
        <w:t xml:space="preserve"> Rada UE i </w:t>
      </w:r>
      <w:r w:rsidR="000A6B3B">
        <w:rPr>
          <w:rFonts w:asciiTheme="minorHAnsi" w:eastAsiaTheme="minorHAnsi" w:hAnsiTheme="minorHAnsi" w:cs="TimesNewRomanPSMT"/>
        </w:rPr>
        <w:t xml:space="preserve">PE będą mogły udzielić w roku 2021 </w:t>
      </w:r>
      <w:r w:rsidRPr="007D0F94">
        <w:rPr>
          <w:rFonts w:asciiTheme="minorHAnsi" w:eastAsiaTheme="minorHAnsi" w:hAnsiTheme="minorHAnsi" w:cs="TimesNewRomanPSMT"/>
        </w:rPr>
        <w:t xml:space="preserve">absolutorium (tzw. </w:t>
      </w:r>
      <w:proofErr w:type="spellStart"/>
      <w:r w:rsidRPr="007D0F94">
        <w:rPr>
          <w:rFonts w:asciiTheme="minorHAnsi" w:eastAsiaTheme="minorHAnsi" w:hAnsiTheme="minorHAnsi" w:cs="TimesNewRomanPSMT"/>
        </w:rPr>
        <w:t>d</w:t>
      </w:r>
      <w:r w:rsidR="000A6B3B">
        <w:rPr>
          <w:rFonts w:asciiTheme="minorHAnsi" w:eastAsiaTheme="minorHAnsi" w:hAnsiTheme="minorHAnsi" w:cs="TimesNewRomanPSMT"/>
        </w:rPr>
        <w:t>ischarge</w:t>
      </w:r>
      <w:proofErr w:type="spellEnd"/>
      <w:r w:rsidR="000A6B3B">
        <w:rPr>
          <w:rFonts w:asciiTheme="minorHAnsi" w:eastAsiaTheme="minorHAnsi" w:hAnsiTheme="minorHAnsi" w:cs="TimesNewRomanPSMT"/>
        </w:rPr>
        <w:t>) z wykonania budżetu UE</w:t>
      </w:r>
      <w:r w:rsidR="005B2988">
        <w:rPr>
          <w:rFonts w:asciiTheme="minorHAnsi" w:eastAsiaTheme="minorHAnsi" w:hAnsiTheme="minorHAnsi" w:cs="TimesNewRomanPSMT"/>
        </w:rPr>
        <w:t>.</w:t>
      </w:r>
    </w:p>
    <w:p w:rsidR="004F72F9" w:rsidRPr="007D0F94" w:rsidRDefault="004F72F9" w:rsidP="007B1E5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Dochody budżetu UE w roku 2019 wyniosły </w:t>
      </w:r>
      <w:r w:rsidRPr="007D0F94">
        <w:rPr>
          <w:rFonts w:asciiTheme="minorHAnsi" w:hAnsiTheme="minorHAnsi"/>
          <w:b/>
        </w:rPr>
        <w:t>163,9 mld EUR</w:t>
      </w:r>
      <w:r w:rsidRPr="007D0F94">
        <w:rPr>
          <w:rFonts w:asciiTheme="minorHAnsi" w:hAnsiTheme="minorHAnsi"/>
        </w:rPr>
        <w:t xml:space="preserve">, natomiast wydatki wyniosły </w:t>
      </w:r>
      <w:r w:rsidRPr="007D0F94">
        <w:rPr>
          <w:rFonts w:asciiTheme="minorHAnsi" w:hAnsiTheme="minorHAnsi"/>
          <w:b/>
        </w:rPr>
        <w:t>159,1 mld EUR</w:t>
      </w:r>
      <w:r w:rsidRPr="007D0F94">
        <w:rPr>
          <w:rFonts w:asciiTheme="minorHAnsi" w:hAnsiTheme="minorHAnsi"/>
        </w:rPr>
        <w:t>, z czego kontrolą objęto 126,1 mld EUR (ze względu na cykl wdrażania część wydatków, np. z obszaru spójności, zostanie skontrolowana w ram</w:t>
      </w:r>
      <w:r w:rsidR="005B2988">
        <w:rPr>
          <w:rFonts w:asciiTheme="minorHAnsi" w:hAnsiTheme="minorHAnsi"/>
        </w:rPr>
        <w:t xml:space="preserve">ach sprawozdania za rok 2020). </w:t>
      </w:r>
      <w:r w:rsidRPr="007D0F94">
        <w:rPr>
          <w:rFonts w:asciiTheme="minorHAnsi" w:eastAsiaTheme="minorHAnsi" w:hAnsiTheme="minorHAnsi" w:cs="TimesNewRomanPSMT"/>
        </w:rPr>
        <w:t>W swym sprawozdaniu za rok 2019 ETO stwierdził, że dochody budżetu UE były legalne i prawidłowe we wszystkich istotnych aspektach, jednak wydał opinię negatywną na temat legalności i prawidłowości wydatków. Według ETO ogólny szacowany poziom błędu w wydatkach za rok 2019 r. wynosi 2,7% (w roku 2018 było to 2,6%).</w:t>
      </w:r>
      <w:r w:rsidRPr="007D0F94">
        <w:rPr>
          <w:rFonts w:asciiTheme="minorHAnsi" w:hAnsiTheme="minorHAnsi"/>
        </w:rPr>
        <w:t xml:space="preserve"> </w:t>
      </w:r>
    </w:p>
    <w:p w:rsidR="004F72F9" w:rsidRPr="001E2F6D" w:rsidRDefault="004F72F9" w:rsidP="007B1E56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TimesNewRomanPSMT"/>
        </w:rPr>
      </w:pPr>
      <w:r w:rsidRPr="007D0F94">
        <w:rPr>
          <w:rFonts w:asciiTheme="minorHAnsi" w:eastAsiaTheme="minorHAnsi" w:hAnsiTheme="minorHAnsi" w:cs="TimesNewRomanPSMT"/>
        </w:rPr>
        <w:t>W ponad połowie wydatków wystąpił istotny poziom błędu (głównie w wydatkach dokonywanych na zasadzie zwrotu kosztów, dla których szacowany poziom błędu wyniósł 4,9%). W opinii ETO wykryte błędy mają istotny i rozległy wpływ na zatwierdzone wydatki za rok 2019. Należy tu zaznaczyć, że szacowany poziom błędu dla roku 2018 wyniósł</w:t>
      </w:r>
      <w:r w:rsidR="001E2F6D">
        <w:rPr>
          <w:rFonts w:asciiTheme="minorHAnsi" w:eastAsiaTheme="minorHAnsi" w:hAnsiTheme="minorHAnsi" w:cs="TimesNewRomanPSMT"/>
        </w:rPr>
        <w:t xml:space="preserve"> 2,6%, czyli był jedynie o </w:t>
      </w:r>
      <w:r w:rsidRPr="007D0F94">
        <w:rPr>
          <w:rFonts w:asciiTheme="minorHAnsi" w:eastAsiaTheme="minorHAnsi" w:hAnsiTheme="minorHAnsi" w:cs="TimesNewRomanPSMT"/>
        </w:rPr>
        <w:t xml:space="preserve">0,1 punktu procentowego niższy, a mimo to według ETO nie miał charakteru rozległego. Ponadto w wydatkach dokonywanych na zasadzie zwrotu kosztów ostateczna wysokość poziomu błędu będzie znana po zakończeniu wieloletniego cyklu wdrażania projektów. W wydatkach opartych na uprawnieniach do płatności (przepisy uproszczone) nie wystąpił istotny poziom błędu. </w:t>
      </w:r>
      <w:r w:rsidRPr="007D0F94">
        <w:rPr>
          <w:rFonts w:asciiTheme="minorHAnsi" w:hAnsiTheme="minorHAnsi"/>
        </w:rPr>
        <w:t xml:space="preserve">Poniższy wykres przedstawia zmiany szacowanego poziom błędu w latach 2015-2019. </w:t>
      </w:r>
    </w:p>
    <w:p w:rsidR="004F72F9" w:rsidRPr="007D0F94" w:rsidRDefault="004F72F9" w:rsidP="007B1E5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W ostatnich trzech latach poziom ten nie przekroczył 3%.</w:t>
      </w:r>
    </w:p>
    <w:p w:rsidR="004F72F9" w:rsidRPr="007D0F94" w:rsidRDefault="004F72F9" w:rsidP="004F72F9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i/>
          <w:sz w:val="20"/>
          <w:szCs w:val="20"/>
        </w:rPr>
      </w:pPr>
      <w:r w:rsidRPr="007D0F94">
        <w:rPr>
          <w:rFonts w:asciiTheme="minorHAnsi" w:hAnsiTheme="minorHAnsi"/>
          <w:noProof/>
          <w:lang w:eastAsia="pl-PL"/>
        </w:rPr>
        <w:lastRenderedPageBreak/>
        <w:drawing>
          <wp:inline distT="0" distB="0" distL="0" distR="0" wp14:anchorId="28AD80E4" wp14:editId="23367F80">
            <wp:extent cx="5527055" cy="2679404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272" cy="269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F9" w:rsidRPr="007D0F94" w:rsidRDefault="004F72F9" w:rsidP="004F72F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D0F94">
        <w:rPr>
          <w:rFonts w:asciiTheme="minorHAnsi" w:eastAsiaTheme="minorHAnsi" w:hAnsiTheme="minorHAnsi" w:cs="TimesNewRomanPSMT"/>
          <w:i/>
          <w:sz w:val="20"/>
          <w:szCs w:val="20"/>
        </w:rPr>
        <w:t>Źródło: Sprawozdanie roczne ETO za rok 2019</w:t>
      </w:r>
    </w:p>
    <w:p w:rsidR="004F72F9" w:rsidRPr="007D0F94" w:rsidRDefault="004F72F9" w:rsidP="007B1E56">
      <w:pPr>
        <w:tabs>
          <w:tab w:val="left" w:pos="567"/>
        </w:tabs>
        <w:spacing w:before="120"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Bardziej skomplikowany charakter przepisów prowadzi do większej liczby błędów, co szczególnie dotyczy działów 1A „Konkurencyjność”, 1B „Spójność” i 2 „Zasoby naturalne”. </w:t>
      </w:r>
    </w:p>
    <w:p w:rsidR="004F72F9" w:rsidRPr="007D0F94" w:rsidRDefault="004F72F9" w:rsidP="004F72F9">
      <w:pPr>
        <w:tabs>
          <w:tab w:val="left" w:pos="567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W 2019 r. istotny poziom błędu stwierdzono w następujących grupach polityk: „Spójność gospodarcza, społeczna i terytorialna” (4,4%, spadek z 5% w roku 2018) oraz „Konkurencyjność na rzecz wzrostu gospodarczego i zatrudnienia” (4%, wzrost z 2% w roku 2018). W przypadku działu 2</w:t>
      </w:r>
      <w:r w:rsidR="001E2F6D">
        <w:rPr>
          <w:rFonts w:asciiTheme="minorHAnsi" w:hAnsiTheme="minorHAnsi"/>
        </w:rPr>
        <w:t xml:space="preserve"> „Zasoby naturalne” ETO uznał, </w:t>
      </w:r>
      <w:r w:rsidRPr="007D0F94">
        <w:rPr>
          <w:rFonts w:asciiTheme="minorHAnsi" w:hAnsiTheme="minorHAnsi"/>
        </w:rPr>
        <w:t>uwzględniając szacowan</w:t>
      </w:r>
      <w:r w:rsidR="001E2F6D">
        <w:rPr>
          <w:rFonts w:asciiTheme="minorHAnsi" w:hAnsiTheme="minorHAnsi"/>
        </w:rPr>
        <w:t>y poziomu błędu (1,9%, spadek z </w:t>
      </w:r>
      <w:r w:rsidRPr="007D0F94">
        <w:rPr>
          <w:rFonts w:asciiTheme="minorHAnsi" w:hAnsiTheme="minorHAnsi"/>
        </w:rPr>
        <w:t xml:space="preserve">2,4% </w:t>
      </w:r>
      <w:r w:rsidR="001E2F6D">
        <w:rPr>
          <w:rFonts w:asciiTheme="minorHAnsi" w:hAnsiTheme="minorHAnsi"/>
        </w:rPr>
        <w:t>rok wcześniej</w:t>
      </w:r>
      <w:r w:rsidRPr="007D0F94">
        <w:rPr>
          <w:rFonts w:asciiTheme="minorHAnsi" w:hAnsiTheme="minorHAnsi"/>
        </w:rPr>
        <w:t>), że poziom ten jes</w:t>
      </w:r>
      <w:r w:rsidR="000A6B3B">
        <w:rPr>
          <w:rFonts w:asciiTheme="minorHAnsi" w:hAnsiTheme="minorHAnsi"/>
        </w:rPr>
        <w:t>t zbliżony do progu istotności wydatków.</w:t>
      </w:r>
    </w:p>
    <w:p w:rsidR="004F72F9" w:rsidRPr="007D0F94" w:rsidRDefault="004F72F9" w:rsidP="007B1E56">
      <w:pPr>
        <w:tabs>
          <w:tab w:val="left" w:pos="567"/>
        </w:tabs>
        <w:spacing w:after="120"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Wykres poniżej przedstawia szacowane poziomy błędu w wybranych obszarach wydatków U</w:t>
      </w:r>
      <w:r w:rsidR="001E2F6D">
        <w:rPr>
          <w:rFonts w:asciiTheme="minorHAnsi" w:hAnsiTheme="minorHAnsi"/>
        </w:rPr>
        <w:t>E w </w:t>
      </w:r>
      <w:r w:rsidRPr="007D0F94">
        <w:rPr>
          <w:rFonts w:asciiTheme="minorHAnsi" w:hAnsiTheme="minorHAnsi"/>
        </w:rPr>
        <w:t>latach 2017 – 2019.</w:t>
      </w:r>
    </w:p>
    <w:p w:rsidR="004F72F9" w:rsidRPr="007D0F94" w:rsidRDefault="004F72F9" w:rsidP="004F72F9">
      <w:pPr>
        <w:tabs>
          <w:tab w:val="left" w:pos="567"/>
        </w:tabs>
        <w:spacing w:line="264" w:lineRule="auto"/>
        <w:jc w:val="both"/>
        <w:rPr>
          <w:rFonts w:asciiTheme="minorHAnsi" w:hAnsiTheme="minorHAnsi"/>
          <w:noProof/>
          <w:lang w:eastAsia="pl-PL"/>
        </w:rPr>
      </w:pPr>
      <w:r w:rsidRPr="007D0F94">
        <w:rPr>
          <w:rFonts w:asciiTheme="minorHAnsi" w:hAnsiTheme="minorHAnsi"/>
          <w:noProof/>
          <w:lang w:eastAsia="pl-PL"/>
        </w:rPr>
        <w:drawing>
          <wp:inline distT="0" distB="0" distL="0" distR="0" wp14:anchorId="7CC60EB7" wp14:editId="552F6BAE">
            <wp:extent cx="5761249" cy="3324611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k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36" cy="33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F9" w:rsidRPr="007D0F94" w:rsidRDefault="004F72F9" w:rsidP="004F72F9">
      <w:pPr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TimesNewRomanPSMT"/>
          <w:i/>
          <w:sz w:val="20"/>
          <w:szCs w:val="20"/>
        </w:rPr>
      </w:pPr>
      <w:r w:rsidRPr="007D0F94">
        <w:rPr>
          <w:rFonts w:asciiTheme="minorHAnsi" w:eastAsiaTheme="minorHAnsi" w:hAnsiTheme="minorHAnsi" w:cs="TimesNewRomanPSMT"/>
          <w:i/>
          <w:sz w:val="20"/>
          <w:szCs w:val="20"/>
        </w:rPr>
        <w:t>Źródło: Sprawozdanie roczne ETO za rok 2019</w:t>
      </w:r>
    </w:p>
    <w:p w:rsidR="00CC2207" w:rsidRDefault="004F72F9" w:rsidP="004F72F9">
      <w:pPr>
        <w:tabs>
          <w:tab w:val="left" w:pos="567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lastRenderedPageBreak/>
        <w:t>W 2019 r. największy udział w szacowanym poziomie błędu (łącznie 74 %) miały błę</w:t>
      </w:r>
      <w:r w:rsidR="00CC2207">
        <w:rPr>
          <w:rFonts w:asciiTheme="minorHAnsi" w:hAnsiTheme="minorHAnsi"/>
        </w:rPr>
        <w:t xml:space="preserve">dy dotyczące kwalifikowalności. </w:t>
      </w:r>
      <w:r w:rsidRPr="007D0F94">
        <w:rPr>
          <w:rFonts w:asciiTheme="minorHAnsi" w:hAnsiTheme="minorHAnsi"/>
        </w:rPr>
        <w:t>Kategoria ta obejmuje finansowanie niekwalifikowalnych projektów i działań, wybór niekwalifikujących się beneficjentów oraz uwzględnian</w:t>
      </w:r>
      <w:r w:rsidR="00CC2207">
        <w:rPr>
          <w:rFonts w:asciiTheme="minorHAnsi" w:hAnsiTheme="minorHAnsi"/>
        </w:rPr>
        <w:t>ie kosztó</w:t>
      </w:r>
      <w:r w:rsidR="007B1E56">
        <w:rPr>
          <w:rFonts w:asciiTheme="minorHAnsi" w:hAnsiTheme="minorHAnsi"/>
        </w:rPr>
        <w:t xml:space="preserve">w niekwalifikowanych w </w:t>
      </w:r>
      <w:r w:rsidR="005B2988">
        <w:rPr>
          <w:rFonts w:asciiTheme="minorHAnsi" w:hAnsiTheme="minorHAnsi"/>
        </w:rPr>
        <w:t>zestawieniach wydatków.</w:t>
      </w:r>
    </w:p>
    <w:p w:rsidR="004F72F9" w:rsidRDefault="004F72F9" w:rsidP="004F72F9">
      <w:pPr>
        <w:tabs>
          <w:tab w:val="left" w:pos="567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Poważne błędy dotyczące zamówień publicznych, procedur udzielania dotacji i pomocy państwa złożyły się na 20% szacowanego poziomu błędu. Pozostałe 6% szacowanego poziomu błędu dotyczy transakcji bez dokumentacji poświadczającej oraz innych błędów.</w:t>
      </w:r>
    </w:p>
    <w:p w:rsidR="004F72F9" w:rsidRPr="007D0F94" w:rsidRDefault="004F72F9" w:rsidP="007B1E56">
      <w:pPr>
        <w:tabs>
          <w:tab w:val="left" w:pos="567"/>
        </w:tabs>
        <w:spacing w:before="60"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Wykres poniżej przedstawia udział poszczególnych kategorii błędów w ogólnym poziomie błędu za 2019 r. w wydatkach obarczonych wysokim ryzykiem</w:t>
      </w:r>
      <w:r w:rsidRPr="007D0F94">
        <w:rPr>
          <w:rFonts w:asciiTheme="minorHAnsi" w:hAnsiTheme="minorHAnsi"/>
          <w:i/>
        </w:rPr>
        <w:t>.</w:t>
      </w:r>
    </w:p>
    <w:p w:rsidR="004F72F9" w:rsidRPr="007D0F94" w:rsidRDefault="004F72F9" w:rsidP="004F72F9">
      <w:pPr>
        <w:tabs>
          <w:tab w:val="left" w:pos="567"/>
        </w:tabs>
        <w:spacing w:line="264" w:lineRule="auto"/>
        <w:jc w:val="both"/>
        <w:rPr>
          <w:rFonts w:asciiTheme="minorHAnsi" w:hAnsiTheme="minorHAnsi"/>
          <w:i/>
        </w:rPr>
      </w:pPr>
      <w:r w:rsidRPr="007D0F94">
        <w:rPr>
          <w:rFonts w:asciiTheme="minorHAnsi" w:hAnsiTheme="minorHAnsi"/>
          <w:i/>
          <w:noProof/>
          <w:lang w:eastAsia="pl-PL"/>
        </w:rPr>
        <w:drawing>
          <wp:inline distT="0" distB="0" distL="0" distR="0" wp14:anchorId="1742CCF4" wp14:editId="78BD5ED7">
            <wp:extent cx="5303924" cy="3752740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ykre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24" cy="375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F9" w:rsidRPr="007D0F94" w:rsidRDefault="004F72F9" w:rsidP="00AF71A3">
      <w:pPr>
        <w:tabs>
          <w:tab w:val="left" w:pos="567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TimesNewRomanPSMT"/>
          <w:i/>
          <w:sz w:val="20"/>
          <w:szCs w:val="20"/>
        </w:rPr>
      </w:pPr>
      <w:r w:rsidRPr="007D0F94">
        <w:rPr>
          <w:rFonts w:asciiTheme="minorHAnsi" w:eastAsiaTheme="minorHAnsi" w:hAnsiTheme="minorHAnsi" w:cs="TimesNewRomanPSMT"/>
          <w:i/>
          <w:sz w:val="20"/>
          <w:szCs w:val="20"/>
        </w:rPr>
        <w:t>Źródło: Spr</w:t>
      </w:r>
      <w:r w:rsidR="00CC2207">
        <w:rPr>
          <w:rFonts w:asciiTheme="minorHAnsi" w:eastAsiaTheme="minorHAnsi" w:hAnsiTheme="minorHAnsi" w:cs="TimesNewRomanPSMT"/>
          <w:i/>
          <w:sz w:val="20"/>
          <w:szCs w:val="20"/>
        </w:rPr>
        <w:t>awozdanie roczne ETO za rok 2019</w:t>
      </w:r>
    </w:p>
    <w:p w:rsidR="00A244F3" w:rsidRPr="007B1E56" w:rsidRDefault="00A244F3" w:rsidP="004F72F9">
      <w:pPr>
        <w:pStyle w:val="Tekstpodstawowy"/>
        <w:spacing w:line="288" w:lineRule="auto"/>
        <w:rPr>
          <w:rFonts w:asciiTheme="minorHAnsi" w:hAnsiTheme="minorHAnsi"/>
          <w:b/>
          <w:sz w:val="20"/>
          <w:u w:val="single"/>
        </w:rPr>
      </w:pPr>
    </w:p>
    <w:p w:rsidR="004F72F9" w:rsidRPr="007D0F94" w:rsidRDefault="004F72F9" w:rsidP="00AF71A3">
      <w:pPr>
        <w:pStyle w:val="Tekstpodstawowy"/>
        <w:tabs>
          <w:tab w:val="left" w:pos="567"/>
        </w:tabs>
        <w:spacing w:line="288" w:lineRule="auto"/>
        <w:rPr>
          <w:rFonts w:asciiTheme="minorHAnsi" w:hAnsiTheme="minorHAnsi"/>
          <w:b/>
          <w:szCs w:val="24"/>
          <w:u w:val="single"/>
        </w:rPr>
      </w:pPr>
      <w:r w:rsidRPr="007D0F94">
        <w:rPr>
          <w:rFonts w:asciiTheme="minorHAnsi" w:hAnsiTheme="minorHAnsi"/>
          <w:b/>
          <w:szCs w:val="24"/>
          <w:u w:val="single"/>
        </w:rPr>
        <w:t xml:space="preserve">II.3 </w:t>
      </w:r>
      <w:r w:rsidRPr="007D0F94">
        <w:rPr>
          <w:rFonts w:asciiTheme="minorHAnsi" w:hAnsiTheme="minorHAnsi"/>
          <w:b/>
          <w:szCs w:val="24"/>
          <w:u w:val="single"/>
        </w:rPr>
        <w:tab/>
        <w:t xml:space="preserve">KE nakłada 60,5 mln EUR grzywny na firmy </w:t>
      </w:r>
      <w:proofErr w:type="spellStart"/>
      <w:r w:rsidRPr="007D0F94">
        <w:rPr>
          <w:rFonts w:asciiTheme="minorHAnsi" w:hAnsiTheme="minorHAnsi"/>
          <w:b/>
          <w:szCs w:val="24"/>
          <w:u w:val="single"/>
        </w:rPr>
        <w:t>Teva</w:t>
      </w:r>
      <w:proofErr w:type="spellEnd"/>
      <w:r w:rsidRPr="007D0F94">
        <w:rPr>
          <w:rFonts w:asciiTheme="minorHAnsi" w:hAnsiTheme="minorHAnsi"/>
          <w:b/>
          <w:szCs w:val="24"/>
          <w:u w:val="single"/>
        </w:rPr>
        <w:t xml:space="preserve"> i </w:t>
      </w:r>
      <w:proofErr w:type="spellStart"/>
      <w:r w:rsidRPr="007D0F94">
        <w:rPr>
          <w:rFonts w:asciiTheme="minorHAnsi" w:hAnsiTheme="minorHAnsi"/>
          <w:b/>
          <w:szCs w:val="24"/>
          <w:u w:val="single"/>
        </w:rPr>
        <w:t>Cephalon</w:t>
      </w:r>
      <w:proofErr w:type="spellEnd"/>
    </w:p>
    <w:p w:rsidR="004F72F9" w:rsidRPr="007D0F94" w:rsidRDefault="004F72F9" w:rsidP="007B1E56">
      <w:pPr>
        <w:tabs>
          <w:tab w:val="left" w:pos="567"/>
        </w:tabs>
        <w:spacing w:before="60"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Komunikatem z 26 listopada br. </w:t>
      </w:r>
      <w:r w:rsidR="000A6B3B">
        <w:rPr>
          <w:rFonts w:asciiTheme="minorHAnsi" w:hAnsiTheme="minorHAnsi"/>
        </w:rPr>
        <w:t xml:space="preserve">KE </w:t>
      </w:r>
      <w:r w:rsidRPr="007D0F94">
        <w:rPr>
          <w:rFonts w:asciiTheme="minorHAnsi" w:hAnsiTheme="minorHAnsi"/>
        </w:rPr>
        <w:t>poinformowała o nałożeniu</w:t>
      </w:r>
      <w:r w:rsidR="00AF71A3">
        <w:rPr>
          <w:rFonts w:asciiTheme="minorHAnsi" w:hAnsiTheme="minorHAnsi"/>
        </w:rPr>
        <w:t xml:space="preserve"> na firmy farmaceutyczne </w:t>
      </w:r>
      <w:proofErr w:type="spellStart"/>
      <w:r w:rsidR="00AF71A3">
        <w:rPr>
          <w:rFonts w:asciiTheme="minorHAnsi" w:hAnsiTheme="minorHAnsi"/>
        </w:rPr>
        <w:t>Teva</w:t>
      </w:r>
      <w:proofErr w:type="spellEnd"/>
      <w:r w:rsidR="00AF71A3">
        <w:rPr>
          <w:rFonts w:asciiTheme="minorHAnsi" w:hAnsiTheme="minorHAnsi"/>
        </w:rPr>
        <w:t xml:space="preserve"> i </w:t>
      </w:r>
      <w:proofErr w:type="spellStart"/>
      <w:r w:rsidRPr="007D0F94">
        <w:rPr>
          <w:rFonts w:asciiTheme="minorHAnsi" w:hAnsiTheme="minorHAnsi"/>
        </w:rPr>
        <w:t>Cephalon</w:t>
      </w:r>
      <w:proofErr w:type="spellEnd"/>
      <w:r w:rsidRPr="007D0F94">
        <w:rPr>
          <w:rFonts w:asciiTheme="minorHAnsi" w:hAnsiTheme="minorHAnsi"/>
        </w:rPr>
        <w:t xml:space="preserve"> grzywny w wysokości odpowiednio 30 mln EUR i 30,5 mln EUR (łącznie 60,5 mln EUR) w związku z celowym opóźnianiem wprowadzenia na rynek tańszej, generycznej wersji leku na bezsenność firmy </w:t>
      </w:r>
      <w:proofErr w:type="spellStart"/>
      <w:r w:rsidRPr="007D0F94">
        <w:rPr>
          <w:rFonts w:asciiTheme="minorHAnsi" w:hAnsiTheme="minorHAnsi"/>
        </w:rPr>
        <w:t>Cephalon</w:t>
      </w:r>
      <w:proofErr w:type="spellEnd"/>
      <w:r w:rsidRPr="007D0F94">
        <w:rPr>
          <w:rFonts w:asciiTheme="minorHAnsi" w:hAnsiTheme="minorHAnsi"/>
        </w:rPr>
        <w:t xml:space="preserve">. Skutkowało to utrzymaniem wyższej ceny na ww. lek, także po wygaśnięciu chroniącego go patentu, gdyż </w:t>
      </w:r>
      <w:proofErr w:type="spellStart"/>
      <w:r w:rsidRPr="007D0F94">
        <w:rPr>
          <w:rFonts w:asciiTheme="minorHAnsi" w:hAnsiTheme="minorHAnsi"/>
        </w:rPr>
        <w:t>Cephalon</w:t>
      </w:r>
      <w:proofErr w:type="spellEnd"/>
      <w:r w:rsidRPr="007D0F94">
        <w:rPr>
          <w:rFonts w:asciiTheme="minorHAnsi" w:hAnsiTheme="minorHAnsi"/>
        </w:rPr>
        <w:t xml:space="preserve"> płacił firmie </w:t>
      </w:r>
      <w:proofErr w:type="spellStart"/>
      <w:r w:rsidRPr="007D0F94">
        <w:rPr>
          <w:rFonts w:asciiTheme="minorHAnsi" w:hAnsiTheme="minorHAnsi"/>
        </w:rPr>
        <w:t>Teva</w:t>
      </w:r>
      <w:proofErr w:type="spellEnd"/>
      <w:r w:rsidRPr="007D0F94">
        <w:rPr>
          <w:rFonts w:asciiTheme="minorHAnsi" w:hAnsiTheme="minorHAnsi"/>
        </w:rPr>
        <w:t xml:space="preserve"> za zaniechanie produkcji tańszego odpowiednika. Sytuacja ta miała miejsce w latach 2005 - 2011.</w:t>
      </w:r>
    </w:p>
    <w:p w:rsidR="000664A5" w:rsidRDefault="004F72F9" w:rsidP="007D0F94">
      <w:pPr>
        <w:tabs>
          <w:tab w:val="left" w:pos="567"/>
        </w:tabs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>Działania takie stanowią naruszenie unijnych przepisów, które zakazują porozumień pomiędzy przedsiębiorstwami w celu ograniczenia konkurencji na obszarze UE.</w:t>
      </w:r>
      <w:r w:rsidR="007D0F94">
        <w:rPr>
          <w:rFonts w:asciiTheme="minorHAnsi" w:hAnsiTheme="minorHAnsi"/>
        </w:rPr>
        <w:t xml:space="preserve"> </w:t>
      </w:r>
      <w:r w:rsidRPr="007D0F94">
        <w:rPr>
          <w:rFonts w:asciiTheme="minorHAnsi" w:hAnsiTheme="minorHAnsi"/>
        </w:rPr>
        <w:t xml:space="preserve">Kary nałożone z tytułu naruszenia zasad konkurencji po wyczerpaniu długotrwałej </w:t>
      </w:r>
      <w:r w:rsidR="00AF71A3">
        <w:rPr>
          <w:rFonts w:asciiTheme="minorHAnsi" w:hAnsiTheme="minorHAnsi"/>
        </w:rPr>
        <w:t>procedury zasilają budżet UE. W </w:t>
      </w:r>
      <w:r w:rsidRPr="007D0F94">
        <w:rPr>
          <w:rFonts w:asciiTheme="minorHAnsi" w:hAnsiTheme="minorHAnsi"/>
        </w:rPr>
        <w:t xml:space="preserve">związku z tym składki </w:t>
      </w:r>
      <w:r w:rsidR="00B73BFF">
        <w:rPr>
          <w:rFonts w:asciiTheme="minorHAnsi" w:hAnsiTheme="minorHAnsi"/>
        </w:rPr>
        <w:t>odprowadzane</w:t>
      </w:r>
      <w:r w:rsidRPr="007D0F94">
        <w:rPr>
          <w:rFonts w:asciiTheme="minorHAnsi" w:hAnsiTheme="minorHAnsi"/>
        </w:rPr>
        <w:t xml:space="preserve"> przez państwa członkowskie do budżetu UE w kolejnym roku</w:t>
      </w:r>
      <w:r w:rsidR="00B73BFF">
        <w:rPr>
          <w:rFonts w:asciiTheme="minorHAnsi" w:hAnsiTheme="minorHAnsi"/>
        </w:rPr>
        <w:t xml:space="preserve"> </w:t>
      </w:r>
      <w:r w:rsidR="000A6B3B">
        <w:rPr>
          <w:rFonts w:asciiTheme="minorHAnsi" w:hAnsiTheme="minorHAnsi"/>
        </w:rPr>
        <w:t xml:space="preserve">po </w:t>
      </w:r>
      <w:r w:rsidR="000A6B3B" w:rsidRPr="00B73BFF">
        <w:rPr>
          <w:rFonts w:asciiTheme="minorHAnsi" w:hAnsiTheme="minorHAnsi"/>
        </w:rPr>
        <w:t>zabudżetowaniu wpłaty</w:t>
      </w:r>
      <w:r w:rsidRPr="00B73BFF">
        <w:rPr>
          <w:rFonts w:asciiTheme="minorHAnsi" w:hAnsiTheme="minorHAnsi"/>
        </w:rPr>
        <w:t xml:space="preserve"> są obniżane</w:t>
      </w:r>
      <w:r w:rsidRPr="007D0F94">
        <w:rPr>
          <w:rFonts w:asciiTheme="minorHAnsi" w:hAnsiTheme="minorHAnsi"/>
        </w:rPr>
        <w:t xml:space="preserve"> o kwotę pozyskaną z kar.</w:t>
      </w:r>
    </w:p>
    <w:p w:rsidR="000664A5" w:rsidRPr="007D0F94" w:rsidRDefault="000664A5" w:rsidP="000664A5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b/>
        </w:rPr>
      </w:pPr>
      <w:r w:rsidRPr="007D0F94">
        <w:rPr>
          <w:rFonts w:asciiTheme="minorHAnsi" w:hAnsiTheme="minorHAnsi"/>
          <w:b/>
          <w:u w:val="single"/>
        </w:rPr>
        <w:lastRenderedPageBreak/>
        <w:t>II.4</w:t>
      </w:r>
      <w:r w:rsidRPr="007D0F94">
        <w:rPr>
          <w:rFonts w:asciiTheme="minorHAnsi" w:hAnsiTheme="minorHAnsi"/>
          <w:b/>
          <w:u w:val="single"/>
        </w:rPr>
        <w:tab/>
        <w:t>Informacja KE nt. płatności pośrednich dla Europejskich Funduszy Strukturalnych</w:t>
      </w:r>
      <w:r w:rsidRPr="007D0F94">
        <w:rPr>
          <w:rFonts w:asciiTheme="minorHAnsi" w:hAnsiTheme="minorHAnsi"/>
          <w:b/>
        </w:rPr>
        <w:t xml:space="preserve"> </w:t>
      </w:r>
      <w:r w:rsidRPr="007D0F94">
        <w:rPr>
          <w:rFonts w:asciiTheme="minorHAnsi" w:hAnsiTheme="minorHAnsi"/>
          <w:b/>
          <w:u w:val="single"/>
        </w:rPr>
        <w:t>i Inwestycyjnych</w:t>
      </w:r>
      <w:r w:rsidRPr="007D0F94">
        <w:rPr>
          <w:rStyle w:val="Odwoanieprzypisudolnego"/>
          <w:rFonts w:asciiTheme="minorHAnsi" w:hAnsiTheme="minorHAnsi"/>
          <w:b/>
          <w:u w:val="single"/>
        </w:rPr>
        <w:footnoteReference w:id="2"/>
      </w:r>
      <w:r w:rsidRPr="007D0F94">
        <w:rPr>
          <w:rFonts w:asciiTheme="minorHAnsi" w:hAnsiTheme="minorHAnsi"/>
          <w:b/>
          <w:u w:val="single"/>
        </w:rPr>
        <w:t xml:space="preserve"> (EFSI), w ramach alokacji 2014 – 2020 na koniec </w:t>
      </w:r>
      <w:r w:rsidR="007B4346" w:rsidRPr="007D0F94">
        <w:rPr>
          <w:rFonts w:asciiTheme="minorHAnsi" w:hAnsiTheme="minorHAnsi"/>
          <w:b/>
          <w:u w:val="single"/>
        </w:rPr>
        <w:t>października</w:t>
      </w:r>
      <w:r w:rsidRPr="007D0F94">
        <w:rPr>
          <w:rFonts w:asciiTheme="minorHAnsi" w:hAnsiTheme="minorHAnsi"/>
          <w:b/>
          <w:u w:val="single"/>
        </w:rPr>
        <w:t xml:space="preserve"> 2020 r.</w:t>
      </w:r>
    </w:p>
    <w:p w:rsidR="000664A5" w:rsidRPr="007D0F94" w:rsidRDefault="000664A5" w:rsidP="000664A5">
      <w:pPr>
        <w:spacing w:line="264" w:lineRule="auto"/>
        <w:jc w:val="both"/>
        <w:rPr>
          <w:rFonts w:asciiTheme="minorHAnsi" w:hAnsiTheme="minorHAnsi"/>
        </w:rPr>
      </w:pPr>
      <w:r w:rsidRPr="007D0F94">
        <w:rPr>
          <w:rFonts w:asciiTheme="minorHAnsi" w:hAnsiTheme="minorHAnsi"/>
        </w:rPr>
        <w:t xml:space="preserve">Poniższa tabela zawiera informacje nt. płatności pośrednich dla programów EFSI w podziale na państwa członkowskie (P.Cz.). Od roku 2014 w formie płatności pośrednich za zobowiązania z okresu programowania 2014-2020 do P.Cz. napłynęło </w:t>
      </w:r>
      <w:r w:rsidR="00CB2CFA" w:rsidRPr="007D0F94">
        <w:rPr>
          <w:rFonts w:asciiTheme="minorHAnsi" w:hAnsiTheme="minorHAnsi" w:cs="Arial"/>
          <w:b/>
          <w:bCs/>
        </w:rPr>
        <w:t>203,6</w:t>
      </w:r>
      <w:r w:rsidRPr="007D0F94">
        <w:rPr>
          <w:rFonts w:asciiTheme="minorHAnsi" w:hAnsiTheme="minorHAnsi"/>
        </w:rPr>
        <w:t xml:space="preserve"> </w:t>
      </w:r>
      <w:r w:rsidRPr="007D0F94">
        <w:rPr>
          <w:rFonts w:asciiTheme="minorHAnsi" w:hAnsiTheme="minorHAnsi"/>
          <w:b/>
        </w:rPr>
        <w:t>mld EUR</w:t>
      </w:r>
      <w:r w:rsidRPr="007D0F94">
        <w:rPr>
          <w:rFonts w:asciiTheme="minorHAnsi" w:hAnsiTheme="minorHAnsi"/>
        </w:rPr>
        <w:t>. W samym roku 2020 płatności te wyniosły</w:t>
      </w:r>
      <w:r w:rsidR="00CB2CFA" w:rsidRPr="007D0F94">
        <w:rPr>
          <w:rFonts w:asciiTheme="minorHAnsi" w:hAnsiTheme="minorHAnsi"/>
          <w:b/>
        </w:rPr>
        <w:t xml:space="preserve"> 45,3</w:t>
      </w:r>
      <w:r w:rsidRPr="007D0F94">
        <w:rPr>
          <w:rFonts w:asciiTheme="minorHAnsi" w:hAnsiTheme="minorHAnsi"/>
          <w:b/>
        </w:rPr>
        <w:t xml:space="preserve"> mld EUR.</w:t>
      </w:r>
      <w:r w:rsidRPr="007D0F94">
        <w:rPr>
          <w:rFonts w:asciiTheme="minorHAnsi" w:hAnsiTheme="minorHAnsi"/>
        </w:rPr>
        <w:t xml:space="preserve"> Od roku 2014 do Polski napłynęło najwięcej środków: </w:t>
      </w:r>
      <w:r w:rsidR="00CB2CFA" w:rsidRPr="007D0F94">
        <w:rPr>
          <w:rFonts w:asciiTheme="minorHAnsi" w:hAnsiTheme="minorHAnsi"/>
          <w:b/>
        </w:rPr>
        <w:t>9,8 </w:t>
      </w:r>
      <w:r w:rsidRPr="007D0F94">
        <w:rPr>
          <w:rFonts w:asciiTheme="minorHAnsi" w:hAnsiTheme="minorHAnsi"/>
          <w:b/>
        </w:rPr>
        <w:t>mld EUR</w:t>
      </w:r>
      <w:r w:rsidRPr="007D0F94">
        <w:rPr>
          <w:rFonts w:asciiTheme="minorHAnsi" w:hAnsiTheme="minorHAnsi"/>
        </w:rPr>
        <w:t xml:space="preserve">, co stanowi </w:t>
      </w:r>
      <w:r w:rsidRPr="007D0F94">
        <w:rPr>
          <w:rFonts w:asciiTheme="minorHAnsi" w:hAnsiTheme="minorHAnsi"/>
          <w:b/>
        </w:rPr>
        <w:t>20%</w:t>
      </w:r>
      <w:r w:rsidRPr="007D0F94">
        <w:rPr>
          <w:rFonts w:asciiTheme="minorHAnsi" w:hAnsiTheme="minorHAnsi"/>
        </w:rPr>
        <w:t xml:space="preserve"> kwoty płatności pośrednich dotychczas przekazanych P.Cz.</w:t>
      </w:r>
    </w:p>
    <w:p w:rsidR="000664A5" w:rsidRPr="007D0F94" w:rsidRDefault="000664A5" w:rsidP="000664A5">
      <w:pPr>
        <w:spacing w:line="264" w:lineRule="auto"/>
        <w:jc w:val="both"/>
        <w:rPr>
          <w:rFonts w:asciiTheme="minorHAnsi" w:hAnsiTheme="minorHAnsi"/>
          <w:sz w:val="10"/>
          <w:szCs w:val="10"/>
        </w:rPr>
      </w:pPr>
    </w:p>
    <w:p w:rsidR="000664A5" w:rsidRPr="007D0F94" w:rsidRDefault="000664A5" w:rsidP="000664A5">
      <w:pPr>
        <w:spacing w:line="264" w:lineRule="auto"/>
        <w:jc w:val="both"/>
        <w:rPr>
          <w:rFonts w:asciiTheme="minorHAnsi" w:hAnsiTheme="minorHAnsi"/>
          <w:sz w:val="2"/>
          <w:szCs w:val="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341"/>
        <w:gridCol w:w="1701"/>
        <w:gridCol w:w="1706"/>
        <w:gridCol w:w="1984"/>
      </w:tblGrid>
      <w:tr w:rsidR="000664A5" w:rsidRPr="007D0F94" w:rsidTr="00A91BF9">
        <w:trPr>
          <w:trHeight w:hRule="exact" w:val="579"/>
          <w:jc w:val="center"/>
        </w:trPr>
        <w:tc>
          <w:tcPr>
            <w:tcW w:w="2623" w:type="dxa"/>
            <w:vMerge w:val="restart"/>
            <w:shd w:val="clear" w:color="auto" w:fill="auto"/>
            <w:hideMark/>
          </w:tcPr>
          <w:p w:rsidR="000664A5" w:rsidRPr="007D0F94" w:rsidRDefault="000664A5" w:rsidP="00A91BF9">
            <w:pPr>
              <w:spacing w:line="264" w:lineRule="auto"/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  <w:t>(W mln EUR)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lang w:eastAsia="pl-PL"/>
              </w:rPr>
              <w:t>Całkowita alokacja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Płatności pośrednie w latach</w:t>
            </w:r>
          </w:p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2014 - 2020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lang w:eastAsia="pl-PL"/>
              </w:rPr>
              <w:t>W tym płatności pośrednie w roku 2020</w:t>
            </w:r>
          </w:p>
        </w:tc>
      </w:tr>
      <w:tr w:rsidR="000664A5" w:rsidRPr="007D0F94" w:rsidTr="00A91BF9">
        <w:trPr>
          <w:trHeight w:hRule="exact" w:val="561"/>
          <w:jc w:val="center"/>
        </w:trPr>
        <w:tc>
          <w:tcPr>
            <w:tcW w:w="2623" w:type="dxa"/>
            <w:vMerge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Jako % płatności </w:t>
            </w:r>
          </w:p>
          <w:p w:rsidR="000664A5" w:rsidRPr="007D0F94" w:rsidRDefault="000664A5" w:rsidP="00A91BF9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D0F94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dla P.Cz.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664A5" w:rsidRPr="007D0F94" w:rsidRDefault="000664A5" w:rsidP="00A91BF9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Polska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86 587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41 396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D0F94">
              <w:rPr>
                <w:rFonts w:asciiTheme="minorHAnsi" w:hAnsiTheme="minorHAnsi" w:cs="Arial"/>
                <w:b/>
                <w:color w:val="000000"/>
              </w:rPr>
              <w:t>20%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9 850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Włochy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45 332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15 036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3 620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Hiszpania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40 439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13 314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2 197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Rumunia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31 324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12 058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2 916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Niemcy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28 014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12 553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2 417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Francja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27 999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13 864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2 671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Portugalia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26 037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12 863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2 150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Węgry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25 107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11 812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2 438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Czechy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23 888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11 533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3 148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Grecja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21 660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10 120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5%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3 117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Wlk. Brytania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16 402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7 719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1 602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Słowacja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15 193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5 337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3%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1 070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  <w:bCs/>
              </w:rPr>
            </w:pPr>
            <w:r w:rsidRPr="007D0F94">
              <w:rPr>
                <w:rFonts w:asciiTheme="minorHAnsi" w:hAnsiTheme="minorHAnsi" w:cs="Arial"/>
                <w:bCs/>
              </w:rPr>
              <w:t>Chorwacja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10 768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3 465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800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Bułgaria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9 859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4 088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950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Współpraca terytorialna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9 409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3 205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986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Litwa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8 514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4 539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1 467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Łotwa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5 675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2 771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559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Austria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4 941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3 204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589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Estonia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4 432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2 410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472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Słowenia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3 949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1 876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504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Finlandia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3 788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2 724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368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Szwecja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2 025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500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Irlandia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3 384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2 188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287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Belgia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2 818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1 177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0,6%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212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Holandia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1 951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825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0,4%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170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Dania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1 551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691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0,3%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131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Cypr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921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420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0,2%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35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Malta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832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315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0,2%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71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Luksemburg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94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D0F94">
              <w:rPr>
                <w:rFonts w:asciiTheme="minorHAnsi" w:hAnsiTheme="minorHAnsi" w:cs="Arial"/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</w:rPr>
            </w:pPr>
            <w:r w:rsidRPr="007D0F94">
              <w:rPr>
                <w:rFonts w:asciiTheme="minorHAnsi" w:hAnsiTheme="minorHAnsi" w:cs="Arial"/>
              </w:rPr>
              <w:t>18</w:t>
            </w:r>
          </w:p>
        </w:tc>
      </w:tr>
      <w:tr w:rsidR="00CB2CFA" w:rsidRPr="007D0F94" w:rsidTr="00A91BF9">
        <w:trPr>
          <w:trHeight w:hRule="exact" w:val="284"/>
          <w:jc w:val="center"/>
        </w:trPr>
        <w:tc>
          <w:tcPr>
            <w:tcW w:w="2623" w:type="dxa"/>
            <w:shd w:val="clear" w:color="auto" w:fill="auto"/>
            <w:vAlign w:val="center"/>
            <w:hideMark/>
          </w:tcPr>
          <w:p w:rsidR="00CB2CFA" w:rsidRPr="007D0F94" w:rsidRDefault="00CB2CFA" w:rsidP="00CB2CFA">
            <w:pPr>
              <w:spacing w:line="264" w:lineRule="auto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464 552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203 622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7D0F94">
              <w:rPr>
                <w:rFonts w:asciiTheme="minorHAnsi" w:hAnsiTheme="minorHAnsi" w:cs="Arial"/>
                <w:b/>
                <w:color w:val="000000"/>
              </w:rPr>
              <w:t>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CFA" w:rsidRPr="007D0F94" w:rsidRDefault="00CB2CFA" w:rsidP="00CB2CF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D0F94">
              <w:rPr>
                <w:rFonts w:asciiTheme="minorHAnsi" w:hAnsiTheme="minorHAnsi" w:cs="Arial"/>
                <w:b/>
                <w:bCs/>
              </w:rPr>
              <w:t>45 315</w:t>
            </w:r>
          </w:p>
        </w:tc>
      </w:tr>
    </w:tbl>
    <w:p w:rsidR="000664A5" w:rsidRPr="007D0F94" w:rsidRDefault="000664A5" w:rsidP="00A244F3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sectPr w:rsidR="000664A5" w:rsidRPr="007D0F94" w:rsidSect="000A78C7">
      <w:footerReference w:type="default" r:id="rId11"/>
      <w:footerReference w:type="first" r:id="rId12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32" w:rsidRDefault="00B25F32">
      <w:r>
        <w:separator/>
      </w:r>
    </w:p>
  </w:endnote>
  <w:endnote w:type="continuationSeparator" w:id="0">
    <w:p w:rsidR="00B25F32" w:rsidRDefault="00B2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D" w:rsidRDefault="00944647" w:rsidP="006F6D4D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B07CDC">
      <w:rPr>
        <w:rFonts w:ascii="Arial" w:hAnsi="Arial" w:cs="Arial"/>
        <w:noProof/>
        <w:color w:val="7F7F7F"/>
        <w:sz w:val="16"/>
        <w:szCs w:val="16"/>
      </w:rPr>
      <w:t>4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C94A80" w:rsidRDefault="00B25F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4D" w:rsidRDefault="009446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15924</wp:posOffset>
          </wp:positionH>
          <wp:positionV relativeFrom="paragraph">
            <wp:posOffset>-388620</wp:posOffset>
          </wp:positionV>
          <wp:extent cx="457200" cy="438150"/>
          <wp:effectExtent l="0" t="0" r="0" b="0"/>
          <wp:wrapNone/>
          <wp:docPr id="36" name="Picture 8" descr="mf logo dl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f logo dla pi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5907405" cy="291465"/>
              <wp:effectExtent l="2540" t="4445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28A" w:rsidRPr="009D36E4" w:rsidRDefault="00E2128A" w:rsidP="00E2128A">
                          <w:pPr>
                            <w:rPr>
                              <w:rFonts w:ascii="Arial" w:hAnsi="Arial" w:cs="Arial"/>
                              <w:color w:val="919195"/>
                              <w:sz w:val="18"/>
                              <w:szCs w:val="18"/>
                            </w:rPr>
                          </w:pPr>
                          <w:r w:rsidRPr="009D36E4">
                            <w:rPr>
                              <w:rFonts w:asciiTheme="minorHAnsi" w:hAnsiTheme="minorHAnsi" w:cs="Arial"/>
                              <w:color w:val="919195"/>
                              <w:sz w:val="18"/>
                              <w:szCs w:val="18"/>
                            </w:rPr>
                            <w:t>O</w:t>
                          </w:r>
                          <w:bookmarkStart w:id="1" w:name="ezdAutorNazwa"/>
                          <w:r w:rsidRPr="009D36E4">
                            <w:rPr>
                              <w:rFonts w:asciiTheme="minorHAnsi" w:hAnsiTheme="minorHAnsi" w:cs="Arial"/>
                              <w:color w:val="919195"/>
                              <w:sz w:val="18"/>
                              <w:szCs w:val="18"/>
                            </w:rPr>
                            <w:t>pracowanie: Bernard Rumowski</w:t>
                          </w:r>
                          <w:bookmarkStart w:id="2" w:name="ezdAutorStanowisko"/>
                          <w:bookmarkEnd w:id="1"/>
                          <w:r w:rsidRPr="009D36E4">
                            <w:rPr>
                              <w:rFonts w:asciiTheme="minorHAnsi" w:hAnsiTheme="minorHAnsi" w:cs="Arial"/>
                              <w:color w:val="919195"/>
                              <w:sz w:val="18"/>
                              <w:szCs w:val="18"/>
                            </w:rPr>
                            <w:t xml:space="preserve"> </w:t>
                          </w:r>
                          <w:bookmarkEnd w:id="2"/>
                          <w:r w:rsidRPr="009D36E4">
                            <w:rPr>
                              <w:rFonts w:asciiTheme="minorHAnsi" w:hAnsiTheme="minorHAnsi" w:cs="Arial"/>
                              <w:color w:val="919195"/>
                              <w:sz w:val="18"/>
                              <w:szCs w:val="18"/>
                            </w:rPr>
                            <w:t xml:space="preserve">| Departament Współpracy Międzynarodowej  | </w:t>
                          </w:r>
                        </w:p>
                        <w:p w:rsidR="00EF3BAE" w:rsidRPr="002E228C" w:rsidRDefault="00B25F32" w:rsidP="006E128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55pt;margin-top:13.85pt;width:465.1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95nwIAAJ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" filled="f" stroked="f">
              <v:textbox inset="0,0,0,0">
                <w:txbxContent>
                  <w:p w:rsidR="00E2128A" w:rsidRPr="009D36E4" w:rsidRDefault="00E2128A" w:rsidP="00E2128A">
                    <w:pPr>
                      <w:rPr>
                        <w:rFonts w:ascii="Arial" w:hAnsi="Arial" w:cs="Arial"/>
                        <w:color w:val="919195"/>
                        <w:sz w:val="18"/>
                        <w:szCs w:val="18"/>
                      </w:rPr>
                    </w:pPr>
                    <w:r w:rsidRPr="009D36E4">
                      <w:rPr>
                        <w:rFonts w:asciiTheme="minorHAnsi" w:hAnsiTheme="minorHAnsi" w:cs="Arial"/>
                        <w:color w:val="919195"/>
                        <w:sz w:val="18"/>
                        <w:szCs w:val="18"/>
                      </w:rPr>
                      <w:t>O</w:t>
                    </w:r>
                    <w:bookmarkStart w:id="3" w:name="ezdAutorNazwa"/>
                    <w:r w:rsidRPr="009D36E4">
                      <w:rPr>
                        <w:rFonts w:asciiTheme="minorHAnsi" w:hAnsiTheme="minorHAnsi" w:cs="Arial"/>
                        <w:color w:val="919195"/>
                        <w:sz w:val="18"/>
                        <w:szCs w:val="18"/>
                      </w:rPr>
                      <w:t>pracowanie: Bernard Rumowski</w:t>
                    </w:r>
                    <w:bookmarkStart w:id="4" w:name="ezdAutorStanowisko"/>
                    <w:bookmarkEnd w:id="3"/>
                    <w:r w:rsidRPr="009D36E4">
                      <w:rPr>
                        <w:rFonts w:asciiTheme="minorHAnsi" w:hAnsiTheme="minorHAnsi" w:cs="Arial"/>
                        <w:color w:val="919195"/>
                        <w:sz w:val="18"/>
                        <w:szCs w:val="18"/>
                      </w:rPr>
                      <w:t xml:space="preserve"> </w:t>
                    </w:r>
                    <w:bookmarkEnd w:id="4"/>
                    <w:r w:rsidRPr="009D36E4">
                      <w:rPr>
                        <w:rFonts w:asciiTheme="minorHAnsi" w:hAnsiTheme="minorHAnsi" w:cs="Arial"/>
                        <w:color w:val="919195"/>
                        <w:sz w:val="18"/>
                        <w:szCs w:val="18"/>
                      </w:rPr>
                      <w:t xml:space="preserve">| Departament Współpracy Międzynarodowej  | </w:t>
                    </w:r>
                  </w:p>
                  <w:p w:rsidR="00EF3BAE" w:rsidRPr="002E228C" w:rsidRDefault="00CE5277" w:rsidP="006E128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0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2F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.5pt;margin-top:8.95pt;width:46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IH0e/8iAgAAPg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32" w:rsidRDefault="00B25F32">
      <w:r>
        <w:separator/>
      </w:r>
    </w:p>
  </w:footnote>
  <w:footnote w:type="continuationSeparator" w:id="0">
    <w:p w:rsidR="00B25F32" w:rsidRDefault="00B25F32">
      <w:r>
        <w:continuationSeparator/>
      </w:r>
    </w:p>
  </w:footnote>
  <w:footnote w:id="1">
    <w:p w:rsidR="006C01E7" w:rsidRPr="00A250A9" w:rsidRDefault="006C01E7" w:rsidP="006C01E7">
      <w:pPr>
        <w:pStyle w:val="Default"/>
        <w:rPr>
          <w:rFonts w:asciiTheme="minorHAnsi" w:hAnsiTheme="minorHAnsi"/>
          <w:sz w:val="18"/>
          <w:szCs w:val="18"/>
        </w:rPr>
      </w:pPr>
      <w:r w:rsidRPr="00A250A9">
        <w:rPr>
          <w:rStyle w:val="Odwoanieprzypisudolnego"/>
          <w:rFonts w:asciiTheme="minorHAnsi" w:hAnsiTheme="minorHAnsi"/>
        </w:rPr>
        <w:footnoteRef/>
      </w:r>
      <w:r w:rsidRPr="00A250A9">
        <w:rPr>
          <w:rFonts w:asciiTheme="minorHAnsi" w:hAnsiTheme="minorHAnsi"/>
        </w:rPr>
        <w:t xml:space="preserve"> </w:t>
      </w:r>
      <w:r w:rsidR="00A250A9" w:rsidRPr="00A250A9">
        <w:rPr>
          <w:rFonts w:asciiTheme="minorHAnsi" w:hAnsiTheme="minorHAnsi"/>
          <w:sz w:val="18"/>
          <w:szCs w:val="18"/>
        </w:rPr>
        <w:t>Dokumenty</w:t>
      </w:r>
      <w:r w:rsidRPr="00A250A9">
        <w:rPr>
          <w:rFonts w:asciiTheme="minorHAnsi" w:hAnsiTheme="minorHAnsi"/>
          <w:sz w:val="18"/>
          <w:szCs w:val="18"/>
        </w:rPr>
        <w:t xml:space="preserve">: </w:t>
      </w:r>
      <w:r w:rsidR="00A250A9" w:rsidRPr="00A250A9">
        <w:rPr>
          <w:rFonts w:asciiTheme="minorHAnsi" w:hAnsiTheme="minorHAnsi"/>
          <w:sz w:val="18"/>
          <w:szCs w:val="18"/>
        </w:rPr>
        <w:t>COM(2020)</w:t>
      </w:r>
      <w:r w:rsidRPr="00A250A9">
        <w:rPr>
          <w:rFonts w:asciiTheme="minorHAnsi" w:hAnsiTheme="minorHAnsi"/>
          <w:sz w:val="18"/>
          <w:szCs w:val="18"/>
        </w:rPr>
        <w:t>724</w:t>
      </w:r>
      <w:r w:rsidR="00A250A9" w:rsidRPr="00A250A9">
        <w:rPr>
          <w:rFonts w:asciiTheme="minorHAnsi" w:hAnsiTheme="minorHAnsi"/>
          <w:sz w:val="18"/>
          <w:szCs w:val="18"/>
        </w:rPr>
        <w:t>, COM</w:t>
      </w:r>
      <w:r w:rsidR="00E545B3">
        <w:rPr>
          <w:rFonts w:asciiTheme="minorHAnsi" w:hAnsiTheme="minorHAnsi"/>
          <w:sz w:val="18"/>
          <w:szCs w:val="18"/>
        </w:rPr>
        <w:t>(2020)7</w:t>
      </w:r>
      <w:r w:rsidR="00A250A9" w:rsidRPr="00A250A9">
        <w:rPr>
          <w:rFonts w:asciiTheme="minorHAnsi" w:hAnsiTheme="minorHAnsi"/>
          <w:sz w:val="18"/>
          <w:szCs w:val="18"/>
        </w:rPr>
        <w:t>25, COM(2020)726 oraz COM(2020)727</w:t>
      </w:r>
      <w:r w:rsidR="00E545B3">
        <w:rPr>
          <w:rFonts w:asciiTheme="minorHAnsi" w:hAnsiTheme="minorHAnsi"/>
          <w:sz w:val="18"/>
          <w:szCs w:val="18"/>
        </w:rPr>
        <w:t xml:space="preserve"> z 11 listopada b</w:t>
      </w:r>
      <w:r w:rsidR="00A250A9">
        <w:rPr>
          <w:rFonts w:asciiTheme="minorHAnsi" w:hAnsiTheme="minorHAnsi"/>
          <w:sz w:val="18"/>
          <w:szCs w:val="18"/>
        </w:rPr>
        <w:t>r.</w:t>
      </w:r>
    </w:p>
  </w:footnote>
  <w:footnote w:id="2">
    <w:p w:rsidR="000664A5" w:rsidRPr="00747856" w:rsidRDefault="000664A5" w:rsidP="000664A5">
      <w:pPr>
        <w:jc w:val="both"/>
        <w:rPr>
          <w:rFonts w:asciiTheme="minorHAnsi" w:hAnsiTheme="minorHAnsi"/>
          <w:sz w:val="16"/>
          <w:szCs w:val="16"/>
        </w:rPr>
      </w:pPr>
      <w:r w:rsidRPr="00C14E9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14E9C">
        <w:rPr>
          <w:rFonts w:asciiTheme="minorHAnsi" w:hAnsiTheme="minorHAnsi"/>
          <w:sz w:val="16"/>
          <w:szCs w:val="16"/>
        </w:rPr>
        <w:t xml:space="preserve"> Europejski Fundusz Rozwoju Regionalnego, Europejski Fundusz Społeczny, Fundusz Spójności, Europejski Fundusz Rolny na rzecz Rozwoju Obszarów Wiejskich oraz Europejski Fundusz Morski i Rybacki.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72AD0"/>
    <w:multiLevelType w:val="hybridMultilevel"/>
    <w:tmpl w:val="2B16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12F8"/>
    <w:multiLevelType w:val="hybridMultilevel"/>
    <w:tmpl w:val="EEFCD328"/>
    <w:name w:val="List Dash__1"/>
    <w:lvl w:ilvl="0" w:tplc="FFFFFFFF">
      <w:start w:val="4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A"/>
    <w:rsid w:val="000664A5"/>
    <w:rsid w:val="000A6B3B"/>
    <w:rsid w:val="000D2DF9"/>
    <w:rsid w:val="00136079"/>
    <w:rsid w:val="001E2F6D"/>
    <w:rsid w:val="00241877"/>
    <w:rsid w:val="003E2486"/>
    <w:rsid w:val="00450438"/>
    <w:rsid w:val="00481776"/>
    <w:rsid w:val="004F72F9"/>
    <w:rsid w:val="00583EAF"/>
    <w:rsid w:val="005B2988"/>
    <w:rsid w:val="005D263B"/>
    <w:rsid w:val="006C01E7"/>
    <w:rsid w:val="006C17AB"/>
    <w:rsid w:val="007B1E56"/>
    <w:rsid w:val="007B4346"/>
    <w:rsid w:val="007D0F94"/>
    <w:rsid w:val="00944647"/>
    <w:rsid w:val="009C1BCE"/>
    <w:rsid w:val="00A17610"/>
    <w:rsid w:val="00A244F3"/>
    <w:rsid w:val="00A250A9"/>
    <w:rsid w:val="00A27074"/>
    <w:rsid w:val="00AA1F4A"/>
    <w:rsid w:val="00AF71A3"/>
    <w:rsid w:val="00B07CDC"/>
    <w:rsid w:val="00B25F32"/>
    <w:rsid w:val="00B73BFF"/>
    <w:rsid w:val="00BA355E"/>
    <w:rsid w:val="00C32BDF"/>
    <w:rsid w:val="00C506AA"/>
    <w:rsid w:val="00C92EFB"/>
    <w:rsid w:val="00CB2CFA"/>
    <w:rsid w:val="00CC2207"/>
    <w:rsid w:val="00CE5277"/>
    <w:rsid w:val="00CF4189"/>
    <w:rsid w:val="00D62D48"/>
    <w:rsid w:val="00E2128A"/>
    <w:rsid w:val="00E545B3"/>
    <w:rsid w:val="00EF3B58"/>
    <w:rsid w:val="00F1129E"/>
    <w:rsid w:val="00F2051B"/>
    <w:rsid w:val="00FD2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044075-06D9-401E-9B15-DF850D7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TekstpodstawowyZnak">
    <w:name w:val="Tekst podstawowy Znak"/>
    <w:aliases w:val="bt Znak,b Znak,block style Znak,szaro Znak,Tekst podstawowy Znak Znak Znak Znak Znak Znak Znak Znak Znak,wypunktowanie Znak,b1 Znak,aga Znak,Tekst podstawowyG Znak,Body Text Char Znak,Telo besedila Znak1 Char Znak"/>
    <w:basedOn w:val="Domylnaczcionkaakapitu"/>
    <w:link w:val="Tekstpodstawowy"/>
    <w:locked/>
    <w:rsid w:val="00E2128A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t,b,block style,szaro,Tekst podstawowy Znak Znak Znak Znak Znak Znak Znak Znak,wypunktowanie,b1,aga,Tekst podstawowyG,Body Text Char,Telo besedila Znak1 Char,Telo besedila Znak Znak Char"/>
    <w:basedOn w:val="Normalny"/>
    <w:link w:val="TekstpodstawowyZnak"/>
    <w:unhideWhenUsed/>
    <w:rsid w:val="00E2128A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128A"/>
    <w:rPr>
      <w:sz w:val="24"/>
      <w:szCs w:val="24"/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Times 10 Point,Exposant 3 Point,EN Footnote Refer,BVI fnr,(Footnote Reference),Voetnootverwijzing"/>
    <w:basedOn w:val="Domylnaczcionkaakapitu"/>
    <w:unhideWhenUsed/>
    <w:rsid w:val="000664A5"/>
    <w:rPr>
      <w:vertAlign w:val="superscript"/>
    </w:rPr>
  </w:style>
  <w:style w:type="paragraph" w:styleId="Akapitzlist">
    <w:name w:val="List Paragraph"/>
    <w:aliases w:val="Listaszerű bekezdés1,List Paragraph à moi,Dot pt,F5 List Paragraph,Numbered Para 1,No Spacing1,List Paragraph Char Char Char,Indicator Text,Bullet Points,MAIN CONTENT,IFCL - List Paragraph,OBC Bullet,LISTA,List Paragraph1,Recommendation,2"/>
    <w:basedOn w:val="Normalny"/>
    <w:link w:val="AkapitzlistZnak"/>
    <w:uiPriority w:val="34"/>
    <w:qFormat/>
    <w:rsid w:val="004F72F9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AkapitzlistZnak">
    <w:name w:val="Akapit z listą Znak"/>
    <w:aliases w:val="Listaszerű bekezdés1 Znak,List Paragraph à moi Znak,Dot pt Znak,F5 List Paragraph Znak,Numbered Para 1 Znak,No Spacing1 Znak,List Paragraph Char Char Char Znak,Indicator Text Znak,Bullet Points Znak,MAIN CONTENT Znak,OBC Bullet Znak"/>
    <w:link w:val="Akapitzlist"/>
    <w:uiPriority w:val="34"/>
    <w:qFormat/>
    <w:rsid w:val="004F72F9"/>
    <w:rPr>
      <w:rFonts w:ascii="Times New Roman" w:eastAsia="Calibri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F72F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1E7"/>
    <w:rPr>
      <w:lang w:eastAsia="en-US"/>
    </w:rPr>
  </w:style>
  <w:style w:type="paragraph" w:customStyle="1" w:styleId="Default">
    <w:name w:val="Default"/>
    <w:rsid w:val="006C0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Zwykatabela4">
    <w:name w:val="Plain Table 4"/>
    <w:basedOn w:val="Standardowy"/>
    <w:uiPriority w:val="44"/>
    <w:rsid w:val="00BA355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-IWG\AppData\Local\Temp\mf_p1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FB51-D7DA-414C-88CF-1D258C39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mf_p1-2</Template>
  <TotalTime>4</TotalTime>
  <Pages>6</Pages>
  <Words>1523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Rumowski Bernard</cp:lastModifiedBy>
  <cp:revision>4</cp:revision>
  <dcterms:created xsi:type="dcterms:W3CDTF">2020-12-01T17:50:00Z</dcterms:created>
  <dcterms:modified xsi:type="dcterms:W3CDTF">2020-12-01T18:04:00Z</dcterms:modified>
</cp:coreProperties>
</file>