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CDB63" w14:textId="2A741E51" w:rsidR="00450D64" w:rsidRPr="00450D64" w:rsidRDefault="00C619F7" w:rsidP="00450D64">
      <w:pPr>
        <w:autoSpaceDE w:val="0"/>
        <w:autoSpaceDN w:val="0"/>
        <w:adjustRightInd w:val="0"/>
        <w:spacing w:after="120" w:line="240" w:lineRule="auto"/>
        <w:jc w:val="both"/>
        <w:rPr>
          <w:rFonts w:ascii="Lato" w:eastAsia="Aptos" w:hAnsi="Lato" w:cs="Arial"/>
          <w:color w:val="000000"/>
          <w:sz w:val="24"/>
          <w:szCs w:val="24"/>
          <w14:ligatures w14:val="standardContextual"/>
        </w:rPr>
      </w:pPr>
      <w:r>
        <w:rPr>
          <w:rFonts w:ascii="Lato" w:eastAsia="Aptos" w:hAnsi="Lato" w:cs="Arial"/>
          <w:b/>
          <w:bCs/>
          <w:color w:val="000000"/>
          <w:sz w:val="24"/>
          <w:szCs w:val="24"/>
          <w14:ligatures w14:val="standardContextual"/>
        </w:rPr>
        <w:t>Wezwanie do złożenia ofert dodatkowych</w:t>
      </w:r>
      <w:r w:rsidR="00450D64" w:rsidRPr="00450D64">
        <w:rPr>
          <w:rFonts w:ascii="Lato" w:eastAsia="Aptos" w:hAnsi="Lato" w:cs="Arial"/>
          <w:b/>
          <w:bCs/>
          <w:color w:val="000000"/>
          <w:sz w:val="24"/>
          <w:szCs w:val="24"/>
          <w14:ligatures w14:val="standardContextual"/>
        </w:rPr>
        <w:t xml:space="preserve"> </w:t>
      </w:r>
      <w:r w:rsidR="008C0B28">
        <w:rPr>
          <w:rFonts w:ascii="Lato" w:eastAsia="Aptos" w:hAnsi="Lato" w:cs="Arial"/>
          <w:b/>
          <w:bCs/>
          <w:color w:val="000000"/>
          <w:sz w:val="24"/>
          <w:szCs w:val="24"/>
          <w14:ligatures w14:val="standardContextual"/>
        </w:rPr>
        <w:t xml:space="preserve">– na gruncie przepisów </w:t>
      </w:r>
      <w:r w:rsidR="00450D64" w:rsidRPr="00450D64">
        <w:rPr>
          <w:rFonts w:ascii="Lato" w:eastAsia="Aptos" w:hAnsi="Lato" w:cs="Arial"/>
          <w:b/>
          <w:bCs/>
          <w:color w:val="000000"/>
          <w:sz w:val="24"/>
          <w:szCs w:val="24"/>
          <w14:ligatures w14:val="standardContextual"/>
        </w:rPr>
        <w:t xml:space="preserve">ustawy z dnia 11 września 2019 r. </w:t>
      </w:r>
      <w:r w:rsidR="00450D64" w:rsidRPr="00D02F6D">
        <w:rPr>
          <w:rFonts w:ascii="Lato" w:eastAsia="Aptos" w:hAnsi="Lato" w:cs="Arial"/>
          <w:b/>
          <w:bCs/>
          <w:color w:val="000000"/>
          <w:sz w:val="24"/>
          <w:szCs w:val="24"/>
          <w14:ligatures w14:val="standardContextual"/>
        </w:rPr>
        <w:t>Prawo zamówień publicznych</w:t>
      </w:r>
      <w:r w:rsidR="00450D64" w:rsidRPr="00D02F6D">
        <w:rPr>
          <w:rFonts w:ascii="Lato" w:eastAsia="Aptos" w:hAnsi="Lato" w:cs="Arial"/>
          <w:b/>
          <w:bCs/>
          <w:color w:val="000000"/>
          <w:sz w:val="24"/>
          <w:szCs w:val="24"/>
          <w:vertAlign w:val="superscript"/>
          <w14:ligatures w14:val="standardContextual"/>
        </w:rPr>
        <w:footnoteReference w:id="1"/>
      </w:r>
      <w:r w:rsidR="00D02F6D">
        <w:rPr>
          <w:rFonts w:ascii="Lato" w:eastAsia="Aptos" w:hAnsi="Lato" w:cs="Arial"/>
          <w:b/>
          <w:bCs/>
          <w:color w:val="000000"/>
          <w:sz w:val="24"/>
          <w:szCs w:val="24"/>
          <w14:ligatures w14:val="standardContextual"/>
        </w:rPr>
        <w:t xml:space="preserve"> (Dz.U. z 2026 r. poz. 793 ze zm.)</w:t>
      </w:r>
    </w:p>
    <w:p w14:paraId="5F96E7D0" w14:textId="71CD9711" w:rsidR="000C3C3B" w:rsidRDefault="00CC5140" w:rsidP="00746993">
      <w:pPr>
        <w:spacing w:after="120" w:line="240" w:lineRule="auto"/>
        <w:jc w:val="both"/>
        <w:rPr>
          <w:rFonts w:ascii="Lato" w:hAnsi="Lato"/>
        </w:rPr>
      </w:pPr>
      <w:r w:rsidRPr="00CC5140">
        <w:rPr>
          <w:rFonts w:ascii="Lato" w:hAnsi="Lato"/>
        </w:rPr>
        <w:t>Dokument dotyczy wezwania do złożenia ofert dodatkowych w trybie art. 248 ust. 3</w:t>
      </w:r>
      <w:r>
        <w:rPr>
          <w:rFonts w:ascii="Lato" w:hAnsi="Lato"/>
        </w:rPr>
        <w:t>,</w:t>
      </w:r>
      <w:r w:rsidRPr="00CC5140">
        <w:rPr>
          <w:rFonts w:ascii="Lato" w:hAnsi="Lato"/>
        </w:rPr>
        <w:t xml:space="preserve"> art. 249 </w:t>
      </w:r>
      <w:r>
        <w:rPr>
          <w:rFonts w:ascii="Lato" w:hAnsi="Lato"/>
        </w:rPr>
        <w:t xml:space="preserve">i 250 ust. 2 ustawy </w:t>
      </w:r>
      <w:proofErr w:type="spellStart"/>
      <w:r>
        <w:rPr>
          <w:rFonts w:ascii="Lato" w:hAnsi="Lato"/>
        </w:rPr>
        <w:t>Pzp</w:t>
      </w:r>
      <w:proofErr w:type="spellEnd"/>
      <w:r w:rsidRPr="00CC5140">
        <w:rPr>
          <w:rFonts w:ascii="Lato" w:hAnsi="Lato"/>
        </w:rPr>
        <w:t xml:space="preserve">. Od czynności określonych tymi przepisami należy odróżnić zaproszenie do składania ofert dodatkowych, o którym mowa w art. 275 pkt 2 ustawy </w:t>
      </w:r>
      <w:proofErr w:type="spellStart"/>
      <w:r w:rsidRPr="00CC5140">
        <w:rPr>
          <w:rFonts w:ascii="Lato" w:hAnsi="Lato"/>
        </w:rPr>
        <w:t>Pzp</w:t>
      </w:r>
      <w:proofErr w:type="spellEnd"/>
      <w:r w:rsidRPr="00CC5140">
        <w:rPr>
          <w:rFonts w:ascii="Lato" w:hAnsi="Lato"/>
        </w:rPr>
        <w:t xml:space="preserve"> – ma ono inny charakter i nie zostało uwzględnione w niniejszym opracowaniu. </w:t>
      </w:r>
    </w:p>
    <w:p w14:paraId="3D161072" w14:textId="77777777" w:rsidR="00B37E7F" w:rsidRDefault="00B37E7F" w:rsidP="00BF11B1">
      <w:pPr>
        <w:pStyle w:val="Default"/>
        <w:spacing w:after="120"/>
        <w:jc w:val="both"/>
        <w:rPr>
          <w:rFonts w:ascii="Lato" w:hAnsi="Lato"/>
          <w:b/>
          <w:bCs/>
          <w:color w:val="0070C0"/>
        </w:rPr>
      </w:pPr>
    </w:p>
    <w:p w14:paraId="4BACE48E" w14:textId="48DECC97" w:rsidR="00B37E7F" w:rsidRPr="007441A1" w:rsidRDefault="00B37E7F" w:rsidP="007441A1">
      <w:pPr>
        <w:pStyle w:val="Default"/>
        <w:spacing w:after="120"/>
        <w:jc w:val="center"/>
        <w:rPr>
          <w:rFonts w:ascii="Lato" w:hAnsi="Lato"/>
          <w:b/>
          <w:bCs/>
          <w:color w:val="000000" w:themeColor="text1"/>
        </w:rPr>
      </w:pPr>
      <w:r w:rsidRPr="007441A1">
        <w:rPr>
          <w:rFonts w:ascii="Lato" w:hAnsi="Lato"/>
          <w:b/>
          <w:bCs/>
          <w:color w:val="000000" w:themeColor="text1"/>
        </w:rPr>
        <w:t>I.</w:t>
      </w:r>
      <w:r w:rsidRPr="007441A1">
        <w:rPr>
          <w:rFonts w:ascii="Lato" w:hAnsi="Lato" w:cstheme="minorBidi"/>
          <w:b/>
          <w:bCs/>
          <w:color w:val="000000" w:themeColor="text1"/>
          <w:sz w:val="22"/>
          <w:szCs w:val="22"/>
          <w14:ligatures w14:val="none"/>
        </w:rPr>
        <w:t xml:space="preserve"> </w:t>
      </w:r>
      <w:r w:rsidRPr="007441A1">
        <w:rPr>
          <w:rFonts w:ascii="Lato" w:hAnsi="Lato"/>
          <w:b/>
          <w:bCs/>
          <w:color w:val="000000" w:themeColor="text1"/>
        </w:rPr>
        <w:t xml:space="preserve">Art. 248 ust. 3 ustawy </w:t>
      </w:r>
      <w:proofErr w:type="spellStart"/>
      <w:r w:rsidRPr="007441A1">
        <w:rPr>
          <w:rFonts w:ascii="Lato" w:hAnsi="Lato"/>
          <w:b/>
          <w:bCs/>
          <w:color w:val="000000" w:themeColor="text1"/>
        </w:rPr>
        <w:t>Pzp</w:t>
      </w:r>
      <w:proofErr w:type="spellEnd"/>
    </w:p>
    <w:p w14:paraId="74F25EA9" w14:textId="0D6C3442" w:rsidR="00BF11B1" w:rsidRPr="00A15589" w:rsidRDefault="00BF11B1" w:rsidP="00BF11B1">
      <w:pPr>
        <w:pStyle w:val="Default"/>
        <w:spacing w:after="120"/>
        <w:jc w:val="both"/>
        <w:rPr>
          <w:rFonts w:ascii="Lato" w:hAnsi="Lato"/>
          <w:b/>
          <w:bCs/>
          <w:color w:val="0070C0"/>
        </w:rPr>
      </w:pPr>
      <w:r w:rsidRPr="00A15589">
        <w:rPr>
          <w:rFonts w:ascii="Lato" w:hAnsi="Lato"/>
          <w:b/>
          <w:bCs/>
          <w:color w:val="0070C0"/>
        </w:rPr>
        <w:t>Wezwanie do złożenia ofert dodatkowych</w:t>
      </w:r>
      <w:r w:rsidR="0041754E" w:rsidRPr="00A15589">
        <w:rPr>
          <w:rFonts w:ascii="Lato" w:hAnsi="Lato"/>
          <w:b/>
          <w:bCs/>
          <w:color w:val="0070C0"/>
        </w:rPr>
        <w:t xml:space="preserve"> w </w:t>
      </w:r>
      <w:r w:rsidR="00A15589" w:rsidRPr="00A15589">
        <w:rPr>
          <w:rFonts w:ascii="Lato" w:hAnsi="Lato"/>
          <w:b/>
          <w:bCs/>
          <w:color w:val="0070C0"/>
        </w:rPr>
        <w:t>przypadku,</w:t>
      </w:r>
      <w:r w:rsidR="0041754E" w:rsidRPr="00A15589">
        <w:rPr>
          <w:rFonts w:ascii="Lato" w:hAnsi="Lato"/>
          <w:b/>
          <w:bCs/>
          <w:color w:val="0070C0"/>
        </w:rPr>
        <w:t xml:space="preserve"> gdy dwie lub więcej ofert mają taki sam </w:t>
      </w:r>
      <w:r w:rsidR="009425DD" w:rsidRPr="00A15589">
        <w:rPr>
          <w:rFonts w:ascii="Lato" w:hAnsi="Lato"/>
          <w:b/>
          <w:bCs/>
          <w:color w:val="0070C0"/>
        </w:rPr>
        <w:t>bilans ceny lub kosztu i innych kryteriów</w:t>
      </w:r>
      <w:r w:rsidR="00CB21F2" w:rsidRPr="00A15589">
        <w:rPr>
          <w:rFonts w:ascii="Lato" w:hAnsi="Lato"/>
          <w:b/>
          <w:bCs/>
          <w:color w:val="0070C0"/>
        </w:rPr>
        <w:t>, a nie jest możliwy wybór naj</w:t>
      </w:r>
      <w:r w:rsidR="00A50CD0" w:rsidRPr="00A15589">
        <w:rPr>
          <w:rFonts w:ascii="Lato" w:hAnsi="Lato"/>
          <w:b/>
          <w:bCs/>
          <w:color w:val="0070C0"/>
        </w:rPr>
        <w:t xml:space="preserve">korzystniejszej </w:t>
      </w:r>
      <w:r w:rsidR="00CB21F2" w:rsidRPr="00A15589">
        <w:rPr>
          <w:rFonts w:ascii="Lato" w:hAnsi="Lato"/>
          <w:b/>
          <w:bCs/>
          <w:color w:val="0070C0"/>
        </w:rPr>
        <w:t>ofert</w:t>
      </w:r>
      <w:r w:rsidR="00A50CD0" w:rsidRPr="00A15589">
        <w:rPr>
          <w:rFonts w:ascii="Lato" w:hAnsi="Lato"/>
          <w:b/>
          <w:bCs/>
          <w:color w:val="0070C0"/>
        </w:rPr>
        <w:t xml:space="preserve">y zgodnie z art. 248 ust. 1 i ust. 2 ustawy </w:t>
      </w:r>
      <w:proofErr w:type="spellStart"/>
      <w:r w:rsidR="00A50CD0" w:rsidRPr="00A15589">
        <w:rPr>
          <w:rFonts w:ascii="Lato" w:hAnsi="Lato"/>
          <w:b/>
          <w:bCs/>
          <w:color w:val="0070C0"/>
        </w:rPr>
        <w:t>Pzp</w:t>
      </w:r>
      <w:proofErr w:type="spellEnd"/>
      <w:r w:rsidR="00A50CD0" w:rsidRPr="00A15589">
        <w:rPr>
          <w:rFonts w:ascii="Lato" w:hAnsi="Lato"/>
          <w:b/>
          <w:bCs/>
          <w:color w:val="0070C0"/>
        </w:rPr>
        <w:t xml:space="preserve"> </w:t>
      </w:r>
    </w:p>
    <w:p w14:paraId="12EEDD9C" w14:textId="1B83C5AC" w:rsidR="00B37E7F" w:rsidRPr="00B37E7F" w:rsidRDefault="00A6711F" w:rsidP="00A6711F">
      <w:pPr>
        <w:spacing w:after="120" w:line="240" w:lineRule="auto"/>
        <w:jc w:val="both"/>
        <w:rPr>
          <w:rFonts w:ascii="Lato" w:hAnsi="Lato"/>
        </w:rPr>
      </w:pPr>
      <w:r w:rsidRPr="00A15589">
        <w:rPr>
          <w:rFonts w:ascii="Lato" w:hAnsi="Lato"/>
        </w:rPr>
        <w:t>Przepis art. </w:t>
      </w:r>
      <w:hyperlink r:id="rId8" w:tgtFrame="_self" w:history="1">
        <w:r w:rsidRPr="00A15589">
          <w:rPr>
            <w:rFonts w:ascii="Lato" w:hAnsi="Lato"/>
          </w:rPr>
          <w:t>248</w:t>
        </w:r>
      </w:hyperlink>
      <w:r w:rsidRPr="00A15589">
        <w:rPr>
          <w:rFonts w:ascii="Lato" w:hAnsi="Lato"/>
        </w:rPr>
        <w:t xml:space="preserve"> </w:t>
      </w:r>
      <w:r w:rsidR="00B37E7F">
        <w:rPr>
          <w:rFonts w:ascii="Lato" w:hAnsi="Lato"/>
        </w:rPr>
        <w:t xml:space="preserve">ust. 1 </w:t>
      </w:r>
      <w:r w:rsidRPr="00A15589">
        <w:rPr>
          <w:rFonts w:ascii="Lato" w:hAnsi="Lato"/>
        </w:rPr>
        <w:t xml:space="preserve">ustawy </w:t>
      </w:r>
      <w:proofErr w:type="spellStart"/>
      <w:r w:rsidRPr="00A15589">
        <w:rPr>
          <w:rFonts w:ascii="Lato" w:hAnsi="Lato"/>
        </w:rPr>
        <w:t>Pzp</w:t>
      </w:r>
      <w:proofErr w:type="spellEnd"/>
      <w:r w:rsidRPr="00A15589">
        <w:rPr>
          <w:rFonts w:ascii="Lato" w:hAnsi="Lato"/>
        </w:rPr>
        <w:t xml:space="preserve"> reguluje sytuację, w której </w:t>
      </w:r>
      <w:r w:rsidR="00B37E7F" w:rsidRPr="007441A1">
        <w:rPr>
          <w:rFonts w:ascii="Lato" w:hAnsi="Lato"/>
        </w:rPr>
        <w:t xml:space="preserve">nie można wybrać najkorzystniejszej oferty z uwagi na to, że dwie lub więcej ofert przedstawia taki sam bilans ceny lub kosztu i innych kryteriów oceny ofert, </w:t>
      </w:r>
      <w:r w:rsidR="00B37E7F" w:rsidRPr="00B37E7F">
        <w:rPr>
          <w:rFonts w:ascii="Lato" w:hAnsi="Lato"/>
          <w:b/>
          <w:bCs/>
        </w:rPr>
        <w:t>zamawiający wybiera spośród tych ofert ofertę, która otrzymała najwyższą ocenę w kryterium o najwyższej wadze</w:t>
      </w:r>
      <w:r w:rsidR="00B37E7F" w:rsidRPr="007441A1">
        <w:rPr>
          <w:rFonts w:ascii="Lato" w:hAnsi="Lato"/>
        </w:rPr>
        <w:t>.</w:t>
      </w:r>
    </w:p>
    <w:p w14:paraId="32165EF0" w14:textId="6A1E449C" w:rsidR="00B37E7F" w:rsidRPr="00B37E7F" w:rsidRDefault="00B37E7F" w:rsidP="00A6711F">
      <w:pPr>
        <w:spacing w:after="120" w:line="240" w:lineRule="auto"/>
        <w:jc w:val="both"/>
        <w:rPr>
          <w:rFonts w:ascii="Lato" w:hAnsi="Lato"/>
        </w:rPr>
      </w:pPr>
      <w:r w:rsidRPr="007441A1">
        <w:rPr>
          <w:rFonts w:ascii="Lato" w:hAnsi="Lato"/>
        </w:rPr>
        <w:t>Jeżeli oferty otrzymały taką samą ocenę w kryterium o najwyższej wadze, zamawiający wybiera ofertę z najniższą ceną lub najniższym kosztem</w:t>
      </w:r>
      <w:r>
        <w:rPr>
          <w:rFonts w:ascii="Lato" w:hAnsi="Lato"/>
        </w:rPr>
        <w:t xml:space="preserve"> – art. 248 ust. 2 ustawy </w:t>
      </w:r>
      <w:proofErr w:type="spellStart"/>
      <w:r>
        <w:rPr>
          <w:rFonts w:ascii="Lato" w:hAnsi="Lato"/>
        </w:rPr>
        <w:t>Pzp</w:t>
      </w:r>
      <w:proofErr w:type="spellEnd"/>
      <w:r>
        <w:rPr>
          <w:rFonts w:ascii="Lato" w:hAnsi="Lato"/>
        </w:rPr>
        <w:t xml:space="preserve">. </w:t>
      </w:r>
    </w:p>
    <w:p w14:paraId="476125C2" w14:textId="517FA60B" w:rsidR="00BF11B1" w:rsidRPr="00A15589" w:rsidRDefault="005E24EA" w:rsidP="00A6711F">
      <w:pPr>
        <w:spacing w:after="120" w:line="240" w:lineRule="auto"/>
        <w:jc w:val="both"/>
        <w:rPr>
          <w:rFonts w:ascii="Lato" w:hAnsi="Lato"/>
        </w:rPr>
      </w:pPr>
      <w:r w:rsidRPr="00A15589">
        <w:rPr>
          <w:rFonts w:ascii="Lato" w:hAnsi="Lato"/>
        </w:rPr>
        <w:t>Z</w:t>
      </w:r>
      <w:r w:rsidR="00587BE0" w:rsidRPr="00A15589">
        <w:rPr>
          <w:rFonts w:ascii="Lato" w:hAnsi="Lato"/>
        </w:rPr>
        <w:t xml:space="preserve">godnie </w:t>
      </w:r>
      <w:r w:rsidR="00B37E7F">
        <w:rPr>
          <w:rFonts w:ascii="Lato" w:hAnsi="Lato"/>
        </w:rPr>
        <w:t xml:space="preserve">natomiast </w:t>
      </w:r>
      <w:r w:rsidR="00587BE0" w:rsidRPr="00A15589">
        <w:rPr>
          <w:rFonts w:ascii="Lato" w:hAnsi="Lato"/>
        </w:rPr>
        <w:t xml:space="preserve">z art. 248 ust. 3 ustawy </w:t>
      </w:r>
      <w:proofErr w:type="spellStart"/>
      <w:r w:rsidR="00587BE0" w:rsidRPr="00A15589">
        <w:rPr>
          <w:rFonts w:ascii="Lato" w:hAnsi="Lato"/>
        </w:rPr>
        <w:t>Pzp</w:t>
      </w:r>
      <w:proofErr w:type="spellEnd"/>
      <w:r w:rsidR="00587BE0" w:rsidRPr="00A15589">
        <w:rPr>
          <w:rFonts w:ascii="Lato" w:hAnsi="Lato"/>
        </w:rPr>
        <w:t xml:space="preserve"> wezwanie zamawiającego do złożenia ofert dodatkowych jest dopuszczalne jedynie </w:t>
      </w:r>
      <w:r w:rsidR="005906B0" w:rsidRPr="00A15589">
        <w:rPr>
          <w:rFonts w:ascii="Lato" w:hAnsi="Lato"/>
        </w:rPr>
        <w:t xml:space="preserve">w przypadku, gdy nie jest możliwe dokonanie wyboru najkorzystniejszej oferty w oparciu o regulacje przedstawione w art. 248 ust. 2 ustawy </w:t>
      </w:r>
      <w:proofErr w:type="spellStart"/>
      <w:r w:rsidR="005906B0" w:rsidRPr="00A15589">
        <w:rPr>
          <w:rFonts w:ascii="Lato" w:hAnsi="Lato"/>
        </w:rPr>
        <w:t>Pzp</w:t>
      </w:r>
      <w:proofErr w:type="spellEnd"/>
      <w:r w:rsidR="005906B0" w:rsidRPr="00A15589">
        <w:rPr>
          <w:rFonts w:ascii="Lato" w:hAnsi="Lato"/>
        </w:rPr>
        <w:t xml:space="preserve">. </w:t>
      </w:r>
    </w:p>
    <w:p w14:paraId="1D11B4BA" w14:textId="66892D7F" w:rsidR="00F52073" w:rsidRPr="00A15589" w:rsidRDefault="003B67F3" w:rsidP="00A6711F">
      <w:pPr>
        <w:spacing w:after="120" w:line="240" w:lineRule="auto"/>
        <w:jc w:val="both"/>
        <w:rPr>
          <w:rFonts w:ascii="Lato" w:hAnsi="Lato"/>
        </w:rPr>
      </w:pPr>
      <w:r w:rsidRPr="00A15589">
        <w:rPr>
          <w:rFonts w:ascii="Lato" w:hAnsi="Lato"/>
        </w:rPr>
        <w:t xml:space="preserve">Wezwanie do złożenia ofert dodatkowych, zgodnie z art. 248 ust. 3 ustawy </w:t>
      </w:r>
      <w:proofErr w:type="spellStart"/>
      <w:r w:rsidRPr="00A15589">
        <w:rPr>
          <w:rFonts w:ascii="Lato" w:hAnsi="Lato"/>
        </w:rPr>
        <w:t>Pzp</w:t>
      </w:r>
      <w:proofErr w:type="spellEnd"/>
      <w:r w:rsidRPr="00A15589">
        <w:rPr>
          <w:rFonts w:ascii="Lato" w:hAnsi="Lato"/>
        </w:rPr>
        <w:t xml:space="preserve"> </w:t>
      </w:r>
      <w:r w:rsidR="00F95972" w:rsidRPr="00A15589">
        <w:rPr>
          <w:rFonts w:ascii="Lato" w:hAnsi="Lato"/>
        </w:rPr>
        <w:t xml:space="preserve">służy wyłącznie rozstrzygnięciu sytuacji, w której zamawiający nie może dokonać wyboru najkorzystniejszej oferty, ponieważ </w:t>
      </w:r>
      <w:r w:rsidR="00F95972" w:rsidRPr="00A15589">
        <w:rPr>
          <w:rFonts w:ascii="Lato" w:hAnsi="Lato"/>
          <w:b/>
          <w:bCs/>
        </w:rPr>
        <w:t>co najmniej dwie oferty</w:t>
      </w:r>
      <w:r w:rsidR="00777A3A" w:rsidRPr="00A15589">
        <w:rPr>
          <w:rFonts w:ascii="Lato" w:hAnsi="Lato"/>
          <w:b/>
          <w:bCs/>
        </w:rPr>
        <w:t xml:space="preserve"> uzyskały identyczną liczbę punktów, a jednocześnie kryterium ceny lub kosztu </w:t>
      </w:r>
      <w:r w:rsidR="00E94101" w:rsidRPr="00A15589">
        <w:rPr>
          <w:rFonts w:ascii="Lato" w:hAnsi="Lato"/>
          <w:b/>
          <w:bCs/>
        </w:rPr>
        <w:t>ma najwyższą wagę i w tym kryterium również wystąpił remis</w:t>
      </w:r>
      <w:r w:rsidR="00E94101" w:rsidRPr="00A15589">
        <w:rPr>
          <w:rFonts w:ascii="Lato" w:hAnsi="Lato"/>
        </w:rPr>
        <w:t xml:space="preserve">. W takiej sytuacji zamawiający </w:t>
      </w:r>
      <w:r w:rsidR="00E94101" w:rsidRPr="00A15589">
        <w:rPr>
          <w:rFonts w:ascii="Lato" w:hAnsi="Lato"/>
          <w:b/>
          <w:bCs/>
        </w:rPr>
        <w:t>ma obowiązek</w:t>
      </w:r>
      <w:r w:rsidR="00E94101" w:rsidRPr="00A15589">
        <w:rPr>
          <w:rFonts w:ascii="Lato" w:hAnsi="Lato"/>
        </w:rPr>
        <w:t xml:space="preserve"> ski</w:t>
      </w:r>
      <w:r w:rsidR="0035451D" w:rsidRPr="00A15589">
        <w:rPr>
          <w:rFonts w:ascii="Lato" w:hAnsi="Lato"/>
        </w:rPr>
        <w:t>erować do wykonawców wezwanie do złożenia ofert dodatkowych.</w:t>
      </w:r>
    </w:p>
    <w:p w14:paraId="73A3DB43" w14:textId="2911E451" w:rsidR="00267BF6" w:rsidRPr="00A15589" w:rsidRDefault="007D0A88" w:rsidP="00A6711F">
      <w:pPr>
        <w:spacing w:after="120" w:line="240" w:lineRule="auto"/>
        <w:jc w:val="both"/>
        <w:rPr>
          <w:rFonts w:ascii="Lato" w:hAnsi="Lato"/>
        </w:rPr>
      </w:pPr>
      <w:r w:rsidRPr="00A15589">
        <w:rPr>
          <w:rFonts w:ascii="Lato" w:hAnsi="Lato"/>
        </w:rPr>
        <w:t>Należy podkreślić, że</w:t>
      </w:r>
      <w:r w:rsidR="00267BF6" w:rsidRPr="00A15589">
        <w:rPr>
          <w:rFonts w:ascii="Lato" w:hAnsi="Lato"/>
        </w:rPr>
        <w:t xml:space="preserve"> oferta dodatkowa może obejmować jedynie nową cenę lub koszt, nie może obejmować pozostałych </w:t>
      </w:r>
      <w:r w:rsidR="00F27240">
        <w:rPr>
          <w:rFonts w:ascii="Lato" w:hAnsi="Lato"/>
        </w:rPr>
        <w:t>kryteriów oceny ofert</w:t>
      </w:r>
      <w:r w:rsidR="00267BF6" w:rsidRPr="00A15589">
        <w:rPr>
          <w:rFonts w:ascii="Lato" w:hAnsi="Lato"/>
        </w:rPr>
        <w:t>. Zmiana ceny lub kosztu powinna polegać na ich obniżeniu w stosunku do tych zamieszczonych w pierwotnej ofercie</w:t>
      </w:r>
      <w:r w:rsidR="001716BB">
        <w:rPr>
          <w:rFonts w:ascii="Lato" w:hAnsi="Lato"/>
        </w:rPr>
        <w:t>, natomiast nie może polegać na ich podwyższeniu</w:t>
      </w:r>
      <w:r w:rsidR="00267BF6" w:rsidRPr="00A15589">
        <w:rPr>
          <w:rFonts w:ascii="Lato" w:hAnsi="Lato"/>
        </w:rPr>
        <w:t>.</w:t>
      </w:r>
      <w:r w:rsidR="00BA5BC5" w:rsidRPr="00A15589">
        <w:rPr>
          <w:rFonts w:ascii="Lato" w:hAnsi="Lato"/>
        </w:rPr>
        <w:t xml:space="preserve"> </w:t>
      </w:r>
    </w:p>
    <w:p w14:paraId="2F52D0C5" w14:textId="772ADB91" w:rsidR="00BA5BC5" w:rsidRPr="00A15589" w:rsidRDefault="00BA5BC5" w:rsidP="00A6711F">
      <w:pPr>
        <w:spacing w:after="120" w:line="240" w:lineRule="auto"/>
        <w:jc w:val="both"/>
        <w:rPr>
          <w:rFonts w:ascii="Lato" w:hAnsi="Lato"/>
        </w:rPr>
      </w:pPr>
      <w:r w:rsidRPr="00A15589">
        <w:rPr>
          <w:rFonts w:ascii="Lato" w:hAnsi="Lato"/>
        </w:rPr>
        <w:t>Oferty dodatkowe składane są na wezwanie i w terminie określonym przez zamawiającego.</w:t>
      </w:r>
      <w:r w:rsidR="00F73BD0" w:rsidRPr="00A15589">
        <w:rPr>
          <w:rFonts w:ascii="Lato" w:hAnsi="Lato"/>
        </w:rPr>
        <w:t xml:space="preserve"> </w:t>
      </w:r>
      <w:r w:rsidR="00080F9B" w:rsidRPr="00080F9B">
        <w:rPr>
          <w:rFonts w:ascii="Lato" w:hAnsi="Lato"/>
        </w:rPr>
        <w:t>Należy pamięta</w:t>
      </w:r>
      <w:r w:rsidR="00080F9B">
        <w:rPr>
          <w:rFonts w:ascii="Lato" w:hAnsi="Lato"/>
        </w:rPr>
        <w:t>ć</w:t>
      </w:r>
      <w:r w:rsidR="00080F9B" w:rsidRPr="00080F9B">
        <w:rPr>
          <w:rFonts w:ascii="Lato" w:hAnsi="Lato"/>
        </w:rPr>
        <w:t xml:space="preserve">, że termin ten musi być zgodny z zasadą wyrażoną w art. 8 ust. 4 ustawy </w:t>
      </w:r>
      <w:proofErr w:type="spellStart"/>
      <w:r w:rsidR="00080F9B" w:rsidRPr="00080F9B">
        <w:rPr>
          <w:rFonts w:ascii="Lato" w:hAnsi="Lato"/>
        </w:rPr>
        <w:t>Pzp</w:t>
      </w:r>
      <w:proofErr w:type="spellEnd"/>
      <w:r w:rsidR="00080F9B" w:rsidRPr="00080F9B">
        <w:rPr>
          <w:rFonts w:ascii="Lato" w:hAnsi="Lato"/>
        </w:rPr>
        <w:t xml:space="preserve"> (termin obejmujący dwa lub więcej dni zawiera co najmniej dwa dni robocze), albowiem jest to termin wyznaczany samodzielnie przez zamawiającego oraz należy mieć na uwadze także, że termin ten musi uwzględniać czas potrzebny na złożenie takiej oferty dodatkowej.</w:t>
      </w:r>
      <w:r w:rsidR="00080F9B">
        <w:rPr>
          <w:rFonts w:ascii="Lato" w:hAnsi="Lato"/>
        </w:rPr>
        <w:t xml:space="preserve"> </w:t>
      </w:r>
      <w:r w:rsidR="00F73BD0" w:rsidRPr="00A15589">
        <w:rPr>
          <w:rFonts w:ascii="Lato" w:hAnsi="Lato"/>
        </w:rPr>
        <w:t xml:space="preserve">W przypadku niezłożenia przez wykonawcę oferty dodatkowej w terminie wyznaczonym przez zamawiającego, </w:t>
      </w:r>
      <w:r w:rsidRPr="00A15589">
        <w:rPr>
          <w:rFonts w:ascii="Lato" w:hAnsi="Lato"/>
        </w:rPr>
        <w:t xml:space="preserve">przy ponownej ocenie </w:t>
      </w:r>
      <w:r w:rsidR="00F73BD0" w:rsidRPr="00A15589">
        <w:rPr>
          <w:rFonts w:ascii="Lato" w:hAnsi="Lato"/>
        </w:rPr>
        <w:t>brana jest</w:t>
      </w:r>
      <w:r w:rsidRPr="00A15589">
        <w:rPr>
          <w:rFonts w:ascii="Lato" w:hAnsi="Lato"/>
        </w:rPr>
        <w:t xml:space="preserve"> pod uwagę cena pierwotnie zaoferowana przez tego wykonawcę</w:t>
      </w:r>
      <w:r w:rsidR="00082A81" w:rsidRPr="00A15589">
        <w:rPr>
          <w:rFonts w:ascii="Lato" w:hAnsi="Lato"/>
        </w:rPr>
        <w:t>.</w:t>
      </w:r>
    </w:p>
    <w:p w14:paraId="0393BC4B" w14:textId="7BED8026" w:rsidR="00A15589" w:rsidRPr="00A15589" w:rsidRDefault="00015A29" w:rsidP="00A6711F">
      <w:pPr>
        <w:spacing w:after="120" w:line="240" w:lineRule="auto"/>
        <w:jc w:val="both"/>
        <w:rPr>
          <w:rFonts w:ascii="Lato" w:hAnsi="Lato"/>
        </w:rPr>
      </w:pPr>
      <w:r w:rsidRPr="00A15589">
        <w:rPr>
          <w:rFonts w:ascii="Lato" w:hAnsi="Lato"/>
        </w:rPr>
        <w:t>Po złożeniu ofert dodatkowych zamawiający wybiera tę ofertę, która</w:t>
      </w:r>
      <w:r w:rsidR="00AB5E11" w:rsidRPr="00A15589">
        <w:rPr>
          <w:rFonts w:ascii="Lato" w:hAnsi="Lato"/>
        </w:rPr>
        <w:t xml:space="preserve"> ostatecznie</w:t>
      </w:r>
      <w:r w:rsidRPr="00A15589">
        <w:rPr>
          <w:rFonts w:ascii="Lato" w:hAnsi="Lato"/>
        </w:rPr>
        <w:t xml:space="preserve"> zawiera niższą cenę lub niższy koszt. Do rozstrzygnięcia postępowania niezbędne jest złożenie przynajmniej jednej prawidłowej oferty dodatkowej. Ponieważ ten etap nie może być powtarzany, w przypadku ponownego braku możliwości wyboru oferty najkorzystniejszej albo braku przynajmniej jednej ważnej oferty postępowanie musi być unieważnione</w:t>
      </w:r>
      <w:r w:rsidR="00A15589">
        <w:rPr>
          <w:rFonts w:ascii="Lato" w:hAnsi="Lato"/>
        </w:rPr>
        <w:t>.</w:t>
      </w:r>
    </w:p>
    <w:p w14:paraId="53FA47B5" w14:textId="77777777" w:rsidR="00F27240" w:rsidRDefault="00F27240" w:rsidP="00DE082E">
      <w:pPr>
        <w:pStyle w:val="Default"/>
        <w:spacing w:after="120"/>
        <w:jc w:val="both"/>
        <w:rPr>
          <w:rFonts w:ascii="Lato" w:hAnsi="Lato"/>
          <w:b/>
          <w:bCs/>
          <w:color w:val="0070C0"/>
        </w:rPr>
      </w:pPr>
    </w:p>
    <w:p w14:paraId="5E69DEDD" w14:textId="20D73E93" w:rsidR="00F27240" w:rsidRPr="007441A1" w:rsidRDefault="00F27240" w:rsidP="007441A1">
      <w:pPr>
        <w:pStyle w:val="Default"/>
        <w:spacing w:after="120"/>
        <w:jc w:val="center"/>
        <w:rPr>
          <w:rFonts w:ascii="Lato" w:hAnsi="Lato"/>
          <w:b/>
          <w:bCs/>
          <w:color w:val="000000" w:themeColor="text1"/>
        </w:rPr>
      </w:pPr>
      <w:r w:rsidRPr="007441A1">
        <w:rPr>
          <w:rFonts w:ascii="Lato" w:hAnsi="Lato"/>
          <w:b/>
          <w:bCs/>
          <w:color w:val="000000" w:themeColor="text1"/>
        </w:rPr>
        <w:lastRenderedPageBreak/>
        <w:t xml:space="preserve">II. </w:t>
      </w:r>
      <w:r>
        <w:rPr>
          <w:rFonts w:ascii="Lato" w:hAnsi="Lato"/>
          <w:b/>
          <w:bCs/>
          <w:color w:val="000000" w:themeColor="text1"/>
        </w:rPr>
        <w:t>A</w:t>
      </w:r>
      <w:r w:rsidRPr="007441A1">
        <w:rPr>
          <w:rFonts w:ascii="Lato" w:hAnsi="Lato"/>
          <w:b/>
          <w:bCs/>
          <w:color w:val="000000" w:themeColor="text1"/>
        </w:rPr>
        <w:t>rt. 249</w:t>
      </w:r>
      <w:r>
        <w:rPr>
          <w:rFonts w:ascii="Lato" w:hAnsi="Lato"/>
          <w:b/>
          <w:bCs/>
          <w:color w:val="000000" w:themeColor="text1"/>
        </w:rPr>
        <w:t xml:space="preserve"> ustawy </w:t>
      </w:r>
      <w:proofErr w:type="spellStart"/>
      <w:r>
        <w:rPr>
          <w:rFonts w:ascii="Lato" w:hAnsi="Lato"/>
          <w:b/>
          <w:bCs/>
          <w:color w:val="000000" w:themeColor="text1"/>
        </w:rPr>
        <w:t>Pzp</w:t>
      </w:r>
      <w:proofErr w:type="spellEnd"/>
    </w:p>
    <w:p w14:paraId="242C6B81" w14:textId="2E70B59E" w:rsidR="00DE082E" w:rsidRPr="00A15589" w:rsidRDefault="00DE082E" w:rsidP="00DE082E">
      <w:pPr>
        <w:pStyle w:val="Default"/>
        <w:spacing w:after="120"/>
        <w:jc w:val="both"/>
        <w:rPr>
          <w:rFonts w:ascii="Lato" w:hAnsi="Lato"/>
          <w:b/>
          <w:bCs/>
          <w:color w:val="0070C0"/>
        </w:rPr>
      </w:pPr>
      <w:r w:rsidRPr="00A15589">
        <w:rPr>
          <w:rFonts w:ascii="Lato" w:hAnsi="Lato"/>
          <w:b/>
          <w:bCs/>
          <w:color w:val="0070C0"/>
        </w:rPr>
        <w:t>Wezwanie do złożenia ofert dodatkowych</w:t>
      </w:r>
      <w:r w:rsidR="00191E91" w:rsidRPr="00A15589">
        <w:rPr>
          <w:rFonts w:ascii="Lato" w:hAnsi="Lato"/>
          <w:b/>
          <w:bCs/>
          <w:color w:val="0070C0"/>
        </w:rPr>
        <w:t xml:space="preserve">, gdy jedynym kryterium </w:t>
      </w:r>
      <w:r w:rsidR="00BD5D1C" w:rsidRPr="00A15589">
        <w:rPr>
          <w:rFonts w:ascii="Lato" w:hAnsi="Lato"/>
          <w:b/>
          <w:bCs/>
          <w:color w:val="0070C0"/>
        </w:rPr>
        <w:t xml:space="preserve">jest cena lub koszt i w postępowaniu o udzielenie zamówienia publicznego wykonawcy złożyli </w:t>
      </w:r>
      <w:r w:rsidR="00C112BA" w:rsidRPr="00A15589">
        <w:rPr>
          <w:rFonts w:ascii="Lato" w:hAnsi="Lato"/>
          <w:b/>
          <w:bCs/>
          <w:color w:val="0070C0"/>
        </w:rPr>
        <w:t xml:space="preserve">oferty z taką samą ceną lub kosztem </w:t>
      </w:r>
    </w:p>
    <w:p w14:paraId="4E507E22" w14:textId="7161FFF2" w:rsidR="00BE5DB5" w:rsidRPr="00A15589" w:rsidRDefault="008F6145" w:rsidP="008260E4">
      <w:pPr>
        <w:spacing w:after="120" w:line="240" w:lineRule="auto"/>
        <w:jc w:val="both"/>
        <w:rPr>
          <w:rFonts w:ascii="Lato" w:hAnsi="Lato"/>
        </w:rPr>
      </w:pPr>
      <w:r w:rsidRPr="00A15589">
        <w:rPr>
          <w:rFonts w:ascii="Lato" w:hAnsi="Lato"/>
        </w:rPr>
        <w:t xml:space="preserve">Zgodnie z art. 249 ustawy </w:t>
      </w:r>
      <w:proofErr w:type="spellStart"/>
      <w:r w:rsidRPr="00A15589">
        <w:rPr>
          <w:rFonts w:ascii="Lato" w:hAnsi="Lato"/>
        </w:rPr>
        <w:t>Pzp</w:t>
      </w:r>
      <w:proofErr w:type="spellEnd"/>
      <w:r w:rsidRPr="00A15589">
        <w:rPr>
          <w:rFonts w:ascii="Lato" w:hAnsi="Lato"/>
        </w:rPr>
        <w:t xml:space="preserve"> w postępowaniach</w:t>
      </w:r>
      <w:r w:rsidR="0052327A" w:rsidRPr="00A15589">
        <w:rPr>
          <w:rFonts w:ascii="Lato" w:hAnsi="Lato"/>
        </w:rPr>
        <w:t xml:space="preserve"> o udzielenie zamówienia publicznego, w którym jedynym </w:t>
      </w:r>
      <w:r w:rsidR="00110D72" w:rsidRPr="00A15589">
        <w:rPr>
          <w:rFonts w:ascii="Lato" w:hAnsi="Lato"/>
        </w:rPr>
        <w:t xml:space="preserve">kryterium oceny ofert jest cena lub koszt, zamawiający jest zobowiązany do zastosowania procedury </w:t>
      </w:r>
      <w:r w:rsidR="00307B42" w:rsidRPr="00A15589">
        <w:rPr>
          <w:rFonts w:ascii="Lato" w:hAnsi="Lato"/>
        </w:rPr>
        <w:t xml:space="preserve">składania ofert dodatkowych w sytuacji, gdy nie jest możliwe </w:t>
      </w:r>
      <w:r w:rsidR="00A361BC" w:rsidRPr="00A15589">
        <w:rPr>
          <w:rFonts w:ascii="Lato" w:hAnsi="Lato"/>
        </w:rPr>
        <w:t>dokonanie wyboru najkorzystniejszej oferty z uwagi na identyczną cenę lub koszt zaoferowane przez kilku wykonawców.</w:t>
      </w:r>
    </w:p>
    <w:p w14:paraId="56C8FAC2" w14:textId="19256D9D" w:rsidR="00C112BA" w:rsidRPr="00A15589" w:rsidRDefault="001734D0" w:rsidP="008260E4">
      <w:pPr>
        <w:spacing w:after="120" w:line="240" w:lineRule="auto"/>
        <w:jc w:val="both"/>
        <w:rPr>
          <w:rFonts w:ascii="Lato" w:hAnsi="Lato"/>
        </w:rPr>
      </w:pPr>
      <w:r w:rsidRPr="00A15589">
        <w:rPr>
          <w:rFonts w:ascii="Lato" w:hAnsi="Lato"/>
        </w:rPr>
        <w:t xml:space="preserve">Wezwanie do złożenia ofert dodatkowych kierowane jest </w:t>
      </w:r>
      <w:r w:rsidRPr="00A15589">
        <w:rPr>
          <w:rFonts w:ascii="Lato" w:hAnsi="Lato"/>
          <w:b/>
          <w:bCs/>
        </w:rPr>
        <w:t>wyłącznie do wykonawców, k</w:t>
      </w:r>
      <w:r w:rsidR="00FC2508" w:rsidRPr="00A15589">
        <w:rPr>
          <w:rFonts w:ascii="Lato" w:hAnsi="Lato"/>
          <w:b/>
          <w:bCs/>
        </w:rPr>
        <w:t>tórych oferty uzyskały najwyższą liczbę punktów</w:t>
      </w:r>
      <w:r w:rsidR="00FC2508" w:rsidRPr="00A15589">
        <w:rPr>
          <w:rFonts w:ascii="Lato" w:hAnsi="Lato"/>
        </w:rPr>
        <w:t xml:space="preserve">, a tym samym </w:t>
      </w:r>
      <w:r w:rsidR="00FC2508" w:rsidRPr="00A15589">
        <w:rPr>
          <w:rFonts w:ascii="Lato" w:hAnsi="Lato"/>
          <w:b/>
          <w:bCs/>
        </w:rPr>
        <w:t xml:space="preserve">zajęły jednocześnie </w:t>
      </w:r>
      <w:r w:rsidR="001716BB">
        <w:rPr>
          <w:rFonts w:ascii="Lato" w:hAnsi="Lato"/>
          <w:b/>
          <w:bCs/>
        </w:rPr>
        <w:t xml:space="preserve">najwyższe </w:t>
      </w:r>
      <w:r w:rsidR="009438BD" w:rsidRPr="00A15589">
        <w:rPr>
          <w:rFonts w:ascii="Lato" w:hAnsi="Lato"/>
          <w:b/>
          <w:bCs/>
        </w:rPr>
        <w:t>miejsc</w:t>
      </w:r>
      <w:r w:rsidR="001716BB">
        <w:rPr>
          <w:rFonts w:ascii="Lato" w:hAnsi="Lato"/>
          <w:b/>
          <w:bCs/>
        </w:rPr>
        <w:t>a</w:t>
      </w:r>
      <w:r w:rsidR="009438BD" w:rsidRPr="00A15589">
        <w:rPr>
          <w:rFonts w:ascii="Lato" w:hAnsi="Lato"/>
          <w:b/>
          <w:bCs/>
        </w:rPr>
        <w:t xml:space="preserve"> w ramach klasyfikacji i oceny ofert złożonych w postępowaniu o udzielenie zamówienia publicznego</w:t>
      </w:r>
      <w:r w:rsidR="009438BD" w:rsidRPr="00A15589">
        <w:rPr>
          <w:rFonts w:ascii="Lato" w:hAnsi="Lato"/>
        </w:rPr>
        <w:t xml:space="preserve">. </w:t>
      </w:r>
    </w:p>
    <w:p w14:paraId="5E316C1F" w14:textId="476CCCCC" w:rsidR="00A45325" w:rsidRPr="00A15589" w:rsidRDefault="007D12CD" w:rsidP="008260E4">
      <w:pPr>
        <w:spacing w:after="120" w:line="240" w:lineRule="auto"/>
        <w:jc w:val="both"/>
        <w:rPr>
          <w:rFonts w:ascii="Lato" w:hAnsi="Lato"/>
        </w:rPr>
      </w:pPr>
      <w:r w:rsidRPr="00A15589">
        <w:rPr>
          <w:rFonts w:ascii="Lato" w:hAnsi="Lato"/>
        </w:rPr>
        <w:t xml:space="preserve">Wykonawcy, których oferty uzyskały taką samą liczbę punktów, lecz znajdują się </w:t>
      </w:r>
      <w:r w:rsidR="00C517A0" w:rsidRPr="00A15589">
        <w:rPr>
          <w:rFonts w:ascii="Lato" w:hAnsi="Lato"/>
        </w:rPr>
        <w:t>na niższych pozycjach</w:t>
      </w:r>
      <w:r w:rsidR="00F27240">
        <w:rPr>
          <w:rFonts w:ascii="Lato" w:hAnsi="Lato"/>
        </w:rPr>
        <w:t xml:space="preserve"> w rankingu ofert</w:t>
      </w:r>
      <w:r w:rsidR="00C517A0" w:rsidRPr="00A15589">
        <w:rPr>
          <w:rFonts w:ascii="Lato" w:hAnsi="Lato"/>
        </w:rPr>
        <w:t xml:space="preserve">, </w:t>
      </w:r>
      <w:r w:rsidR="00C517A0" w:rsidRPr="00A15589">
        <w:rPr>
          <w:rFonts w:ascii="Lato" w:hAnsi="Lato"/>
          <w:b/>
          <w:bCs/>
        </w:rPr>
        <w:t xml:space="preserve">nie są obejmowani </w:t>
      </w:r>
      <w:r w:rsidR="00E5428E" w:rsidRPr="00A15589">
        <w:rPr>
          <w:rFonts w:ascii="Lato" w:hAnsi="Lato"/>
          <w:b/>
          <w:bCs/>
        </w:rPr>
        <w:t>wezwaniem</w:t>
      </w:r>
      <w:r w:rsidR="00E5428E" w:rsidRPr="00A15589">
        <w:rPr>
          <w:rFonts w:ascii="Lato" w:hAnsi="Lato"/>
        </w:rPr>
        <w:t xml:space="preserve">, ponieważ ich oferty nie wpływają na </w:t>
      </w:r>
      <w:r w:rsidR="007441A1" w:rsidRPr="00A15589">
        <w:rPr>
          <w:rFonts w:ascii="Lato" w:hAnsi="Lato"/>
        </w:rPr>
        <w:t>rozstrzygnięcie wyboru</w:t>
      </w:r>
      <w:r w:rsidR="00970402" w:rsidRPr="00A15589">
        <w:rPr>
          <w:rFonts w:ascii="Lato" w:hAnsi="Lato"/>
        </w:rPr>
        <w:t xml:space="preserve"> oferty najkorzystniejszej. </w:t>
      </w:r>
    </w:p>
    <w:p w14:paraId="41756662" w14:textId="5A6C66D4" w:rsidR="007D33DA" w:rsidRDefault="007D33DA" w:rsidP="008260E4">
      <w:pPr>
        <w:spacing w:after="120" w:line="240" w:lineRule="auto"/>
        <w:jc w:val="both"/>
        <w:rPr>
          <w:rFonts w:ascii="Lato" w:hAnsi="Lato"/>
        </w:rPr>
      </w:pPr>
      <w:r w:rsidRPr="00A15589">
        <w:rPr>
          <w:rFonts w:ascii="Lato" w:hAnsi="Lato"/>
        </w:rPr>
        <w:t xml:space="preserve">W kierowanym do wykonawców wezwaniu do złożenia ofert dodatkowych, zamawiający wyznacza konkretny termin na złożenie ofert dodatkowych. </w:t>
      </w:r>
      <w:r w:rsidR="00F27240">
        <w:rPr>
          <w:rFonts w:ascii="Lato" w:hAnsi="Lato"/>
        </w:rPr>
        <w:t>Należy pamięta</w:t>
      </w:r>
      <w:r w:rsidR="00080F9B">
        <w:rPr>
          <w:rFonts w:ascii="Lato" w:hAnsi="Lato"/>
        </w:rPr>
        <w:t>ć</w:t>
      </w:r>
      <w:r w:rsidR="00F27240">
        <w:rPr>
          <w:rFonts w:ascii="Lato" w:hAnsi="Lato"/>
        </w:rPr>
        <w:t xml:space="preserve">, że termin ten musi być zgodny z zasadą wyrażoną w art. 8 ust. 4 ustawy </w:t>
      </w:r>
      <w:proofErr w:type="spellStart"/>
      <w:r w:rsidR="00F27240">
        <w:rPr>
          <w:rFonts w:ascii="Lato" w:hAnsi="Lato"/>
        </w:rPr>
        <w:t>Pzp</w:t>
      </w:r>
      <w:proofErr w:type="spellEnd"/>
      <w:r w:rsidR="00F27240">
        <w:rPr>
          <w:rFonts w:ascii="Lato" w:hAnsi="Lato"/>
        </w:rPr>
        <w:t xml:space="preserve"> </w:t>
      </w:r>
      <w:r w:rsidR="00F27240" w:rsidRPr="007441A1">
        <w:rPr>
          <w:rFonts w:ascii="Lato" w:hAnsi="Lato"/>
          <w:color w:val="000000" w:themeColor="text1"/>
        </w:rPr>
        <w:t>(termin obejmujący dwa lub więcej dni zawiera co najmniej dwa dni robocze</w:t>
      </w:r>
      <w:r w:rsidR="00F27240">
        <w:rPr>
          <w:rFonts w:ascii="Lato" w:hAnsi="Lato"/>
          <w:b/>
          <w:bCs/>
        </w:rPr>
        <w:t>), albowiem jest to termin wyznaczany samodzielnie przez zamawiającego oraz należy mieć na uwadze także, że termin ten musi uwzględniać czas potrzebny na złożenie takiej oferty dodatkowej.</w:t>
      </w:r>
      <w:r w:rsidR="00F27240" w:rsidRPr="00F27240">
        <w:rPr>
          <w:rFonts w:ascii="Lato" w:hAnsi="Lato"/>
        </w:rPr>
        <w:t xml:space="preserve"> </w:t>
      </w:r>
      <w:r w:rsidRPr="00A15589">
        <w:rPr>
          <w:rFonts w:ascii="Lato" w:hAnsi="Lato"/>
        </w:rPr>
        <w:t xml:space="preserve">W przypadku gdy wykonawca objęty wezwaniem nie złoży </w:t>
      </w:r>
      <w:r w:rsidR="00946942" w:rsidRPr="00A15589">
        <w:rPr>
          <w:rFonts w:ascii="Lato" w:hAnsi="Lato"/>
        </w:rPr>
        <w:t xml:space="preserve">oferty dodatkowej w wyznaczonym terminie, przy ponownej ocenie </w:t>
      </w:r>
      <w:r w:rsidR="002D7E7C" w:rsidRPr="00A15589">
        <w:rPr>
          <w:rFonts w:ascii="Lato" w:hAnsi="Lato"/>
        </w:rPr>
        <w:t>ofert zamawiający uwzględnia cenę lub koszt pierwotnie zaoferowaną przez tego wykonawcę.</w:t>
      </w:r>
    </w:p>
    <w:p w14:paraId="492FC978" w14:textId="49E375AA" w:rsidR="00080F9B" w:rsidRPr="00A15589" w:rsidRDefault="00080F9B" w:rsidP="008260E4">
      <w:pPr>
        <w:spacing w:after="120" w:line="240" w:lineRule="auto"/>
        <w:jc w:val="both"/>
        <w:rPr>
          <w:rFonts w:ascii="Lato" w:hAnsi="Lato"/>
        </w:rPr>
      </w:pPr>
      <w:r w:rsidRPr="00080F9B">
        <w:rPr>
          <w:rFonts w:ascii="Lato" w:hAnsi="Lato"/>
        </w:rPr>
        <w:t xml:space="preserve">Zgodnie z art. 251 ustawy </w:t>
      </w:r>
      <w:proofErr w:type="spellStart"/>
      <w:r w:rsidRPr="00080F9B">
        <w:rPr>
          <w:rFonts w:ascii="Lato" w:hAnsi="Lato"/>
        </w:rPr>
        <w:t>Pzp</w:t>
      </w:r>
      <w:proofErr w:type="spellEnd"/>
      <w:r w:rsidRPr="00080F9B">
        <w:rPr>
          <w:rFonts w:ascii="Lato" w:hAnsi="Lato"/>
        </w:rPr>
        <w:t xml:space="preserve"> wykonawcy, składając oferty dodatkowe, nie mogą oferować kosztów wyższych niż zaoferowane w uprzednio złożonych przez nich ofertach</w:t>
      </w:r>
      <w:r>
        <w:rPr>
          <w:rFonts w:ascii="Lato" w:hAnsi="Lato"/>
        </w:rPr>
        <w:t>.</w:t>
      </w:r>
    </w:p>
    <w:p w14:paraId="5ED686C8" w14:textId="1447A7F3" w:rsidR="00B00B88" w:rsidRPr="0040145F" w:rsidRDefault="00F526CB" w:rsidP="008260E4">
      <w:pPr>
        <w:spacing w:after="120" w:line="240" w:lineRule="auto"/>
        <w:jc w:val="both"/>
        <w:rPr>
          <w:rFonts w:ascii="Lato" w:hAnsi="Lato"/>
        </w:rPr>
      </w:pPr>
      <w:r w:rsidRPr="00A15589">
        <w:rPr>
          <w:rFonts w:ascii="Lato" w:hAnsi="Lato"/>
        </w:rPr>
        <w:t xml:space="preserve">Omawiana procedura składania ofert dodatkowych stanowi instrument służący zapewnieniu transparentnego </w:t>
      </w:r>
      <w:r w:rsidR="00070C4D" w:rsidRPr="00A15589">
        <w:rPr>
          <w:rFonts w:ascii="Lato" w:hAnsi="Lato"/>
        </w:rPr>
        <w:t xml:space="preserve">i obiektywnego wyboru oferty najkorzystniejszej w sytuacji, gdy pierwotne wyniki oceny </w:t>
      </w:r>
      <w:r w:rsidR="00EF21DB" w:rsidRPr="00A15589">
        <w:rPr>
          <w:rFonts w:ascii="Lato" w:hAnsi="Lato"/>
        </w:rPr>
        <w:t>nie pozwalają na jednoznaczne rozstrzygnięcie.</w:t>
      </w:r>
    </w:p>
    <w:p w14:paraId="14F3A2D3" w14:textId="77777777" w:rsidR="00F27240" w:rsidRDefault="00F27240" w:rsidP="00F27240">
      <w:pPr>
        <w:pStyle w:val="Default"/>
        <w:spacing w:after="120"/>
        <w:jc w:val="center"/>
        <w:rPr>
          <w:rFonts w:ascii="Lato" w:hAnsi="Lato"/>
          <w:b/>
          <w:bCs/>
          <w:color w:val="000000" w:themeColor="text1"/>
        </w:rPr>
      </w:pPr>
    </w:p>
    <w:p w14:paraId="4E846320" w14:textId="77777777" w:rsidR="00F27240" w:rsidRDefault="00F27240" w:rsidP="00F27240">
      <w:pPr>
        <w:pStyle w:val="Default"/>
        <w:spacing w:after="120"/>
        <w:jc w:val="center"/>
        <w:rPr>
          <w:rFonts w:ascii="Lato" w:hAnsi="Lato"/>
          <w:b/>
          <w:bCs/>
          <w:color w:val="000000" w:themeColor="text1"/>
        </w:rPr>
      </w:pPr>
    </w:p>
    <w:p w14:paraId="110A7E24" w14:textId="5EF094AC" w:rsidR="00F27240" w:rsidRPr="007441A1" w:rsidRDefault="00F27240" w:rsidP="007441A1">
      <w:pPr>
        <w:pStyle w:val="Default"/>
        <w:spacing w:after="120"/>
        <w:jc w:val="center"/>
        <w:rPr>
          <w:rFonts w:ascii="Lato" w:hAnsi="Lato"/>
          <w:b/>
          <w:bCs/>
          <w:color w:val="000000" w:themeColor="text1"/>
        </w:rPr>
      </w:pPr>
      <w:r w:rsidRPr="007441A1">
        <w:rPr>
          <w:rFonts w:ascii="Lato" w:hAnsi="Lato"/>
          <w:b/>
          <w:bCs/>
          <w:color w:val="000000" w:themeColor="text1"/>
        </w:rPr>
        <w:t xml:space="preserve">III. art. 250 ust. 2 ustawy </w:t>
      </w:r>
      <w:proofErr w:type="spellStart"/>
      <w:r w:rsidRPr="007441A1">
        <w:rPr>
          <w:rFonts w:ascii="Lato" w:hAnsi="Lato"/>
          <w:b/>
          <w:bCs/>
          <w:color w:val="000000" w:themeColor="text1"/>
        </w:rPr>
        <w:t>Pzp</w:t>
      </w:r>
      <w:proofErr w:type="spellEnd"/>
    </w:p>
    <w:p w14:paraId="1A435768" w14:textId="5E49BEE4" w:rsidR="00B00B88" w:rsidRPr="00A15589" w:rsidRDefault="00B00B88" w:rsidP="00B00B88">
      <w:pPr>
        <w:pStyle w:val="Default"/>
        <w:spacing w:after="120"/>
        <w:jc w:val="both"/>
        <w:rPr>
          <w:rFonts w:ascii="Lato" w:hAnsi="Lato"/>
          <w:b/>
          <w:bCs/>
          <w:color w:val="0070C0"/>
        </w:rPr>
      </w:pPr>
      <w:r w:rsidRPr="00A15589">
        <w:rPr>
          <w:rFonts w:ascii="Lato" w:hAnsi="Lato"/>
          <w:b/>
          <w:bCs/>
          <w:color w:val="0070C0"/>
        </w:rPr>
        <w:t xml:space="preserve">Wezwanie do złożenia ofert dodatkowych, gdy jedynym kryterium jest koszt i w postępowaniu o udzielenie zamówienia publicznego wykonawcy złożyli oferty </w:t>
      </w:r>
      <w:r w:rsidR="00DD31F4" w:rsidRPr="00A15589">
        <w:rPr>
          <w:rFonts w:ascii="Lato" w:hAnsi="Lato"/>
          <w:b/>
          <w:bCs/>
          <w:color w:val="0070C0"/>
        </w:rPr>
        <w:t>o</w:t>
      </w:r>
      <w:r w:rsidRPr="00A15589">
        <w:rPr>
          <w:rFonts w:ascii="Lato" w:hAnsi="Lato"/>
          <w:b/>
          <w:bCs/>
          <w:color w:val="0070C0"/>
        </w:rPr>
        <w:t xml:space="preserve"> tak</w:t>
      </w:r>
      <w:r w:rsidR="00DD31F4" w:rsidRPr="00A15589">
        <w:rPr>
          <w:rFonts w:ascii="Lato" w:hAnsi="Lato"/>
          <w:b/>
          <w:bCs/>
          <w:color w:val="0070C0"/>
        </w:rPr>
        <w:t>im</w:t>
      </w:r>
      <w:r w:rsidRPr="00A15589">
        <w:rPr>
          <w:rFonts w:ascii="Lato" w:hAnsi="Lato"/>
          <w:b/>
          <w:bCs/>
          <w:color w:val="0070C0"/>
        </w:rPr>
        <w:t xml:space="preserve"> sam</w:t>
      </w:r>
      <w:r w:rsidR="00DD31F4" w:rsidRPr="00A15589">
        <w:rPr>
          <w:rFonts w:ascii="Lato" w:hAnsi="Lato"/>
          <w:b/>
          <w:bCs/>
          <w:color w:val="0070C0"/>
        </w:rPr>
        <w:t>ym</w:t>
      </w:r>
      <w:r w:rsidRPr="00A15589">
        <w:rPr>
          <w:rFonts w:ascii="Lato" w:hAnsi="Lato"/>
          <w:b/>
          <w:bCs/>
          <w:color w:val="0070C0"/>
        </w:rPr>
        <w:t xml:space="preserve"> kosz</w:t>
      </w:r>
      <w:r w:rsidR="00DD31F4" w:rsidRPr="00A15589">
        <w:rPr>
          <w:rFonts w:ascii="Lato" w:hAnsi="Lato"/>
          <w:b/>
          <w:bCs/>
          <w:color w:val="0070C0"/>
        </w:rPr>
        <w:t>cie</w:t>
      </w:r>
      <w:r w:rsidRPr="00A15589">
        <w:rPr>
          <w:rFonts w:ascii="Lato" w:hAnsi="Lato"/>
          <w:b/>
          <w:bCs/>
          <w:color w:val="0070C0"/>
        </w:rPr>
        <w:t xml:space="preserve"> </w:t>
      </w:r>
    </w:p>
    <w:p w14:paraId="3EFC7905" w14:textId="4E2D135C" w:rsidR="00030DB2" w:rsidRPr="00A15589" w:rsidRDefault="00030DB2" w:rsidP="008260E4">
      <w:pPr>
        <w:spacing w:after="120" w:line="240" w:lineRule="auto"/>
        <w:jc w:val="both"/>
        <w:rPr>
          <w:rFonts w:ascii="Lato" w:hAnsi="Lato"/>
        </w:rPr>
      </w:pPr>
      <w:r w:rsidRPr="00A15589">
        <w:rPr>
          <w:rFonts w:ascii="Lato" w:hAnsi="Lato"/>
        </w:rPr>
        <w:t>Zgodnie z</w:t>
      </w:r>
      <w:r w:rsidR="001716BB">
        <w:rPr>
          <w:rFonts w:ascii="Lato" w:hAnsi="Lato"/>
        </w:rPr>
        <w:t xml:space="preserve"> art. 250 ust. 1 ustawy </w:t>
      </w:r>
      <w:proofErr w:type="spellStart"/>
      <w:r w:rsidR="001716BB">
        <w:rPr>
          <w:rFonts w:ascii="Lato" w:hAnsi="Lato"/>
        </w:rPr>
        <w:t>Pzp</w:t>
      </w:r>
      <w:proofErr w:type="spellEnd"/>
      <w:r w:rsidRPr="00A15589">
        <w:rPr>
          <w:rFonts w:ascii="Lato" w:hAnsi="Lato"/>
        </w:rPr>
        <w:t>, jeżeli w postępowaniu o udzielenie zamówienia, w którym jedynym kryterium oceny ofert jest koszt rozumiany jako suma kosztu nabycia i innych kosztów cyklu życia, nie można dokonać wyboru najkorzystniejszej oferty ze względu na to, że zostały złożone oferty o takim samym koszcie, zamawiający dokonuje wyboru: oferty z najniższym kosztem nabycia albo oferty z niższymi innymi kosztami cyklu życia</w:t>
      </w:r>
      <w:r w:rsidR="00080F9B">
        <w:rPr>
          <w:rFonts w:ascii="Lato" w:hAnsi="Lato"/>
        </w:rPr>
        <w:t xml:space="preserve"> </w:t>
      </w:r>
      <w:r w:rsidR="00080F9B" w:rsidRPr="00080F9B">
        <w:rPr>
          <w:rFonts w:ascii="Lato" w:hAnsi="Lato"/>
        </w:rPr>
        <w:t>- pod warunkiem dopuszczenia takiego rozwiązania w dokumentach zamówienia</w:t>
      </w:r>
      <w:r w:rsidRPr="00A15589">
        <w:rPr>
          <w:rFonts w:ascii="Lato" w:hAnsi="Lato"/>
        </w:rPr>
        <w:t>.</w:t>
      </w:r>
    </w:p>
    <w:p w14:paraId="7F69D77B" w14:textId="324C84CB" w:rsidR="001716BB" w:rsidRDefault="001716BB" w:rsidP="00BF795F">
      <w:pPr>
        <w:spacing w:after="120" w:line="240" w:lineRule="auto"/>
        <w:jc w:val="both"/>
        <w:rPr>
          <w:rFonts w:ascii="Lato" w:hAnsi="Lato"/>
        </w:rPr>
      </w:pPr>
      <w:r>
        <w:rPr>
          <w:rFonts w:ascii="Lato" w:hAnsi="Lato"/>
        </w:rPr>
        <w:t xml:space="preserve">Zgodnie zaś z art. 250 ust. 2 ustawy </w:t>
      </w:r>
      <w:proofErr w:type="spellStart"/>
      <w:r>
        <w:rPr>
          <w:rFonts w:ascii="Lato" w:hAnsi="Lato"/>
        </w:rPr>
        <w:t>Pzp</w:t>
      </w:r>
      <w:proofErr w:type="spellEnd"/>
      <w:r>
        <w:rPr>
          <w:rFonts w:ascii="Lato" w:hAnsi="Lato"/>
        </w:rPr>
        <w:t xml:space="preserve"> w</w:t>
      </w:r>
      <w:r w:rsidR="00BF795F" w:rsidRPr="00A15589">
        <w:rPr>
          <w:rFonts w:ascii="Lato" w:hAnsi="Lato"/>
        </w:rPr>
        <w:t xml:space="preserve"> </w:t>
      </w:r>
      <w:r w:rsidR="00334A08" w:rsidRPr="00A15589">
        <w:rPr>
          <w:rFonts w:ascii="Lato" w:hAnsi="Lato"/>
        </w:rPr>
        <w:t>sytuacji,</w:t>
      </w:r>
      <w:r w:rsidR="00BF795F" w:rsidRPr="00A15589">
        <w:rPr>
          <w:rFonts w:ascii="Lato" w:hAnsi="Lato"/>
        </w:rPr>
        <w:t xml:space="preserve"> gdy nie jest możliwy wybór oferty z najniższym kosztem nabycia lub z najniższymi innymi kosztami cyklu życia, bowiem złożone oferty zawierają taką samą cenę lub koszt, </w:t>
      </w:r>
      <w:r w:rsidR="00BF795F" w:rsidRPr="00A15589">
        <w:rPr>
          <w:rFonts w:ascii="Lato" w:hAnsi="Lato"/>
          <w:b/>
          <w:bCs/>
        </w:rPr>
        <w:t>zamawiający jest zobowiązany wezwać wykonawców do złożenia ofert dodatkowych, w których zaoferują nowy koszt nabycia</w:t>
      </w:r>
      <w:r w:rsidR="00BF795F" w:rsidRPr="00A15589">
        <w:rPr>
          <w:rFonts w:ascii="Lato" w:hAnsi="Lato"/>
        </w:rPr>
        <w:t xml:space="preserve">. </w:t>
      </w:r>
    </w:p>
    <w:p w14:paraId="1EA36E14" w14:textId="5AE96076" w:rsidR="00BF795F" w:rsidRPr="00A15589" w:rsidRDefault="00BF795F" w:rsidP="00BF795F">
      <w:pPr>
        <w:spacing w:after="120" w:line="240" w:lineRule="auto"/>
        <w:jc w:val="both"/>
        <w:rPr>
          <w:rFonts w:ascii="Lato" w:hAnsi="Lato"/>
        </w:rPr>
      </w:pPr>
      <w:r w:rsidRPr="00A15589">
        <w:rPr>
          <w:rFonts w:ascii="Lato" w:hAnsi="Lato"/>
        </w:rPr>
        <w:lastRenderedPageBreak/>
        <w:t xml:space="preserve">Wezwanie kierowane jest wyłącznie wobec wykonawców, których oferty zajęły jednocześnie najwyższe miejsce w rankingu ofert w związku z uzyskaną liczbą punktów. Jeśli jednakową liczbę punktów uzyskały oferty wykonawców na niższych miejscach, zamawiający </w:t>
      </w:r>
      <w:r w:rsidR="001556DC">
        <w:rPr>
          <w:rFonts w:ascii="Lato" w:hAnsi="Lato"/>
        </w:rPr>
        <w:t>n</w:t>
      </w:r>
      <w:r w:rsidR="00080F9B">
        <w:rPr>
          <w:rFonts w:ascii="Lato" w:hAnsi="Lato"/>
        </w:rPr>
        <w:t>i</w:t>
      </w:r>
      <w:r w:rsidR="001556DC">
        <w:rPr>
          <w:rFonts w:ascii="Lato" w:hAnsi="Lato"/>
        </w:rPr>
        <w:t xml:space="preserve">e ma obowiązku wezwania </w:t>
      </w:r>
      <w:r w:rsidRPr="00A15589">
        <w:rPr>
          <w:rFonts w:ascii="Lato" w:hAnsi="Lato"/>
        </w:rPr>
        <w:t>ich do złożenia ofert dodatkowych.</w:t>
      </w:r>
    </w:p>
    <w:p w14:paraId="37E8C5F2" w14:textId="7B2214DC" w:rsidR="00796461" w:rsidRDefault="00BF795F" w:rsidP="00BF795F">
      <w:pPr>
        <w:spacing w:after="120" w:line="240" w:lineRule="auto"/>
        <w:jc w:val="both"/>
        <w:rPr>
          <w:rFonts w:ascii="Lato" w:hAnsi="Lato"/>
        </w:rPr>
      </w:pPr>
      <w:r w:rsidRPr="00A15589">
        <w:rPr>
          <w:rFonts w:ascii="Lato" w:hAnsi="Lato"/>
        </w:rPr>
        <w:t xml:space="preserve">Dodatkowe oferty składane są </w:t>
      </w:r>
      <w:r w:rsidR="00923FB6" w:rsidRPr="00A15589">
        <w:rPr>
          <w:rFonts w:ascii="Lato" w:hAnsi="Lato"/>
        </w:rPr>
        <w:t xml:space="preserve">na wezwanie i </w:t>
      </w:r>
      <w:r w:rsidRPr="00A15589">
        <w:rPr>
          <w:rFonts w:ascii="Lato" w:hAnsi="Lato"/>
        </w:rPr>
        <w:t xml:space="preserve">w terminie </w:t>
      </w:r>
      <w:r w:rsidR="00923FB6" w:rsidRPr="00A15589">
        <w:rPr>
          <w:rFonts w:ascii="Lato" w:hAnsi="Lato"/>
        </w:rPr>
        <w:t>wyznaczonym</w:t>
      </w:r>
      <w:r w:rsidRPr="00A15589">
        <w:rPr>
          <w:rFonts w:ascii="Lato" w:hAnsi="Lato"/>
        </w:rPr>
        <w:t xml:space="preserve"> przez zamawiającego.</w:t>
      </w:r>
      <w:r w:rsidR="002E24B8" w:rsidRPr="00A15589">
        <w:rPr>
          <w:rFonts w:ascii="Lato" w:hAnsi="Lato"/>
        </w:rPr>
        <w:t xml:space="preserve"> </w:t>
      </w:r>
      <w:r w:rsidR="00080F9B" w:rsidRPr="00080F9B">
        <w:rPr>
          <w:rFonts w:ascii="Lato" w:hAnsi="Lato"/>
        </w:rPr>
        <w:t>Należy pamięta</w:t>
      </w:r>
      <w:r w:rsidR="00080F9B">
        <w:rPr>
          <w:rFonts w:ascii="Lato" w:hAnsi="Lato"/>
        </w:rPr>
        <w:t>ć</w:t>
      </w:r>
      <w:r w:rsidR="00080F9B" w:rsidRPr="00080F9B">
        <w:rPr>
          <w:rFonts w:ascii="Lato" w:hAnsi="Lato"/>
        </w:rPr>
        <w:t xml:space="preserve">, że termin ten musi być zgodny z zasadą wyrażoną w art. 8 ust. 4 ustawy </w:t>
      </w:r>
      <w:proofErr w:type="spellStart"/>
      <w:r w:rsidR="00080F9B" w:rsidRPr="00080F9B">
        <w:rPr>
          <w:rFonts w:ascii="Lato" w:hAnsi="Lato"/>
        </w:rPr>
        <w:t>Pzp</w:t>
      </w:r>
      <w:proofErr w:type="spellEnd"/>
      <w:r w:rsidR="00080F9B" w:rsidRPr="00080F9B">
        <w:rPr>
          <w:rFonts w:ascii="Lato" w:hAnsi="Lato"/>
        </w:rPr>
        <w:t xml:space="preserve"> (termin obejmujący dwa lub więcej dni zawiera co najmniej dwa dni robocze), albowiem jest to termin wyznaczany samodzielnie przez zamawiającego oraz należy mieć na uwadze także, że termin ten musi uwzględniać czas potrzebny na złożenie takiej oferty dodatkowej.</w:t>
      </w:r>
      <w:r w:rsidR="00080F9B">
        <w:rPr>
          <w:rFonts w:ascii="Lato" w:hAnsi="Lato"/>
        </w:rPr>
        <w:t xml:space="preserve"> </w:t>
      </w:r>
      <w:proofErr w:type="gramStart"/>
      <w:r w:rsidR="00796461" w:rsidRPr="00A15589">
        <w:rPr>
          <w:rFonts w:ascii="Lato" w:hAnsi="Lato"/>
        </w:rPr>
        <w:t>Wykonawca</w:t>
      </w:r>
      <w:proofErr w:type="gramEnd"/>
      <w:r w:rsidR="00796461" w:rsidRPr="00A15589">
        <w:rPr>
          <w:rFonts w:ascii="Lato" w:hAnsi="Lato"/>
        </w:rPr>
        <w:t xml:space="preserve"> nie ma obowiązku złożenia oferty dodatkowej. Zgodnie z art. </w:t>
      </w:r>
      <w:hyperlink r:id="rId9" w:tgtFrame="_self" w:history="1">
        <w:r w:rsidR="00796461" w:rsidRPr="00A15589">
          <w:rPr>
            <w:rFonts w:ascii="Lato" w:hAnsi="Lato"/>
          </w:rPr>
          <w:t>251</w:t>
        </w:r>
      </w:hyperlink>
      <w:r w:rsidR="00796461" w:rsidRPr="00A15589">
        <w:rPr>
          <w:rFonts w:ascii="Lato" w:hAnsi="Lato"/>
        </w:rPr>
        <w:t xml:space="preserve"> ustawy </w:t>
      </w:r>
      <w:proofErr w:type="spellStart"/>
      <w:r w:rsidR="00796461" w:rsidRPr="00A15589">
        <w:rPr>
          <w:rFonts w:ascii="Lato" w:hAnsi="Lato"/>
        </w:rPr>
        <w:t>Pzp</w:t>
      </w:r>
      <w:proofErr w:type="spellEnd"/>
      <w:r w:rsidR="00796461" w:rsidRPr="00A15589">
        <w:rPr>
          <w:rFonts w:ascii="Lato" w:hAnsi="Lato"/>
        </w:rPr>
        <w:t xml:space="preserve"> wykonawcy, składając oferty dodatkowe, nie mogą oferować kosztów wyższych niż zaoferowane w uprzednio złożonych przez nich ofertach, jeżeli wykonawca zdecyduje się na złożenie oferty dodatkowej z innym kosztem nabycia, musi złożyć ofertę z kosztem nabycia niższym niż oferowany w pierwotnej ofercie.</w:t>
      </w:r>
      <w:r w:rsidR="002E24B8" w:rsidRPr="00A15589">
        <w:rPr>
          <w:rFonts w:ascii="Lato" w:hAnsi="Lato"/>
        </w:rPr>
        <w:t xml:space="preserve"> Jeśli wykonawca wezwany do złożenia dodatkowej oferty </w:t>
      </w:r>
      <w:r w:rsidR="00060706">
        <w:rPr>
          <w:rFonts w:ascii="Lato" w:hAnsi="Lato"/>
        </w:rPr>
        <w:t xml:space="preserve">jej nie złoży, </w:t>
      </w:r>
      <w:r w:rsidR="002E24B8" w:rsidRPr="00A15589">
        <w:rPr>
          <w:rFonts w:ascii="Lato" w:hAnsi="Lato"/>
        </w:rPr>
        <w:t>przy ponownej ocenie będzie brany pod uwagę koszt nabycia lub inne koszty cyklu życia pierwotnie zaoferowane przez tego wykonawcę.</w:t>
      </w:r>
    </w:p>
    <w:p w14:paraId="28F05B47" w14:textId="24D4DACE" w:rsidR="00271383" w:rsidRPr="00A15589" w:rsidRDefault="00271383" w:rsidP="00271383">
      <w:pPr>
        <w:rPr>
          <w:rFonts w:ascii="Lato" w:hAnsi="Lato"/>
        </w:rPr>
      </w:pPr>
      <w:r>
        <w:rPr>
          <w:rFonts w:ascii="Lato" w:hAnsi="Lato"/>
        </w:rPr>
        <w:br w:type="page"/>
      </w:r>
    </w:p>
    <w:p w14:paraId="21AC0DBD" w14:textId="72B38953" w:rsidR="00271383" w:rsidRPr="00271383" w:rsidRDefault="00271383" w:rsidP="00271383">
      <w:pPr>
        <w:pBdr>
          <w:top w:val="single" w:sz="4" w:space="1" w:color="auto"/>
          <w:left w:val="single" w:sz="4" w:space="4" w:color="auto"/>
          <w:bottom w:val="single" w:sz="4" w:space="1" w:color="auto"/>
          <w:right w:val="single" w:sz="4" w:space="4" w:color="auto"/>
        </w:pBdr>
        <w:shd w:val="clear" w:color="auto" w:fill="F2F2F2"/>
        <w:autoSpaceDE w:val="0"/>
        <w:autoSpaceDN w:val="0"/>
        <w:adjustRightInd w:val="0"/>
        <w:spacing w:after="120" w:line="240" w:lineRule="auto"/>
        <w:jc w:val="both"/>
        <w:rPr>
          <w:rFonts w:ascii="Lato" w:eastAsia="Aptos" w:hAnsi="Lato" w:cs="Arial"/>
          <w:color w:val="000000"/>
          <w:sz w:val="20"/>
          <w:szCs w:val="20"/>
          <w14:ligatures w14:val="standardContextual"/>
        </w:rPr>
      </w:pPr>
      <w:r w:rsidRPr="00271383">
        <w:rPr>
          <w:rFonts w:ascii="Lato" w:eastAsia="Aptos" w:hAnsi="Lato" w:cs="Arial"/>
          <w:color w:val="000000"/>
          <w:sz w:val="20"/>
          <w:szCs w:val="20"/>
          <w14:ligatures w14:val="standardContextual"/>
        </w:rPr>
        <w:lastRenderedPageBreak/>
        <w:t xml:space="preserve">Przygotowany dokument ma charakter przykładowy. Treść pisma może być ukształtowana </w:t>
      </w:r>
      <w:r w:rsidR="00DC7029">
        <w:rPr>
          <w:rFonts w:ascii="Lato" w:eastAsia="Aptos" w:hAnsi="Lato" w:cs="Arial"/>
          <w:color w:val="000000"/>
          <w:sz w:val="20"/>
          <w:szCs w:val="20"/>
          <w14:ligatures w14:val="standardContextual"/>
        </w:rPr>
        <w:t xml:space="preserve">przez zamawiającego </w:t>
      </w:r>
      <w:r w:rsidRPr="00271383">
        <w:rPr>
          <w:rFonts w:ascii="Lato" w:eastAsia="Aptos" w:hAnsi="Lato" w:cs="Arial"/>
          <w:color w:val="000000"/>
          <w:sz w:val="20"/>
          <w:szCs w:val="20"/>
          <w14:ligatures w14:val="standardContextual"/>
        </w:rPr>
        <w:t>dowolnie z uwzględnieniem obowiązujących przepisów.</w:t>
      </w:r>
    </w:p>
    <w:p w14:paraId="2DF32A9B" w14:textId="77777777" w:rsidR="00BF795F" w:rsidRDefault="00BF795F" w:rsidP="008260E4">
      <w:pPr>
        <w:spacing w:after="120" w:line="240" w:lineRule="auto"/>
        <w:jc w:val="both"/>
      </w:pPr>
    </w:p>
    <w:p w14:paraId="217DA990" w14:textId="0D1EFF9E" w:rsidR="00921562" w:rsidRPr="00921562" w:rsidRDefault="00921562" w:rsidP="007441A1">
      <w:pPr>
        <w:autoSpaceDE w:val="0"/>
        <w:autoSpaceDN w:val="0"/>
        <w:adjustRightInd w:val="0"/>
        <w:spacing w:after="120" w:line="240" w:lineRule="auto"/>
        <w:jc w:val="right"/>
        <w:rPr>
          <w:rFonts w:ascii="Lato" w:eastAsia="Aptos" w:hAnsi="Lato" w:cs="Arial"/>
          <w:b/>
          <w:bCs/>
          <w:color w:val="000000"/>
          <w14:ligatures w14:val="standardContextual"/>
        </w:rPr>
      </w:pPr>
      <w:r w:rsidRPr="00921562">
        <w:rPr>
          <w:rFonts w:ascii="Lato" w:eastAsia="Aptos" w:hAnsi="Lato" w:cs="Arial"/>
          <w:color w:val="000000"/>
          <w14:ligatures w14:val="standardContextual"/>
        </w:rPr>
        <w:t>miejscowość, data</w:t>
      </w:r>
    </w:p>
    <w:p w14:paraId="6CDEC91C" w14:textId="77777777" w:rsidR="00921562" w:rsidRPr="00921562" w:rsidRDefault="00921562" w:rsidP="00921562">
      <w:pPr>
        <w:autoSpaceDE w:val="0"/>
        <w:autoSpaceDN w:val="0"/>
        <w:adjustRightInd w:val="0"/>
        <w:spacing w:after="120" w:line="240" w:lineRule="auto"/>
        <w:rPr>
          <w:rFonts w:ascii="Lato" w:eastAsia="Aptos" w:hAnsi="Lato" w:cs="Arial"/>
          <w:color w:val="000000"/>
          <w14:ligatures w14:val="standardContextual"/>
        </w:rPr>
      </w:pPr>
      <w:r w:rsidRPr="00921562">
        <w:rPr>
          <w:rFonts w:ascii="Lato" w:eastAsia="Aptos" w:hAnsi="Lato" w:cs="Arial"/>
          <w:b/>
          <w:bCs/>
          <w:color w:val="000000"/>
          <w14:ligatures w14:val="standardContextual"/>
        </w:rPr>
        <w:t>Zamawiający:</w:t>
      </w:r>
      <w:r w:rsidRPr="00921562">
        <w:rPr>
          <w:rFonts w:ascii="Lato" w:eastAsia="Aptos" w:hAnsi="Lato" w:cs="Arial"/>
          <w:color w:val="000000"/>
          <w14:ligatures w14:val="standardContextual"/>
        </w:rPr>
        <w:t xml:space="preserve"> ….</w:t>
      </w:r>
    </w:p>
    <w:p w14:paraId="39D6222C" w14:textId="77777777" w:rsidR="00921562" w:rsidRPr="00921562" w:rsidRDefault="00921562" w:rsidP="00921562">
      <w:pPr>
        <w:autoSpaceDE w:val="0"/>
        <w:autoSpaceDN w:val="0"/>
        <w:adjustRightInd w:val="0"/>
        <w:spacing w:after="120" w:line="240" w:lineRule="auto"/>
        <w:rPr>
          <w:rFonts w:ascii="Lato" w:eastAsia="Aptos" w:hAnsi="Lato" w:cs="Arial"/>
          <w:b/>
          <w:bCs/>
          <w:color w:val="000000"/>
          <w14:ligatures w14:val="standardContextual"/>
        </w:rPr>
      </w:pPr>
    </w:p>
    <w:p w14:paraId="66E9B425" w14:textId="3D929848" w:rsidR="00921562" w:rsidRPr="00921562" w:rsidRDefault="00921562" w:rsidP="00921562">
      <w:pPr>
        <w:autoSpaceDE w:val="0"/>
        <w:autoSpaceDN w:val="0"/>
        <w:adjustRightInd w:val="0"/>
        <w:spacing w:after="120" w:line="240" w:lineRule="auto"/>
        <w:rPr>
          <w:rFonts w:ascii="Lato" w:eastAsia="Aptos" w:hAnsi="Lato" w:cs="Arial"/>
          <w:color w:val="000000"/>
          <w14:ligatures w14:val="standardContextual"/>
        </w:rPr>
      </w:pPr>
      <w:r w:rsidRPr="00921562">
        <w:rPr>
          <w:rFonts w:ascii="Lato" w:eastAsia="Aptos" w:hAnsi="Lato" w:cs="Arial"/>
          <w:color w:val="000000"/>
          <w14:ligatures w14:val="standardContextual"/>
        </w:rPr>
        <w:t xml:space="preserve">Dotyczy postępowania: </w:t>
      </w:r>
      <w:proofErr w:type="gramStart"/>
      <w:r w:rsidRPr="00921562">
        <w:rPr>
          <w:rFonts w:ascii="Lato" w:eastAsia="Aptos" w:hAnsi="Lato" w:cs="Arial"/>
          <w:color w:val="000000"/>
          <w14:ligatures w14:val="standardContextual"/>
        </w:rPr>
        <w:t xml:space="preserve"> ….</w:t>
      </w:r>
      <w:proofErr w:type="gramEnd"/>
      <w:r w:rsidRPr="00921562">
        <w:rPr>
          <w:rFonts w:ascii="Lato" w:eastAsia="Aptos" w:hAnsi="Lato" w:cs="Arial"/>
          <w:color w:val="000000"/>
          <w14:ligatures w14:val="standardContextual"/>
        </w:rPr>
        <w:t>.</w:t>
      </w:r>
      <w:r w:rsidRPr="00921562">
        <w:rPr>
          <w:rFonts w:ascii="Lato" w:eastAsia="Aptos" w:hAnsi="Lato" w:cs="Arial"/>
          <w:color w:val="000000"/>
          <w:vertAlign w:val="superscript"/>
          <w14:ligatures w14:val="standardContextual"/>
        </w:rPr>
        <w:footnoteReference w:id="2"/>
      </w:r>
      <w:r w:rsidRPr="00921562">
        <w:rPr>
          <w:rFonts w:ascii="Lato" w:eastAsia="Aptos" w:hAnsi="Lato" w:cs="Arial"/>
          <w:color w:val="000000"/>
          <w14:ligatures w14:val="standardContextual"/>
        </w:rPr>
        <w:t xml:space="preserve"> </w:t>
      </w:r>
    </w:p>
    <w:p w14:paraId="636B69E2" w14:textId="77777777" w:rsidR="00921562" w:rsidRDefault="00921562" w:rsidP="008260E4">
      <w:pPr>
        <w:spacing w:after="120" w:line="240" w:lineRule="auto"/>
        <w:jc w:val="both"/>
      </w:pPr>
    </w:p>
    <w:p w14:paraId="16C761FA" w14:textId="77777777" w:rsidR="002D7DC5" w:rsidRPr="002D7DC5" w:rsidRDefault="002D7DC5" w:rsidP="002D7DC5">
      <w:pPr>
        <w:autoSpaceDE w:val="0"/>
        <w:autoSpaceDN w:val="0"/>
        <w:adjustRightInd w:val="0"/>
        <w:spacing w:after="120" w:line="240" w:lineRule="auto"/>
        <w:jc w:val="right"/>
        <w:rPr>
          <w:rFonts w:ascii="Lato" w:eastAsia="Aptos" w:hAnsi="Lato" w:cs="Arial"/>
          <w:b/>
          <w:bCs/>
          <w:color w:val="000000"/>
          <w14:ligatures w14:val="standardContextual"/>
        </w:rPr>
      </w:pPr>
      <w:r w:rsidRPr="002D7DC5">
        <w:rPr>
          <w:rFonts w:ascii="Lato" w:eastAsia="Aptos" w:hAnsi="Lato" w:cs="Arial"/>
          <w:b/>
          <w:bCs/>
          <w:color w:val="000000"/>
          <w14:ligatures w14:val="standardContextual"/>
        </w:rPr>
        <w:t xml:space="preserve">Do ……. </w:t>
      </w:r>
      <w:r w:rsidRPr="002D7DC5">
        <w:rPr>
          <w:rFonts w:ascii="Lato" w:eastAsia="Aptos" w:hAnsi="Lato" w:cs="Arial"/>
          <w:b/>
          <w:bCs/>
          <w:color w:val="000000"/>
          <w:vertAlign w:val="superscript"/>
          <w14:ligatures w14:val="standardContextual"/>
        </w:rPr>
        <w:footnoteReference w:id="3"/>
      </w:r>
      <w:r w:rsidRPr="002D7DC5">
        <w:rPr>
          <w:rFonts w:ascii="Lato" w:eastAsia="Aptos" w:hAnsi="Lato" w:cs="Arial"/>
          <w:b/>
          <w:bCs/>
          <w:color w:val="000000"/>
          <w14:ligatures w14:val="standardContextual"/>
        </w:rPr>
        <w:t xml:space="preserve"> </w:t>
      </w:r>
    </w:p>
    <w:p w14:paraId="0DFB34A8" w14:textId="77777777" w:rsidR="00D81B4D" w:rsidRDefault="00D81B4D" w:rsidP="008260E4">
      <w:pPr>
        <w:spacing w:after="120" w:line="240" w:lineRule="auto"/>
        <w:jc w:val="both"/>
      </w:pPr>
    </w:p>
    <w:p w14:paraId="54DEE896" w14:textId="16603688" w:rsidR="00D81B4D" w:rsidRDefault="00D81B4D" w:rsidP="00D81B4D">
      <w:pPr>
        <w:spacing w:after="120" w:line="240" w:lineRule="auto"/>
        <w:jc w:val="center"/>
        <w:rPr>
          <w:rFonts w:ascii="Lato" w:eastAsia="Aptos" w:hAnsi="Lato" w:cs="Times New Roman"/>
          <w:b/>
          <w:bCs/>
          <w:kern w:val="2"/>
          <w14:ligatures w14:val="standardContextual"/>
        </w:rPr>
      </w:pPr>
      <w:r>
        <w:rPr>
          <w:rFonts w:ascii="Lato" w:eastAsia="Aptos" w:hAnsi="Lato" w:cs="Times New Roman"/>
          <w:b/>
          <w:bCs/>
          <w:kern w:val="2"/>
          <w14:ligatures w14:val="standardContextual"/>
        </w:rPr>
        <w:t>WEZWANIE DO ZŁOŻENIA OFERTY DODATKOWEJ</w:t>
      </w:r>
    </w:p>
    <w:p w14:paraId="793B60A4" w14:textId="77777777" w:rsidR="004936AA" w:rsidRDefault="004936AA" w:rsidP="00D81B4D">
      <w:pPr>
        <w:spacing w:after="120" w:line="240" w:lineRule="auto"/>
        <w:jc w:val="center"/>
        <w:rPr>
          <w:rFonts w:ascii="Lato" w:eastAsia="Aptos" w:hAnsi="Lato" w:cs="Times New Roman"/>
          <w:b/>
          <w:bCs/>
          <w:kern w:val="2"/>
          <w14:ligatures w14:val="standardContextual"/>
        </w:rPr>
      </w:pPr>
    </w:p>
    <w:p w14:paraId="5AAE5C50" w14:textId="77777777" w:rsidR="007A34FC" w:rsidRDefault="004936AA" w:rsidP="004936AA">
      <w:pPr>
        <w:spacing w:after="120" w:line="240" w:lineRule="auto"/>
        <w:jc w:val="both"/>
        <w:rPr>
          <w:rFonts w:ascii="Lato" w:eastAsia="Aptos" w:hAnsi="Lato" w:cs="Times New Roman"/>
          <w:kern w:val="2"/>
          <w14:ligatures w14:val="standardContextual"/>
        </w:rPr>
      </w:pPr>
      <w:r w:rsidRPr="004936AA">
        <w:rPr>
          <w:rFonts w:ascii="Lato" w:eastAsia="Aptos" w:hAnsi="Lato" w:cs="Times New Roman"/>
          <w:kern w:val="2"/>
          <w14:ligatures w14:val="standardContextual"/>
        </w:rPr>
        <w:t xml:space="preserve">Działając na podstawie art. </w:t>
      </w:r>
      <w:r>
        <w:rPr>
          <w:rFonts w:ascii="Lato" w:eastAsia="Aptos" w:hAnsi="Lato" w:cs="Times New Roman"/>
          <w:kern w:val="2"/>
          <w14:ligatures w14:val="standardContextual"/>
        </w:rPr>
        <w:t>…………</w:t>
      </w:r>
      <w:r>
        <w:rPr>
          <w:rStyle w:val="Odwoanieprzypisudolnego"/>
          <w:rFonts w:ascii="Lato" w:eastAsia="Aptos" w:hAnsi="Lato" w:cs="Times New Roman"/>
          <w:kern w:val="2"/>
          <w14:ligatures w14:val="standardContextual"/>
        </w:rPr>
        <w:footnoteReference w:id="4"/>
      </w:r>
      <w:r w:rsidRPr="004936AA">
        <w:rPr>
          <w:rFonts w:ascii="Lato" w:eastAsia="Aptos" w:hAnsi="Lato" w:cs="Times New Roman"/>
          <w:kern w:val="2"/>
          <w14:ligatures w14:val="standardContextual"/>
        </w:rPr>
        <w:t xml:space="preserve"> ustawy z dnia 11 września 2019 r. </w:t>
      </w:r>
      <w:r w:rsidRPr="0079660F">
        <w:rPr>
          <w:rFonts w:ascii="Lato" w:eastAsia="Aptos" w:hAnsi="Lato" w:cs="Times New Roman"/>
          <w:kern w:val="2"/>
          <w14:ligatures w14:val="standardContextual"/>
        </w:rPr>
        <w:t>Prawo zamówień publicznych</w:t>
      </w:r>
      <w:r w:rsidR="0079660F" w:rsidRPr="004936AA">
        <w:rPr>
          <w:rFonts w:ascii="Lato" w:eastAsia="Aptos" w:hAnsi="Lato" w:cs="Times New Roman"/>
          <w:kern w:val="2"/>
          <w14:ligatures w14:val="standardContextual"/>
        </w:rPr>
        <w:t xml:space="preserve"> </w:t>
      </w:r>
      <w:r w:rsidRPr="004936AA">
        <w:rPr>
          <w:rFonts w:ascii="Lato" w:eastAsia="Aptos" w:hAnsi="Lato" w:cs="Times New Roman"/>
          <w:kern w:val="2"/>
          <w14:ligatures w14:val="standardContextual"/>
        </w:rPr>
        <w:t xml:space="preserve">(dalej jako: „ustawa </w:t>
      </w:r>
      <w:proofErr w:type="spellStart"/>
      <w:r w:rsidRPr="004936AA">
        <w:rPr>
          <w:rFonts w:ascii="Lato" w:eastAsia="Aptos" w:hAnsi="Lato" w:cs="Times New Roman"/>
          <w:kern w:val="2"/>
          <w14:ligatures w14:val="standardContextual"/>
        </w:rPr>
        <w:t>Pzp</w:t>
      </w:r>
      <w:proofErr w:type="spellEnd"/>
      <w:r w:rsidRPr="004936AA">
        <w:rPr>
          <w:rFonts w:ascii="Lato" w:eastAsia="Aptos" w:hAnsi="Lato" w:cs="Times New Roman"/>
          <w:kern w:val="2"/>
          <w14:ligatures w14:val="standardContextual"/>
        </w:rPr>
        <w:t xml:space="preserve">”), </w:t>
      </w:r>
      <w:r w:rsidR="00CE1F5A">
        <w:rPr>
          <w:rFonts w:ascii="Lato" w:eastAsia="Aptos" w:hAnsi="Lato" w:cs="Times New Roman"/>
          <w:kern w:val="2"/>
          <w14:ligatures w14:val="standardContextual"/>
        </w:rPr>
        <w:t xml:space="preserve">zamawiający wzywa </w:t>
      </w:r>
      <w:r w:rsidR="00CB4744">
        <w:rPr>
          <w:rFonts w:ascii="Lato" w:eastAsia="Aptos" w:hAnsi="Lato" w:cs="Times New Roman"/>
          <w:kern w:val="2"/>
          <w14:ligatures w14:val="standardContextual"/>
        </w:rPr>
        <w:t xml:space="preserve">wykonawcę </w:t>
      </w:r>
      <w:r w:rsidR="007F5E8E">
        <w:rPr>
          <w:rFonts w:ascii="Lato" w:eastAsia="Aptos" w:hAnsi="Lato" w:cs="Times New Roman"/>
          <w:kern w:val="2"/>
          <w14:ligatures w14:val="standardContextual"/>
        </w:rPr>
        <w:t>- …………</w:t>
      </w:r>
      <w:proofErr w:type="gramStart"/>
      <w:r w:rsidR="007F5E8E">
        <w:rPr>
          <w:rFonts w:ascii="Lato" w:eastAsia="Aptos" w:hAnsi="Lato" w:cs="Times New Roman"/>
          <w:kern w:val="2"/>
          <w14:ligatures w14:val="standardContextual"/>
        </w:rPr>
        <w:t>…….</w:t>
      </w:r>
      <w:proofErr w:type="gramEnd"/>
      <w:r w:rsidR="007F5E8E">
        <w:rPr>
          <w:rFonts w:ascii="Lato" w:eastAsia="Aptos" w:hAnsi="Lato" w:cs="Times New Roman"/>
          <w:kern w:val="2"/>
          <w14:ligatures w14:val="standardContextual"/>
        </w:rPr>
        <w:t>.</w:t>
      </w:r>
      <w:r w:rsidR="007F5E8E">
        <w:rPr>
          <w:rStyle w:val="Odwoanieprzypisudolnego"/>
          <w:rFonts w:ascii="Lato" w:eastAsia="Aptos" w:hAnsi="Lato" w:cs="Times New Roman"/>
          <w:kern w:val="2"/>
          <w14:ligatures w14:val="standardContextual"/>
        </w:rPr>
        <w:footnoteReference w:id="5"/>
      </w:r>
      <w:r w:rsidR="00C85FBD">
        <w:rPr>
          <w:rFonts w:ascii="Lato" w:eastAsia="Aptos" w:hAnsi="Lato" w:cs="Times New Roman"/>
          <w:kern w:val="2"/>
          <w14:ligatures w14:val="standardContextual"/>
        </w:rPr>
        <w:t xml:space="preserve"> </w:t>
      </w:r>
      <w:r w:rsidR="007F5E8E">
        <w:rPr>
          <w:rFonts w:ascii="Lato" w:eastAsia="Aptos" w:hAnsi="Lato" w:cs="Times New Roman"/>
          <w:kern w:val="2"/>
          <w14:ligatures w14:val="standardContextual"/>
        </w:rPr>
        <w:t xml:space="preserve">- </w:t>
      </w:r>
      <w:r w:rsidR="00CE1F5A">
        <w:rPr>
          <w:rFonts w:ascii="Lato" w:eastAsia="Aptos" w:hAnsi="Lato" w:cs="Times New Roman"/>
          <w:kern w:val="2"/>
          <w14:ligatures w14:val="standardContextual"/>
        </w:rPr>
        <w:t xml:space="preserve">do </w:t>
      </w:r>
      <w:r w:rsidR="0081374D">
        <w:rPr>
          <w:rFonts w:ascii="Lato" w:eastAsia="Aptos" w:hAnsi="Lato" w:cs="Times New Roman"/>
          <w:kern w:val="2"/>
          <w14:ligatures w14:val="standardContextual"/>
        </w:rPr>
        <w:t xml:space="preserve">złożenia </w:t>
      </w:r>
      <w:r w:rsidR="001B4ED0">
        <w:rPr>
          <w:rFonts w:ascii="Lato" w:eastAsia="Aptos" w:hAnsi="Lato" w:cs="Times New Roman"/>
          <w:kern w:val="2"/>
          <w14:ligatures w14:val="standardContextual"/>
        </w:rPr>
        <w:t xml:space="preserve">oferty dodatkowej </w:t>
      </w:r>
      <w:r w:rsidR="0081374D">
        <w:rPr>
          <w:rFonts w:ascii="Lato" w:eastAsia="Aptos" w:hAnsi="Lato" w:cs="Times New Roman"/>
          <w:kern w:val="2"/>
          <w14:ligatures w14:val="standardContextual"/>
        </w:rPr>
        <w:t>w terminie do dnia …</w:t>
      </w:r>
      <w:proofErr w:type="gramStart"/>
      <w:r w:rsidR="0081374D">
        <w:rPr>
          <w:rFonts w:ascii="Lato" w:eastAsia="Aptos" w:hAnsi="Lato" w:cs="Times New Roman"/>
          <w:kern w:val="2"/>
          <w14:ligatures w14:val="standardContextual"/>
        </w:rPr>
        <w:t>…….</w:t>
      </w:r>
      <w:proofErr w:type="gramEnd"/>
      <w:r w:rsidR="0081374D">
        <w:rPr>
          <w:rStyle w:val="Odwoanieprzypisudolnego"/>
          <w:rFonts w:ascii="Lato" w:eastAsia="Aptos" w:hAnsi="Lato" w:cs="Times New Roman"/>
          <w:kern w:val="2"/>
          <w14:ligatures w14:val="standardContextual"/>
        </w:rPr>
        <w:footnoteReference w:id="6"/>
      </w:r>
      <w:r w:rsidR="0024004F">
        <w:rPr>
          <w:rFonts w:ascii="Lato" w:eastAsia="Aptos" w:hAnsi="Lato" w:cs="Times New Roman"/>
          <w:kern w:val="2"/>
          <w14:ligatures w14:val="standardContextual"/>
        </w:rPr>
        <w:t xml:space="preserve">, za pośrednictwem </w:t>
      </w:r>
      <w:r w:rsidR="007A34FC">
        <w:rPr>
          <w:rFonts w:ascii="Lato" w:eastAsia="Aptos" w:hAnsi="Lato" w:cs="Times New Roman"/>
          <w:kern w:val="2"/>
          <w14:ligatures w14:val="standardContextual"/>
        </w:rPr>
        <w:t>F</w:t>
      </w:r>
      <w:r w:rsidR="00A7549E">
        <w:rPr>
          <w:rFonts w:ascii="Lato" w:eastAsia="Aptos" w:hAnsi="Lato" w:cs="Times New Roman"/>
          <w:kern w:val="2"/>
          <w14:ligatures w14:val="standardContextual"/>
        </w:rPr>
        <w:t xml:space="preserve">ormularza do złożenia oferty </w:t>
      </w:r>
      <w:r w:rsidR="00F865A0">
        <w:rPr>
          <w:rFonts w:ascii="Lato" w:eastAsia="Aptos" w:hAnsi="Lato" w:cs="Times New Roman"/>
          <w:kern w:val="2"/>
          <w14:ligatures w14:val="standardContextual"/>
        </w:rPr>
        <w:t>dostępnego pod adresem: ………</w:t>
      </w:r>
      <w:r w:rsidR="00F865A0">
        <w:rPr>
          <w:rStyle w:val="Odwoanieprzypisudolnego"/>
          <w:rFonts w:ascii="Lato" w:eastAsia="Aptos" w:hAnsi="Lato" w:cs="Times New Roman"/>
          <w:kern w:val="2"/>
          <w14:ligatures w14:val="standardContextual"/>
        </w:rPr>
        <w:footnoteReference w:id="7"/>
      </w:r>
      <w:r w:rsidR="00D1125E">
        <w:rPr>
          <w:rFonts w:ascii="Lato" w:eastAsia="Aptos" w:hAnsi="Lato" w:cs="Times New Roman"/>
          <w:kern w:val="2"/>
          <w14:ligatures w14:val="standardContextual"/>
        </w:rPr>
        <w:t xml:space="preserve">. Sposób złożenia oferty został opisany w </w:t>
      </w:r>
      <w:r w:rsidR="00275ACB">
        <w:rPr>
          <w:rFonts w:ascii="Lato" w:eastAsia="Aptos" w:hAnsi="Lato" w:cs="Times New Roman"/>
          <w:kern w:val="2"/>
          <w14:ligatures w14:val="standardContextual"/>
        </w:rPr>
        <w:t>………………</w:t>
      </w:r>
      <w:proofErr w:type="gramStart"/>
      <w:r w:rsidR="00275ACB">
        <w:rPr>
          <w:rFonts w:ascii="Lato" w:eastAsia="Aptos" w:hAnsi="Lato" w:cs="Times New Roman"/>
          <w:kern w:val="2"/>
          <w14:ligatures w14:val="standardContextual"/>
        </w:rPr>
        <w:t>…….</w:t>
      </w:r>
      <w:proofErr w:type="gramEnd"/>
      <w:r w:rsidR="00275ACB">
        <w:rPr>
          <w:rFonts w:ascii="Lato" w:eastAsia="Aptos" w:hAnsi="Lato" w:cs="Times New Roman"/>
          <w:kern w:val="2"/>
          <w14:ligatures w14:val="standardContextual"/>
        </w:rPr>
        <w:t>.</w:t>
      </w:r>
      <w:r w:rsidR="00275ACB">
        <w:rPr>
          <w:rStyle w:val="Odwoanieprzypisudolnego"/>
          <w:rFonts w:ascii="Lato" w:eastAsia="Aptos" w:hAnsi="Lato" w:cs="Times New Roman"/>
          <w:kern w:val="2"/>
          <w14:ligatures w14:val="standardContextual"/>
        </w:rPr>
        <w:footnoteReference w:id="8"/>
      </w:r>
      <w:r w:rsidR="000C51C6">
        <w:rPr>
          <w:rFonts w:ascii="Lato" w:eastAsia="Aptos" w:hAnsi="Lato" w:cs="Times New Roman"/>
          <w:kern w:val="2"/>
          <w14:ligatures w14:val="standardContextual"/>
        </w:rPr>
        <w:t xml:space="preserve">. </w:t>
      </w:r>
    </w:p>
    <w:p w14:paraId="736B5FB2" w14:textId="29BC2A7A" w:rsidR="0077659A" w:rsidRDefault="00CB0C66" w:rsidP="004936AA">
      <w:pPr>
        <w:spacing w:after="120" w:line="240" w:lineRule="auto"/>
        <w:jc w:val="both"/>
        <w:rPr>
          <w:rFonts w:ascii="Lato" w:eastAsia="Aptos" w:hAnsi="Lato" w:cs="Times New Roman"/>
          <w:kern w:val="2"/>
          <w14:ligatures w14:val="standardContextual"/>
        </w:rPr>
      </w:pPr>
      <w:r>
        <w:rPr>
          <w:rFonts w:ascii="Lato" w:eastAsia="Aptos" w:hAnsi="Lato" w:cs="Times New Roman"/>
          <w:kern w:val="2"/>
          <w14:ligatures w14:val="standardContextual"/>
        </w:rPr>
        <w:t>Uzasadnienie:</w:t>
      </w:r>
    </w:p>
    <w:p w14:paraId="68A409C3" w14:textId="17C4005F" w:rsidR="00CB0C66" w:rsidRDefault="00CB0C66" w:rsidP="004936AA">
      <w:pPr>
        <w:spacing w:after="120" w:line="240" w:lineRule="auto"/>
        <w:jc w:val="both"/>
        <w:rPr>
          <w:rFonts w:ascii="Lato" w:eastAsia="Aptos" w:hAnsi="Lato" w:cs="Times New Roman"/>
          <w:kern w:val="2"/>
          <w14:ligatures w14:val="standardContextual"/>
        </w:rPr>
      </w:pPr>
      <w:r>
        <w:rPr>
          <w:rFonts w:ascii="Lato" w:eastAsia="Aptos" w:hAnsi="Lato" w:cs="Times New Roman"/>
          <w:kern w:val="2"/>
          <w14:ligatures w14:val="standardContextual"/>
        </w:rPr>
        <w:t>…</w:t>
      </w:r>
      <w:r w:rsidR="004B302A" w:rsidRPr="007441A1">
        <w:rPr>
          <w:rFonts w:ascii="Lato" w:eastAsia="Aptos" w:hAnsi="Lato" w:cs="Times New Roman"/>
          <w:i/>
          <w:iCs/>
          <w:kern w:val="2"/>
          <w14:ligatures w14:val="standardContextual"/>
        </w:rPr>
        <w:t>krótkie opisanie stanu faktycznego sprawy pod kątem wykazania, że zaszły przesłanki ustawowe do wystosowania wezwania, m.in. wskazanie, z jakiego powodu następuje wezwanie, ile ofert zawiera taką samą cenę i taki sam koszt itp</w:t>
      </w:r>
      <w:r w:rsidR="004B302A">
        <w:rPr>
          <w:rFonts w:ascii="Lato" w:eastAsia="Aptos" w:hAnsi="Lato" w:cs="Times New Roman"/>
          <w:kern w:val="2"/>
          <w14:ligatures w14:val="standardContextual"/>
        </w:rPr>
        <w:t>. …</w:t>
      </w:r>
      <w:r w:rsidR="004B302A">
        <w:rPr>
          <w:rStyle w:val="Odwoanieprzypisudolnego"/>
          <w:rFonts w:ascii="Lato" w:eastAsia="Aptos" w:hAnsi="Lato" w:cs="Times New Roman"/>
          <w:kern w:val="2"/>
          <w14:ligatures w14:val="standardContextual"/>
        </w:rPr>
        <w:footnoteReference w:id="9"/>
      </w:r>
      <w:r w:rsidR="004E1211">
        <w:rPr>
          <w:rFonts w:ascii="Lato" w:eastAsia="Aptos" w:hAnsi="Lato" w:cs="Times New Roman"/>
          <w:kern w:val="2"/>
          <w14:ligatures w14:val="standardContextual"/>
        </w:rPr>
        <w:t xml:space="preserve"> </w:t>
      </w:r>
    </w:p>
    <w:p w14:paraId="2CBB6C8B" w14:textId="216CE979" w:rsidR="004936AA" w:rsidRDefault="0077659A" w:rsidP="004936AA">
      <w:pPr>
        <w:spacing w:after="120" w:line="240" w:lineRule="auto"/>
        <w:jc w:val="both"/>
        <w:rPr>
          <w:rFonts w:ascii="Lato" w:eastAsia="Aptos" w:hAnsi="Lato" w:cs="Times New Roman"/>
          <w:kern w:val="2"/>
          <w14:ligatures w14:val="standardContextual"/>
        </w:rPr>
      </w:pPr>
      <w:r>
        <w:rPr>
          <w:rFonts w:ascii="Lato" w:eastAsia="Aptos" w:hAnsi="Lato" w:cs="Times New Roman"/>
          <w:kern w:val="2"/>
          <w14:ligatures w14:val="standardContextual"/>
        </w:rPr>
        <w:t xml:space="preserve">Jednocześnie Zamawiający informuje, że z uwagi na brzmienie art. 251 </w:t>
      </w:r>
      <w:r w:rsidR="004E1211">
        <w:rPr>
          <w:rFonts w:ascii="Lato" w:eastAsia="Aptos" w:hAnsi="Lato" w:cs="Times New Roman"/>
          <w:kern w:val="2"/>
          <w14:ligatures w14:val="standardContextual"/>
        </w:rPr>
        <w:t>ustawy z</w:t>
      </w:r>
      <w:r w:rsidRPr="007441A1">
        <w:rPr>
          <w:rFonts w:ascii="Lato" w:eastAsia="Aptos" w:hAnsi="Lato" w:cs="Times New Roman"/>
          <w:kern w:val="2"/>
          <w14:ligatures w14:val="standardContextual"/>
        </w:rPr>
        <w:t xml:space="preserve"> dnia 11 września 2019 r. Prawo zamówień publicznych</w:t>
      </w:r>
      <w:r w:rsidRPr="007441A1">
        <w:rPr>
          <w:rFonts w:ascii="Lato" w:eastAsia="Aptos" w:hAnsi="Lato" w:cs="Times New Roman"/>
          <w:kern w:val="2"/>
          <w:vertAlign w:val="superscript"/>
          <w14:ligatures w14:val="standardContextual"/>
        </w:rPr>
        <w:footnoteReference w:id="10"/>
      </w:r>
      <w:r w:rsidRPr="007441A1">
        <w:rPr>
          <w:rFonts w:ascii="Lato" w:eastAsia="Aptos" w:hAnsi="Lato" w:cs="Times New Roman"/>
          <w:kern w:val="2"/>
          <w14:ligatures w14:val="standardContextual"/>
        </w:rPr>
        <w:t xml:space="preserve"> (Dz.U. z 2026 r. poz. 793 ze zm.)</w:t>
      </w:r>
      <w:r>
        <w:rPr>
          <w:rFonts w:ascii="Lato" w:eastAsia="Aptos" w:hAnsi="Lato" w:cs="Times New Roman"/>
          <w:kern w:val="2"/>
          <w14:ligatures w14:val="standardContextual"/>
        </w:rPr>
        <w:t xml:space="preserve"> </w:t>
      </w:r>
      <w:r w:rsidR="000C51C6">
        <w:rPr>
          <w:rFonts w:ascii="Lato" w:eastAsia="Aptos" w:hAnsi="Lato" w:cs="Times New Roman"/>
          <w:kern w:val="2"/>
          <w14:ligatures w14:val="standardContextual"/>
        </w:rPr>
        <w:t xml:space="preserve">Wykonawca, składając ofertę dodatkową nie może zaoferować </w:t>
      </w:r>
      <w:r w:rsidR="00A97C20">
        <w:rPr>
          <w:rFonts w:ascii="Lato" w:eastAsia="Aptos" w:hAnsi="Lato" w:cs="Times New Roman"/>
          <w:kern w:val="2"/>
          <w14:ligatures w14:val="standardContextual"/>
        </w:rPr>
        <w:t>ceny</w:t>
      </w:r>
      <w:r w:rsidR="00ED0AF8">
        <w:rPr>
          <w:rFonts w:ascii="Lato" w:eastAsia="Aptos" w:hAnsi="Lato" w:cs="Times New Roman"/>
          <w:kern w:val="2"/>
          <w14:ligatures w14:val="standardContextual"/>
        </w:rPr>
        <w:t>/kosztu</w:t>
      </w:r>
      <w:r w:rsidR="00ED0AF8">
        <w:rPr>
          <w:rStyle w:val="Odwoanieprzypisudolnego"/>
          <w:rFonts w:ascii="Lato" w:eastAsia="Aptos" w:hAnsi="Lato" w:cs="Times New Roman"/>
          <w:kern w:val="2"/>
          <w14:ligatures w14:val="standardContextual"/>
        </w:rPr>
        <w:footnoteReference w:id="11"/>
      </w:r>
      <w:r w:rsidR="00A97C20">
        <w:rPr>
          <w:rFonts w:ascii="Lato" w:eastAsia="Aptos" w:hAnsi="Lato" w:cs="Times New Roman"/>
          <w:kern w:val="2"/>
          <w14:ligatures w14:val="standardContextual"/>
        </w:rPr>
        <w:t xml:space="preserve"> wyższej niż zaoferowana w </w:t>
      </w:r>
      <w:r>
        <w:rPr>
          <w:rFonts w:ascii="Lato" w:eastAsia="Aptos" w:hAnsi="Lato" w:cs="Times New Roman"/>
          <w:kern w:val="2"/>
          <w14:ligatures w14:val="standardContextual"/>
        </w:rPr>
        <w:t xml:space="preserve">uprzednio </w:t>
      </w:r>
      <w:r w:rsidR="00A97C20">
        <w:rPr>
          <w:rFonts w:ascii="Lato" w:eastAsia="Aptos" w:hAnsi="Lato" w:cs="Times New Roman"/>
          <w:kern w:val="2"/>
          <w14:ligatures w14:val="standardContextual"/>
        </w:rPr>
        <w:t xml:space="preserve">złożonej ofercie. </w:t>
      </w:r>
    </w:p>
    <w:p w14:paraId="6754F2E2" w14:textId="4CEB220C" w:rsidR="008F5C8E" w:rsidRPr="004936AA" w:rsidRDefault="008F5C8E" w:rsidP="004936AA">
      <w:pPr>
        <w:spacing w:after="120" w:line="240" w:lineRule="auto"/>
        <w:jc w:val="both"/>
        <w:rPr>
          <w:rFonts w:ascii="Lato" w:eastAsia="Aptos" w:hAnsi="Lato" w:cs="Times New Roman"/>
          <w:kern w:val="2"/>
          <w14:ligatures w14:val="standardContextual"/>
        </w:rPr>
      </w:pPr>
      <w:r w:rsidRPr="008F5C8E">
        <w:rPr>
          <w:rFonts w:ascii="Lato" w:eastAsia="Aptos" w:hAnsi="Lato" w:cs="Times New Roman"/>
          <w:kern w:val="2"/>
          <w14:ligatures w14:val="standardContextual"/>
        </w:rPr>
        <w:lastRenderedPageBreak/>
        <w:t>Otwarcie ofert dodatkowych nastąpi</w:t>
      </w:r>
      <w:r>
        <w:rPr>
          <w:rFonts w:ascii="Lato" w:eastAsia="Aptos" w:hAnsi="Lato" w:cs="Times New Roman"/>
          <w:kern w:val="2"/>
          <w14:ligatures w14:val="standardContextual"/>
        </w:rPr>
        <w:t>…………</w:t>
      </w:r>
      <w:proofErr w:type="gramStart"/>
      <w:r>
        <w:rPr>
          <w:rFonts w:ascii="Lato" w:eastAsia="Aptos" w:hAnsi="Lato" w:cs="Times New Roman"/>
          <w:kern w:val="2"/>
          <w14:ligatures w14:val="standardContextual"/>
        </w:rPr>
        <w:t>…….</w:t>
      </w:r>
      <w:proofErr w:type="gramEnd"/>
      <w:r w:rsidR="005A51D9">
        <w:rPr>
          <w:rStyle w:val="Odwoanieprzypisudolnego"/>
          <w:rFonts w:ascii="Lato" w:eastAsia="Aptos" w:hAnsi="Lato" w:cs="Times New Roman"/>
          <w:kern w:val="2"/>
          <w14:ligatures w14:val="standardContextual"/>
        </w:rPr>
        <w:footnoteReference w:id="12"/>
      </w:r>
    </w:p>
    <w:p w14:paraId="31FC0793" w14:textId="77777777" w:rsidR="004936AA" w:rsidRDefault="004936AA" w:rsidP="00E71695">
      <w:pPr>
        <w:spacing w:after="120" w:line="240" w:lineRule="auto"/>
      </w:pPr>
    </w:p>
    <w:p w14:paraId="09588EC1" w14:textId="075B9BCF" w:rsidR="00E71695" w:rsidRDefault="00E71695" w:rsidP="00E71695">
      <w:pPr>
        <w:spacing w:after="120" w:line="240" w:lineRule="auto"/>
      </w:pPr>
      <w:r>
        <w:t>Załącznik:</w:t>
      </w:r>
    </w:p>
    <w:p w14:paraId="6FCE3061" w14:textId="29F5AFA4" w:rsidR="00E71695" w:rsidRDefault="00E71695" w:rsidP="007441A1">
      <w:pPr>
        <w:spacing w:after="120" w:line="240" w:lineRule="auto"/>
      </w:pPr>
      <w:r>
        <w:t>- formularz oferty dodatkowej</w:t>
      </w:r>
      <w:r w:rsidR="00B42BDD">
        <w:rPr>
          <w:rStyle w:val="Odwoanieprzypisudolnego"/>
        </w:rPr>
        <w:footnoteReference w:id="13"/>
      </w:r>
      <w:r>
        <w:t xml:space="preserve"> </w:t>
      </w:r>
    </w:p>
    <w:p w14:paraId="350DDE28" w14:textId="51B13EDB" w:rsidR="007D0323" w:rsidRDefault="007D0323" w:rsidP="007D0323">
      <w:pPr>
        <w:suppressAutoHyphens/>
        <w:autoSpaceDN w:val="0"/>
        <w:spacing w:after="120" w:line="240" w:lineRule="auto"/>
        <w:ind w:firstLine="6804"/>
        <w:jc w:val="both"/>
        <w:rPr>
          <w:rFonts w:ascii="Lato" w:eastAsia="Aptos" w:hAnsi="Lato" w:cs="Times New Roman"/>
          <w:kern w:val="3"/>
        </w:rPr>
      </w:pPr>
      <w:r w:rsidRPr="007D0323">
        <w:rPr>
          <w:rFonts w:ascii="Lato" w:eastAsia="Aptos" w:hAnsi="Lato" w:cs="Times New Roman"/>
          <w:kern w:val="3"/>
        </w:rPr>
        <w:t>/Podpis/</w:t>
      </w:r>
      <w:r w:rsidRPr="007D0323">
        <w:rPr>
          <w:rFonts w:ascii="Lato" w:eastAsia="Aptos" w:hAnsi="Lato" w:cs="Times New Roman"/>
          <w:kern w:val="3"/>
          <w:vertAlign w:val="superscript"/>
        </w:rPr>
        <w:footnoteReference w:id="14"/>
      </w:r>
    </w:p>
    <w:p w14:paraId="5CC32298" w14:textId="77777777" w:rsidR="00E71695" w:rsidRDefault="00E71695" w:rsidP="007D0323">
      <w:pPr>
        <w:suppressAutoHyphens/>
        <w:autoSpaceDN w:val="0"/>
        <w:spacing w:after="120" w:line="240" w:lineRule="auto"/>
        <w:ind w:firstLine="6804"/>
        <w:jc w:val="both"/>
        <w:rPr>
          <w:rFonts w:ascii="Lato" w:eastAsia="Aptos" w:hAnsi="Lato" w:cs="Times New Roman"/>
          <w:kern w:val="3"/>
        </w:rPr>
      </w:pPr>
    </w:p>
    <w:p w14:paraId="0724355F" w14:textId="5420DE37" w:rsidR="00E71695" w:rsidRPr="007D0323" w:rsidRDefault="00E71695" w:rsidP="007D0323">
      <w:pPr>
        <w:suppressAutoHyphens/>
        <w:autoSpaceDN w:val="0"/>
        <w:spacing w:after="120" w:line="240" w:lineRule="auto"/>
        <w:ind w:firstLine="6804"/>
        <w:jc w:val="both"/>
        <w:rPr>
          <w:rFonts w:ascii="Aptos" w:eastAsia="Aptos" w:hAnsi="Aptos" w:cs="Times New Roman"/>
          <w:kern w:val="3"/>
          <w:sz w:val="24"/>
          <w:szCs w:val="24"/>
        </w:rPr>
      </w:pPr>
    </w:p>
    <w:sectPr w:rsidR="00E71695" w:rsidRPr="007D0323" w:rsidSect="006E1190">
      <w:headerReference w:type="default" r:id="rId10"/>
      <w:footnotePr>
        <w:numRestart w:val="eachPage"/>
      </w:footnotePr>
      <w:pgSz w:w="11906" w:h="16838"/>
      <w:pgMar w:top="1973" w:right="851"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A33D5" w14:textId="77777777" w:rsidR="002258AC" w:rsidRDefault="002258AC" w:rsidP="000309AE">
      <w:pPr>
        <w:spacing w:after="0" w:line="240" w:lineRule="auto"/>
      </w:pPr>
      <w:r>
        <w:separator/>
      </w:r>
    </w:p>
  </w:endnote>
  <w:endnote w:type="continuationSeparator" w:id="0">
    <w:p w14:paraId="2943BF9A" w14:textId="77777777" w:rsidR="002258AC" w:rsidRDefault="002258AC" w:rsidP="00030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A58DA" w14:textId="77777777" w:rsidR="002258AC" w:rsidRDefault="002258AC" w:rsidP="000309AE">
      <w:pPr>
        <w:spacing w:after="0" w:line="240" w:lineRule="auto"/>
      </w:pPr>
      <w:r>
        <w:separator/>
      </w:r>
    </w:p>
  </w:footnote>
  <w:footnote w:type="continuationSeparator" w:id="0">
    <w:p w14:paraId="7C1B7BF9" w14:textId="77777777" w:rsidR="002258AC" w:rsidRDefault="002258AC" w:rsidP="000309AE">
      <w:pPr>
        <w:spacing w:after="0" w:line="240" w:lineRule="auto"/>
      </w:pPr>
      <w:r>
        <w:continuationSeparator/>
      </w:r>
    </w:p>
  </w:footnote>
  <w:footnote w:id="1">
    <w:p w14:paraId="3F19288D" w14:textId="77777777" w:rsidR="00450D64" w:rsidRDefault="00450D64" w:rsidP="00450D64">
      <w:pPr>
        <w:pStyle w:val="Tekstprzypisudolnego"/>
      </w:pPr>
      <w:r>
        <w:rPr>
          <w:rStyle w:val="Odwoanieprzypisudolnego"/>
        </w:rPr>
        <w:footnoteRef/>
      </w:r>
      <w:r>
        <w:t xml:space="preserve"> w nin. opracowaniu jako: „ustawa </w:t>
      </w:r>
      <w:proofErr w:type="spellStart"/>
      <w:r>
        <w:t>Pzp</w:t>
      </w:r>
      <w:proofErr w:type="spellEnd"/>
      <w:r>
        <w:t>”</w:t>
      </w:r>
    </w:p>
  </w:footnote>
  <w:footnote w:id="2">
    <w:p w14:paraId="2EB0D831" w14:textId="2927B288" w:rsidR="00921562" w:rsidRDefault="00921562" w:rsidP="00921562">
      <w:pPr>
        <w:pStyle w:val="Tekstprzypisudolnego"/>
      </w:pPr>
      <w:r>
        <w:rPr>
          <w:rStyle w:val="Odwoanieprzypisudolnego"/>
        </w:rPr>
        <w:footnoteRef/>
      </w:r>
      <w:r w:rsidRPr="00B609B3">
        <w:t xml:space="preserve">należy określić postępowanie, którego dotyczy </w:t>
      </w:r>
      <w:r>
        <w:t>wezwanie</w:t>
      </w:r>
      <w:r w:rsidRPr="00B609B3">
        <w:t xml:space="preserve"> (np. nazwa, znak postępowania)</w:t>
      </w:r>
    </w:p>
  </w:footnote>
  <w:footnote w:id="3">
    <w:p w14:paraId="7A066532" w14:textId="430977D5" w:rsidR="002D7DC5" w:rsidRDefault="002D7DC5" w:rsidP="002D7DC5">
      <w:pPr>
        <w:pStyle w:val="Tekstprzypisudolnego"/>
      </w:pPr>
      <w:r w:rsidRPr="001D78DA">
        <w:rPr>
          <w:rStyle w:val="Odwoanieprzypisudolnego"/>
        </w:rPr>
        <w:footnoteRef/>
      </w:r>
      <w:r w:rsidRPr="001D78DA">
        <w:rPr>
          <w:rStyle w:val="Odwoanieprzypisudolnego"/>
        </w:rPr>
        <w:t xml:space="preserve"> </w:t>
      </w:r>
      <w:r>
        <w:t>należy wskazać, do kogo kierowane jest wezwanie</w:t>
      </w:r>
      <w:r w:rsidR="00987CB3">
        <w:t>,</w:t>
      </w:r>
      <w:r w:rsidR="00C85FBD">
        <w:t xml:space="preserve"> w tym dane adresowe</w:t>
      </w:r>
    </w:p>
  </w:footnote>
  <w:footnote w:id="4">
    <w:p w14:paraId="02F22E93" w14:textId="7F620B42" w:rsidR="004936AA" w:rsidRPr="004936AA" w:rsidRDefault="004936AA">
      <w:pPr>
        <w:pStyle w:val="Tekstprzypisudolnego"/>
      </w:pPr>
      <w:r>
        <w:rPr>
          <w:rStyle w:val="Odwoanieprzypisudolnego"/>
        </w:rPr>
        <w:footnoteRef/>
      </w:r>
      <w:r>
        <w:t xml:space="preserve"> </w:t>
      </w:r>
      <w:r w:rsidR="003B0A2A">
        <w:t>n</w:t>
      </w:r>
      <w:r w:rsidR="0079660F">
        <w:t xml:space="preserve">ależy wskazać podstawę prawną kierowanego wezwania </w:t>
      </w:r>
      <w:r w:rsidR="00F81371">
        <w:t>(</w:t>
      </w:r>
      <w:r w:rsidR="00EC5A98">
        <w:t xml:space="preserve">odpowiednio art. 248 ust. 3 ustawy </w:t>
      </w:r>
      <w:proofErr w:type="spellStart"/>
      <w:r w:rsidR="00EC5A98">
        <w:t>Pzp</w:t>
      </w:r>
      <w:proofErr w:type="spellEnd"/>
      <w:r w:rsidR="00EC5A98">
        <w:t xml:space="preserve"> lub art. 249 ustawy </w:t>
      </w:r>
      <w:proofErr w:type="spellStart"/>
      <w:r w:rsidR="00EC5A98">
        <w:t>Pzp</w:t>
      </w:r>
      <w:proofErr w:type="spellEnd"/>
      <w:r w:rsidR="00EC5A98">
        <w:t xml:space="preserve"> lub art. 250 ust. 2 ustawy </w:t>
      </w:r>
      <w:proofErr w:type="spellStart"/>
      <w:r w:rsidR="00EC5A98">
        <w:t>Pzp</w:t>
      </w:r>
      <w:proofErr w:type="spellEnd"/>
      <w:r w:rsidR="00EC5A98">
        <w:t>)</w:t>
      </w:r>
    </w:p>
  </w:footnote>
  <w:footnote w:id="5">
    <w:p w14:paraId="521D2876" w14:textId="4C04A4A6" w:rsidR="007F5E8E" w:rsidRPr="007F5E8E" w:rsidRDefault="007F5E8E">
      <w:pPr>
        <w:pStyle w:val="Tekstprzypisudolnego"/>
      </w:pPr>
      <w:r>
        <w:rPr>
          <w:rStyle w:val="Odwoanieprzypisudolnego"/>
        </w:rPr>
        <w:footnoteRef/>
      </w:r>
      <w:r>
        <w:t xml:space="preserve"> </w:t>
      </w:r>
      <w:r w:rsidR="003B0A2A">
        <w:t>n</w:t>
      </w:r>
      <w:r>
        <w:t>ależy wska</w:t>
      </w:r>
      <w:r w:rsidR="003B0A2A">
        <w:t>zać wykonawcę, do którego kierowane jest wezwanie</w:t>
      </w:r>
    </w:p>
  </w:footnote>
  <w:footnote w:id="6">
    <w:p w14:paraId="3E000D03" w14:textId="68CE5206" w:rsidR="0081374D" w:rsidRPr="0081374D" w:rsidRDefault="0081374D">
      <w:pPr>
        <w:pStyle w:val="Tekstprzypisudolnego"/>
        <w:rPr>
          <w:lang w:val="pl-PL"/>
        </w:rPr>
      </w:pPr>
      <w:r>
        <w:rPr>
          <w:rStyle w:val="Odwoanieprzypisudolnego"/>
        </w:rPr>
        <w:footnoteRef/>
      </w:r>
      <w:r>
        <w:t xml:space="preserve"> </w:t>
      </w:r>
      <w:r w:rsidR="00E57184">
        <w:t>należy wskazać wyznaczony termin do złożenia oferty dodatkowej</w:t>
      </w:r>
      <w:r w:rsidR="001B4ED0">
        <w:t>, dzień, miesiąc, rok i godzinę do której oferta dodatkowa ma być złożona</w:t>
      </w:r>
      <w:r w:rsidR="0070027C">
        <w:t xml:space="preserve"> </w:t>
      </w:r>
      <w:r w:rsidR="00E71695" w:rsidRPr="00CB0C66">
        <w:t xml:space="preserve">(należy ustalić odpowiedni termin </w:t>
      </w:r>
      <w:r w:rsidR="0070027C" w:rsidRPr="00CB0C66">
        <w:t xml:space="preserve">z uwzględnieniem art. 8 ust. 4 ustawy </w:t>
      </w:r>
      <w:proofErr w:type="spellStart"/>
      <w:r w:rsidR="0070027C" w:rsidRPr="00CB0C66">
        <w:t>Pzp</w:t>
      </w:r>
      <w:proofErr w:type="spellEnd"/>
      <w:r w:rsidR="0070027C" w:rsidRPr="00CB0C66">
        <w:t xml:space="preserve"> oraz zasady proporcjonalności</w:t>
      </w:r>
      <w:r w:rsidR="00E71695" w:rsidRPr="007441A1">
        <w:t>)</w:t>
      </w:r>
      <w:r w:rsidR="0070027C" w:rsidRPr="00CB0C66">
        <w:t>.</w:t>
      </w:r>
      <w:r w:rsidR="0070027C">
        <w:t xml:space="preserve"> </w:t>
      </w:r>
    </w:p>
  </w:footnote>
  <w:footnote w:id="7">
    <w:p w14:paraId="7DFA655A" w14:textId="7F2A6D47" w:rsidR="00F865A0" w:rsidRPr="00F865A0" w:rsidRDefault="00F865A0">
      <w:pPr>
        <w:pStyle w:val="Tekstprzypisudolnego"/>
        <w:rPr>
          <w:lang w:val="pl-PL"/>
        </w:rPr>
      </w:pPr>
      <w:r>
        <w:rPr>
          <w:rStyle w:val="Odwoanieprzypisudolnego"/>
        </w:rPr>
        <w:footnoteRef/>
      </w:r>
      <w:r>
        <w:t xml:space="preserve"> </w:t>
      </w:r>
      <w:r>
        <w:rPr>
          <w:lang w:val="pl-PL"/>
        </w:rPr>
        <w:t>należy wskazać, gdzie jest dostępny formularz ofertowy w prowadzonym postępowaniu o udzielenie zamówienia publicznego (strona internetowa prowadzonego postępowania, platforma zakupowa, na której prowadzone jest postępowanie o udzielenie zamówienia publicznego)</w:t>
      </w:r>
      <w:r w:rsidR="0077659A">
        <w:rPr>
          <w:lang w:val="pl-PL"/>
        </w:rPr>
        <w:t xml:space="preserve"> </w:t>
      </w:r>
      <w:r w:rsidR="0077659A" w:rsidRPr="00C1043F">
        <w:rPr>
          <w:lang w:val="pl-PL"/>
        </w:rPr>
        <w:t>lub stanowiący załącznik do niniejszego pisma</w:t>
      </w:r>
      <w:r w:rsidR="0077659A">
        <w:rPr>
          <w:lang w:val="pl-PL"/>
        </w:rPr>
        <w:t xml:space="preserve"> </w:t>
      </w:r>
    </w:p>
  </w:footnote>
  <w:footnote w:id="8">
    <w:p w14:paraId="66D511F7" w14:textId="750FF51B" w:rsidR="00275ACB" w:rsidRPr="00275ACB" w:rsidRDefault="00275ACB">
      <w:pPr>
        <w:pStyle w:val="Tekstprzypisudolnego"/>
        <w:rPr>
          <w:lang w:val="pl-PL"/>
        </w:rPr>
      </w:pPr>
      <w:r>
        <w:rPr>
          <w:rStyle w:val="Odwoanieprzypisudolnego"/>
        </w:rPr>
        <w:footnoteRef/>
      </w:r>
      <w:r>
        <w:t xml:space="preserve"> </w:t>
      </w:r>
      <w:r>
        <w:rPr>
          <w:lang w:val="pl-PL"/>
        </w:rPr>
        <w:t xml:space="preserve">należy wskazać odesłanie do instrukcji </w:t>
      </w:r>
      <w:r w:rsidR="00445228">
        <w:rPr>
          <w:lang w:val="pl-PL"/>
        </w:rPr>
        <w:t xml:space="preserve">składania ofert poprzez odesłanie do dokumentacji postępowania lub instrukcji </w:t>
      </w:r>
      <w:r w:rsidR="000C51C6">
        <w:rPr>
          <w:lang w:val="pl-PL"/>
        </w:rPr>
        <w:t>zamieszczonej na stronie prowadzonego postępowania o udzielenie zamówienia publicznego</w:t>
      </w:r>
      <w:r w:rsidR="00F6174C">
        <w:rPr>
          <w:lang w:val="pl-PL"/>
        </w:rPr>
        <w:t xml:space="preserve">. </w:t>
      </w:r>
      <w:r w:rsidR="00F6174C" w:rsidRPr="00FD763F">
        <w:t xml:space="preserve">Szczegółowy sposób złożenia </w:t>
      </w:r>
      <w:r w:rsidR="00F6174C">
        <w:t>oferty</w:t>
      </w:r>
      <w:r w:rsidR="00F6174C" w:rsidRPr="00FD763F">
        <w:t xml:space="preserve"> będzie wynikać ze sposobu komunikacji przyjętego dla danego postępowania</w:t>
      </w:r>
      <w:r w:rsidR="00F6174C">
        <w:t>- należy wpisać zgodnie ze sposobem komunikacji określonym w dokumentach zamówienia</w:t>
      </w:r>
    </w:p>
  </w:footnote>
  <w:footnote w:id="9">
    <w:p w14:paraId="2C59ACB0" w14:textId="0D749F3B" w:rsidR="004B302A" w:rsidRPr="004B302A" w:rsidRDefault="004B302A">
      <w:pPr>
        <w:pStyle w:val="Tekstprzypisudolnego"/>
      </w:pPr>
      <w:r>
        <w:rPr>
          <w:rStyle w:val="Odwoanieprzypisudolnego"/>
        </w:rPr>
        <w:footnoteRef/>
      </w:r>
      <w:r>
        <w:t xml:space="preserve"> </w:t>
      </w:r>
      <w:r w:rsidR="005E202F">
        <w:t>w</w:t>
      </w:r>
      <w:r w:rsidR="00FF1DA8">
        <w:t>skazanie uzas</w:t>
      </w:r>
      <w:r w:rsidR="005E202F">
        <w:t>adnienia jest celowe ze wzg</w:t>
      </w:r>
      <w:r w:rsidR="00136D91">
        <w:t xml:space="preserve">lędu na przejrzystość postępowania </w:t>
      </w:r>
    </w:p>
  </w:footnote>
  <w:footnote w:id="10">
    <w:p w14:paraId="604A9FCF" w14:textId="77777777" w:rsidR="0077659A" w:rsidRDefault="0077659A" w:rsidP="0077659A">
      <w:pPr>
        <w:pStyle w:val="Tekstprzypisudolnego"/>
      </w:pPr>
      <w:r>
        <w:rPr>
          <w:rStyle w:val="Odwoanieprzypisudolnego"/>
        </w:rPr>
        <w:footnoteRef/>
      </w:r>
      <w:r>
        <w:t xml:space="preserve"> </w:t>
      </w:r>
      <w:r>
        <w:t xml:space="preserve">w nin. opracowaniu jako: „ustawa </w:t>
      </w:r>
      <w:proofErr w:type="spellStart"/>
      <w:r>
        <w:t>Pzp</w:t>
      </w:r>
      <w:proofErr w:type="spellEnd"/>
      <w:r>
        <w:t>”</w:t>
      </w:r>
    </w:p>
  </w:footnote>
  <w:footnote w:id="11">
    <w:p w14:paraId="2B973E5B" w14:textId="494EAE37" w:rsidR="00ED0AF8" w:rsidRPr="00ED0AF8" w:rsidRDefault="00ED0AF8">
      <w:pPr>
        <w:pStyle w:val="Tekstprzypisudolnego"/>
        <w:rPr>
          <w:lang w:val="pl-PL"/>
        </w:rPr>
      </w:pPr>
      <w:r>
        <w:rPr>
          <w:rStyle w:val="Odwoanieprzypisudolnego"/>
        </w:rPr>
        <w:footnoteRef/>
      </w:r>
      <w:r>
        <w:t xml:space="preserve"> </w:t>
      </w:r>
      <w:r>
        <w:rPr>
          <w:lang w:val="pl-PL"/>
        </w:rPr>
        <w:t>należy wybrać odpowiednie</w:t>
      </w:r>
    </w:p>
  </w:footnote>
  <w:footnote w:id="12">
    <w:p w14:paraId="738617B9" w14:textId="74934C48" w:rsidR="005A51D9" w:rsidRPr="005A51D9" w:rsidRDefault="005A51D9">
      <w:pPr>
        <w:pStyle w:val="Tekstprzypisudolnego"/>
        <w:rPr>
          <w:lang w:val="pl-PL"/>
        </w:rPr>
      </w:pPr>
      <w:r>
        <w:rPr>
          <w:rStyle w:val="Odwoanieprzypisudolnego"/>
        </w:rPr>
        <w:footnoteRef/>
      </w:r>
      <w:r>
        <w:t xml:space="preserve"> </w:t>
      </w:r>
      <w:r w:rsidRPr="005A51D9">
        <w:t xml:space="preserve">należy wskazać termin </w:t>
      </w:r>
      <w:r>
        <w:t>otwarcia ofert dodatkowych</w:t>
      </w:r>
    </w:p>
  </w:footnote>
  <w:footnote w:id="13">
    <w:p w14:paraId="515FFEFF" w14:textId="023DA05E" w:rsidR="00B42BDD" w:rsidRPr="00B42BDD" w:rsidRDefault="00B42BDD">
      <w:pPr>
        <w:pStyle w:val="Tekstprzypisudolnego"/>
      </w:pPr>
      <w:r>
        <w:rPr>
          <w:rStyle w:val="Odwoanieprzypisudolnego"/>
        </w:rPr>
        <w:footnoteRef/>
      </w:r>
      <w:r>
        <w:t xml:space="preserve"> </w:t>
      </w:r>
      <w:r>
        <w:t>jeżeli dotyczy</w:t>
      </w:r>
    </w:p>
  </w:footnote>
  <w:footnote w:id="14">
    <w:p w14:paraId="3D88A327" w14:textId="695EB236" w:rsidR="007D0323" w:rsidRDefault="007D0323" w:rsidP="007D0323">
      <w:pPr>
        <w:pStyle w:val="Tekstprzypisudolnego"/>
      </w:pPr>
      <w:r>
        <w:rPr>
          <w:rStyle w:val="Odwoanieprzypisudolnego"/>
        </w:rPr>
        <w:footnoteRef/>
      </w:r>
      <w:r>
        <w:t xml:space="preserve"> Podpis osób/osoby uprawnionej do reprezentowania zamawiającego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09ED" w14:textId="77777777" w:rsidR="000309AE" w:rsidRDefault="00D06420" w:rsidP="000309AE">
    <w:pPr>
      <w:pStyle w:val="Nagwek"/>
      <w:tabs>
        <w:tab w:val="clear" w:pos="4536"/>
        <w:tab w:val="clear" w:pos="9072"/>
      </w:tabs>
    </w:pPr>
    <w:r>
      <w:rPr>
        <w:noProof/>
        <w:lang w:eastAsia="pl-PL"/>
      </w:rPr>
      <w:drawing>
        <wp:anchor distT="0" distB="0" distL="114300" distR="114300" simplePos="0" relativeHeight="251658240" behindDoc="0" locked="0" layoutInCell="1" allowOverlap="1" wp14:anchorId="32181C48" wp14:editId="38D0A433">
          <wp:simplePos x="0" y="0"/>
          <wp:positionH relativeFrom="page">
            <wp:posOffset>358140</wp:posOffset>
          </wp:positionH>
          <wp:positionV relativeFrom="page">
            <wp:posOffset>286080</wp:posOffset>
          </wp:positionV>
          <wp:extent cx="6840000" cy="687619"/>
          <wp:effectExtent l="0" t="0" r="0" b="0"/>
          <wp:wrapNone/>
          <wp:docPr id="266713385" name="Obraz 266713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93785" name="Obraz 176099378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840000" cy="68761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B45CC"/>
    <w:multiLevelType w:val="multilevel"/>
    <w:tmpl w:val="CB3A0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193D2B"/>
    <w:multiLevelType w:val="multilevel"/>
    <w:tmpl w:val="BFC6C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536DC0"/>
    <w:multiLevelType w:val="multilevel"/>
    <w:tmpl w:val="53F68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6151607">
    <w:abstractNumId w:val="2"/>
  </w:num>
  <w:num w:numId="2" w16cid:durableId="1897741488">
    <w:abstractNumId w:val="0"/>
  </w:num>
  <w:num w:numId="3" w16cid:durableId="502859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9AE"/>
    <w:rsid w:val="00015A29"/>
    <w:rsid w:val="000309AE"/>
    <w:rsid w:val="00030DB2"/>
    <w:rsid w:val="00053539"/>
    <w:rsid w:val="00056034"/>
    <w:rsid w:val="00060706"/>
    <w:rsid w:val="00062422"/>
    <w:rsid w:val="00070C4D"/>
    <w:rsid w:val="00080F9B"/>
    <w:rsid w:val="00082A81"/>
    <w:rsid w:val="000A67AA"/>
    <w:rsid w:val="000C3C3B"/>
    <w:rsid w:val="000C51C6"/>
    <w:rsid w:val="000F7B58"/>
    <w:rsid w:val="00110D72"/>
    <w:rsid w:val="00115669"/>
    <w:rsid w:val="00136D91"/>
    <w:rsid w:val="001556DC"/>
    <w:rsid w:val="00167620"/>
    <w:rsid w:val="001716BB"/>
    <w:rsid w:val="001734D0"/>
    <w:rsid w:val="00191E91"/>
    <w:rsid w:val="001B4ED0"/>
    <w:rsid w:val="001C67AE"/>
    <w:rsid w:val="00200ABF"/>
    <w:rsid w:val="002258AC"/>
    <w:rsid w:val="0024004F"/>
    <w:rsid w:val="0024661A"/>
    <w:rsid w:val="00254DCA"/>
    <w:rsid w:val="0025746D"/>
    <w:rsid w:val="00267BF6"/>
    <w:rsid w:val="00271383"/>
    <w:rsid w:val="00274EE1"/>
    <w:rsid w:val="00275ACB"/>
    <w:rsid w:val="0029546E"/>
    <w:rsid w:val="002B45EF"/>
    <w:rsid w:val="002C640D"/>
    <w:rsid w:val="002D7DC5"/>
    <w:rsid w:val="002D7E7C"/>
    <w:rsid w:val="002E24B8"/>
    <w:rsid w:val="00307B42"/>
    <w:rsid w:val="00321A6D"/>
    <w:rsid w:val="00325567"/>
    <w:rsid w:val="00334A08"/>
    <w:rsid w:val="0035451D"/>
    <w:rsid w:val="003634BE"/>
    <w:rsid w:val="00386E25"/>
    <w:rsid w:val="00387A42"/>
    <w:rsid w:val="0039352B"/>
    <w:rsid w:val="00397E70"/>
    <w:rsid w:val="003A1F32"/>
    <w:rsid w:val="003B0A2A"/>
    <w:rsid w:val="003B38B6"/>
    <w:rsid w:val="003B67F3"/>
    <w:rsid w:val="003C4542"/>
    <w:rsid w:val="003C6A86"/>
    <w:rsid w:val="003D2642"/>
    <w:rsid w:val="0040145F"/>
    <w:rsid w:val="004073D6"/>
    <w:rsid w:val="0041754E"/>
    <w:rsid w:val="00423603"/>
    <w:rsid w:val="004339E5"/>
    <w:rsid w:val="00445228"/>
    <w:rsid w:val="00445A94"/>
    <w:rsid w:val="0044796D"/>
    <w:rsid w:val="00450D64"/>
    <w:rsid w:val="0047044A"/>
    <w:rsid w:val="0048740A"/>
    <w:rsid w:val="004936AA"/>
    <w:rsid w:val="004B0CA4"/>
    <w:rsid w:val="004B302A"/>
    <w:rsid w:val="004D63FD"/>
    <w:rsid w:val="004E1211"/>
    <w:rsid w:val="005047BF"/>
    <w:rsid w:val="0052327A"/>
    <w:rsid w:val="005674F0"/>
    <w:rsid w:val="00573DBF"/>
    <w:rsid w:val="00587BE0"/>
    <w:rsid w:val="005906B0"/>
    <w:rsid w:val="00593CE9"/>
    <w:rsid w:val="005A51D9"/>
    <w:rsid w:val="005D5CC9"/>
    <w:rsid w:val="005E202F"/>
    <w:rsid w:val="005E24EA"/>
    <w:rsid w:val="005E60B8"/>
    <w:rsid w:val="00617201"/>
    <w:rsid w:val="00624C12"/>
    <w:rsid w:val="0063581A"/>
    <w:rsid w:val="00641EAE"/>
    <w:rsid w:val="00682CFB"/>
    <w:rsid w:val="006E1190"/>
    <w:rsid w:val="006F7E52"/>
    <w:rsid w:val="0070027C"/>
    <w:rsid w:val="00710F34"/>
    <w:rsid w:val="007441A1"/>
    <w:rsid w:val="00746993"/>
    <w:rsid w:val="0077659A"/>
    <w:rsid w:val="00777A3A"/>
    <w:rsid w:val="007841CE"/>
    <w:rsid w:val="00796461"/>
    <w:rsid w:val="0079660F"/>
    <w:rsid w:val="007A34FC"/>
    <w:rsid w:val="007C21EB"/>
    <w:rsid w:val="007D0323"/>
    <w:rsid w:val="007D0A88"/>
    <w:rsid w:val="007D12CD"/>
    <w:rsid w:val="007D33DA"/>
    <w:rsid w:val="007F5E8E"/>
    <w:rsid w:val="0081374D"/>
    <w:rsid w:val="008260E4"/>
    <w:rsid w:val="00846838"/>
    <w:rsid w:val="00867FFC"/>
    <w:rsid w:val="008C0B28"/>
    <w:rsid w:val="008C2201"/>
    <w:rsid w:val="008F5C8E"/>
    <w:rsid w:val="008F6145"/>
    <w:rsid w:val="009018F5"/>
    <w:rsid w:val="00904B3C"/>
    <w:rsid w:val="00921562"/>
    <w:rsid w:val="00923FB6"/>
    <w:rsid w:val="009268C0"/>
    <w:rsid w:val="009425DD"/>
    <w:rsid w:val="009438BD"/>
    <w:rsid w:val="00946942"/>
    <w:rsid w:val="00953B95"/>
    <w:rsid w:val="00970402"/>
    <w:rsid w:val="00977963"/>
    <w:rsid w:val="00987CB3"/>
    <w:rsid w:val="009A152F"/>
    <w:rsid w:val="009A6DA8"/>
    <w:rsid w:val="009B71B2"/>
    <w:rsid w:val="009E7571"/>
    <w:rsid w:val="00A02438"/>
    <w:rsid w:val="00A02D3E"/>
    <w:rsid w:val="00A15589"/>
    <w:rsid w:val="00A361BC"/>
    <w:rsid w:val="00A45325"/>
    <w:rsid w:val="00A50CD0"/>
    <w:rsid w:val="00A52528"/>
    <w:rsid w:val="00A64C29"/>
    <w:rsid w:val="00A6711F"/>
    <w:rsid w:val="00A7549E"/>
    <w:rsid w:val="00A97C20"/>
    <w:rsid w:val="00AB5E11"/>
    <w:rsid w:val="00AC5D2E"/>
    <w:rsid w:val="00AD6620"/>
    <w:rsid w:val="00AF07FA"/>
    <w:rsid w:val="00B00B88"/>
    <w:rsid w:val="00B20933"/>
    <w:rsid w:val="00B37E7F"/>
    <w:rsid w:val="00B42BDD"/>
    <w:rsid w:val="00B5419F"/>
    <w:rsid w:val="00B551A8"/>
    <w:rsid w:val="00B9358D"/>
    <w:rsid w:val="00BA5BC5"/>
    <w:rsid w:val="00BA68D7"/>
    <w:rsid w:val="00BB1154"/>
    <w:rsid w:val="00BD5D1C"/>
    <w:rsid w:val="00BE5DB5"/>
    <w:rsid w:val="00BF11B1"/>
    <w:rsid w:val="00BF795F"/>
    <w:rsid w:val="00C1043F"/>
    <w:rsid w:val="00C112BA"/>
    <w:rsid w:val="00C517A0"/>
    <w:rsid w:val="00C619F7"/>
    <w:rsid w:val="00C85FBD"/>
    <w:rsid w:val="00C93D2E"/>
    <w:rsid w:val="00CB0C66"/>
    <w:rsid w:val="00CB21F2"/>
    <w:rsid w:val="00CB4744"/>
    <w:rsid w:val="00CC5140"/>
    <w:rsid w:val="00CE1F5A"/>
    <w:rsid w:val="00D02F6D"/>
    <w:rsid w:val="00D06420"/>
    <w:rsid w:val="00D1125E"/>
    <w:rsid w:val="00D81B4D"/>
    <w:rsid w:val="00D8688C"/>
    <w:rsid w:val="00DA1C4C"/>
    <w:rsid w:val="00DA2A86"/>
    <w:rsid w:val="00DC7029"/>
    <w:rsid w:val="00DD31F4"/>
    <w:rsid w:val="00DD3D40"/>
    <w:rsid w:val="00DE082E"/>
    <w:rsid w:val="00E07AC4"/>
    <w:rsid w:val="00E33085"/>
    <w:rsid w:val="00E33533"/>
    <w:rsid w:val="00E5428E"/>
    <w:rsid w:val="00E57184"/>
    <w:rsid w:val="00E71695"/>
    <w:rsid w:val="00E731BD"/>
    <w:rsid w:val="00E81DF0"/>
    <w:rsid w:val="00E908C9"/>
    <w:rsid w:val="00E91DF7"/>
    <w:rsid w:val="00E94101"/>
    <w:rsid w:val="00E95C8F"/>
    <w:rsid w:val="00E95E1F"/>
    <w:rsid w:val="00EC30A7"/>
    <w:rsid w:val="00EC3409"/>
    <w:rsid w:val="00EC5A98"/>
    <w:rsid w:val="00ED0AF8"/>
    <w:rsid w:val="00EF0058"/>
    <w:rsid w:val="00EF21DB"/>
    <w:rsid w:val="00F27240"/>
    <w:rsid w:val="00F327C2"/>
    <w:rsid w:val="00F52073"/>
    <w:rsid w:val="00F526CB"/>
    <w:rsid w:val="00F5666E"/>
    <w:rsid w:val="00F6174C"/>
    <w:rsid w:val="00F73BD0"/>
    <w:rsid w:val="00F81371"/>
    <w:rsid w:val="00F865A0"/>
    <w:rsid w:val="00F95972"/>
    <w:rsid w:val="00FA1CAB"/>
    <w:rsid w:val="00FA5FAA"/>
    <w:rsid w:val="00FB093E"/>
    <w:rsid w:val="00FB237F"/>
    <w:rsid w:val="00FC2508"/>
    <w:rsid w:val="00FD45BF"/>
    <w:rsid w:val="00FF1D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356F6"/>
  <w15:chartTrackingRefBased/>
  <w15:docId w15:val="{54B8DD55-F502-40E3-B09E-211725150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309A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309AE"/>
  </w:style>
  <w:style w:type="paragraph" w:styleId="Stopka">
    <w:name w:val="footer"/>
    <w:basedOn w:val="Normalny"/>
    <w:link w:val="StopkaZnak"/>
    <w:uiPriority w:val="99"/>
    <w:unhideWhenUsed/>
    <w:rsid w:val="000309A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309AE"/>
  </w:style>
  <w:style w:type="paragraph" w:styleId="Tekstdymka">
    <w:name w:val="Balloon Text"/>
    <w:basedOn w:val="Normalny"/>
    <w:link w:val="TekstdymkaZnak"/>
    <w:uiPriority w:val="99"/>
    <w:semiHidden/>
    <w:unhideWhenUsed/>
    <w:rsid w:val="005047B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47BF"/>
    <w:rPr>
      <w:rFonts w:ascii="Segoe UI" w:hAnsi="Segoe UI" w:cs="Segoe UI"/>
      <w:sz w:val="18"/>
      <w:szCs w:val="18"/>
    </w:rPr>
  </w:style>
  <w:style w:type="paragraph" w:styleId="Tekstprzypisudolnego">
    <w:name w:val="footnote text"/>
    <w:basedOn w:val="Normalny"/>
    <w:link w:val="TekstprzypisudolnegoZnak"/>
    <w:semiHidden/>
    <w:unhideWhenUsed/>
    <w:rsid w:val="00053539"/>
    <w:pPr>
      <w:suppressAutoHyphens/>
      <w:spacing w:after="0" w:line="240" w:lineRule="auto"/>
    </w:pPr>
    <w:rPr>
      <w:rFonts w:ascii="Calibri" w:eastAsia="Calibri" w:hAnsi="Calibri" w:cs="Times New Roman"/>
      <w:sz w:val="20"/>
      <w:szCs w:val="20"/>
      <w:lang w:val="x-none" w:eastAsia="ar-SA"/>
    </w:rPr>
  </w:style>
  <w:style w:type="character" w:customStyle="1" w:styleId="TekstprzypisudolnegoZnak">
    <w:name w:val="Tekst przypisu dolnego Znak"/>
    <w:basedOn w:val="Domylnaczcionkaakapitu"/>
    <w:link w:val="Tekstprzypisudolnego"/>
    <w:semiHidden/>
    <w:rsid w:val="00053539"/>
    <w:rPr>
      <w:rFonts w:ascii="Calibri" w:eastAsia="Calibri" w:hAnsi="Calibri" w:cs="Times New Roman"/>
      <w:sz w:val="20"/>
      <w:szCs w:val="20"/>
      <w:lang w:val="x-none" w:eastAsia="ar-SA"/>
    </w:rPr>
  </w:style>
  <w:style w:type="character" w:styleId="Odwoanieprzypisudolnego">
    <w:name w:val="footnote reference"/>
    <w:uiPriority w:val="99"/>
    <w:semiHidden/>
    <w:unhideWhenUsed/>
    <w:rsid w:val="00053539"/>
    <w:rPr>
      <w:vertAlign w:val="superscript"/>
    </w:rPr>
  </w:style>
  <w:style w:type="character" w:customStyle="1" w:styleId="Znakiprzypiswdolnych">
    <w:name w:val="Znaki przypisów dolnych"/>
    <w:rsid w:val="00053539"/>
    <w:rPr>
      <w:vertAlign w:val="superscript"/>
    </w:rPr>
  </w:style>
  <w:style w:type="paragraph" w:customStyle="1" w:styleId="Default">
    <w:name w:val="Default"/>
    <w:rsid w:val="00DE082E"/>
    <w:pPr>
      <w:autoSpaceDE w:val="0"/>
      <w:autoSpaceDN w:val="0"/>
      <w:adjustRightInd w:val="0"/>
      <w:spacing w:after="0" w:line="240" w:lineRule="auto"/>
    </w:pPr>
    <w:rPr>
      <w:rFonts w:ascii="Arial" w:hAnsi="Arial" w:cs="Arial"/>
      <w:color w:val="000000"/>
      <w:sz w:val="24"/>
      <w:szCs w:val="24"/>
      <w14:ligatures w14:val="standardContextual"/>
    </w:rPr>
  </w:style>
  <w:style w:type="character" w:styleId="Hipercze">
    <w:name w:val="Hyperlink"/>
    <w:basedOn w:val="Domylnaczcionkaakapitu"/>
    <w:uiPriority w:val="99"/>
    <w:unhideWhenUsed/>
    <w:rsid w:val="00A6711F"/>
    <w:rPr>
      <w:color w:val="0000FF"/>
      <w:u w:val="single"/>
    </w:rPr>
  </w:style>
  <w:style w:type="character" w:styleId="Nierozpoznanawzmianka">
    <w:name w:val="Unresolved Mention"/>
    <w:basedOn w:val="Domylnaczcionkaakapitu"/>
    <w:uiPriority w:val="99"/>
    <w:semiHidden/>
    <w:unhideWhenUsed/>
    <w:rsid w:val="00FA5FAA"/>
    <w:rPr>
      <w:color w:val="605E5C"/>
      <w:shd w:val="clear" w:color="auto" w:fill="E1DFDD"/>
    </w:rPr>
  </w:style>
  <w:style w:type="paragraph" w:styleId="Poprawka">
    <w:name w:val="Revision"/>
    <w:hidden/>
    <w:uiPriority w:val="99"/>
    <w:semiHidden/>
    <w:rsid w:val="00BB1154"/>
    <w:pPr>
      <w:spacing w:after="0" w:line="240" w:lineRule="auto"/>
    </w:pPr>
  </w:style>
  <w:style w:type="character" w:styleId="Odwoaniedokomentarza">
    <w:name w:val="annotation reference"/>
    <w:basedOn w:val="Domylnaczcionkaakapitu"/>
    <w:uiPriority w:val="99"/>
    <w:semiHidden/>
    <w:unhideWhenUsed/>
    <w:rsid w:val="001716BB"/>
    <w:rPr>
      <w:sz w:val="16"/>
      <w:szCs w:val="16"/>
    </w:rPr>
  </w:style>
  <w:style w:type="paragraph" w:styleId="Tekstkomentarza">
    <w:name w:val="annotation text"/>
    <w:basedOn w:val="Normalny"/>
    <w:link w:val="TekstkomentarzaZnak"/>
    <w:uiPriority w:val="99"/>
    <w:unhideWhenUsed/>
    <w:rsid w:val="001716BB"/>
    <w:pPr>
      <w:spacing w:line="240" w:lineRule="auto"/>
    </w:pPr>
    <w:rPr>
      <w:sz w:val="20"/>
      <w:szCs w:val="20"/>
    </w:rPr>
  </w:style>
  <w:style w:type="character" w:customStyle="1" w:styleId="TekstkomentarzaZnak">
    <w:name w:val="Tekst komentarza Znak"/>
    <w:basedOn w:val="Domylnaczcionkaakapitu"/>
    <w:link w:val="Tekstkomentarza"/>
    <w:uiPriority w:val="99"/>
    <w:rsid w:val="001716BB"/>
    <w:rPr>
      <w:sz w:val="20"/>
      <w:szCs w:val="20"/>
    </w:rPr>
  </w:style>
  <w:style w:type="paragraph" w:styleId="Tematkomentarza">
    <w:name w:val="annotation subject"/>
    <w:basedOn w:val="Tekstkomentarza"/>
    <w:next w:val="Tekstkomentarza"/>
    <w:link w:val="TematkomentarzaZnak"/>
    <w:uiPriority w:val="99"/>
    <w:semiHidden/>
    <w:unhideWhenUsed/>
    <w:rsid w:val="001716BB"/>
    <w:rPr>
      <w:b/>
      <w:bCs/>
    </w:rPr>
  </w:style>
  <w:style w:type="character" w:customStyle="1" w:styleId="TematkomentarzaZnak">
    <w:name w:val="Temat komentarza Znak"/>
    <w:basedOn w:val="TekstkomentarzaZnak"/>
    <w:link w:val="Tematkomentarza"/>
    <w:uiPriority w:val="99"/>
    <w:semiHidden/>
    <w:rsid w:val="001716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02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komentarzpzp.uzp.gov.pl/prawo-zamowien-publicznych/art-24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komentarzpzp.uzp.gov.pl/prawo-zamowien-publicznych/art-25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5F813-EAB0-4301-B0F6-E84DA28B5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1342</Words>
  <Characters>8055</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Kulesza</dc:creator>
  <cp:keywords/>
  <dc:description/>
  <cp:lastModifiedBy>Fundowicz Izabela</cp:lastModifiedBy>
  <cp:revision>6</cp:revision>
  <cp:lastPrinted>2016-08-10T11:17:00Z</cp:lastPrinted>
  <dcterms:created xsi:type="dcterms:W3CDTF">2026-10-15T14:28:00Z</dcterms:created>
  <dcterms:modified xsi:type="dcterms:W3CDTF">2026-10-15T14:32:00Z</dcterms:modified>
</cp:coreProperties>
</file>