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E4A8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65232C">
        <w:rPr>
          <w:sz w:val="24"/>
          <w:szCs w:val="24"/>
        </w:rPr>
        <w:t>12</w:t>
      </w:r>
      <w:r w:rsidR="00DD510F">
        <w:rPr>
          <w:sz w:val="24"/>
          <w:szCs w:val="24"/>
        </w:rPr>
        <w:t xml:space="preserve"> </w:t>
      </w:r>
      <w:r w:rsidR="0065232C">
        <w:rPr>
          <w:sz w:val="24"/>
          <w:szCs w:val="24"/>
        </w:rPr>
        <w:t>sierpnia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C720F0">
        <w:rPr>
          <w:sz w:val="24"/>
          <w:szCs w:val="24"/>
        </w:rPr>
        <w:t>3</w:t>
      </w:r>
      <w:r w:rsidR="00BF58C9">
        <w:rPr>
          <w:sz w:val="24"/>
          <w:szCs w:val="24"/>
        </w:rPr>
        <w:t>9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DD510F">
        <w:rPr>
          <w:rFonts w:asciiTheme="minorHAnsi" w:hAnsiTheme="minorHAnsi" w:cstheme="minorHAnsi"/>
          <w:sz w:val="24"/>
          <w:szCs w:val="24"/>
        </w:rPr>
        <w:t>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DD510F">
        <w:rPr>
          <w:rFonts w:asciiTheme="minorHAnsi" w:hAnsiTheme="minorHAnsi" w:cstheme="minorHAnsi"/>
          <w:sz w:val="24"/>
          <w:szCs w:val="24"/>
        </w:rPr>
        <w:t>503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9C56AB" w:rsidRDefault="00E5344A" w:rsidP="009C56AB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E5344A">
        <w:rPr>
          <w:rFonts w:asciiTheme="minorHAnsi" w:hAnsiTheme="minorHAnsi" w:cstheme="minorHAnsi"/>
          <w:sz w:val="24"/>
          <w:szCs w:val="24"/>
        </w:rPr>
        <w:t xml:space="preserve">zawiadamia, że na </w:t>
      </w:r>
      <w:r w:rsidR="007A4DFE" w:rsidRPr="007A4DFE">
        <w:rPr>
          <w:rFonts w:asciiTheme="minorHAnsi" w:hAnsiTheme="minorHAnsi" w:cstheme="minorHAnsi"/>
          <w:sz w:val="24"/>
          <w:szCs w:val="24"/>
        </w:rPr>
        <w:t>wniosku Pana Romualda Mądrego, działającego w imieniu PKP Polskie Linie Kolejowe S.A., ul. Targowa 74, 03-734 Warszawa</w:t>
      </w:r>
      <w:r w:rsidRPr="00E5344A">
        <w:rPr>
          <w:rFonts w:asciiTheme="minorHAnsi" w:hAnsiTheme="minorHAnsi" w:cstheme="minorHAnsi"/>
          <w:sz w:val="24"/>
          <w:szCs w:val="24"/>
        </w:rPr>
        <w:t>, został</w:t>
      </w:r>
      <w:r w:rsidR="00A53E76">
        <w:rPr>
          <w:rFonts w:asciiTheme="minorHAnsi" w:hAnsiTheme="minorHAnsi" w:cstheme="minorHAnsi"/>
          <w:sz w:val="24"/>
          <w:szCs w:val="24"/>
        </w:rPr>
        <w:t xml:space="preserve">a wydana decyzja nr </w:t>
      </w:r>
      <w:r w:rsidR="00185297">
        <w:rPr>
          <w:rFonts w:asciiTheme="minorHAnsi" w:hAnsiTheme="minorHAnsi" w:cstheme="minorHAnsi"/>
          <w:sz w:val="24"/>
          <w:szCs w:val="24"/>
        </w:rPr>
        <w:t>Bar</w:t>
      </w:r>
      <w:r w:rsidR="001F628E">
        <w:rPr>
          <w:rFonts w:asciiTheme="minorHAnsi" w:hAnsiTheme="minorHAnsi" w:cstheme="minorHAnsi"/>
          <w:sz w:val="24"/>
          <w:szCs w:val="24"/>
        </w:rPr>
        <w:t>/4</w:t>
      </w:r>
      <w:r w:rsidR="007F004D">
        <w:rPr>
          <w:rFonts w:asciiTheme="minorHAnsi" w:hAnsiTheme="minorHAnsi" w:cstheme="minorHAnsi"/>
          <w:sz w:val="24"/>
          <w:szCs w:val="24"/>
        </w:rPr>
        <w:t>3</w:t>
      </w:r>
      <w:r w:rsidR="00223111">
        <w:rPr>
          <w:rFonts w:asciiTheme="minorHAnsi" w:hAnsiTheme="minorHAnsi" w:cstheme="minorHAnsi"/>
          <w:sz w:val="24"/>
          <w:szCs w:val="24"/>
        </w:rPr>
        <w:t>/2022</w:t>
      </w:r>
      <w:r w:rsidR="007A4DFE">
        <w:rPr>
          <w:rFonts w:asciiTheme="minorHAnsi" w:hAnsiTheme="minorHAnsi" w:cstheme="minorHAnsi"/>
          <w:sz w:val="24"/>
          <w:szCs w:val="24"/>
        </w:rPr>
        <w:t xml:space="preserve"> </w:t>
      </w:r>
      <w:r w:rsidR="00223111">
        <w:rPr>
          <w:rFonts w:asciiTheme="minorHAnsi" w:hAnsiTheme="minorHAnsi" w:cstheme="minorHAnsi"/>
          <w:sz w:val="24"/>
          <w:szCs w:val="24"/>
        </w:rPr>
        <w:t xml:space="preserve"> </w:t>
      </w:r>
      <w:r w:rsidRPr="00E5344A">
        <w:rPr>
          <w:rFonts w:asciiTheme="minorHAnsi" w:hAnsiTheme="minorHAnsi" w:cstheme="minorHAnsi"/>
          <w:sz w:val="24"/>
          <w:szCs w:val="24"/>
        </w:rPr>
        <w:t xml:space="preserve">o ustaleniu lokalizacji inwestycji celu publicznego, polegającej </w:t>
      </w:r>
      <w:r w:rsidR="009C56AB" w:rsidRPr="009C56AB">
        <w:rPr>
          <w:rFonts w:asciiTheme="minorHAnsi" w:hAnsiTheme="minorHAnsi" w:cstheme="minorHAnsi"/>
          <w:sz w:val="24"/>
          <w:szCs w:val="24"/>
        </w:rPr>
        <w:t xml:space="preserve">na </w:t>
      </w:r>
      <w:r w:rsidR="009C6AB3" w:rsidRPr="009C6AB3">
        <w:rPr>
          <w:rFonts w:asciiTheme="minorHAnsi" w:hAnsiTheme="minorHAnsi" w:cstheme="minorHAnsi"/>
          <w:sz w:val="24"/>
          <w:szCs w:val="24"/>
        </w:rPr>
        <w:t xml:space="preserve">budowie Obiektu Radiokomunikacyjnego 12205_L353_{Barciany Granica (ORx353-387376-XXX-01) na linii kolejowej 353 km ok. 387,376, w skład którego wchodzi: wieża strunobetonowa wraz z fundamentem, kontener telekomunikacyjny ustawiony na fundamencie prefabrykowanym, ogrodzenie, utwardzenie terenu, dojazd, wewnętrzna linia zasilająca, złącze kablowe elektroenergetyczne, </w:t>
      </w:r>
      <w:r w:rsidR="00185297" w:rsidRPr="00185297">
        <w:rPr>
          <w:rFonts w:asciiTheme="minorHAnsi" w:hAnsiTheme="minorHAnsi" w:cstheme="minorHAnsi"/>
          <w:sz w:val="24"/>
          <w:szCs w:val="24"/>
        </w:rPr>
        <w:t>na części działki ewidencyjnej nr 67 obręb 0029 Maciejki, gmina Barciany, powiat kętrzyński, woj. warmińsko-mazurskie, stanowiących teren zamknięty</w:t>
      </w:r>
      <w:r w:rsidR="00185297">
        <w:rPr>
          <w:rFonts w:asciiTheme="minorHAnsi" w:hAnsiTheme="minorHAnsi" w:cstheme="minorHAnsi"/>
          <w:sz w:val="24"/>
          <w:szCs w:val="24"/>
        </w:rPr>
        <w:t>.</w:t>
      </w:r>
    </w:p>
    <w:p w:rsidR="008E577E" w:rsidRPr="008E577E" w:rsidRDefault="008E577E" w:rsidP="00AD136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Stronom służy prawo wniesienia odwołania do Ministra Rozwoju i Technologii za</w:t>
      </w:r>
      <w:r w:rsidR="00AD1360">
        <w:rPr>
          <w:rFonts w:asciiTheme="minorHAnsi" w:hAnsiTheme="minorHAnsi" w:cstheme="minorHAnsi"/>
          <w:sz w:val="24"/>
          <w:szCs w:val="24"/>
        </w:rPr>
        <w:t xml:space="preserve"> </w:t>
      </w:r>
      <w:r w:rsidRPr="008E577E">
        <w:rPr>
          <w:rFonts w:asciiTheme="minorHAnsi" w:hAnsiTheme="minorHAnsi" w:cstheme="minorHAnsi"/>
          <w:sz w:val="24"/>
          <w:szCs w:val="24"/>
        </w:rPr>
        <w:t>pośrednictwem Wojewody Warmińsko - Mazurskiego w Olsztynie, w terminie 14 dni od</w:t>
      </w:r>
      <w:r w:rsidR="00AD1360">
        <w:rPr>
          <w:rFonts w:asciiTheme="minorHAnsi" w:hAnsiTheme="minorHAnsi" w:cstheme="minorHAnsi"/>
          <w:sz w:val="24"/>
          <w:szCs w:val="24"/>
        </w:rPr>
        <w:t xml:space="preserve"> </w:t>
      </w:r>
      <w:r w:rsidRPr="008E577E">
        <w:rPr>
          <w:rFonts w:asciiTheme="minorHAnsi" w:hAnsiTheme="minorHAnsi" w:cstheme="minorHAnsi"/>
          <w:sz w:val="24"/>
          <w:szCs w:val="24"/>
        </w:rPr>
        <w:t>dnia podania niniejszego obwieszczenia do publicznej wiadomości.</w:t>
      </w:r>
    </w:p>
    <w:p w:rsidR="00976DEF" w:rsidRDefault="008E577E" w:rsidP="00297B17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Decyzja oraz akta sprawy znajdują się w Wydziale Infrastruk</w:t>
      </w:r>
      <w:r w:rsidR="00254C9F">
        <w:rPr>
          <w:rFonts w:asciiTheme="minorHAnsi" w:hAnsiTheme="minorHAnsi" w:cstheme="minorHAnsi"/>
          <w:sz w:val="24"/>
          <w:szCs w:val="24"/>
        </w:rPr>
        <w:t xml:space="preserve">tury i Nieruchomości Warmińsko- </w:t>
      </w:r>
      <w:r w:rsidRPr="008E577E">
        <w:rPr>
          <w:rFonts w:asciiTheme="minorHAnsi" w:hAnsiTheme="minorHAnsi" w:cstheme="minorHAnsi"/>
          <w:sz w:val="24"/>
          <w:szCs w:val="24"/>
        </w:rPr>
        <w:t>Mazurskiego Urzędu Wojewódzkiego w Olsztynie, Al. Ma</w:t>
      </w:r>
      <w:r w:rsidR="00254C9F">
        <w:rPr>
          <w:rFonts w:asciiTheme="minorHAnsi" w:hAnsiTheme="minorHAnsi" w:cstheme="minorHAnsi"/>
          <w:sz w:val="24"/>
          <w:szCs w:val="24"/>
        </w:rPr>
        <w:t xml:space="preserve">rszałka Józefa Piłsudskiego 7/9 </w:t>
      </w:r>
      <w:r w:rsidRPr="008E577E">
        <w:rPr>
          <w:rFonts w:asciiTheme="minorHAnsi" w:hAnsiTheme="minorHAnsi" w:cstheme="minorHAnsi"/>
          <w:sz w:val="24"/>
          <w:szCs w:val="24"/>
        </w:rPr>
        <w:t>(pok. 32</w:t>
      </w:r>
      <w:r w:rsidR="00254C9F">
        <w:rPr>
          <w:rFonts w:asciiTheme="minorHAnsi" w:hAnsiTheme="minorHAnsi" w:cstheme="minorHAnsi"/>
          <w:sz w:val="24"/>
          <w:szCs w:val="24"/>
        </w:rPr>
        <w:t>2</w:t>
      </w:r>
      <w:r w:rsidRPr="008E577E">
        <w:rPr>
          <w:rFonts w:asciiTheme="minorHAnsi" w:hAnsiTheme="minorHAnsi" w:cstheme="minorHAnsi"/>
          <w:sz w:val="24"/>
          <w:szCs w:val="24"/>
        </w:rPr>
        <w:t>). Z decyzją można zapoznać się w siedzib</w:t>
      </w:r>
      <w:r w:rsidR="00254C9F">
        <w:rPr>
          <w:rFonts w:asciiTheme="minorHAnsi" w:hAnsiTheme="minorHAnsi" w:cstheme="minorHAnsi"/>
          <w:sz w:val="24"/>
          <w:szCs w:val="24"/>
        </w:rPr>
        <w:t xml:space="preserve">ie Warmińsko-Mazurskiego Urzędu  </w:t>
      </w:r>
      <w:r w:rsidRPr="008E577E">
        <w:rPr>
          <w:rFonts w:asciiTheme="minorHAnsi" w:hAnsiTheme="minorHAnsi" w:cstheme="minorHAnsi"/>
          <w:sz w:val="24"/>
          <w:szCs w:val="24"/>
        </w:rPr>
        <w:t>Wojewódzkiego w Olsztynie, Al. Marsz. J. Piłsudskiego 7</w:t>
      </w:r>
      <w:r w:rsidR="00254C9F">
        <w:rPr>
          <w:rFonts w:asciiTheme="minorHAnsi" w:hAnsiTheme="minorHAnsi" w:cstheme="minorHAnsi"/>
          <w:sz w:val="24"/>
          <w:szCs w:val="24"/>
        </w:rPr>
        <w:t xml:space="preserve">/9, 10-575 Olsztyn, w godzinach  </w:t>
      </w:r>
      <w:r w:rsidRPr="008E577E">
        <w:rPr>
          <w:rFonts w:asciiTheme="minorHAnsi" w:hAnsiTheme="minorHAnsi" w:cstheme="minorHAnsi"/>
          <w:sz w:val="24"/>
          <w:szCs w:val="24"/>
        </w:rPr>
        <w:t>8:</w:t>
      </w:r>
      <w:r w:rsidR="00254C9F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>0 – 15:</w:t>
      </w:r>
      <w:r w:rsidR="00297B17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 xml:space="preserve">0 po uprzednim uzgodnieniu terminu </w:t>
      </w:r>
      <w:r w:rsidR="00297B17">
        <w:rPr>
          <w:rFonts w:asciiTheme="minorHAnsi" w:hAnsiTheme="minorHAnsi" w:cstheme="minorHAnsi"/>
          <w:sz w:val="24"/>
          <w:szCs w:val="24"/>
        </w:rPr>
        <w:t>wizyty poprzez kontakt mailowy:</w:t>
      </w:r>
      <w:r w:rsidRPr="008E577E">
        <w:rPr>
          <w:rFonts w:asciiTheme="minorHAnsi" w:hAnsiTheme="minorHAnsi" w:cstheme="minorHAnsi"/>
          <w:sz w:val="24"/>
          <w:szCs w:val="24"/>
        </w:rPr>
        <w:t>sekrwin@uw.olsztyn.pl bądź telefoniczny: 89 5232</w:t>
      </w:r>
      <w:r w:rsidR="00297B17">
        <w:rPr>
          <w:rFonts w:asciiTheme="minorHAnsi" w:hAnsiTheme="minorHAnsi" w:cstheme="minorHAnsi"/>
          <w:sz w:val="24"/>
          <w:szCs w:val="24"/>
        </w:rPr>
        <w:t>620</w:t>
      </w:r>
      <w:r w:rsidRPr="008E577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482A27" w:rsidRPr="00976DEF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F4" w:rsidRDefault="004E2FF4" w:rsidP="0050388A">
      <w:pPr>
        <w:spacing w:after="0" w:line="240" w:lineRule="auto"/>
      </w:pPr>
      <w:r>
        <w:separator/>
      </w:r>
    </w:p>
  </w:endnote>
  <w:end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F4" w:rsidRDefault="004E2FF4" w:rsidP="0050388A">
      <w:pPr>
        <w:spacing w:after="0" w:line="240" w:lineRule="auto"/>
      </w:pPr>
      <w:r>
        <w:separator/>
      </w:r>
    </w:p>
  </w:footnote>
  <w:foot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59DB"/>
    <w:rsid w:val="000944F2"/>
    <w:rsid w:val="000A2822"/>
    <w:rsid w:val="000C1AC0"/>
    <w:rsid w:val="000C7F9F"/>
    <w:rsid w:val="000D6941"/>
    <w:rsid w:val="0012755F"/>
    <w:rsid w:val="00156751"/>
    <w:rsid w:val="0016787E"/>
    <w:rsid w:val="001703E5"/>
    <w:rsid w:val="00185297"/>
    <w:rsid w:val="001A0B72"/>
    <w:rsid w:val="001D4FD0"/>
    <w:rsid w:val="001D74E8"/>
    <w:rsid w:val="001F628E"/>
    <w:rsid w:val="00223111"/>
    <w:rsid w:val="00254C9F"/>
    <w:rsid w:val="00297B17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4E2FF4"/>
    <w:rsid w:val="004E6F26"/>
    <w:rsid w:val="004F01CA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5F44D6"/>
    <w:rsid w:val="0061084E"/>
    <w:rsid w:val="0065232C"/>
    <w:rsid w:val="006563A8"/>
    <w:rsid w:val="006E7E8D"/>
    <w:rsid w:val="006F3EFC"/>
    <w:rsid w:val="0072505B"/>
    <w:rsid w:val="00754FF4"/>
    <w:rsid w:val="007A4DFE"/>
    <w:rsid w:val="007B1A4F"/>
    <w:rsid w:val="007C20B0"/>
    <w:rsid w:val="007C4BDF"/>
    <w:rsid w:val="007F004D"/>
    <w:rsid w:val="007F58B5"/>
    <w:rsid w:val="0082104F"/>
    <w:rsid w:val="00837B5C"/>
    <w:rsid w:val="008C3B28"/>
    <w:rsid w:val="008E577E"/>
    <w:rsid w:val="00907257"/>
    <w:rsid w:val="009223EE"/>
    <w:rsid w:val="00971A80"/>
    <w:rsid w:val="00972135"/>
    <w:rsid w:val="00976B63"/>
    <w:rsid w:val="00976DEF"/>
    <w:rsid w:val="009959BB"/>
    <w:rsid w:val="009C56AB"/>
    <w:rsid w:val="009C6AB3"/>
    <w:rsid w:val="009E4A81"/>
    <w:rsid w:val="009E5D75"/>
    <w:rsid w:val="009F0771"/>
    <w:rsid w:val="00A5137F"/>
    <w:rsid w:val="00A53E76"/>
    <w:rsid w:val="00A6516E"/>
    <w:rsid w:val="00AD1360"/>
    <w:rsid w:val="00B012AC"/>
    <w:rsid w:val="00B7325E"/>
    <w:rsid w:val="00BC6647"/>
    <w:rsid w:val="00BE6D8F"/>
    <w:rsid w:val="00BF58C9"/>
    <w:rsid w:val="00C00E5B"/>
    <w:rsid w:val="00C12ACE"/>
    <w:rsid w:val="00C15A60"/>
    <w:rsid w:val="00C3469F"/>
    <w:rsid w:val="00C352B0"/>
    <w:rsid w:val="00C4349B"/>
    <w:rsid w:val="00C720F0"/>
    <w:rsid w:val="00CA6AE5"/>
    <w:rsid w:val="00D21F3B"/>
    <w:rsid w:val="00D277F2"/>
    <w:rsid w:val="00D32AD4"/>
    <w:rsid w:val="00D6486B"/>
    <w:rsid w:val="00DD510F"/>
    <w:rsid w:val="00DE7702"/>
    <w:rsid w:val="00DF0E1A"/>
    <w:rsid w:val="00E1109E"/>
    <w:rsid w:val="00E4223B"/>
    <w:rsid w:val="00E5344A"/>
    <w:rsid w:val="00E61F14"/>
    <w:rsid w:val="00E822BD"/>
    <w:rsid w:val="00E92FF1"/>
    <w:rsid w:val="00EA26BD"/>
    <w:rsid w:val="00EB462F"/>
    <w:rsid w:val="00ED5E04"/>
    <w:rsid w:val="00EF6F2A"/>
    <w:rsid w:val="00F15610"/>
    <w:rsid w:val="00F66A77"/>
    <w:rsid w:val="00F67BC7"/>
    <w:rsid w:val="00FE65E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4</cp:revision>
  <cp:lastPrinted>2021-11-26T09:16:00Z</cp:lastPrinted>
  <dcterms:created xsi:type="dcterms:W3CDTF">2022-08-12T12:15:00Z</dcterms:created>
  <dcterms:modified xsi:type="dcterms:W3CDTF">2022-08-12T12:16:00Z</dcterms:modified>
</cp:coreProperties>
</file>