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rightFromText="-9" w:vertAnchor="text"/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D7A63" w:rsidRPr="008F5EB5" w14:paraId="396EA7D7" w14:textId="77777777" w:rsidTr="002E73E2">
        <w:trPr>
          <w:trHeight w:val="737"/>
        </w:trPr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14:paraId="2ECC01A9" w14:textId="33C82F15" w:rsidR="002E73E2" w:rsidRPr="008F5EB5" w:rsidRDefault="00972844" w:rsidP="00994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DELEGACI MINISTRÓW</w:t>
            </w:r>
            <w:bookmarkStart w:id="0" w:name="_GoBack"/>
            <w:bookmarkEnd w:id="0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14:paraId="63687BD8" w14:textId="650A55D0" w:rsidR="002E73E2" w:rsidRPr="008F5EB5" w:rsidRDefault="00D47A2D" w:rsidP="00D47A2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Zalecenia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14:paraId="3A640A4D" w14:textId="77777777" w:rsidR="002E73E2" w:rsidRPr="008F5EB5" w:rsidRDefault="002E73E2" w:rsidP="002E73E2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5EB5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CM/Rec(2018)11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14:paraId="2AEBF6FA" w14:textId="77777777" w:rsidR="002E73E2" w:rsidRPr="008F5EB5" w:rsidRDefault="002E73E2" w:rsidP="009947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5EB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28 </w:t>
            </w:r>
            <w:r w:rsidR="0099470B" w:rsidRPr="008F5EB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listopada</w:t>
            </w:r>
            <w:r w:rsidRPr="008F5EB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 2018</w:t>
            </w:r>
            <w:r w:rsidR="0099470B" w:rsidRPr="008F5EB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 r.</w:t>
            </w:r>
          </w:p>
        </w:tc>
      </w:tr>
    </w:tbl>
    <w:tbl>
      <w:tblPr>
        <w:tblpPr w:leftFromText="36" w:rightFromText="36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</w:tblGrid>
      <w:tr w:rsidR="00CD7A63" w:rsidRPr="008F5EB5" w14:paraId="0EBDD085" w14:textId="77777777" w:rsidTr="002E73E2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141" w:type="dxa"/>
              <w:bottom w:w="0" w:type="dxa"/>
              <w:right w:w="141" w:type="dxa"/>
            </w:tcMar>
            <w:hideMark/>
          </w:tcPr>
          <w:p w14:paraId="6529C6D5" w14:textId="77777777" w:rsidR="002E73E2" w:rsidRPr="008F5EB5" w:rsidRDefault="002E73E2" w:rsidP="002E73E2">
            <w:pPr>
              <w:spacing w:after="0" w:line="240" w:lineRule="auto"/>
              <w:rPr>
                <w:rFonts w:ascii="Open Sans" w:eastAsia="Times New Roman" w:hAnsi="Open Sans" w:cs="Helvetica"/>
                <w:sz w:val="20"/>
                <w:szCs w:val="20"/>
                <w:lang w:eastAsia="pl-PL"/>
              </w:rPr>
            </w:pPr>
          </w:p>
        </w:tc>
      </w:tr>
    </w:tbl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D7A63" w:rsidRPr="008F5EB5" w14:paraId="349BFAFA" w14:textId="77777777" w:rsidTr="002E73E2">
        <w:tc>
          <w:tcPr>
            <w:tcW w:w="9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227" w:type="dxa"/>
              <w:left w:w="0" w:type="dxa"/>
              <w:bottom w:w="227" w:type="dxa"/>
              <w:right w:w="0" w:type="dxa"/>
            </w:tcMar>
            <w:vAlign w:val="center"/>
            <w:hideMark/>
          </w:tcPr>
          <w:p w14:paraId="22F52A74" w14:textId="571CAC65" w:rsidR="002E73E2" w:rsidRPr="008F5EB5" w:rsidRDefault="00D47A2D" w:rsidP="002E7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 xml:space="preserve">Zalecenie </w:t>
            </w:r>
            <w:r w:rsidR="002E73E2" w:rsidRPr="008F5EB5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 xml:space="preserve">CM/Rec(2018)11 </w:t>
            </w:r>
            <w:r w:rsidR="0099470B" w:rsidRPr="008F5EB5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>Komitetu Ministrów dla Państw</w:t>
            </w:r>
            <w:r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 xml:space="preserve"> Członkowskich </w:t>
            </w:r>
            <w:r w:rsidR="0099470B" w:rsidRPr="008F5EB5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>dotycząc</w:t>
            </w:r>
            <w:r w:rsidR="004027F2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>e</w:t>
            </w:r>
            <w:r w:rsidR="0099470B" w:rsidRPr="008F5EB5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 xml:space="preserve"> potrzeby wzmocnienia ochrony i promocji przestrzeni dla społeczeństwa obywatelskiego w </w:t>
            </w:r>
            <w:r w:rsidR="002E73E2" w:rsidRPr="008F5EB5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>Europ</w:t>
            </w:r>
            <w:r w:rsidR="0099470B" w:rsidRPr="008F5EB5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>i</w:t>
            </w:r>
            <w:r w:rsidR="002E73E2" w:rsidRPr="008F5EB5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pl-PL"/>
              </w:rPr>
              <w:t>e</w:t>
            </w:r>
          </w:p>
          <w:p w14:paraId="326A5718" w14:textId="7FF0AE0D" w:rsidR="002E73E2" w:rsidRPr="008F5EB5" w:rsidRDefault="002E73E2" w:rsidP="00402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>(</w:t>
            </w:r>
            <w:r w:rsidR="0099470B"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>Przyjęt</w:t>
            </w:r>
            <w:r w:rsidR="004027F2">
              <w:rPr>
                <w:rFonts w:ascii="Arial Narrow" w:eastAsia="Times New Roman" w:hAnsi="Arial Narrow"/>
                <w:i/>
                <w:iCs/>
                <w:lang w:eastAsia="pl-PL"/>
              </w:rPr>
              <w:t>e</w:t>
            </w:r>
            <w:r w:rsidR="0099470B"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 xml:space="preserve"> przez Komitet Ministrów</w:t>
            </w:r>
            <w:r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 xml:space="preserve"> 28 </w:t>
            </w:r>
            <w:r w:rsidR="0099470B"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 xml:space="preserve">listopada </w:t>
            </w:r>
            <w:r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>2018</w:t>
            </w:r>
            <w:r w:rsidR="0099470B"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 xml:space="preserve"> r.</w:t>
            </w:r>
            <w:r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br/>
            </w:r>
            <w:r w:rsidR="0099470B"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 xml:space="preserve">na </w:t>
            </w:r>
            <w:r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>1330</w:t>
            </w:r>
            <w:r w:rsidR="0099470B"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 xml:space="preserve"> posiedzeniu </w:t>
            </w:r>
            <w:r w:rsidR="004027F2">
              <w:rPr>
                <w:rFonts w:ascii="Arial Narrow" w:eastAsia="Times New Roman" w:hAnsi="Arial Narrow"/>
                <w:i/>
                <w:iCs/>
                <w:lang w:eastAsia="pl-PL"/>
              </w:rPr>
              <w:t>wiceministrów</w:t>
            </w:r>
            <w:r w:rsidRPr="008F5EB5">
              <w:rPr>
                <w:rFonts w:ascii="Arial Narrow" w:eastAsia="Times New Roman" w:hAnsi="Arial Narrow"/>
                <w:i/>
                <w:iCs/>
                <w:lang w:eastAsia="pl-PL"/>
              </w:rPr>
              <w:t>)</w:t>
            </w:r>
          </w:p>
        </w:tc>
      </w:tr>
    </w:tbl>
    <w:p w14:paraId="5EF818B1" w14:textId="77777777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6ED83044" w14:textId="77777777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76C0851B" w14:textId="77777777" w:rsidR="002E73E2" w:rsidRPr="008F5EB5" w:rsidRDefault="0099470B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Komitet Ministrów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F50FF" w:rsidRPr="008F5EB5">
        <w:rPr>
          <w:rFonts w:ascii="Times New Roman" w:eastAsia="Times New Roman" w:hAnsi="Times New Roman"/>
          <w:sz w:val="24"/>
          <w:szCs w:val="24"/>
          <w:lang w:eastAsia="pl-PL"/>
        </w:rPr>
        <w:t>zgodnie z postanowieniami art.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15</w:t>
      </w:r>
      <w:r w:rsidR="004027F2">
        <w:rPr>
          <w:rFonts w:ascii="Times New Roman" w:eastAsia="Times New Roman" w:hAnsi="Times New Roman"/>
          <w:sz w:val="24"/>
          <w:szCs w:val="24"/>
          <w:lang w:eastAsia="pl-PL"/>
        </w:rPr>
        <w:t xml:space="preserve"> lit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027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73E2" w:rsidRPr="008F5EB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b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F50FF" w:rsidRPr="008F5EB5">
        <w:rPr>
          <w:rFonts w:ascii="Times New Roman" w:eastAsia="Times New Roman" w:hAnsi="Times New Roman"/>
          <w:sz w:val="24"/>
          <w:szCs w:val="24"/>
          <w:lang w:eastAsia="pl-PL"/>
        </w:rPr>
        <w:t>Statutu Rady Europy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2BF45EF" w14:textId="4F52142C" w:rsidR="002E73E2" w:rsidRPr="008F5EB5" w:rsidRDefault="00B07C9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Zważywszy, że celem Rady Europy jest osiągnięcie większej jedności </w:t>
      </w:r>
      <w:r w:rsidR="00031D77" w:rsidRPr="008F5EB5">
        <w:rPr>
          <w:rFonts w:ascii="Times New Roman" w:eastAsia="Times New Roman" w:hAnsi="Times New Roman"/>
          <w:sz w:val="24"/>
          <w:szCs w:val="24"/>
          <w:lang w:eastAsia="pl-PL"/>
        </w:rPr>
        <w:t>wśród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jej członków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8F5EB5">
        <w:rPr>
          <w:rFonts w:ascii="Times New Roman" w:eastAsia="Times New Roman" w:hAnsi="Times New Roman"/>
          <w:iCs/>
          <w:sz w:val="24"/>
          <w:szCs w:val="24"/>
          <w:lang w:eastAsia="pl-PL"/>
        </w:rPr>
        <w:t>między innymi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poprzez promocję wspólnych standardów i realizację działań w dziedzinie praw człowieka i podstawowych wolności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EEAB5AC" w14:textId="4B681A2E" w:rsidR="002E73E2" w:rsidRPr="008F5EB5" w:rsidRDefault="00B07C9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Przypominając zobowiązanie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Państw-Członków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do zapewnienia wszystkim</w:t>
      </w:r>
      <w:r w:rsidR="004027F2">
        <w:rPr>
          <w:rFonts w:ascii="Times New Roman" w:eastAsia="Times New Roman" w:hAnsi="Times New Roman"/>
          <w:sz w:val="24"/>
          <w:szCs w:val="24"/>
          <w:lang w:eastAsia="pl-PL"/>
        </w:rPr>
        <w:t xml:space="preserve"> osobom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27F2">
        <w:rPr>
          <w:rFonts w:ascii="Times New Roman" w:eastAsia="Times New Roman" w:hAnsi="Times New Roman"/>
          <w:sz w:val="24"/>
          <w:szCs w:val="24"/>
          <w:lang w:eastAsia="pl-PL"/>
        </w:rPr>
        <w:t xml:space="preserve">podlegającym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ich jurysdykcji praw i wolności zawartych w Konwencji o </w:t>
      </w:r>
      <w:r w:rsidR="00BD7B0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chronie </w:t>
      </w:r>
      <w:r w:rsidR="00BD7B0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raw </w:t>
      </w:r>
      <w:r w:rsidR="00BD7B0D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złowieka i </w:t>
      </w:r>
      <w:r w:rsidR="00BD7B0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odstawowych </w:t>
      </w:r>
      <w:r w:rsidR="00BD7B0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olności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(Europe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jska Konwencja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; ETS </w:t>
      </w:r>
      <w:r w:rsidR="004027F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5)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Protokoł</w:t>
      </w:r>
      <w:r w:rsidR="00612CB0">
        <w:rPr>
          <w:rFonts w:ascii="Times New Roman" w:eastAsia="Times New Roman" w:hAnsi="Times New Roman"/>
          <w:sz w:val="24"/>
          <w:szCs w:val="24"/>
          <w:lang w:eastAsia="pl-PL"/>
        </w:rPr>
        <w:t>ach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do niej </w:t>
      </w:r>
      <w:r w:rsidR="00612CB0">
        <w:rPr>
          <w:rFonts w:ascii="Times New Roman" w:eastAsia="Times New Roman" w:hAnsi="Times New Roman"/>
          <w:sz w:val="24"/>
          <w:szCs w:val="24"/>
          <w:lang w:eastAsia="pl-PL"/>
        </w:rPr>
        <w:t xml:space="preserve">oraz – w stosownych przypadkach –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 xml:space="preserve"> ich zobowiązania wynikające z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Europejskiej Karty Społecznej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(ETS </w:t>
      </w:r>
      <w:r w:rsidR="00612CB0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35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i jej </w:t>
      </w:r>
      <w:r w:rsidR="00612CB0">
        <w:rPr>
          <w:rFonts w:ascii="Times New Roman" w:eastAsia="Times New Roman" w:hAnsi="Times New Roman"/>
          <w:sz w:val="24"/>
          <w:szCs w:val="24"/>
          <w:lang w:eastAsia="pl-PL"/>
        </w:rPr>
        <w:t>zrewidowanej</w:t>
      </w:r>
      <w:r w:rsidR="003621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wersji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ETS </w:t>
      </w:r>
      <w:r w:rsidR="00612CB0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163), </w:t>
      </w:r>
      <w:r w:rsidR="00612CB0">
        <w:rPr>
          <w:rFonts w:ascii="Times New Roman" w:eastAsia="Times New Roman" w:hAnsi="Times New Roman"/>
          <w:sz w:val="24"/>
          <w:szCs w:val="24"/>
          <w:lang w:eastAsia="pl-PL"/>
        </w:rPr>
        <w:t>a także</w:t>
      </w:r>
      <w:r w:rsidR="00612CB0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z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innych europejskich i międzynarodowych instrumentów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D4844C6" w14:textId="0004E5D0" w:rsidR="002E73E2" w:rsidRPr="008F5EB5" w:rsidRDefault="00B07C9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Potwierdzając, że wszystkie prawa człowieka i podstawowe wolności są powszechne, niepodzielne, </w:t>
      </w:r>
      <w:r w:rsidR="00337BF6">
        <w:rPr>
          <w:rFonts w:ascii="Times New Roman" w:eastAsia="Times New Roman" w:hAnsi="Times New Roman"/>
          <w:sz w:val="24"/>
          <w:szCs w:val="24"/>
          <w:lang w:eastAsia="pl-PL"/>
        </w:rPr>
        <w:t>współ</w:t>
      </w:r>
      <w:r w:rsidR="00337BF6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zależne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i powiązane ze sobą,</w:t>
      </w:r>
      <w:r w:rsidR="00337BF6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że wszyscy powinni z nich korzystać</w:t>
      </w:r>
      <w:r w:rsidR="00337BF6" w:rsidRPr="00337BF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37BF6" w:rsidRPr="008F5EB5">
        <w:rPr>
          <w:rFonts w:ascii="Times New Roman" w:eastAsia="Times New Roman" w:hAnsi="Times New Roman"/>
          <w:sz w:val="24"/>
          <w:szCs w:val="24"/>
          <w:lang w:eastAsia="pl-PL"/>
        </w:rPr>
        <w:t>bez dyskryminacji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8835019" w14:textId="65D990CB" w:rsidR="002E73E2" w:rsidRPr="008F5EB5" w:rsidRDefault="00B07C9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Przypominając Deklaracj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Narodów </w:t>
      </w:r>
      <w:r w:rsidR="00031D77" w:rsidRPr="008F5EB5">
        <w:rPr>
          <w:rFonts w:ascii="Times New Roman" w:eastAsia="Times New Roman" w:hAnsi="Times New Roman"/>
          <w:sz w:val="24"/>
          <w:szCs w:val="24"/>
          <w:lang w:eastAsia="pl-PL"/>
        </w:rPr>
        <w:t>Zjednoczonych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o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rawie i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dpowiedzialności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ednostek,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rup i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rganów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połeczeństwa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w zakresie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romocji i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chrony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owszechnie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znanych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raw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złowieka i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odstawowych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olności z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9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grudnia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1998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Deklaracja ONZ w sprawie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brońców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raw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Rezolucję Zgromadzenia Ogólnego ONZ nr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48/134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20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grudnia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1993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r. w sprawie krajowych instytucji ds. promocji i ochrony praw człowieka oraz kolejne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ezolucje Zgromadzenia Ogólnego ONZ w sprawie krajow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ych instytucji praw człowieka i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obrońców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0A4A5B4" w14:textId="1D1F764C" w:rsidR="002E73E2" w:rsidRPr="008F5EB5" w:rsidRDefault="006E79DC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Przypominając </w:t>
      </w:r>
      <w:r w:rsidR="00D47A2D">
        <w:rPr>
          <w:rFonts w:ascii="Times New Roman" w:eastAsia="Times New Roman" w:hAnsi="Times New Roman"/>
          <w:sz w:val="24"/>
          <w:szCs w:val="24"/>
          <w:lang w:eastAsia="pl-PL"/>
        </w:rPr>
        <w:t xml:space="preserve">Zalecenie </w:t>
      </w:r>
      <w:r w:rsidR="006D05F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R(85)13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w sprawie instytucji rzecznika praw obywatelskich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47A2D">
        <w:rPr>
          <w:rFonts w:ascii="Times New Roman" w:eastAsia="Times New Roman" w:hAnsi="Times New Roman"/>
          <w:sz w:val="24"/>
          <w:szCs w:val="24"/>
          <w:lang w:eastAsia="pl-PL"/>
        </w:rPr>
        <w:t xml:space="preserve">Zalecenie </w:t>
      </w:r>
      <w:r w:rsidR="00316E6E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 R(97)14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w sprawie utworzenia niezależnych krajowych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 xml:space="preserve"> instytucji ds. promocji i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ochrony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, Re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zolucję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(97) 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11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współpracy między krajowymi instytucjami praw człowieka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Państw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Członk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pomiędzy nimi a Radą Europy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oraz </w:t>
      </w:r>
      <w:r w:rsidR="00D47A2D">
        <w:rPr>
          <w:rFonts w:ascii="Times New Roman" w:eastAsia="Times New Roman" w:hAnsi="Times New Roman"/>
          <w:sz w:val="24"/>
          <w:szCs w:val="24"/>
          <w:lang w:eastAsia="pl-PL"/>
        </w:rPr>
        <w:t xml:space="preserve">Zalecenie </w:t>
      </w:r>
      <w:hyperlink r:id="rId8" w:tooltip="Recommendation of the Committee of Ministers to member states on the legal status of non-governmental organisations in Europe (Adopted by the Committee of Ministers on 10 October 2007 at the 1006th meeting of the Ministers' Deputies)" w:history="1">
        <w:r w:rsidR="002E73E2" w:rsidRPr="008F5EB5">
          <w:rPr>
            <w:rFonts w:ascii="Times New Roman" w:eastAsia="Times New Roman" w:hAnsi="Times New Roman"/>
            <w:sz w:val="24"/>
            <w:szCs w:val="24"/>
            <w:lang w:eastAsia="pl-PL"/>
          </w:rPr>
          <w:t>CM/Rec(2007)14</w:t>
        </w:r>
      </w:hyperlink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statusu prawnego organizacji </w:t>
      </w:r>
      <w:r w:rsidR="00031D77" w:rsidRPr="008F5EB5">
        <w:rPr>
          <w:rFonts w:ascii="Times New Roman" w:eastAsia="Times New Roman" w:hAnsi="Times New Roman"/>
          <w:sz w:val="24"/>
          <w:szCs w:val="24"/>
          <w:lang w:eastAsia="pl-PL"/>
        </w:rPr>
        <w:t>pozarządowych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Europie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7759CF7" w14:textId="1B44D207" w:rsidR="002E73E2" w:rsidRPr="008F5EB5" w:rsidRDefault="006E79DC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Przypominając Deklarację Komitetu Ministrów w sprawie działa</w:t>
      </w:r>
      <w:r w:rsidR="00C31288"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Rady Europy </w:t>
      </w:r>
      <w:r w:rsidR="00C31288">
        <w:rPr>
          <w:rFonts w:ascii="Times New Roman" w:eastAsia="Times New Roman" w:hAnsi="Times New Roman"/>
          <w:sz w:val="24"/>
          <w:szCs w:val="24"/>
          <w:lang w:eastAsia="pl-PL"/>
        </w:rPr>
        <w:t>na rzecz</w:t>
      </w:r>
      <w:r w:rsidR="00C31288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poprawy ochrony obrońców praw człowieka i promocji ich działalności, przyjętą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6 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lutego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2008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oraz jej Wytyczne </w:t>
      </w:r>
      <w:r w:rsidR="00C31288">
        <w:rPr>
          <w:rFonts w:ascii="Times New Roman" w:eastAsia="Times New Roman" w:hAnsi="Times New Roman"/>
          <w:sz w:val="24"/>
          <w:szCs w:val="24"/>
          <w:lang w:eastAsia="pl-PL"/>
        </w:rPr>
        <w:t>dotyczące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udziału obywatelskiego w podejmowaniu decyzji politycznych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przyjęt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27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września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2017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F5EB5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zwracając uwagę w szczególności na </w:t>
      </w:r>
      <w:r w:rsidR="00C31288">
        <w:rPr>
          <w:rFonts w:ascii="Times New Roman" w:eastAsia="Times New Roman" w:hAnsi="Times New Roman"/>
          <w:sz w:val="24"/>
          <w:szCs w:val="24"/>
          <w:lang w:eastAsia="pl-PL"/>
        </w:rPr>
        <w:t>zawarte we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8F5EB5" w:rsidRPr="008F5EB5">
        <w:rPr>
          <w:rFonts w:ascii="Times New Roman" w:eastAsia="Times New Roman" w:hAnsi="Times New Roman"/>
          <w:sz w:val="24"/>
          <w:szCs w:val="24"/>
          <w:lang w:eastAsia="pl-PL"/>
        </w:rPr>
        <w:t>wspomnian</w:t>
      </w:r>
      <w:r w:rsidR="00C31288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="008F5EB5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Deklaracj</w:t>
      </w:r>
      <w:r w:rsidR="00C31288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F5EB5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Komitetu Ministrów </w:t>
      </w:r>
      <w:r w:rsidR="00C31288">
        <w:rPr>
          <w:rFonts w:ascii="Times New Roman" w:eastAsia="Times New Roman" w:hAnsi="Times New Roman"/>
          <w:sz w:val="24"/>
          <w:szCs w:val="24"/>
          <w:lang w:eastAsia="pl-PL"/>
        </w:rPr>
        <w:t>stwierdzenie</w:t>
      </w:r>
      <w:r w:rsidR="008F5EB5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>że „chociaż główna odpowiedzialność i obowiązek</w:t>
      </w:r>
      <w:r w:rsidR="00B37877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promocji i ochrony obrońców praw człowieka spoczywa na Państwie, Rada Europy również przyczynia się do tworzenia środowiska</w:t>
      </w:r>
      <w:r w:rsidR="00B37877">
        <w:rPr>
          <w:rFonts w:ascii="Times New Roman" w:eastAsia="Times New Roman" w:hAnsi="Times New Roman"/>
          <w:sz w:val="24"/>
          <w:szCs w:val="24"/>
          <w:lang w:eastAsia="pl-PL"/>
        </w:rPr>
        <w:t xml:space="preserve"> sprzyjającego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obrońc</w:t>
      </w:r>
      <w:r w:rsidR="00B37877">
        <w:rPr>
          <w:rFonts w:ascii="Times New Roman" w:eastAsia="Times New Roman" w:hAnsi="Times New Roman"/>
          <w:sz w:val="24"/>
          <w:szCs w:val="24"/>
          <w:lang w:eastAsia="pl-PL"/>
        </w:rPr>
        <w:t>om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praw człowieka oraz</w:t>
      </w:r>
      <w:r w:rsidR="00B37877">
        <w:rPr>
          <w:rFonts w:ascii="Times New Roman" w:eastAsia="Times New Roman" w:hAnsi="Times New Roman"/>
          <w:sz w:val="24"/>
          <w:szCs w:val="24"/>
          <w:lang w:eastAsia="pl-PL"/>
        </w:rPr>
        <w:t xml:space="preserve"> zapewnia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ochron</w:t>
      </w:r>
      <w:r w:rsidR="00B37877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B37877">
        <w:rPr>
          <w:rFonts w:ascii="Times New Roman" w:eastAsia="Times New Roman" w:hAnsi="Times New Roman"/>
          <w:sz w:val="24"/>
          <w:szCs w:val="24"/>
          <w:lang w:eastAsia="pl-PL"/>
        </w:rPr>
        <w:t>m oraz ich działaniom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 xml:space="preserve"> na 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>rzecz obrony praw człowieka”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37877">
        <w:rPr>
          <w:rFonts w:ascii="Times New Roman" w:eastAsia="Times New Roman" w:hAnsi="Times New Roman"/>
          <w:sz w:val="24"/>
          <w:szCs w:val="24"/>
          <w:lang w:eastAsia="pl-PL"/>
        </w:rPr>
        <w:t xml:space="preserve"> na zobowiązanie do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B37877">
        <w:rPr>
          <w:rFonts w:ascii="Times New Roman" w:eastAsia="Times New Roman" w:hAnsi="Times New Roman"/>
          <w:sz w:val="24"/>
          <w:szCs w:val="24"/>
          <w:lang w:eastAsia="pl-PL"/>
        </w:rPr>
        <w:t>monitorowania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kwesti</w:t>
      </w:r>
      <w:r w:rsidR="00B37877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dalszego działania Rady Europy w tej dziedzinie”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613A0E0" w14:textId="622BB621" w:rsidR="002E73E2" w:rsidRPr="008F5EB5" w:rsidRDefault="008F5EB5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Potwierdzając zobowiązanie 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podjęte przez 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 xml:space="preserve">szefów 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państw i rządów w planie działań przyjętym 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477E02" w:rsidRPr="008F5EB5">
        <w:rPr>
          <w:rFonts w:ascii="Times New Roman" w:eastAsia="Times New Roman" w:hAnsi="Times New Roman"/>
          <w:sz w:val="24"/>
          <w:szCs w:val="24"/>
          <w:lang w:eastAsia="pl-PL"/>
        </w:rPr>
        <w:t>2005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na Trzecim Szczycie w Warszawie, 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>zgodnie z którym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Rada Europy „będzie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poprzez 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>swe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>rozmaite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mechanizmy i instytucje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>odgrywać dynamiczną rolę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>chroni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prawa jednostek i prom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>owaniu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nieocenione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zaangażowani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pozarządowych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 xml:space="preserve"> w celu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aktywn</w:t>
      </w:r>
      <w:r w:rsidR="008724C1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7E02">
        <w:rPr>
          <w:rFonts w:ascii="Times New Roman" w:eastAsia="Times New Roman" w:hAnsi="Times New Roman"/>
          <w:sz w:val="24"/>
          <w:szCs w:val="24"/>
          <w:lang w:eastAsia="pl-PL"/>
        </w:rPr>
        <w:t>obrony</w:t>
      </w:r>
      <w:r w:rsidR="0051155D">
        <w:rPr>
          <w:rFonts w:ascii="Times New Roman" w:eastAsia="Times New Roman" w:hAnsi="Times New Roman"/>
          <w:sz w:val="24"/>
          <w:szCs w:val="24"/>
          <w:lang w:eastAsia="pl-PL"/>
        </w:rPr>
        <w:t xml:space="preserve">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”;</w:t>
      </w:r>
    </w:p>
    <w:p w14:paraId="5A0F6F7D" w14:textId="11C08208" w:rsidR="002E73E2" w:rsidRPr="008F5EB5" w:rsidRDefault="0051155D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Przyjmując z zadowoleniem działania podjęte przez Komisarza Praw Człowieka Rady Europy </w:t>
      </w:r>
      <w:r w:rsidR="008724C1">
        <w:rPr>
          <w:rFonts w:ascii="Times New Roman" w:eastAsia="Times New Roman" w:hAnsi="Times New Roman"/>
          <w:sz w:val="24"/>
          <w:szCs w:val="24"/>
          <w:lang w:eastAsia="pl-PL"/>
        </w:rPr>
        <w:t xml:space="preserve">na rzecz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wspierania obrońców praw człowieka, świadom</w:t>
      </w:r>
      <w:r w:rsidR="008724C1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faktu, że</w:t>
      </w:r>
      <w:r w:rsidR="0064771C">
        <w:rPr>
          <w:rFonts w:ascii="Times New Roman" w:eastAsia="Times New Roman" w:hAnsi="Times New Roman"/>
          <w:sz w:val="24"/>
          <w:szCs w:val="24"/>
          <w:lang w:eastAsia="pl-PL"/>
        </w:rPr>
        <w:t xml:space="preserve"> ochrona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obrońc</w:t>
      </w:r>
      <w:r w:rsidR="0064771C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praw człowieka oraz rozwój środowiska </w:t>
      </w:r>
      <w:r w:rsidR="0064771C">
        <w:rPr>
          <w:rFonts w:ascii="Times New Roman" w:eastAsia="Times New Roman" w:hAnsi="Times New Roman"/>
          <w:sz w:val="24"/>
          <w:szCs w:val="24"/>
          <w:lang w:eastAsia="pl-PL"/>
        </w:rPr>
        <w:t>sprzyjającego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ich działalności mieszczą się w ramach jego/jej mandatu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zgodnie z definicją zawartą w Rezolucji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 xml:space="preserve"> (99) 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50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sprawie Komisarza Praw Człowieka Rady Europy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przypominając o obowiązku państw współpracy z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Komisarzem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poprzez ułatwianie jego/jej wizyt, </w:t>
      </w:r>
      <w:r w:rsidR="004D0822">
        <w:rPr>
          <w:rFonts w:ascii="Times New Roman" w:eastAsia="Times New Roman" w:hAnsi="Times New Roman"/>
          <w:sz w:val="24"/>
          <w:szCs w:val="24"/>
          <w:lang w:eastAsia="pl-PL"/>
        </w:rPr>
        <w:t>udziela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4D0822">
        <w:rPr>
          <w:rFonts w:ascii="Times New Roman" w:eastAsia="Times New Roman" w:hAnsi="Times New Roman"/>
          <w:sz w:val="24"/>
          <w:szCs w:val="24"/>
          <w:lang w:eastAsia="pl-PL"/>
        </w:rPr>
        <w:t xml:space="preserve"> adekwatnych odpowiedzi i 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podejmowanie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4D0822">
        <w:rPr>
          <w:rFonts w:ascii="Times New Roman" w:eastAsia="Times New Roman" w:hAnsi="Times New Roman"/>
          <w:sz w:val="24"/>
          <w:szCs w:val="24"/>
          <w:lang w:eastAsia="pl-PL"/>
        </w:rPr>
        <w:t>nim/nią dialog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4D0822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sytuacji obrońców praw człowieka, jeżeli jest to wymagane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D34FE81" w14:textId="19EFE5B7" w:rsidR="002E73E2" w:rsidRPr="008F5EB5" w:rsidRDefault="004D082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Odnotowując propozycj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Sekretarza Generalnego Rady Europy zawart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jego trzecim rocznym sprawozdaniu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 xml:space="preserve"> pt.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73E2" w:rsidRPr="008F5EB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n praw człowieka, demokracji i rządów prawa w Europie</w:t>
      </w:r>
      <w:r w:rsidR="002E73E2" w:rsidRPr="008F5EB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Imperatyw bezpieczeństwa dla Europy</w:t>
      </w:r>
      <w:r w:rsidR="00CD41B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(2016),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 xml:space="preserve"> w którym postuluje 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ustanowi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 jego zwierzchnictwem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mechanizm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wzmocnienia ochrony obrońców praw człowieka 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>skierowan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ego przeciw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represj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om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wobec obrońców praw człowieka związan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ich współdziałaniem z Radą Europy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5146A84" w14:textId="006B895B" w:rsidR="002E73E2" w:rsidRPr="008F5EB5" w:rsidRDefault="00AA701B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Uwzględniając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Wytyczne w sprawie wolności </w:t>
      </w:r>
      <w:r w:rsidR="007656F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zrzeszania się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ogłoszone wspólnie przez Biuro Instytucji Demokratycznych i Praw Człowieka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(ODIHR)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Organizacji Bez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pieczeństwa i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Współpracy w Europie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OBWE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Europejską Komisją 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na rzecz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Demokracji przez Prawo Rady Europy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Komisj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Weneck</w:t>
      </w:r>
      <w:r w:rsidR="00CD41BF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Wytyczne ODIHR/OSCE w sprawie </w:t>
      </w:r>
      <w:r w:rsidR="00CD41B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chrony </w:t>
      </w:r>
      <w:r w:rsidR="00CD41B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brońców </w:t>
      </w:r>
      <w:r w:rsidR="00CD41B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raw </w:t>
      </w:r>
      <w:r w:rsidR="00CD41B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złowieka </w:t>
      </w:r>
      <w:r w:rsidRPr="00AA701B">
        <w:rPr>
          <w:rFonts w:ascii="Times New Roman" w:eastAsia="Times New Roman" w:hAnsi="Times New Roman"/>
          <w:iCs/>
          <w:sz w:val="24"/>
          <w:szCs w:val="24"/>
          <w:lang w:eastAsia="pl-PL"/>
        </w:rPr>
        <w:t>i je</w:t>
      </w:r>
      <w:r w:rsidR="00B13D17">
        <w:rPr>
          <w:rFonts w:ascii="Times New Roman" w:eastAsia="Times New Roman" w:hAnsi="Times New Roman"/>
          <w:iCs/>
          <w:sz w:val="24"/>
          <w:szCs w:val="24"/>
          <w:lang w:eastAsia="pl-PL"/>
        </w:rPr>
        <w:t>go</w:t>
      </w:r>
      <w:r w:rsidRPr="00AA701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raport z 2017 r. pt. „Odpowiedzialność </w:t>
      </w:r>
      <w:r w:rsidR="00436EFD">
        <w:rPr>
          <w:rFonts w:ascii="Times New Roman" w:eastAsia="Times New Roman" w:hAnsi="Times New Roman"/>
          <w:iCs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aństw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436EF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chrona </w:t>
      </w:r>
      <w:r w:rsidR="00436EF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brońców </w:t>
      </w:r>
      <w:r w:rsidR="00436EF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raw </w:t>
      </w:r>
      <w:r w:rsidR="00436EFD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13D17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owieka w </w:t>
      </w:r>
      <w:r w:rsidR="00436EFD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egionie OBWE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(2014-2016)”;</w:t>
      </w:r>
    </w:p>
    <w:p w14:paraId="4B4700A7" w14:textId="53F42FE9" w:rsidR="002E73E2" w:rsidRPr="008F5EB5" w:rsidRDefault="00B13D17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Odnotowując Wytyczne Unii Europejskiej (UE) w sprawie obrońców praw człowieka,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zawierające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sugestie praktycznych działań do podjęcia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przez państwa członkowskie UE i inne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państwa skłonne je wdrożyć w celu wspierania i ochrony obrońców praw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DF0D111" w14:textId="2F0E8C0B" w:rsidR="002E73E2" w:rsidRPr="008F5EB5" w:rsidRDefault="00B13D17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Uznając, że obrońca praw człowieka to każdy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kto 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>indy</w:t>
      </w:r>
      <w:r w:rsidR="00C6005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>idualn</w:t>
      </w:r>
      <w:r w:rsidR="00C6005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>e lub</w:t>
      </w:r>
      <w:r w:rsidR="00C35E2D">
        <w:rPr>
          <w:rFonts w:ascii="Times New Roman" w:eastAsia="Times New Roman" w:hAnsi="Times New Roman"/>
          <w:sz w:val="24"/>
          <w:szCs w:val="24"/>
          <w:lang w:eastAsia="pl-PL"/>
        </w:rPr>
        <w:t xml:space="preserve"> wraz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 xml:space="preserve"> z innymi działa na rzecz ochrony </w:t>
      </w:r>
      <w:r w:rsidR="00C35E2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 xml:space="preserve"> promocji praw człowieka, bez względu na </w:t>
      </w:r>
      <w:r w:rsidR="003E1823">
        <w:rPr>
          <w:rFonts w:ascii="Times New Roman" w:eastAsia="Times New Roman" w:hAnsi="Times New Roman"/>
          <w:sz w:val="24"/>
          <w:szCs w:val="24"/>
          <w:lang w:eastAsia="pl-PL"/>
        </w:rPr>
        <w:t>swój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 xml:space="preserve"> zawód lub inny status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222112">
        <w:rPr>
          <w:rFonts w:ascii="Times New Roman" w:eastAsia="Times New Roman" w:hAnsi="Times New Roman"/>
          <w:sz w:val="24"/>
          <w:szCs w:val="24"/>
          <w:lang w:eastAsia="pl-PL"/>
        </w:rPr>
        <w:t xml:space="preserve">że obrońcami praw człowieka są 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>krajowe instytucj</w:t>
      </w:r>
      <w:r w:rsidR="00C60056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 xml:space="preserve">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>KIPC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433E6B">
        <w:rPr>
          <w:rFonts w:ascii="Times New Roman" w:eastAsia="Times New Roman" w:hAnsi="Times New Roman"/>
          <w:sz w:val="24"/>
          <w:szCs w:val="24"/>
          <w:lang w:eastAsia="pl-PL"/>
        </w:rPr>
        <w:t>i organizacje społeczeństwa obywatelskiego działające na rzecz ochrony i promocji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A91878B" w14:textId="46DC5F0C" w:rsidR="002E73E2" w:rsidRPr="008F5EB5" w:rsidRDefault="008369B3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Zdecydowanie potwierdzając, że każdy, indywidualnie i w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stowarzyszeniu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innymi,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 xml:space="preserve"> ma </w:t>
      </w:r>
      <w:r w:rsidR="00222112">
        <w:rPr>
          <w:rFonts w:ascii="Times New Roman" w:eastAsia="Times New Roman" w:hAnsi="Times New Roman"/>
          <w:sz w:val="24"/>
          <w:szCs w:val="24"/>
          <w:lang w:eastAsia="pl-PL"/>
        </w:rPr>
        <w:t>prawo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promować i dążyć do ochrony 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22112">
        <w:rPr>
          <w:rFonts w:ascii="Times New Roman" w:eastAsia="Times New Roman" w:hAnsi="Times New Roman"/>
          <w:sz w:val="24"/>
          <w:szCs w:val="24"/>
          <w:lang w:eastAsia="pl-PL"/>
        </w:rPr>
        <w:t xml:space="preserve">urzeczywistniania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 xml:space="preserve">praw człowieka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podstawowych wolności na poziomie regionalnym, krajowym i międzynarodowym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treścią Deklaracji ONZ w sprawie </w:t>
      </w:r>
      <w:r w:rsidR="000C4B3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brońców </w:t>
      </w:r>
      <w:r w:rsidR="000C4B35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raw </w:t>
      </w:r>
      <w:r w:rsidR="000C4B3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zgodnie z Rezolucj</w:t>
      </w:r>
      <w:r w:rsidR="000C4B3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Zgromadzenia Ogólnego ONZ nr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72/247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24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grudnia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2017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r. w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 xml:space="preserve">sprawie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dwudziest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rocznic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promocj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Deklaracj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Narodów </w:t>
      </w:r>
      <w:r w:rsidR="00031D77" w:rsidRPr="008F5EB5">
        <w:rPr>
          <w:rFonts w:ascii="Times New Roman" w:eastAsia="Times New Roman" w:hAnsi="Times New Roman"/>
          <w:sz w:val="24"/>
          <w:szCs w:val="24"/>
          <w:lang w:eastAsia="pl-PL"/>
        </w:rPr>
        <w:t>Zjednoczonych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o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rawie i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dpowiedzialności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ednostek,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rup i 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rganów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połeczeństwa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w zakresie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romocji i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chrony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owszechnie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znanych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raw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złowieka i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odstawowych </w:t>
      </w:r>
      <w:r w:rsidR="0049190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olności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6C6418">
        <w:rPr>
          <w:rFonts w:ascii="Times New Roman" w:eastAsia="Times New Roman" w:hAnsi="Times New Roman"/>
          <w:sz w:val="24"/>
          <w:szCs w:val="24"/>
          <w:lang w:eastAsia="pl-PL"/>
        </w:rPr>
        <w:t xml:space="preserve">zachęcającą przywódców wszystkich grup społecznych i ich społeczności, w tym przywódców politycznych, wojskowych, społecznych i religijnych oraz </w:t>
      </w:r>
      <w:r w:rsidR="00E96C9B">
        <w:rPr>
          <w:rFonts w:ascii="Times New Roman" w:eastAsia="Times New Roman" w:hAnsi="Times New Roman"/>
          <w:sz w:val="24"/>
          <w:szCs w:val="24"/>
          <w:lang w:eastAsia="pl-PL"/>
        </w:rPr>
        <w:t xml:space="preserve">liderów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biznesu</w:t>
      </w:r>
      <w:r w:rsidR="006C6418">
        <w:rPr>
          <w:rFonts w:ascii="Times New Roman" w:eastAsia="Times New Roman" w:hAnsi="Times New Roman"/>
          <w:sz w:val="24"/>
          <w:szCs w:val="24"/>
          <w:lang w:eastAsia="pl-PL"/>
        </w:rPr>
        <w:t xml:space="preserve"> i mediów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6C6418">
        <w:rPr>
          <w:rFonts w:ascii="Times New Roman" w:eastAsia="Times New Roman" w:hAnsi="Times New Roman"/>
          <w:sz w:val="24"/>
          <w:szCs w:val="24"/>
          <w:lang w:eastAsia="pl-PL"/>
        </w:rPr>
        <w:t>do wyrażenia publicznego poparcia dla obrońców praw człowieka w społeczeństwie, w tym obrońc</w:t>
      </w:r>
      <w:r w:rsidR="00CE6B6C">
        <w:rPr>
          <w:rFonts w:ascii="Times New Roman" w:eastAsia="Times New Roman" w:hAnsi="Times New Roman"/>
          <w:sz w:val="24"/>
          <w:szCs w:val="24"/>
          <w:lang w:eastAsia="pl-PL"/>
        </w:rPr>
        <w:t>zyniom</w:t>
      </w:r>
      <w:r w:rsidR="006C6418">
        <w:rPr>
          <w:rFonts w:ascii="Times New Roman" w:eastAsia="Times New Roman" w:hAnsi="Times New Roman"/>
          <w:sz w:val="24"/>
          <w:szCs w:val="24"/>
          <w:lang w:eastAsia="pl-PL"/>
        </w:rPr>
        <w:t xml:space="preserve"> praw człowieka, a w przypadku gróźb, </w:t>
      </w:r>
      <w:r w:rsidR="007C0F41">
        <w:rPr>
          <w:rFonts w:ascii="Times New Roman" w:eastAsia="Times New Roman" w:hAnsi="Times New Roman"/>
          <w:sz w:val="24"/>
          <w:szCs w:val="24"/>
          <w:lang w:eastAsia="pl-PL"/>
        </w:rPr>
        <w:t>nękania</w:t>
      </w:r>
      <w:r w:rsidR="006C6418">
        <w:rPr>
          <w:rFonts w:ascii="Times New Roman" w:eastAsia="Times New Roman" w:hAnsi="Times New Roman"/>
          <w:sz w:val="24"/>
          <w:szCs w:val="24"/>
          <w:lang w:eastAsia="pl-PL"/>
        </w:rPr>
        <w:t>, przemocy,</w:t>
      </w:r>
      <w:r w:rsidR="00FA7CBA">
        <w:rPr>
          <w:rFonts w:ascii="Times New Roman" w:eastAsia="Times New Roman" w:hAnsi="Times New Roman"/>
          <w:sz w:val="24"/>
          <w:szCs w:val="24"/>
          <w:lang w:eastAsia="pl-PL"/>
        </w:rPr>
        <w:t xml:space="preserve"> dyskryminacji,</w:t>
      </w:r>
      <w:r w:rsidR="006C6418">
        <w:rPr>
          <w:rFonts w:ascii="Times New Roman" w:eastAsia="Times New Roman" w:hAnsi="Times New Roman"/>
          <w:sz w:val="24"/>
          <w:szCs w:val="24"/>
          <w:lang w:eastAsia="pl-PL"/>
        </w:rPr>
        <w:t xml:space="preserve"> rasizmu i innych naruszeń i nadużyć popełnionych przeciwko nim, w tym zabójstw, do przyjęcia wyraźnego stanowiska odrzucającego takie praktyki i przestępstwa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C099777" w14:textId="70C693FA" w:rsidR="002E73E2" w:rsidRPr="008F5EB5" w:rsidRDefault="00C60056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Podkreślając pozytywne, ważne i uprawnione role wszystkich obrońców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tym KIPC i organizacj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społeczeństwa obywatelskiego, </w:t>
      </w:r>
      <w:r w:rsidR="00910F4A">
        <w:rPr>
          <w:rFonts w:ascii="Times New Roman" w:eastAsia="Times New Roman" w:hAnsi="Times New Roman"/>
          <w:sz w:val="24"/>
          <w:szCs w:val="24"/>
          <w:lang w:eastAsia="pl-PL"/>
        </w:rPr>
        <w:t xml:space="preserve">związane z niezależnym promowaniem realizacji wszystkich praw człowieka,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w tym poprzez angażowanie się w </w:t>
      </w:r>
      <w:r w:rsidR="00910F4A">
        <w:rPr>
          <w:rFonts w:ascii="Times New Roman" w:eastAsia="Times New Roman" w:hAnsi="Times New Roman"/>
          <w:sz w:val="24"/>
          <w:szCs w:val="24"/>
          <w:lang w:eastAsia="pl-PL"/>
        </w:rPr>
        <w:t xml:space="preserve">działalność rządów, na poziomie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lokalnym</w:t>
      </w:r>
      <w:r w:rsidR="00910F4A">
        <w:rPr>
          <w:rFonts w:ascii="Times New Roman" w:eastAsia="Times New Roman" w:hAnsi="Times New Roman"/>
          <w:sz w:val="24"/>
          <w:szCs w:val="24"/>
          <w:lang w:eastAsia="pl-PL"/>
        </w:rPr>
        <w:t>, regionalnym, krajowym i międzynarodowym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910F4A"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organizowanie działań uświadamiających i edukacyjnych oraz </w:t>
      </w:r>
      <w:r w:rsidR="00322757">
        <w:rPr>
          <w:rFonts w:ascii="Times New Roman" w:eastAsia="Times New Roman" w:hAnsi="Times New Roman"/>
          <w:sz w:val="24"/>
          <w:szCs w:val="24"/>
          <w:lang w:eastAsia="pl-PL"/>
        </w:rPr>
        <w:t>wspieranie wysiłków</w:t>
      </w:r>
      <w:r w:rsidR="00910F4A">
        <w:rPr>
          <w:rFonts w:ascii="Times New Roman" w:eastAsia="Times New Roman" w:hAnsi="Times New Roman"/>
          <w:sz w:val="24"/>
          <w:szCs w:val="24"/>
          <w:lang w:eastAsia="pl-PL"/>
        </w:rPr>
        <w:t xml:space="preserve"> mając</w:t>
      </w:r>
      <w:r w:rsidR="00322757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910F4A">
        <w:rPr>
          <w:rFonts w:ascii="Times New Roman" w:eastAsia="Times New Roman" w:hAnsi="Times New Roman"/>
          <w:sz w:val="24"/>
          <w:szCs w:val="24"/>
          <w:lang w:eastAsia="pl-PL"/>
        </w:rPr>
        <w:t xml:space="preserve"> na celu wdrożenie zobowiązań i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 xml:space="preserve">deklaracji </w:t>
      </w:r>
      <w:r w:rsidR="00910F4A">
        <w:rPr>
          <w:rFonts w:ascii="Times New Roman" w:eastAsia="Times New Roman" w:hAnsi="Times New Roman"/>
          <w:sz w:val="24"/>
          <w:szCs w:val="24"/>
          <w:lang w:eastAsia="pl-PL"/>
        </w:rPr>
        <w:t>państw w tym zakresie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704A45E" w14:textId="70CF4EEA" w:rsidR="002E73E2" w:rsidRPr="008F5EB5" w:rsidRDefault="00910F4A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Uznając i </w:t>
      </w:r>
      <w:r w:rsidR="000A7358">
        <w:rPr>
          <w:rFonts w:ascii="Times New Roman" w:eastAsia="Times New Roman" w:hAnsi="Times New Roman"/>
          <w:sz w:val="24"/>
          <w:szCs w:val="24"/>
          <w:lang w:eastAsia="pl-PL"/>
        </w:rPr>
        <w:t>doceniając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pracę wszystkich obrońców praw człowieka, w tym KIPC i organizacji społeczeństwa obywatelskiego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których każda wnosi istotny wkład 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środowisk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7358">
        <w:rPr>
          <w:rFonts w:ascii="Times New Roman" w:eastAsia="Times New Roman" w:hAnsi="Times New Roman"/>
          <w:sz w:val="24"/>
          <w:szCs w:val="24"/>
          <w:lang w:eastAsia="pl-PL"/>
        </w:rPr>
        <w:t>poszan</w:t>
      </w:r>
      <w:r w:rsidR="000A7358" w:rsidRPr="000A7358">
        <w:rPr>
          <w:rFonts w:ascii="Times New Roman" w:eastAsia="Times New Roman" w:hAnsi="Times New Roman"/>
          <w:sz w:val="24"/>
          <w:szCs w:val="24"/>
          <w:lang w:eastAsia="pl-PL"/>
        </w:rPr>
        <w:t>owania</w:t>
      </w:r>
      <w:r w:rsidRPr="000A7358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322757">
        <w:rPr>
          <w:rFonts w:ascii="Times New Roman" w:eastAsia="Times New Roman" w:hAnsi="Times New Roman"/>
          <w:sz w:val="24"/>
          <w:szCs w:val="24"/>
          <w:lang w:eastAsia="pl-PL"/>
        </w:rPr>
        <w:t xml:space="preserve"> aktywnej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promocji praw człowieka, demokracji i rządów prawa w Europie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82298D2" w14:textId="7D9BC037" w:rsidR="002E73E2" w:rsidRPr="008F5EB5" w:rsidRDefault="005365D5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290B">
        <w:rPr>
          <w:rFonts w:ascii="Times New Roman" w:eastAsia="Times New Roman" w:hAnsi="Times New Roman"/>
          <w:sz w:val="24"/>
          <w:szCs w:val="24"/>
          <w:lang w:eastAsia="pl-PL"/>
        </w:rPr>
        <w:t>Pamiętając, że istnienie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organizacji społeczeństwa obywatelskiego wyrażających zróżnicowane poglądy i interesy jest przejawem prawa do wolności </w:t>
      </w:r>
      <w:r w:rsidR="00D501A2">
        <w:rPr>
          <w:rFonts w:ascii="Times New Roman" w:eastAsia="Times New Roman" w:hAnsi="Times New Roman"/>
          <w:sz w:val="24"/>
          <w:szCs w:val="24"/>
          <w:lang w:eastAsia="pl-PL"/>
        </w:rPr>
        <w:t>stowarzyszania </w:t>
      </w:r>
      <w:r w:rsidR="007656F0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wynikającego z art. 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11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Europejskiej Konwencji Praw Czło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wieka oraz przestrzegania przez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kraje przyjmujące</w:t>
      </w:r>
      <w:r w:rsidR="00B3290B">
        <w:rPr>
          <w:rFonts w:ascii="Times New Roman" w:eastAsia="Times New Roman" w:hAnsi="Times New Roman"/>
          <w:sz w:val="24"/>
          <w:szCs w:val="24"/>
          <w:lang w:eastAsia="pl-PL"/>
        </w:rPr>
        <w:t xml:space="preserve"> takie organizacje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zasad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pluralizmu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 xml:space="preserve"> demokratycznego i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zaangażowania w prawa człowieka i rządy prawa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24D6EB5" w14:textId="20AE61EB" w:rsidR="002E73E2" w:rsidRPr="008F5EB5" w:rsidRDefault="005365D5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Przypominając </w:t>
      </w:r>
      <w:r w:rsidR="00D47A2D">
        <w:rPr>
          <w:rFonts w:ascii="Times New Roman" w:eastAsia="Times New Roman" w:hAnsi="Times New Roman"/>
          <w:sz w:val="24"/>
          <w:szCs w:val="24"/>
          <w:lang w:eastAsia="pl-PL"/>
        </w:rPr>
        <w:t>Zalecenie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9" w:tooltip="Recommendation of the Committee of Ministers to member States on Internet freedom (Adopted by the Committee of Ministers on 13 April 2016 at the 1253rd meeting of the Ministers’ Deputies)" w:history="1">
        <w:r w:rsidR="002E73E2" w:rsidRPr="008F5EB5">
          <w:rPr>
            <w:rFonts w:ascii="Times New Roman" w:eastAsia="Times New Roman" w:hAnsi="Times New Roman"/>
            <w:sz w:val="24"/>
            <w:szCs w:val="24"/>
            <w:lang w:eastAsia="pl-PL"/>
          </w:rPr>
          <w:t>CM/Rec(2016)5</w:t>
        </w:r>
      </w:hyperlink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wolności w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Internecie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F9CD4FE" w14:textId="5AE44E8E" w:rsidR="002E73E2" w:rsidRPr="008F5EB5" w:rsidRDefault="005365D5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Ubolewając nad faktem, że obrońcy praw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w tym dziennikarze, nadal zbyt często 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 xml:space="preserve">padają ofiarą </w:t>
      </w:r>
      <w:r w:rsidR="009A2349">
        <w:rPr>
          <w:rFonts w:ascii="Times New Roman" w:eastAsia="Times New Roman" w:hAnsi="Times New Roman"/>
          <w:sz w:val="24"/>
          <w:szCs w:val="24"/>
          <w:lang w:eastAsia="pl-PL"/>
        </w:rPr>
        <w:t xml:space="preserve">naruszeń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nadużyć ich praw, gróźb i a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taków pomimo działań zarówno na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szczeblu krajowym</w:t>
      </w:r>
      <w:r w:rsidR="009A234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jak i międzynarodowym oraz </w:t>
      </w:r>
      <w:r w:rsidR="009A2349">
        <w:rPr>
          <w:rFonts w:ascii="Times New Roman" w:eastAsia="Times New Roman" w:hAnsi="Times New Roman"/>
          <w:sz w:val="24"/>
          <w:szCs w:val="24"/>
          <w:lang w:eastAsia="pl-PL"/>
        </w:rPr>
        <w:t>mając na uwadze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że obrońcy praw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zasługują na specjalną uwagę, gdyż takie naruszenia mogą wskazywać na og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ól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ną sytuację praw człowieka w</w:t>
      </w:r>
      <w:r w:rsidR="009A2349">
        <w:rPr>
          <w:rFonts w:ascii="Times New Roman" w:eastAsia="Times New Roman" w:hAnsi="Times New Roman"/>
          <w:sz w:val="24"/>
          <w:szCs w:val="24"/>
          <w:lang w:eastAsia="pl-PL"/>
        </w:rPr>
        <w:t xml:space="preserve"> danym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państwie lub </w:t>
      </w:r>
      <w:r w:rsidR="00556B99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jej pogorszenie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EA3F9CE" w14:textId="2B73ECD1" w:rsidR="002E73E2" w:rsidRPr="008F5EB5" w:rsidRDefault="005365D5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Wyrażając głębokie zaniepokojenie z powodu </w:t>
      </w:r>
      <w:r w:rsidR="009A2349">
        <w:rPr>
          <w:rFonts w:ascii="Times New Roman" w:eastAsia="Times New Roman" w:hAnsi="Times New Roman"/>
          <w:sz w:val="24"/>
          <w:szCs w:val="24"/>
          <w:lang w:eastAsia="pl-PL"/>
        </w:rPr>
        <w:t xml:space="preserve">zmniejszania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się przestrzeni dla społeczeństwa obywatelskiego </w:t>
      </w:r>
      <w:r w:rsidR="00DE34A5">
        <w:rPr>
          <w:rFonts w:ascii="Times New Roman" w:eastAsia="Times New Roman" w:hAnsi="Times New Roman"/>
          <w:sz w:val="24"/>
          <w:szCs w:val="24"/>
          <w:lang w:eastAsia="pl-PL"/>
        </w:rPr>
        <w:t>co jest spowodowane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między innymi </w:t>
      </w:r>
      <w:r w:rsidR="009A2349">
        <w:rPr>
          <w:rFonts w:ascii="Times New Roman" w:eastAsia="Times New Roman" w:hAnsi="Times New Roman"/>
          <w:sz w:val="24"/>
          <w:szCs w:val="24"/>
          <w:lang w:eastAsia="pl-PL"/>
        </w:rPr>
        <w:t xml:space="preserve">restrykcyjnymi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przepis</w:t>
      </w:r>
      <w:r w:rsidR="00DE34A5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prawa, polityk</w:t>
      </w:r>
      <w:r w:rsidR="00DE34A5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działa</w:t>
      </w:r>
      <w:r w:rsidR="00DE34A5">
        <w:rPr>
          <w:rFonts w:ascii="Times New Roman" w:eastAsia="Times New Roman" w:hAnsi="Times New Roman"/>
          <w:sz w:val="24"/>
          <w:szCs w:val="24"/>
          <w:lang w:eastAsia="pl-PL"/>
        </w:rPr>
        <w:t xml:space="preserve">niami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oszczędnościowy</w:t>
      </w:r>
      <w:r w:rsidR="00DE34A5">
        <w:rPr>
          <w:rFonts w:ascii="Times New Roman" w:eastAsia="Times New Roman" w:hAnsi="Times New Roman"/>
          <w:sz w:val="24"/>
          <w:szCs w:val="24"/>
          <w:lang w:eastAsia="pl-PL"/>
        </w:rPr>
        <w:t>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podejmowany</w:t>
      </w:r>
      <w:r w:rsidR="00DE34A5">
        <w:rPr>
          <w:rFonts w:ascii="Times New Roman" w:eastAsia="Times New Roman" w:hAnsi="Times New Roman"/>
          <w:sz w:val="24"/>
          <w:szCs w:val="24"/>
          <w:lang w:eastAsia="pl-PL"/>
        </w:rPr>
        <w:t>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ostatnio przez 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Państwa-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Członk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  </w:t>
      </w:r>
    </w:p>
    <w:p w14:paraId="13B30C09" w14:textId="26E0F287" w:rsidR="002E73E2" w:rsidRPr="008F5EB5" w:rsidRDefault="00011F38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Wyrażając głębokie zaniepokojenie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 z powodu znacznej i rosnącej liczby zarzutów i doniesień o </w:t>
      </w:r>
      <w:r w:rsidR="009A2349">
        <w:rPr>
          <w:rFonts w:ascii="Times New Roman" w:eastAsia="Times New Roman" w:hAnsi="Times New Roman"/>
          <w:sz w:val="24"/>
          <w:szCs w:val="24"/>
          <w:lang w:eastAsia="pl-PL"/>
        </w:rPr>
        <w:t xml:space="preserve">poważnych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groźbach, </w:t>
      </w:r>
      <w:r w:rsidR="009A2349">
        <w:rPr>
          <w:rFonts w:ascii="Times New Roman" w:eastAsia="Times New Roman" w:hAnsi="Times New Roman"/>
          <w:sz w:val="24"/>
          <w:szCs w:val="24"/>
          <w:lang w:eastAsia="pl-PL"/>
        </w:rPr>
        <w:t>zagrożeniach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 i niebezpieczeństwach, na jakie narażeni są obrońcy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>w tym obrończynie praw człowieka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Internecie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 i poza nim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>oraz panując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 bezkarnoś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 za naruszenia i nadużycia</w:t>
      </w:r>
      <w:r w:rsidR="00DE34A5">
        <w:rPr>
          <w:rFonts w:ascii="Times New Roman" w:eastAsia="Times New Roman" w:hAnsi="Times New Roman"/>
          <w:sz w:val="24"/>
          <w:szCs w:val="24"/>
          <w:lang w:eastAsia="pl-PL"/>
        </w:rPr>
        <w:t xml:space="preserve"> godzące w nich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>w wielu krajach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gdzie są narażeni na groźby, nękanie i ataki 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7C0F41">
        <w:rPr>
          <w:rFonts w:ascii="Times New Roman" w:eastAsia="Times New Roman" w:hAnsi="Times New Roman"/>
          <w:sz w:val="24"/>
          <w:szCs w:val="24"/>
          <w:lang w:eastAsia="pl-PL"/>
        </w:rPr>
        <w:t>doświadczają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 braku bezpieczeństwa, w tym 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 xml:space="preserve">z powodu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>ogranicze</w:t>
      </w:r>
      <w:r w:rsidR="007C0F41"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>między innymi praw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 do wolności wy</w:t>
      </w:r>
      <w:r w:rsidR="00560326">
        <w:rPr>
          <w:rFonts w:ascii="Times New Roman" w:eastAsia="Times New Roman" w:hAnsi="Times New Roman"/>
          <w:sz w:val="24"/>
          <w:szCs w:val="24"/>
          <w:lang w:eastAsia="pl-PL"/>
        </w:rPr>
        <w:t>rażania opinii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C0F41">
        <w:rPr>
          <w:rFonts w:ascii="Times New Roman" w:eastAsia="Times New Roman" w:hAnsi="Times New Roman"/>
          <w:sz w:val="24"/>
          <w:szCs w:val="24"/>
          <w:lang w:eastAsia="pl-PL"/>
        </w:rPr>
        <w:t xml:space="preserve">stowarzyszania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t xml:space="preserve">się lub pokojowych </w:t>
      </w:r>
      <w:r w:rsidR="00CF61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zgromadzeń</w:t>
      </w:r>
      <w:r w:rsidR="007656F0">
        <w:rPr>
          <w:rFonts w:ascii="Times New Roman" w:eastAsia="Times New Roman" w:hAnsi="Times New Roman"/>
          <w:sz w:val="24"/>
          <w:szCs w:val="24"/>
          <w:lang w:eastAsia="pl-PL"/>
        </w:rPr>
        <w:t xml:space="preserve"> oraz prawa do pry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 xml:space="preserve">watności lub poprzez nadużycia w </w:t>
      </w:r>
      <w:r w:rsidR="007656F0">
        <w:rPr>
          <w:rFonts w:ascii="Times New Roman" w:eastAsia="Times New Roman" w:hAnsi="Times New Roman"/>
          <w:sz w:val="24"/>
          <w:szCs w:val="24"/>
          <w:lang w:eastAsia="pl-PL"/>
        </w:rPr>
        <w:t>postępowa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 xml:space="preserve">niach </w:t>
      </w:r>
      <w:r w:rsidR="007656F0">
        <w:rPr>
          <w:rFonts w:ascii="Times New Roman" w:eastAsia="Times New Roman" w:hAnsi="Times New Roman"/>
          <w:sz w:val="24"/>
          <w:szCs w:val="24"/>
          <w:lang w:eastAsia="pl-PL"/>
        </w:rPr>
        <w:t>karnych lub cywilnych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6E17196" w14:textId="7C352FDD" w:rsidR="002E73E2" w:rsidRPr="008F5EB5" w:rsidRDefault="007B7EB7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Przekonany, że państwa nie tylko muszą powstrzym</w:t>
      </w:r>
      <w:r w:rsidR="00CA59D9">
        <w:rPr>
          <w:rFonts w:ascii="Times New Roman" w:eastAsia="Times New Roman" w:hAnsi="Times New Roman"/>
          <w:sz w:val="24"/>
          <w:szCs w:val="24"/>
          <w:lang w:eastAsia="pl-PL"/>
        </w:rPr>
        <w:t>yw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ać się od niepotrzebnych, nielegalnych lub arbitr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lnych ingerencji w prawa obrońców praw człowieka, lecz mają również pozytywny </w:t>
      </w:r>
      <w:r w:rsidR="00997A7E">
        <w:rPr>
          <w:rFonts w:ascii="Times New Roman" w:eastAsia="Times New Roman" w:hAnsi="Times New Roman"/>
          <w:sz w:val="24"/>
          <w:szCs w:val="24"/>
          <w:lang w:eastAsia="pl-PL"/>
        </w:rPr>
        <w:t>obowiązek aktywnie chroni</w:t>
      </w:r>
      <w:r w:rsidR="00F50D89">
        <w:rPr>
          <w:rFonts w:ascii="Times New Roman" w:eastAsia="Times New Roman" w:hAnsi="Times New Roman"/>
          <w:sz w:val="24"/>
          <w:szCs w:val="24"/>
          <w:lang w:eastAsia="pl-PL"/>
        </w:rPr>
        <w:t xml:space="preserve">ć i promować bezpieczne i sprzyjające środowisko, w którym obrońcy praw człowieka mogą bezpiecznie działać bez </w:t>
      </w:r>
      <w:r w:rsidR="009E6CDF">
        <w:rPr>
          <w:rFonts w:ascii="Times New Roman" w:eastAsia="Times New Roman" w:hAnsi="Times New Roman"/>
          <w:sz w:val="24"/>
          <w:szCs w:val="24"/>
          <w:lang w:eastAsia="pl-PL"/>
        </w:rPr>
        <w:t xml:space="preserve">napiętnowania 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i obawy przed </w:t>
      </w:r>
      <w:r w:rsidR="00D80065">
        <w:rPr>
          <w:rFonts w:ascii="Times New Roman" w:eastAsia="Times New Roman" w:hAnsi="Times New Roman"/>
          <w:sz w:val="24"/>
          <w:szCs w:val="24"/>
          <w:lang w:eastAsia="pl-PL"/>
        </w:rPr>
        <w:t>odwetem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1CF69CD" w14:textId="14AEC415" w:rsidR="002E73E2" w:rsidRPr="008F5EB5" w:rsidRDefault="00D80065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Wyrażając potrzebę wzmocnienia ochrony i promocji obszaru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 xml:space="preserve"> społeczeństwa obywatelskiego w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Europie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D1A9CF0" w14:textId="35033858" w:rsidR="002E73E2" w:rsidRPr="008F5EB5" w:rsidRDefault="00D47A2D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Zaleca</w:t>
      </w:r>
      <w:r w:rsidR="00D80065">
        <w:rPr>
          <w:rFonts w:ascii="Times New Roman" w:eastAsia="Times New Roman" w:hAnsi="Times New Roman"/>
          <w:sz w:val="24"/>
          <w:szCs w:val="24"/>
          <w:lang w:eastAsia="pl-PL"/>
        </w:rPr>
        <w:t xml:space="preserve">, by rządy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Państw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Członk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1037741" w14:textId="363F86A8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0065">
        <w:rPr>
          <w:rFonts w:ascii="Times New Roman" w:eastAsia="Times New Roman" w:hAnsi="Times New Roman"/>
          <w:sz w:val="24"/>
          <w:szCs w:val="24"/>
          <w:lang w:eastAsia="pl-PL"/>
        </w:rPr>
        <w:t>zapewniły, by zasady określone w załączniku do niniejsze</w:t>
      </w:r>
      <w:r w:rsidR="00D47A2D">
        <w:rPr>
          <w:rFonts w:ascii="Times New Roman" w:eastAsia="Times New Roman" w:hAnsi="Times New Roman"/>
          <w:sz w:val="24"/>
          <w:szCs w:val="24"/>
          <w:lang w:eastAsia="pl-PL"/>
        </w:rPr>
        <w:t>go Zalecenia</w:t>
      </w:r>
      <w:r w:rsidR="00D80065">
        <w:rPr>
          <w:rFonts w:ascii="Times New Roman" w:eastAsia="Times New Roman" w:hAnsi="Times New Roman"/>
          <w:sz w:val="24"/>
          <w:szCs w:val="24"/>
          <w:lang w:eastAsia="pl-PL"/>
        </w:rPr>
        <w:t xml:space="preserve"> były przestrzegane w odnośnych krajowych przepisach prawa i 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80065">
        <w:rPr>
          <w:rFonts w:ascii="Times New Roman" w:eastAsia="Times New Roman" w:hAnsi="Times New Roman"/>
          <w:sz w:val="24"/>
          <w:szCs w:val="24"/>
          <w:lang w:eastAsia="pl-PL"/>
        </w:rPr>
        <w:t>praktyce, a skuteczność podjętych działań podlegała ocenie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D02F12D" w14:textId="7D2B84C3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0065">
        <w:rPr>
          <w:rFonts w:ascii="Times New Roman" w:eastAsia="Times New Roman" w:hAnsi="Times New Roman"/>
          <w:sz w:val="24"/>
          <w:szCs w:val="24"/>
          <w:lang w:eastAsia="pl-PL"/>
        </w:rPr>
        <w:t xml:space="preserve">zapewniły dzięki odpowiednim środkom i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działaniom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6D05F2">
        <w:rPr>
          <w:rFonts w:ascii="Times New Roman" w:eastAsia="Times New Roman" w:hAnsi="Times New Roman"/>
          <w:sz w:val="24"/>
          <w:szCs w:val="24"/>
          <w:lang w:eastAsia="pl-PL"/>
        </w:rPr>
        <w:t>w tym w stosownych przypadkach poprzez</w:t>
      </w:r>
      <w:r w:rsidR="00D800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tłumaczenia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D80065">
        <w:rPr>
          <w:rFonts w:ascii="Times New Roman" w:eastAsia="Times New Roman" w:hAnsi="Times New Roman"/>
          <w:sz w:val="24"/>
          <w:szCs w:val="24"/>
          <w:lang w:eastAsia="pl-PL"/>
        </w:rPr>
        <w:t>szerokie rozpowszechnienie niniejsze</w:t>
      </w:r>
      <w:r w:rsidR="00D47A2D">
        <w:rPr>
          <w:rFonts w:ascii="Times New Roman" w:eastAsia="Times New Roman" w:hAnsi="Times New Roman"/>
          <w:sz w:val="24"/>
          <w:szCs w:val="24"/>
          <w:lang w:eastAsia="pl-PL"/>
        </w:rPr>
        <w:t>go Zalecenia</w:t>
      </w:r>
      <w:r w:rsidR="00D80065">
        <w:rPr>
          <w:rFonts w:ascii="Times New Roman" w:eastAsia="Times New Roman" w:hAnsi="Times New Roman"/>
          <w:sz w:val="24"/>
          <w:szCs w:val="24"/>
          <w:lang w:eastAsia="pl-PL"/>
        </w:rPr>
        <w:t xml:space="preserve"> wśród właściwych władz i interesariuszy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4EB08DD" w14:textId="45033ECF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>dokonały przeglądu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, w ramach Komitetu Ministrów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>implementacj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</w:t>
      </w:r>
      <w:r w:rsidR="00D47A2D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47A2D">
        <w:rPr>
          <w:rFonts w:ascii="Times New Roman" w:eastAsia="Times New Roman" w:hAnsi="Times New Roman"/>
          <w:sz w:val="24"/>
          <w:szCs w:val="24"/>
          <w:lang w:eastAsia="pl-PL"/>
        </w:rPr>
        <w:t>Zalecenia</w:t>
      </w:r>
      <w:r w:rsidR="00031D77">
        <w:rPr>
          <w:rFonts w:ascii="Times New Roman" w:eastAsia="Times New Roman" w:hAnsi="Times New Roman"/>
          <w:sz w:val="24"/>
          <w:szCs w:val="24"/>
          <w:lang w:eastAsia="pl-PL"/>
        </w:rPr>
        <w:t xml:space="preserve"> pięć lat po jej przyjęciu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7BFE4FF" w14:textId="77777777" w:rsidR="00007B2F" w:rsidRPr="008F5EB5" w:rsidRDefault="00007B2F" w:rsidP="002E73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0D4E5" w14:textId="13F599C2" w:rsidR="002E73E2" w:rsidRPr="008F5EB5" w:rsidRDefault="00031D77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do </w:t>
      </w:r>
      <w:r w:rsidR="00D47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Zalecenia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E73E2" w:rsidRPr="008F5E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CM/Rec(2018)11</w:t>
      </w:r>
    </w:p>
    <w:p w14:paraId="0BB408E5" w14:textId="15FDE8FC" w:rsidR="002E73E2" w:rsidRPr="008F5EB5" w:rsidRDefault="002E73E2" w:rsidP="002E73E2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I.</w:t>
      </w:r>
      <w:r w:rsidRPr="008F5EB5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> 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31D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Krajowe ramy prawne oraz polityczne i publiczne środowisko</w:t>
      </w:r>
      <w:r w:rsidR="00F03D3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na rzecz</w:t>
      </w:r>
      <w:r w:rsidR="00031D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03D3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</w:t>
      </w:r>
      <w:r w:rsidR="00031D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chron</w:t>
      </w:r>
      <w:r w:rsidR="00F03D3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</w:t>
      </w:r>
      <w:r w:rsidR="00634A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 </w:t>
      </w:r>
      <w:r w:rsidR="00031D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prom</w:t>
      </w:r>
      <w:r w:rsidR="00F03D3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ocji</w:t>
      </w:r>
      <w:r w:rsidR="00031D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przestrze</w:t>
      </w:r>
      <w:r w:rsidR="00F03D3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</w:t>
      </w:r>
      <w:r w:rsidR="00031D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społeczeństwa obywatelskiego</w:t>
      </w:r>
    </w:p>
    <w:p w14:paraId="14C5F968" w14:textId="2B3DB601" w:rsidR="002E73E2" w:rsidRPr="008F5EB5" w:rsidRDefault="00031D77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Państwa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Członkow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powinny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9FDD7D0" w14:textId="26218811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B7C20">
        <w:rPr>
          <w:rFonts w:ascii="Times New Roman" w:eastAsia="Times New Roman" w:hAnsi="Times New Roman"/>
          <w:sz w:val="24"/>
          <w:szCs w:val="24"/>
          <w:lang w:eastAsia="pl-PL"/>
        </w:rPr>
        <w:t xml:space="preserve">zapewnić sprzyjające ramy prawne </w:t>
      </w:r>
      <w:r w:rsidR="00F03D3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6B7C20">
        <w:rPr>
          <w:rFonts w:ascii="Times New Roman" w:eastAsia="Times New Roman" w:hAnsi="Times New Roman"/>
          <w:sz w:val="24"/>
          <w:szCs w:val="24"/>
          <w:lang w:eastAsia="pl-PL"/>
        </w:rPr>
        <w:t xml:space="preserve"> środowisko polityczne i pub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6B7C20">
        <w:rPr>
          <w:rFonts w:ascii="Times New Roman" w:eastAsia="Times New Roman" w:hAnsi="Times New Roman"/>
          <w:sz w:val="24"/>
          <w:szCs w:val="24"/>
          <w:lang w:eastAsia="pl-PL"/>
        </w:rPr>
        <w:t>iczne</w:t>
      </w:r>
      <w:r w:rsidR="00F03D3E">
        <w:rPr>
          <w:rFonts w:ascii="Times New Roman" w:eastAsia="Times New Roman" w:hAnsi="Times New Roman"/>
          <w:sz w:val="24"/>
          <w:szCs w:val="24"/>
          <w:lang w:eastAsia="pl-PL"/>
        </w:rPr>
        <w:t xml:space="preserve"> przychylne</w:t>
      </w:r>
      <w:r w:rsidR="006B7C20">
        <w:rPr>
          <w:rFonts w:ascii="Times New Roman" w:eastAsia="Times New Roman" w:hAnsi="Times New Roman"/>
          <w:sz w:val="24"/>
          <w:szCs w:val="24"/>
          <w:lang w:eastAsia="pl-PL"/>
        </w:rPr>
        <w:t xml:space="preserve"> dla 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obrońców praw człowieka, umożliwiając jednostkom, grupom, organizacjom społeczeństwa obywatelskiego i krajowym instytucjom ds. ochrony i promocji praw człowieka (KIPC)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swobodną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działalność</w:t>
      </w:r>
      <w:r w:rsidR="003F3B43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prowadzoną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prawnej</w:t>
      </w:r>
      <w:r w:rsidR="003F3B43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 zgodn</w:t>
      </w:r>
      <w:r w:rsidR="003F3B43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>prawem międzynarodowym i standardami, w celu ochrony i promocji wszystkich praw człowieka i podstawowych wolności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A4CEF8C" w14:textId="30EAB66D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zapewnić, by prawo, zwłaszcza dotyczące swobody </w:t>
      </w:r>
      <w:r w:rsidR="00104CA7">
        <w:rPr>
          <w:rFonts w:ascii="Times New Roman" w:eastAsia="Times New Roman" w:hAnsi="Times New Roman"/>
          <w:sz w:val="24"/>
          <w:szCs w:val="24"/>
          <w:lang w:eastAsia="pl-PL"/>
        </w:rPr>
        <w:t xml:space="preserve">stowarzyszania 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się, pokojowych zgromadzeń i </w:t>
      </w:r>
      <w:r w:rsidR="00560326">
        <w:rPr>
          <w:rFonts w:ascii="Times New Roman" w:eastAsia="Times New Roman" w:hAnsi="Times New Roman"/>
          <w:sz w:val="24"/>
          <w:szCs w:val="24"/>
          <w:lang w:eastAsia="pl-PL"/>
        </w:rPr>
        <w:t>wyrażania opinii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>, było tworzone i stosowane zgodnie z międzynarodowym prawem i standardami praw człowieka</w:t>
      </w:r>
      <w:r w:rsidR="00104CA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 xml:space="preserve">oraz by 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tam, gdzie 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jest to właściwe, zwracać się o 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>radę do Komisarza Praw Człowieka, Komisji Wenecki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ej i Rady Ekspertów ds. Prawa o 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rganizacjach 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>ozarządowych Konferencji Międzynarodowych Organizacji Pozarządowych i innych organów Rady Europy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48EB56A" w14:textId="4659E6E8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c.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znieść wszelkie niepotrzebne, nielegalne lub arbitralne ograniczenia 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 xml:space="preserve"> przestrzeni społeczeństwa obywatelskiego, w szczególności w odniesieniu do wolności 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stowarzyszania </w:t>
      </w:r>
      <w:r w:rsidR="005471B0">
        <w:rPr>
          <w:rFonts w:ascii="Times New Roman" w:eastAsia="Times New Roman" w:hAnsi="Times New Roman"/>
          <w:sz w:val="24"/>
          <w:szCs w:val="24"/>
          <w:lang w:eastAsia="pl-PL"/>
        </w:rPr>
        <w:t>się, pokojowych zgromadzeń i wy</w:t>
      </w:r>
      <w:r w:rsidR="00560326">
        <w:rPr>
          <w:rFonts w:ascii="Times New Roman" w:eastAsia="Times New Roman" w:hAnsi="Times New Roman"/>
          <w:sz w:val="24"/>
          <w:szCs w:val="24"/>
          <w:lang w:eastAsia="pl-PL"/>
        </w:rPr>
        <w:t>rażania opinii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1D25809" w14:textId="04D6FA52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d.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>zapewnić, by różne formy przestępstw popełni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 xml:space="preserve">onych 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>z nienawiści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w tym akty przemocy, mowa nienawiści i publiczne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podżeganie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 do nienawiści i przemocy, były zabronione przez prawo krajowe</w:t>
      </w:r>
      <w:r w:rsidR="0083482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 xml:space="preserve">by podjąć 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>działa</w:t>
      </w:r>
      <w:r w:rsidR="004B521C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 w celu zapobie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gania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 i zwalczania przypadków przestępstw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popełnionych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 z nienawiści i mow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 nienawiści, w szczególności przez prowadzenie skutecznych 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 xml:space="preserve">śledztw </w:t>
      </w:r>
      <w:r w:rsidR="00770CE2">
        <w:rPr>
          <w:rFonts w:ascii="Times New Roman" w:eastAsia="Times New Roman" w:hAnsi="Times New Roman"/>
          <w:sz w:val="24"/>
          <w:szCs w:val="24"/>
          <w:lang w:eastAsia="pl-PL"/>
        </w:rPr>
        <w:t>w celu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 położ</w:t>
      </w:r>
      <w:r w:rsidR="00770CE2">
        <w:rPr>
          <w:rFonts w:ascii="Times New Roman" w:eastAsia="Times New Roman" w:hAnsi="Times New Roman"/>
          <w:sz w:val="24"/>
          <w:szCs w:val="24"/>
          <w:lang w:eastAsia="pl-PL"/>
        </w:rPr>
        <w:t>enia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 kres</w:t>
      </w:r>
      <w:r w:rsidR="00770CE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A532D9">
        <w:rPr>
          <w:rFonts w:ascii="Times New Roman" w:eastAsia="Times New Roman" w:hAnsi="Times New Roman"/>
          <w:sz w:val="24"/>
          <w:szCs w:val="24"/>
          <w:lang w:eastAsia="pl-PL"/>
        </w:rPr>
        <w:t xml:space="preserve"> bezkarności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D881168" w14:textId="0541EB72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e.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>zapewnić, by wszyscy, włącz</w:t>
      </w:r>
      <w:r w:rsidR="009567C2">
        <w:rPr>
          <w:rFonts w:ascii="Times New Roman" w:eastAsia="Times New Roman" w:hAnsi="Times New Roman"/>
          <w:sz w:val="24"/>
          <w:szCs w:val="24"/>
          <w:lang w:eastAsia="pl-PL"/>
        </w:rPr>
        <w:t>nie z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 xml:space="preserve"> obrońc</w:t>
      </w:r>
      <w:r w:rsidR="009567C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 xml:space="preserve"> praw człowieka, mogli skutecznie uczestniczyć w podejmowaniu decyzji, w szczególności </w:t>
      </w:r>
      <w:r w:rsidR="009567C2">
        <w:rPr>
          <w:rFonts w:ascii="Times New Roman" w:eastAsia="Times New Roman" w:hAnsi="Times New Roman"/>
          <w:sz w:val="24"/>
          <w:szCs w:val="24"/>
          <w:lang w:eastAsia="pl-PL"/>
        </w:rPr>
        <w:t xml:space="preserve">dzięki 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>zapewni</w:t>
      </w:r>
      <w:r w:rsidR="009567C2">
        <w:rPr>
          <w:rFonts w:ascii="Times New Roman" w:eastAsia="Times New Roman" w:hAnsi="Times New Roman"/>
          <w:sz w:val="24"/>
          <w:szCs w:val="24"/>
          <w:lang w:eastAsia="pl-PL"/>
        </w:rPr>
        <w:t xml:space="preserve">eniu 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>im peł</w:t>
      </w:r>
      <w:r w:rsidR="009567C2">
        <w:rPr>
          <w:rFonts w:ascii="Times New Roman" w:eastAsia="Times New Roman" w:hAnsi="Times New Roman"/>
          <w:sz w:val="24"/>
          <w:szCs w:val="24"/>
          <w:lang w:eastAsia="pl-PL"/>
        </w:rPr>
        <w:t xml:space="preserve">nego 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>dostęp</w:t>
      </w:r>
      <w:r w:rsidR="00222F74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 xml:space="preserve"> do informacji, uwzględ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ni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 xml:space="preserve">ając Konwencję Rady Europy o </w:t>
      </w:r>
      <w:r w:rsidR="00DA7F1F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 xml:space="preserve">ostępie do </w:t>
      </w:r>
      <w:r w:rsidR="00DA7F1F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 xml:space="preserve">okumentów </w:t>
      </w:r>
      <w:r w:rsidR="00DA7F1F">
        <w:rPr>
          <w:rFonts w:ascii="Times New Roman" w:eastAsia="Times New Roman" w:hAnsi="Times New Roman"/>
          <w:sz w:val="24"/>
          <w:szCs w:val="24"/>
          <w:lang w:eastAsia="pl-PL"/>
        </w:rPr>
        <w:t>urzędowych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(ETS </w:t>
      </w:r>
      <w:r w:rsidR="00222F74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205);</w:t>
      </w:r>
    </w:p>
    <w:p w14:paraId="7810AF33" w14:textId="5AE1E3A4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f.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>zapewnić terminowe i przejrzyste konsultacje publicz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ne dotyczące rozwoju polityki i </w:t>
      </w:r>
      <w:r w:rsidR="006A0F8D">
        <w:rPr>
          <w:rFonts w:ascii="Times New Roman" w:eastAsia="Times New Roman" w:hAnsi="Times New Roman"/>
          <w:sz w:val="24"/>
          <w:szCs w:val="24"/>
          <w:lang w:eastAsia="pl-PL"/>
        </w:rPr>
        <w:t>projektów aktów prawny</w:t>
      </w:r>
      <w:r w:rsidR="009567C2">
        <w:rPr>
          <w:rFonts w:ascii="Times New Roman" w:eastAsia="Times New Roman" w:hAnsi="Times New Roman"/>
          <w:sz w:val="24"/>
          <w:szCs w:val="24"/>
          <w:lang w:eastAsia="pl-PL"/>
        </w:rPr>
        <w:t xml:space="preserve">ch, szczególnie jeżeli mogą one wpłynąć na społeczeństwo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obywatelskie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31E315D" w14:textId="766E7C65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g.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>przyjrzeć się luk</w:t>
      </w:r>
      <w:r w:rsidR="008D5E57">
        <w:rPr>
          <w:rFonts w:ascii="Times New Roman" w:eastAsia="Times New Roman" w:hAnsi="Times New Roman"/>
          <w:sz w:val="24"/>
          <w:szCs w:val="24"/>
          <w:lang w:eastAsia="pl-PL"/>
        </w:rPr>
        <w:t>om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6369B">
        <w:rPr>
          <w:rFonts w:ascii="Times New Roman" w:eastAsia="Times New Roman" w:hAnsi="Times New Roman"/>
          <w:sz w:val="24"/>
          <w:szCs w:val="24"/>
          <w:lang w:eastAsia="pl-PL"/>
        </w:rPr>
        <w:t>w implementacji</w:t>
      </w:r>
      <w:r w:rsidR="00370BD2">
        <w:rPr>
          <w:rFonts w:ascii="Times New Roman" w:eastAsia="Times New Roman" w:hAnsi="Times New Roman"/>
          <w:sz w:val="24"/>
          <w:szCs w:val="24"/>
          <w:lang w:eastAsia="pl-PL"/>
        </w:rPr>
        <w:t xml:space="preserve"> na 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>poziomie kr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ajowym prawa międzynarodowego i 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 xml:space="preserve">standardów istotnych dla ochrony społeczeństwa obywatelskiego oraz promocji jego działalności, określonych w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“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>Analizie wpływu obowiązują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cego prawa krajowego, polityk i 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 xml:space="preserve">praktyk </w:t>
      </w:r>
      <w:r w:rsidR="008D5E57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>działalnoś</w:t>
      </w:r>
      <w:r w:rsidR="008D5E57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organizacji społeczeństwa obywatelskiego, obrońców praw człowieka i krajowych instytucji ds. promocji i ochrony praw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>” przyjętej przez Komitet Sterujący ds. Praw Człowieka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(CDDH);</w:t>
      </w:r>
    </w:p>
    <w:p w14:paraId="28587DC0" w14:textId="799EF982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h.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 xml:space="preserve">utworzyć skuteczne, niezależne, pluralistyczne i </w:t>
      </w:r>
      <w:r w:rsidR="00BB7D3C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odpowiednio 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 xml:space="preserve">finansowane KIPC zgodnie z Zasadami Paryskimi, a tam, gdzie już istnieją, wzmocnić je </w:t>
      </w:r>
      <w:r w:rsidR="00BB7D3C">
        <w:rPr>
          <w:rFonts w:ascii="Times New Roman" w:eastAsia="Times New Roman" w:hAnsi="Times New Roman"/>
          <w:sz w:val="24"/>
          <w:szCs w:val="24"/>
          <w:lang w:eastAsia="pl-PL"/>
        </w:rPr>
        <w:t xml:space="preserve">w celu 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ochrony i 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promocji</w:t>
      </w:r>
      <w:r w:rsidR="0091418E">
        <w:rPr>
          <w:rFonts w:ascii="Times New Roman" w:eastAsia="Times New Roman" w:hAnsi="Times New Roman"/>
          <w:sz w:val="24"/>
          <w:szCs w:val="24"/>
          <w:lang w:eastAsia="pl-PL"/>
        </w:rPr>
        <w:t xml:space="preserve"> wszystkich praw człowieka i podstawowych wolności, w tym w ich roli </w:t>
      </w:r>
      <w:r w:rsidR="008A4B0C">
        <w:rPr>
          <w:rFonts w:ascii="Times New Roman" w:eastAsia="Times New Roman" w:hAnsi="Times New Roman"/>
          <w:sz w:val="24"/>
          <w:szCs w:val="24"/>
          <w:lang w:eastAsia="pl-PL"/>
        </w:rPr>
        <w:t>polegającej na ochronie i promocji skutecznego środowiska dla społeczeństwa obywatelskiego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8A4B0C">
        <w:rPr>
          <w:rFonts w:ascii="Times New Roman" w:eastAsia="Times New Roman" w:hAnsi="Times New Roman"/>
          <w:sz w:val="24"/>
          <w:szCs w:val="24"/>
          <w:lang w:eastAsia="pl-PL"/>
        </w:rPr>
        <w:t>współpracować i zwracać się o pomoc, jeżeli jest potrzebna, do Europejskiej Sieci Krajowych Instytucji Praw Człowieka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(ENNHRI) </w:t>
      </w:r>
      <w:r w:rsidR="008A4B0C">
        <w:rPr>
          <w:rFonts w:ascii="Times New Roman" w:eastAsia="Times New Roman" w:hAnsi="Times New Roman"/>
          <w:sz w:val="24"/>
          <w:szCs w:val="24"/>
          <w:lang w:eastAsia="pl-PL"/>
        </w:rPr>
        <w:t xml:space="preserve">oraz do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regionalnych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8A4B0C">
        <w:rPr>
          <w:rFonts w:ascii="Times New Roman" w:eastAsia="Times New Roman" w:hAnsi="Times New Roman"/>
          <w:sz w:val="24"/>
          <w:szCs w:val="24"/>
          <w:lang w:eastAsia="pl-PL"/>
        </w:rPr>
        <w:t xml:space="preserve">międzynarodowych organów takich jak Biuro Wysokiego Komisarza ONZ ds. Praw Człowieka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(OHCHR), ODIHR/O</w:t>
      </w:r>
      <w:r w:rsidR="008A4B0C">
        <w:rPr>
          <w:rFonts w:ascii="Times New Roman" w:eastAsia="Times New Roman" w:hAnsi="Times New Roman"/>
          <w:sz w:val="24"/>
          <w:szCs w:val="24"/>
          <w:lang w:eastAsia="pl-PL"/>
        </w:rPr>
        <w:t>BWE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8A4B0C">
        <w:rPr>
          <w:rFonts w:ascii="Times New Roman" w:eastAsia="Times New Roman" w:hAnsi="Times New Roman"/>
          <w:sz w:val="24"/>
          <w:szCs w:val="24"/>
          <w:lang w:eastAsia="pl-PL"/>
        </w:rPr>
        <w:t>Komisarz Praw Człowieka Rady Europy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A4B0C">
        <w:rPr>
          <w:rFonts w:ascii="Times New Roman" w:eastAsia="Times New Roman" w:hAnsi="Times New Roman"/>
          <w:sz w:val="24"/>
          <w:szCs w:val="24"/>
          <w:lang w:eastAsia="pl-PL"/>
        </w:rPr>
        <w:t>i Komisj</w:t>
      </w:r>
      <w:r w:rsidR="00FB7770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4B0C">
        <w:rPr>
          <w:rFonts w:ascii="Times New Roman" w:eastAsia="Times New Roman" w:hAnsi="Times New Roman"/>
          <w:sz w:val="24"/>
          <w:szCs w:val="24"/>
          <w:lang w:eastAsia="pl-PL"/>
        </w:rPr>
        <w:t xml:space="preserve"> Weneck</w:t>
      </w:r>
      <w:r w:rsidR="00FB7770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5DCF4BB" w14:textId="57D16721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>szanować wolność obrońców praw człowieka, w tym organizacji społeczeństwa obywatelskiego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>w poszukiwaniu, uzyskiwaniu i wykorzystywaniu środków z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e źródeł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 krajowych, zagranicznych i międzynarodowych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8A59CCC" w14:textId="6AA42157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j.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>współpracować z mechanizmami praw człow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ieka Rady Europy, a zwłaszcza z 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>Europejskim Trybunałem Praw Człowieka, zgodnie z Europejską Konwencją Praw Człowieka oraz z Komisarzem Praw Człowieka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ułatwia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 jego/jej wizyt, udziela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stosownych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odpowiedzi 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 omawia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 xml:space="preserve">z nim/nią 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na jego/jej prośbę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 sytuacj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 obrońców praw człowieka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              </w:t>
      </w:r>
    </w:p>
    <w:p w14:paraId="347D2968" w14:textId="5BBEAAB1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k.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rozważyć podpisanie i ratyfikację </w:t>
      </w:r>
      <w:r w:rsidR="00E8793F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>rotokołu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 xml:space="preserve"> Dodatkowego</w:t>
      </w:r>
      <w:r w:rsidR="00C061F7">
        <w:rPr>
          <w:rFonts w:ascii="Times New Roman" w:eastAsia="Times New Roman" w:hAnsi="Times New Roman"/>
          <w:sz w:val="24"/>
          <w:szCs w:val="24"/>
          <w:lang w:eastAsia="pl-PL"/>
        </w:rPr>
        <w:t xml:space="preserve"> do Europejskiej Karty Społecznej </w:t>
      </w:r>
      <w:r w:rsidR="00E8793F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1995 </w:t>
      </w:r>
      <w:r w:rsidR="00E8793F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8793F">
        <w:rPr>
          <w:rFonts w:ascii="Times New Roman" w:eastAsia="Times New Roman" w:hAnsi="Times New Roman"/>
          <w:sz w:val="24"/>
          <w:szCs w:val="24"/>
          <w:lang w:eastAsia="pl-PL"/>
        </w:rPr>
        <w:t xml:space="preserve"> przewidując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E8793F">
        <w:rPr>
          <w:rFonts w:ascii="Times New Roman" w:eastAsia="Times New Roman" w:hAnsi="Times New Roman"/>
          <w:sz w:val="24"/>
          <w:szCs w:val="24"/>
          <w:lang w:eastAsia="pl-PL"/>
        </w:rPr>
        <w:t xml:space="preserve"> system skarg zbiorowych 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(ETS 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E8793F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158) </w:t>
      </w:r>
      <w:r w:rsidR="00E8793F">
        <w:rPr>
          <w:rFonts w:ascii="Times New Roman" w:eastAsia="Times New Roman" w:hAnsi="Times New Roman"/>
          <w:sz w:val="24"/>
          <w:szCs w:val="24"/>
          <w:lang w:eastAsia="pl-PL"/>
        </w:rPr>
        <w:t>oraz rozważyć uznanie prawa krajowy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E8793F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organizacji pozarządowych spełniających 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 w nim </w:t>
      </w:r>
      <w:r w:rsidR="00E8793F">
        <w:rPr>
          <w:rFonts w:ascii="Times New Roman" w:eastAsia="Times New Roman" w:hAnsi="Times New Roman"/>
          <w:sz w:val="24"/>
          <w:szCs w:val="24"/>
          <w:lang w:eastAsia="pl-PL"/>
        </w:rPr>
        <w:t>kryteria do składania skarg zbiorowych przed Europejskim Komitetem Praw Społecznych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0AA58D1" w14:textId="77777777" w:rsidR="002E73E2" w:rsidRPr="008F5EB5" w:rsidRDefault="002E73E2" w:rsidP="00007B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1E2231" w14:textId="3CA72BA8" w:rsidR="002E73E2" w:rsidRPr="008F5EB5" w:rsidRDefault="002E73E2" w:rsidP="002E73E2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</w:t>
      </w:r>
      <w:r w:rsidRPr="008F5EB5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0A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</w:t>
      </w:r>
      <w:r w:rsidR="00E8793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rajowe</w:t>
      </w:r>
      <w:r w:rsidR="00410A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środki</w:t>
      </w:r>
      <w:r w:rsidR="00E8793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ochrony przestrzeni społeczeństwa obywatelskiego</w:t>
      </w:r>
    </w:p>
    <w:p w14:paraId="39128A97" w14:textId="3222A518" w:rsidR="002E73E2" w:rsidRPr="008F5EB5" w:rsidRDefault="00E8793F" w:rsidP="00E8793F">
      <w:p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Państwa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Członkow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powinny 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 xml:space="preserve">podjąć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skuteczne środki ochrony przestrzeni społeczeństwa obywatelskiego, 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w szczególności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7394">
        <w:rPr>
          <w:rFonts w:ascii="Times New Roman" w:eastAsia="Times New Roman" w:hAnsi="Times New Roman"/>
          <w:sz w:val="24"/>
          <w:szCs w:val="24"/>
          <w:lang w:eastAsia="pl-PL"/>
        </w:rPr>
        <w:t>w celu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75BA610" w14:textId="3EA0099B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7394">
        <w:rPr>
          <w:rFonts w:ascii="Times New Roman" w:eastAsia="Times New Roman" w:hAnsi="Times New Roman"/>
          <w:sz w:val="24"/>
          <w:szCs w:val="24"/>
          <w:lang w:eastAsia="pl-PL"/>
        </w:rPr>
        <w:t>zapobiegania naruszeniom praw obrońców praw człowieka, w tym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 xml:space="preserve"> wymierzonym w </w:t>
      </w:r>
      <w:r w:rsidR="00410AE3">
        <w:rPr>
          <w:rFonts w:ascii="Times New Roman" w:eastAsia="Times New Roman" w:hAnsi="Times New Roman"/>
          <w:sz w:val="24"/>
          <w:szCs w:val="24"/>
          <w:lang w:eastAsia="pl-PL"/>
        </w:rPr>
        <w:t>nich</w:t>
      </w:r>
      <w:r w:rsidR="009F7394">
        <w:rPr>
          <w:rFonts w:ascii="Times New Roman" w:eastAsia="Times New Roman" w:hAnsi="Times New Roman"/>
          <w:sz w:val="24"/>
          <w:szCs w:val="24"/>
          <w:lang w:eastAsia="pl-PL"/>
        </w:rPr>
        <w:t xml:space="preserve"> kampaniom oszczerstw, groźbom i atakom oraz innym próbom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 xml:space="preserve"> utrudniania ich pracy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1FE7A2C" w14:textId="1BEB0DE1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zapewnienia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 xml:space="preserve"> niezależnego i skutecznego 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śledztwa</w:t>
      </w:r>
      <w:r w:rsidR="00DF0517"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 xml:space="preserve"> takich czynów oraz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pociągnięcia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 xml:space="preserve"> do odpowiedzialności sprawców </w:t>
      </w:r>
      <w:r w:rsidR="00DF0517">
        <w:rPr>
          <w:rFonts w:ascii="Times New Roman" w:eastAsia="Times New Roman" w:hAnsi="Times New Roman"/>
          <w:sz w:val="24"/>
          <w:szCs w:val="24"/>
          <w:lang w:eastAsia="pl-PL"/>
        </w:rPr>
        <w:t>za pomocą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odpowiednich środków administracyjnych lub postępowania karnego oraz zapewnieni</w:t>
      </w:r>
      <w:r w:rsidR="00DF051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 xml:space="preserve">, że </w:t>
      </w:r>
      <w:r w:rsidR="00DF0517">
        <w:rPr>
          <w:rFonts w:ascii="Times New Roman" w:eastAsia="Times New Roman" w:hAnsi="Times New Roman"/>
          <w:sz w:val="24"/>
          <w:szCs w:val="24"/>
          <w:lang w:eastAsia="pl-PL"/>
        </w:rPr>
        <w:t xml:space="preserve">materialne i formalne 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 xml:space="preserve">prawo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karne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>, cywilne i administracyjne nie jest stos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owane w sposób utrudniających i 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>penalizujący działalność obrońców praw człowieka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AA1B2F8" w14:textId="1D82767F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c.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2EEE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zapewnienia, przy poszanowaniu ich tradycji prawnych, niezależności ich systemów sądowych 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 xml:space="preserve">oraz zapewnienia istnienia skutecznych środków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odwoławczych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 xml:space="preserve"> dla tych, których prawa i wolności zostały 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>naruszone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85B846B" w14:textId="33D3371D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d.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 xml:space="preserve">rozważenia nadania lub </w:t>
      </w:r>
      <w:r w:rsidR="004F4E4E">
        <w:rPr>
          <w:rFonts w:ascii="Times New Roman" w:eastAsia="Times New Roman" w:hAnsi="Times New Roman"/>
          <w:sz w:val="24"/>
          <w:szCs w:val="24"/>
          <w:lang w:eastAsia="pl-PL"/>
        </w:rPr>
        <w:t>w stosownych przypadkach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wzmocnienia</w:t>
      </w:r>
      <w:r w:rsidR="00634AC9">
        <w:rPr>
          <w:rFonts w:ascii="Times New Roman" w:eastAsia="Times New Roman" w:hAnsi="Times New Roman"/>
          <w:sz w:val="24"/>
          <w:szCs w:val="24"/>
          <w:lang w:eastAsia="pl-PL"/>
        </w:rPr>
        <w:t xml:space="preserve"> kompetencji i 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 xml:space="preserve">zdolności niezależnych KIPC do skutecznego wypełniania ich roli polegającej na ochronie przestrzeni społeczeństwa obywatelskiego poprzez </w:t>
      </w:r>
      <w:r w:rsidR="004F4E4E">
        <w:rPr>
          <w:rFonts w:ascii="Times New Roman" w:eastAsia="Times New Roman" w:hAnsi="Times New Roman"/>
          <w:sz w:val="24"/>
          <w:szCs w:val="24"/>
          <w:lang w:eastAsia="pl-PL"/>
        </w:rPr>
        <w:t>wykonywane przez nie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funkcje</w:t>
      </w:r>
      <w:r w:rsidR="004F4E4E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 xml:space="preserve"> monitorowania,</w:t>
      </w:r>
      <w:r w:rsidR="004F4E4E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prowadzenia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 xml:space="preserve"> dochodze</w:t>
      </w:r>
      <w:r w:rsidR="004F4E4E"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>, sprawozda</w:t>
      </w:r>
      <w:r w:rsidR="004F4E4E">
        <w:rPr>
          <w:rFonts w:ascii="Times New Roman" w:eastAsia="Times New Roman" w:hAnsi="Times New Roman"/>
          <w:sz w:val="24"/>
          <w:szCs w:val="24"/>
          <w:lang w:eastAsia="pl-PL"/>
        </w:rPr>
        <w:t>wczości</w:t>
      </w:r>
      <w:r w:rsidR="003D1CB4">
        <w:rPr>
          <w:rFonts w:ascii="Times New Roman" w:eastAsia="Times New Roman" w:hAnsi="Times New Roman"/>
          <w:sz w:val="24"/>
          <w:szCs w:val="24"/>
          <w:lang w:eastAsia="pl-PL"/>
        </w:rPr>
        <w:t xml:space="preserve"> oraz rozpatrywania skarg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F40324" w14:textId="708ACE44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e.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>ułatwienia obrońc</w:t>
      </w:r>
      <w:r w:rsidR="004F4E4E">
        <w:rPr>
          <w:rFonts w:ascii="Times New Roman" w:eastAsia="Times New Roman" w:hAnsi="Times New Roman"/>
          <w:sz w:val="24"/>
          <w:szCs w:val="24"/>
          <w:lang w:eastAsia="pl-PL"/>
        </w:rPr>
        <w:t>om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 praw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>, KIPC i organizacj</w:t>
      </w:r>
      <w:r w:rsidR="004F4E4E">
        <w:rPr>
          <w:rFonts w:ascii="Times New Roman" w:eastAsia="Times New Roman" w:hAnsi="Times New Roman"/>
          <w:sz w:val="24"/>
          <w:szCs w:val="24"/>
          <w:lang w:eastAsia="pl-PL"/>
        </w:rPr>
        <w:t>om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 społeczeństwa obywatelskiego</w:t>
      </w:r>
      <w:r w:rsidR="004F4E4E">
        <w:rPr>
          <w:rFonts w:ascii="Times New Roman" w:eastAsia="Times New Roman" w:hAnsi="Times New Roman"/>
          <w:sz w:val="24"/>
          <w:szCs w:val="24"/>
          <w:lang w:eastAsia="pl-PL"/>
        </w:rPr>
        <w:t xml:space="preserve"> skutecznego dostępu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międzynarodowych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 i regionalnych mechanizmów praw człowieka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>w tym do Europejskiego Trybunału Praw Człowieka, Europejskiego Komitetu Praw Społecznych oraz innych m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an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>mów o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chrony praw człowieka zgodnie z 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>obowiązującymi procedurami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1296919" w14:textId="734EAE59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f.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zapewnienia środków szybkiej pomocy i ochrony dla obrońców praw człowieka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 xml:space="preserve">znajdujących się 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w niebezpieczeństwie w innych krajach,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m.in. w formie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3D53">
        <w:rPr>
          <w:rFonts w:ascii="Times New Roman" w:eastAsia="Times New Roman" w:hAnsi="Times New Roman"/>
          <w:sz w:val="24"/>
          <w:szCs w:val="24"/>
          <w:lang w:eastAsia="pl-PL"/>
        </w:rPr>
        <w:t xml:space="preserve">w procesach sądowych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i ich obserwacji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 lub,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w miarę możliwości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>, wyda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wa</w:t>
      </w:r>
      <w:r w:rsidR="00AA0F7B">
        <w:rPr>
          <w:rFonts w:ascii="Times New Roman" w:eastAsia="Times New Roman" w:hAnsi="Times New Roman"/>
          <w:sz w:val="24"/>
          <w:szCs w:val="24"/>
          <w:lang w:eastAsia="pl-PL"/>
        </w:rPr>
        <w:t xml:space="preserve">nie wiz </w:t>
      </w:r>
      <w:r w:rsidR="00FA3D53">
        <w:rPr>
          <w:rFonts w:ascii="Times New Roman" w:eastAsia="Times New Roman" w:hAnsi="Times New Roman"/>
          <w:sz w:val="24"/>
          <w:szCs w:val="24"/>
          <w:lang w:eastAsia="pl-PL"/>
        </w:rPr>
        <w:t>w nagłych przypadkach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CB1C8F0" w14:textId="4E9936B5" w:rsidR="002E73E2" w:rsidRPr="008F5EB5" w:rsidRDefault="002E73E2" w:rsidP="002E73E2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</w:t>
      </w:r>
      <w:r w:rsidRPr="008F5EB5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>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E6B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</w:t>
      </w:r>
      <w:r w:rsidR="00FA3D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rajowe</w:t>
      </w:r>
      <w:r w:rsidR="00CE6B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środki</w:t>
      </w:r>
      <w:r w:rsidR="00FA3D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CE6B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promowania</w:t>
      </w:r>
      <w:r w:rsidR="00FA3D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przestrzeni społeczeństwa obywatelskiego</w:t>
      </w:r>
    </w:p>
    <w:p w14:paraId="0B766566" w14:textId="270DFFC4" w:rsidR="002E73E2" w:rsidRPr="008F5EB5" w:rsidRDefault="00FA3D53" w:rsidP="00FA3D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Państwa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Członkow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powinny </w:t>
      </w:r>
      <w:r w:rsidR="00CE6B6C">
        <w:rPr>
          <w:rFonts w:ascii="Times New Roman" w:eastAsia="Times New Roman" w:hAnsi="Times New Roman"/>
          <w:sz w:val="24"/>
          <w:szCs w:val="24"/>
          <w:lang w:eastAsia="pl-PL"/>
        </w:rPr>
        <w:t>podjąć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skuteczne środki promocji przestrzeni społeczeństwa obywatelskiego, </w:t>
      </w:r>
      <w:r w:rsidR="00CE6B6C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celu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81CB519" w14:textId="6D80417D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579F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zapewnienia dostępu do środków wspierających stabilne finansowanie obrońców praw człowieka, </w:t>
      </w:r>
      <w:r w:rsidR="00CE6B6C">
        <w:rPr>
          <w:rFonts w:ascii="Times New Roman" w:eastAsia="Times New Roman" w:hAnsi="Times New Roman"/>
          <w:sz w:val="24"/>
          <w:szCs w:val="24"/>
          <w:lang w:eastAsia="pl-PL"/>
        </w:rPr>
        <w:t>w tym</w:t>
      </w:r>
      <w:r w:rsidR="0055579F">
        <w:rPr>
          <w:rFonts w:ascii="Times New Roman" w:eastAsia="Times New Roman" w:hAnsi="Times New Roman"/>
          <w:sz w:val="24"/>
          <w:szCs w:val="24"/>
          <w:lang w:eastAsia="pl-PL"/>
        </w:rPr>
        <w:t xml:space="preserve"> KIPC i organizacj</w:t>
      </w:r>
      <w:r w:rsidR="00CE6B6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55579F">
        <w:rPr>
          <w:rFonts w:ascii="Times New Roman" w:eastAsia="Times New Roman" w:hAnsi="Times New Roman"/>
          <w:sz w:val="24"/>
          <w:szCs w:val="24"/>
          <w:lang w:eastAsia="pl-PL"/>
        </w:rPr>
        <w:t xml:space="preserve"> społeczeństwa obywatelskiego, oraz </w:t>
      </w:r>
      <w:r w:rsidR="00CE6B6C">
        <w:rPr>
          <w:rFonts w:ascii="Times New Roman" w:eastAsia="Times New Roman" w:hAnsi="Times New Roman"/>
          <w:sz w:val="24"/>
          <w:szCs w:val="24"/>
          <w:lang w:eastAsia="pl-PL"/>
        </w:rPr>
        <w:t>zintensyfikowania</w:t>
      </w:r>
      <w:r w:rsidR="0055579F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działań promujących ich działalność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05C5F04" w14:textId="030C13E7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579F">
        <w:rPr>
          <w:rFonts w:ascii="Times New Roman" w:eastAsia="Times New Roman" w:hAnsi="Times New Roman"/>
          <w:sz w:val="24"/>
          <w:szCs w:val="24"/>
          <w:lang w:eastAsia="pl-PL"/>
        </w:rPr>
        <w:t>zapewnienia obrońc</w:t>
      </w:r>
      <w:r w:rsidR="00CE6B6C">
        <w:rPr>
          <w:rFonts w:ascii="Times New Roman" w:eastAsia="Times New Roman" w:hAnsi="Times New Roman"/>
          <w:sz w:val="24"/>
          <w:szCs w:val="24"/>
          <w:lang w:eastAsia="pl-PL"/>
        </w:rPr>
        <w:t>zyni</w:t>
      </w:r>
      <w:r w:rsidR="0055579F">
        <w:rPr>
          <w:rFonts w:ascii="Times New Roman" w:eastAsia="Times New Roman" w:hAnsi="Times New Roman"/>
          <w:sz w:val="24"/>
          <w:szCs w:val="24"/>
          <w:lang w:eastAsia="pl-PL"/>
        </w:rPr>
        <w:t>om praw człowieka możliwości dostępu do konkretne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>go wsparcia</w:t>
      </w:r>
      <w:r w:rsidR="0055579F">
        <w:rPr>
          <w:rFonts w:ascii="Times New Roman" w:eastAsia="Times New Roman" w:hAnsi="Times New Roman"/>
          <w:sz w:val="24"/>
          <w:szCs w:val="24"/>
          <w:lang w:eastAsia="pl-PL"/>
        </w:rPr>
        <w:t>, finansowania i ochrony</w:t>
      </w:r>
      <w:r w:rsidR="00771F0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5579F">
        <w:rPr>
          <w:rFonts w:ascii="Times New Roman" w:eastAsia="Times New Roman" w:hAnsi="Times New Roman"/>
          <w:sz w:val="24"/>
          <w:szCs w:val="24"/>
          <w:lang w:eastAsia="pl-PL"/>
        </w:rPr>
        <w:t xml:space="preserve">w tym przed przemocą </w:t>
      </w:r>
      <w:r w:rsidR="00771F04">
        <w:rPr>
          <w:rFonts w:ascii="Times New Roman" w:eastAsia="Times New Roman" w:hAnsi="Times New Roman"/>
          <w:sz w:val="24"/>
          <w:szCs w:val="24"/>
          <w:lang w:eastAsia="pl-PL"/>
        </w:rPr>
        <w:t>uwarunkowaną płcią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oraz </w:t>
      </w:r>
      <w:r w:rsidR="00771F04">
        <w:rPr>
          <w:rFonts w:ascii="Times New Roman" w:eastAsia="Times New Roman" w:hAnsi="Times New Roman"/>
          <w:sz w:val="24"/>
          <w:szCs w:val="24"/>
          <w:lang w:eastAsia="pl-PL"/>
        </w:rPr>
        <w:t>zagwa</w:t>
      </w:r>
      <w:r w:rsidR="00FD6E71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771F04">
        <w:rPr>
          <w:rFonts w:ascii="Times New Roman" w:eastAsia="Times New Roman" w:hAnsi="Times New Roman"/>
          <w:sz w:val="24"/>
          <w:szCs w:val="24"/>
          <w:lang w:eastAsia="pl-PL"/>
        </w:rPr>
        <w:t xml:space="preserve">antowania </w:t>
      </w:r>
      <w:r w:rsidR="00FD6E71">
        <w:rPr>
          <w:rFonts w:ascii="Times New Roman" w:eastAsia="Times New Roman" w:hAnsi="Times New Roman"/>
          <w:sz w:val="24"/>
          <w:szCs w:val="24"/>
          <w:lang w:eastAsia="pl-PL"/>
        </w:rPr>
        <w:t>środowiska, w którym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 xml:space="preserve"> będą</w:t>
      </w:r>
      <w:r w:rsidR="00FD6E71">
        <w:rPr>
          <w:rFonts w:ascii="Times New Roman" w:eastAsia="Times New Roman" w:hAnsi="Times New Roman"/>
          <w:sz w:val="24"/>
          <w:szCs w:val="24"/>
          <w:lang w:eastAsia="pl-PL"/>
        </w:rPr>
        <w:t xml:space="preserve"> mog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>ły</w:t>
      </w:r>
      <w:r w:rsidR="00FD6E71">
        <w:rPr>
          <w:rFonts w:ascii="Times New Roman" w:eastAsia="Times New Roman" w:hAnsi="Times New Roman"/>
          <w:sz w:val="24"/>
          <w:szCs w:val="24"/>
          <w:lang w:eastAsia="pl-PL"/>
        </w:rPr>
        <w:t xml:space="preserve"> pracować 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 xml:space="preserve">bez 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przemocy i </w:t>
      </w:r>
      <w:r w:rsidR="00FD6E71">
        <w:rPr>
          <w:rFonts w:ascii="Times New Roman" w:eastAsia="Times New Roman" w:hAnsi="Times New Roman"/>
          <w:sz w:val="24"/>
          <w:szCs w:val="24"/>
          <w:lang w:eastAsia="pl-PL"/>
        </w:rPr>
        <w:t>dyskryminacji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2B5FB9C" w14:textId="3C499CA2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c.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 xml:space="preserve">wyraźnego uznania legitymacji obrońców 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praw człowieka, w tym KIPC oraz 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społeczeństwa obywatelskiego, oraz publicznego wspierania ich działalności, uznając ich wkład w postęp praw człowieka i rozwój 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 xml:space="preserve">pluralistycznego 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>społeczeństwa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A8283BD" w14:textId="1FF47B6F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d.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>ułatwi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 xml:space="preserve">nia i wspierania programów, które gwarantują obrońcom praw człowieka 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 xml:space="preserve">dostęp 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>do niezbędnych umiejętności,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 xml:space="preserve"> narzędzi i szkoleń,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>z których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 xml:space="preserve"> po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 xml:space="preserve">winni móc korzystać 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bez 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 xml:space="preserve">dyskryminacji, w celu 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zapewnienia im 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>możliw</w:t>
      </w:r>
      <w:r w:rsidR="009F036A">
        <w:rPr>
          <w:rFonts w:ascii="Times New Roman" w:eastAsia="Times New Roman" w:hAnsi="Times New Roman"/>
          <w:sz w:val="24"/>
          <w:szCs w:val="24"/>
          <w:lang w:eastAsia="pl-PL"/>
        </w:rPr>
        <w:t>ości</w:t>
      </w:r>
      <w:r w:rsidR="004677F9">
        <w:rPr>
          <w:rFonts w:ascii="Times New Roman" w:eastAsia="Times New Roman" w:hAnsi="Times New Roman"/>
          <w:sz w:val="24"/>
          <w:szCs w:val="24"/>
          <w:lang w:eastAsia="pl-PL"/>
        </w:rPr>
        <w:t xml:space="preserve"> i wyposażenia do wykonywania działalności na rzecz praw człowieka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C04AAFF" w14:textId="0FBA6A11" w:rsidR="002E73E2" w:rsidRPr="008F5EB5" w:rsidRDefault="002E73E2" w:rsidP="002E73E2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</w:t>
      </w:r>
      <w:r w:rsidRPr="008F5EB5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>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77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Wsparcie</w:t>
      </w:r>
      <w:r w:rsidR="00EC780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ze strony</w:t>
      </w:r>
      <w:r w:rsidR="004677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organów </w:t>
      </w:r>
      <w:r w:rsidR="008A7BD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 instytucji </w:t>
      </w:r>
      <w:r w:rsidR="004677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Rady Europy</w:t>
      </w:r>
    </w:p>
    <w:p w14:paraId="0A20E177" w14:textId="750D7BA4" w:rsidR="002E73E2" w:rsidRPr="008F5EB5" w:rsidRDefault="008A7BD3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Państwa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Członkow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powinny wezwać organy i instytucje Rady Europy do zwrócenia 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szczególnej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uwagi na sprawy związane ze sprzyjającym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środowiskiem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w którym wszyscy obrońcy praw człowieka, w tym KIPC i organizacje społeczeństwa obywatelskiego, mogą bezpiecznie i swobodnie działa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Europe. 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>Chodzi w szczególności o</w:t>
      </w:r>
      <w:r w:rsidR="002E73E2" w:rsidRPr="008F5EB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A764A34" w14:textId="6953B1BA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>udzielanie informacji i dokumentacji, w tym dotyc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zących odnośnego orzecznictwa i 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>innych standardów europejskich, oraz sprzyjanie współpracy i działaniom uświadamiającym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 xml:space="preserve"> podejmowanym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 xml:space="preserve"> z organizacjami społeczeństwa obywatelskiego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>, a także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 xml:space="preserve"> sprzyjanie udziałowi obrońców praw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 xml:space="preserve"> w działalności Rady Europy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7097AAB" w14:textId="6A4F275D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8F5EB5">
        <w:rPr>
          <w:rFonts w:ascii="Times New Roman" w:eastAsia="Times New Roman" w:hAnsi="Times New Roman"/>
          <w:sz w:val="14"/>
          <w:szCs w:val="14"/>
          <w:lang w:eastAsia="pl-PL"/>
        </w:rPr>
        <w:t>           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zapewnienie, 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>by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 xml:space="preserve"> lokalne biura Rady Europy prom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>owały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działalność społeczeństwa obywatelskiego, KIPC i obrońców praw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 xml:space="preserve"> oraz nagłaśnia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>ły</w:t>
      </w:r>
      <w:r w:rsidR="006466FF">
        <w:rPr>
          <w:rFonts w:ascii="Times New Roman" w:eastAsia="Times New Roman" w:hAnsi="Times New Roman"/>
          <w:sz w:val="24"/>
          <w:szCs w:val="24"/>
          <w:lang w:eastAsia="pl-PL"/>
        </w:rPr>
        <w:t xml:space="preserve"> kluczowe wyroki Europejskiego Trybunału Praw Człowieka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47A2D">
        <w:rPr>
          <w:rFonts w:ascii="Times New Roman" w:eastAsia="Times New Roman" w:hAnsi="Times New Roman"/>
          <w:sz w:val="24"/>
          <w:szCs w:val="24"/>
          <w:lang w:eastAsia="pl-PL"/>
        </w:rPr>
        <w:t>zalecenia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 Komisarza Praw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Komisji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>enecki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ej oraz rezolucje Zgromadzenia P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arlamentarnego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dotyczące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bezpiecznego i 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>sprzyjającego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 xml:space="preserve"> obrońcom praw człowieka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 środowiska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1B3BA6D" w14:textId="555371AE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c.         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zwrócenie szczególnej uwagi na forum Komitetu Ministrów na wykonanie wyroków Europejskiego Trybunału Praw Człowieka dotyczących obrońców praw człowieka oraz środowiska 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 xml:space="preserve">sprzyjającego 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działalności związanej z prawami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>, które nie zostały jeszcze wdrożone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;  </w:t>
      </w:r>
    </w:p>
    <w:p w14:paraId="77C1849B" w14:textId="7355C6CB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d.         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zapewnienie nieprzerwanego dialogu i debat na temat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zagrożeń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 dla społeczeństwa obywatelskiego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KIPC i obrońców praw człowieka, w szczególności </w:t>
      </w:r>
      <w:r w:rsidR="00EC780D">
        <w:rPr>
          <w:rFonts w:ascii="Times New Roman" w:eastAsia="Times New Roman" w:hAnsi="Times New Roman"/>
          <w:sz w:val="24"/>
          <w:szCs w:val="24"/>
          <w:lang w:eastAsia="pl-PL"/>
        </w:rPr>
        <w:t>podjęcie problemu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 gróźb i ataków na obrońców praw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wyrażenie</w:t>
      </w:r>
      <w:r w:rsidR="00FC06CF">
        <w:rPr>
          <w:rFonts w:ascii="Times New Roman" w:eastAsia="Times New Roman" w:hAnsi="Times New Roman"/>
          <w:sz w:val="24"/>
          <w:szCs w:val="24"/>
          <w:lang w:eastAsia="pl-PL"/>
        </w:rPr>
        <w:t xml:space="preserve"> zaniepokojenia z powodu nieuzasadnionego aresztowania i zarzutów karnych, które </w:t>
      </w:r>
      <w:r w:rsidR="00946BD4">
        <w:rPr>
          <w:rFonts w:ascii="Times New Roman" w:eastAsia="Times New Roman" w:hAnsi="Times New Roman"/>
          <w:sz w:val="24"/>
          <w:szCs w:val="24"/>
          <w:lang w:eastAsia="pl-PL"/>
        </w:rPr>
        <w:t xml:space="preserve">w konsekwencji 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prowadzą do 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 xml:space="preserve">wstrzymania działalności społeczeństwa obywatelskiego w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Państwach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>-C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złon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6107CA">
        <w:rPr>
          <w:rFonts w:ascii="Times New Roman" w:eastAsia="Times New Roman" w:hAnsi="Times New Roman"/>
          <w:sz w:val="24"/>
          <w:szCs w:val="24"/>
          <w:lang w:eastAsia="pl-PL"/>
        </w:rPr>
        <w:t xml:space="preserve">ach </w:t>
      </w:r>
      <w:r w:rsidR="000070F4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ady Europy</w:t>
      </w:r>
      <w:r w:rsidR="00D8086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60917F5" w14:textId="77777777" w:rsidR="002E73E2" w:rsidRPr="008F5EB5" w:rsidRDefault="002E73E2" w:rsidP="002E73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 xml:space="preserve">e.         </w:t>
      </w:r>
      <w:r w:rsidR="00197FC3">
        <w:rPr>
          <w:rFonts w:ascii="Times New Roman" w:eastAsia="Times New Roman" w:hAnsi="Times New Roman"/>
          <w:sz w:val="24"/>
          <w:szCs w:val="24"/>
          <w:lang w:eastAsia="pl-PL"/>
        </w:rPr>
        <w:t>objęcia przeglądem kwestii dalszych działań Rady Europy w tej dziedzinie</w:t>
      </w:r>
      <w:r w:rsidRPr="008F5EB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sectPr w:rsidR="002E73E2" w:rsidRPr="008F5EB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CCBB4" w14:textId="77777777" w:rsidR="0078721F" w:rsidRDefault="0078721F" w:rsidP="00D80065">
      <w:pPr>
        <w:spacing w:after="0" w:line="240" w:lineRule="auto"/>
      </w:pPr>
      <w:r>
        <w:separator/>
      </w:r>
    </w:p>
  </w:endnote>
  <w:endnote w:type="continuationSeparator" w:id="0">
    <w:p w14:paraId="1D9A0E61" w14:textId="77777777" w:rsidR="0078721F" w:rsidRDefault="0078721F" w:rsidP="00D8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DC810" w14:textId="77777777" w:rsidR="0078721F" w:rsidRDefault="0078721F" w:rsidP="00D80065">
      <w:pPr>
        <w:spacing w:after="0" w:line="240" w:lineRule="auto"/>
      </w:pPr>
      <w:r>
        <w:separator/>
      </w:r>
    </w:p>
  </w:footnote>
  <w:footnote w:type="continuationSeparator" w:id="0">
    <w:p w14:paraId="2460B7F6" w14:textId="77777777" w:rsidR="0078721F" w:rsidRDefault="0078721F" w:rsidP="00D8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18367" w14:textId="6F979B8E" w:rsidR="00972844" w:rsidRPr="00972844" w:rsidRDefault="00972844" w:rsidP="00972844">
    <w:pPr>
      <w:pStyle w:val="Nagwek"/>
      <w:jc w:val="right"/>
      <w:rPr>
        <w:i/>
        <w:u w:val="single"/>
      </w:rPr>
    </w:pPr>
    <w:r w:rsidRPr="00972844">
      <w:rPr>
        <w:i/>
        <w:u w:val="single"/>
      </w:rPr>
      <w:t>Nieoficjalne tłumaczenie przygotowane przez Ministerstwo Spraw Zagranicznych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5266"/>
    <w:multiLevelType w:val="hybridMultilevel"/>
    <w:tmpl w:val="AD9EFDA4"/>
    <w:lvl w:ilvl="0" w:tplc="B0BCBD4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876D2B"/>
    <w:multiLevelType w:val="hybridMultilevel"/>
    <w:tmpl w:val="124C63A8"/>
    <w:lvl w:ilvl="0" w:tplc="5E4023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0BCBD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E2"/>
    <w:rsid w:val="00001058"/>
    <w:rsid w:val="000070F4"/>
    <w:rsid w:val="00007B2F"/>
    <w:rsid w:val="00011F38"/>
    <w:rsid w:val="00031D77"/>
    <w:rsid w:val="00062EEE"/>
    <w:rsid w:val="000A7358"/>
    <w:rsid w:val="000C4B35"/>
    <w:rsid w:val="000F50FF"/>
    <w:rsid w:val="00104CA7"/>
    <w:rsid w:val="00197FC3"/>
    <w:rsid w:val="001F1839"/>
    <w:rsid w:val="002036D3"/>
    <w:rsid w:val="00222112"/>
    <w:rsid w:val="00222F74"/>
    <w:rsid w:val="002A7F03"/>
    <w:rsid w:val="002E73E2"/>
    <w:rsid w:val="00316E6E"/>
    <w:rsid w:val="00322757"/>
    <w:rsid w:val="00337BF6"/>
    <w:rsid w:val="0036211F"/>
    <w:rsid w:val="00370BD2"/>
    <w:rsid w:val="003D1CB4"/>
    <w:rsid w:val="003D2909"/>
    <w:rsid w:val="003E1823"/>
    <w:rsid w:val="003F3B43"/>
    <w:rsid w:val="004027F2"/>
    <w:rsid w:val="00410AE3"/>
    <w:rsid w:val="00432EF3"/>
    <w:rsid w:val="00433E6B"/>
    <w:rsid w:val="00436EFD"/>
    <w:rsid w:val="004677F9"/>
    <w:rsid w:val="004742A2"/>
    <w:rsid w:val="00477E02"/>
    <w:rsid w:val="0049190C"/>
    <w:rsid w:val="004A737F"/>
    <w:rsid w:val="004B521C"/>
    <w:rsid w:val="004D0822"/>
    <w:rsid w:val="004D4E58"/>
    <w:rsid w:val="004F3315"/>
    <w:rsid w:val="004F4012"/>
    <w:rsid w:val="004F4E4E"/>
    <w:rsid w:val="004F5FB0"/>
    <w:rsid w:val="0050340D"/>
    <w:rsid w:val="0051155D"/>
    <w:rsid w:val="005365D5"/>
    <w:rsid w:val="005471B0"/>
    <w:rsid w:val="0055579F"/>
    <w:rsid w:val="00556B99"/>
    <w:rsid w:val="00560326"/>
    <w:rsid w:val="006107CA"/>
    <w:rsid w:val="00611FE3"/>
    <w:rsid w:val="00612CB0"/>
    <w:rsid w:val="006270B8"/>
    <w:rsid w:val="00634AC9"/>
    <w:rsid w:val="006466FF"/>
    <w:rsid w:val="0064771C"/>
    <w:rsid w:val="00687F6D"/>
    <w:rsid w:val="00694DC9"/>
    <w:rsid w:val="006A0F8D"/>
    <w:rsid w:val="006B7C20"/>
    <w:rsid w:val="006C6418"/>
    <w:rsid w:val="006D05F2"/>
    <w:rsid w:val="006E1C14"/>
    <w:rsid w:val="006E79DC"/>
    <w:rsid w:val="00744701"/>
    <w:rsid w:val="007656F0"/>
    <w:rsid w:val="00770CE2"/>
    <w:rsid w:val="00771F04"/>
    <w:rsid w:val="0078721F"/>
    <w:rsid w:val="007A4F0F"/>
    <w:rsid w:val="007B7EB7"/>
    <w:rsid w:val="007C0F41"/>
    <w:rsid w:val="00834828"/>
    <w:rsid w:val="008369B3"/>
    <w:rsid w:val="008724C1"/>
    <w:rsid w:val="008A0F85"/>
    <w:rsid w:val="008A4B0C"/>
    <w:rsid w:val="008A7BD3"/>
    <w:rsid w:val="008D3AA8"/>
    <w:rsid w:val="008D5E57"/>
    <w:rsid w:val="008F5EB5"/>
    <w:rsid w:val="00910F4A"/>
    <w:rsid w:val="0091418E"/>
    <w:rsid w:val="00914663"/>
    <w:rsid w:val="00914956"/>
    <w:rsid w:val="00946BD4"/>
    <w:rsid w:val="009567C2"/>
    <w:rsid w:val="00972844"/>
    <w:rsid w:val="0099470B"/>
    <w:rsid w:val="00997A7E"/>
    <w:rsid w:val="009A2349"/>
    <w:rsid w:val="009E0D32"/>
    <w:rsid w:val="009E6CDF"/>
    <w:rsid w:val="009F036A"/>
    <w:rsid w:val="009F7394"/>
    <w:rsid w:val="00A21D11"/>
    <w:rsid w:val="00A50DD0"/>
    <w:rsid w:val="00A532D9"/>
    <w:rsid w:val="00AA0F7B"/>
    <w:rsid w:val="00AA701B"/>
    <w:rsid w:val="00AA7530"/>
    <w:rsid w:val="00B07C92"/>
    <w:rsid w:val="00B13D17"/>
    <w:rsid w:val="00B3290B"/>
    <w:rsid w:val="00B37877"/>
    <w:rsid w:val="00BA67BC"/>
    <w:rsid w:val="00BB7D3C"/>
    <w:rsid w:val="00BD7B0D"/>
    <w:rsid w:val="00C02207"/>
    <w:rsid w:val="00C061F7"/>
    <w:rsid w:val="00C31288"/>
    <w:rsid w:val="00C35E2D"/>
    <w:rsid w:val="00C60056"/>
    <w:rsid w:val="00C7409A"/>
    <w:rsid w:val="00CA0541"/>
    <w:rsid w:val="00CA59D9"/>
    <w:rsid w:val="00CD41BF"/>
    <w:rsid w:val="00CD7A63"/>
    <w:rsid w:val="00CE6B6C"/>
    <w:rsid w:val="00CF6146"/>
    <w:rsid w:val="00D0550C"/>
    <w:rsid w:val="00D47A2D"/>
    <w:rsid w:val="00D501A2"/>
    <w:rsid w:val="00D54D75"/>
    <w:rsid w:val="00D74163"/>
    <w:rsid w:val="00D80065"/>
    <w:rsid w:val="00D8086C"/>
    <w:rsid w:val="00DA3D27"/>
    <w:rsid w:val="00DA7F1F"/>
    <w:rsid w:val="00DE34A5"/>
    <w:rsid w:val="00DE5798"/>
    <w:rsid w:val="00DF0517"/>
    <w:rsid w:val="00E11B56"/>
    <w:rsid w:val="00E6369B"/>
    <w:rsid w:val="00E8793F"/>
    <w:rsid w:val="00E96C9B"/>
    <w:rsid w:val="00EB1CC3"/>
    <w:rsid w:val="00EC780D"/>
    <w:rsid w:val="00F03D3E"/>
    <w:rsid w:val="00F50D89"/>
    <w:rsid w:val="00F90797"/>
    <w:rsid w:val="00FA3D53"/>
    <w:rsid w:val="00FA7CBA"/>
    <w:rsid w:val="00FB7770"/>
    <w:rsid w:val="00FC06CF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1326"/>
  <w15:docId w15:val="{C1B44F29-0CE1-4A94-A623-33C75178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663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4663"/>
    <w:rPr>
      <w:color w:val="0000FF"/>
      <w:u w:val="single"/>
    </w:rPr>
  </w:style>
  <w:style w:type="paragraph" w:styleId="Lista">
    <w:name w:val="List"/>
    <w:basedOn w:val="Normalny"/>
    <w:uiPriority w:val="99"/>
    <w:semiHidden/>
    <w:unhideWhenUsed/>
    <w:rsid w:val="00914663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4663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466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14663"/>
    <w:pPr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14663"/>
    <w:rPr>
      <w:rFonts w:ascii="Calibri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1466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14663"/>
    <w:rPr>
      <w:i/>
      <w:iCs/>
    </w:rPr>
  </w:style>
  <w:style w:type="character" w:styleId="Pogrubienie">
    <w:name w:val="Strong"/>
    <w:basedOn w:val="Domylnaczcionkaakapitu"/>
    <w:uiPriority w:val="22"/>
    <w:qFormat/>
    <w:rsid w:val="002E73E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0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065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0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7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7F2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7F2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7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8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84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65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0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9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6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23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18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22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23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coe.int/cm/Pages/result_details.aspx?Reference=CM/Rec(2007)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rch.coe.int/cm/Pages/result_details.aspx?Reference=CM/Rec(2016)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ozebrskae\Documents\szablony\pust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0C04-1920-4D5D-871E-E04E56E7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pusty.dotx</Template>
  <TotalTime>29</TotalTime>
  <Pages>7</Pages>
  <Words>2875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Suchożebrska Eliza</dc:creator>
  <cp:lastModifiedBy>Suchożebrska Eliza</cp:lastModifiedBy>
  <cp:revision>6</cp:revision>
  <dcterms:created xsi:type="dcterms:W3CDTF">2019-03-18T13:55:00Z</dcterms:created>
  <dcterms:modified xsi:type="dcterms:W3CDTF">2025-07-25T11:37:00Z</dcterms:modified>
</cp:coreProperties>
</file>