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8351C" w14:textId="77777777" w:rsidR="004B303F" w:rsidRPr="00CB1E64" w:rsidRDefault="00585473" w:rsidP="00CB1E64">
      <w:pPr>
        <w:spacing w:before="4320"/>
        <w:jc w:val="center"/>
        <w:rPr>
          <w:rFonts w:eastAsiaTheme="majorEastAsia" w:cstheme="minorHAnsi"/>
          <w:b/>
          <w:bCs/>
          <w:iCs/>
          <w:sz w:val="24"/>
          <w:szCs w:val="24"/>
        </w:rPr>
      </w:pPr>
      <w:r w:rsidRPr="00CB1E64">
        <w:rPr>
          <w:rFonts w:eastAsiaTheme="majorEastAsia" w:cstheme="minorHAnsi"/>
          <w:b/>
          <w:bCs/>
          <w:iCs/>
          <w:sz w:val="24"/>
          <w:szCs w:val="24"/>
        </w:rPr>
        <w:t>Załącznik</w:t>
      </w:r>
      <w:r w:rsidR="00A9616F" w:rsidRPr="00CB1E64">
        <w:rPr>
          <w:rFonts w:eastAsiaTheme="majorEastAsia" w:cstheme="minorHAnsi"/>
          <w:b/>
          <w:bCs/>
          <w:iCs/>
          <w:sz w:val="24"/>
          <w:szCs w:val="24"/>
        </w:rPr>
        <w:t xml:space="preserve"> 1</w:t>
      </w:r>
      <w:bookmarkStart w:id="0" w:name="_Toc428535187"/>
      <w:bookmarkStart w:id="1" w:name="_Toc431295988"/>
      <w:bookmarkStart w:id="2" w:name="_Toc78468497"/>
      <w:bookmarkStart w:id="3" w:name="_Toc406509583"/>
    </w:p>
    <w:p w14:paraId="171562BE" w14:textId="59BA22D0" w:rsidR="005B065F" w:rsidRPr="00CB1E64" w:rsidRDefault="003F4FBA" w:rsidP="00CB1E64">
      <w:pPr>
        <w:jc w:val="center"/>
        <w:rPr>
          <w:rFonts w:cstheme="minorHAnsi"/>
          <w:b/>
          <w:iCs/>
          <w:sz w:val="24"/>
          <w:szCs w:val="24"/>
        </w:rPr>
      </w:pPr>
      <w:r w:rsidRPr="00CB1E64">
        <w:rPr>
          <w:rFonts w:cstheme="minorHAnsi"/>
          <w:b/>
          <w:iCs/>
          <w:sz w:val="24"/>
          <w:szCs w:val="24"/>
        </w:rPr>
        <w:t>Zamówienia udzielane w Przedsięwzięciach</w:t>
      </w:r>
      <w:bookmarkEnd w:id="0"/>
      <w:bookmarkEnd w:id="1"/>
      <w:bookmarkEnd w:id="2"/>
      <w:r w:rsidRPr="00CB1E64">
        <w:rPr>
          <w:rFonts w:cstheme="minorHAnsi"/>
          <w:b/>
          <w:iCs/>
          <w:sz w:val="24"/>
          <w:szCs w:val="24"/>
        </w:rPr>
        <w:t xml:space="preserve"> real</w:t>
      </w:r>
      <w:r w:rsidR="00FA6EB4" w:rsidRPr="00CB1E64">
        <w:rPr>
          <w:rFonts w:cstheme="minorHAnsi"/>
          <w:b/>
          <w:iCs/>
          <w:sz w:val="24"/>
          <w:szCs w:val="24"/>
        </w:rPr>
        <w:t>izowanych w ramach inwestycji C2.1.1</w:t>
      </w:r>
    </w:p>
    <w:p w14:paraId="54D66D43" w14:textId="77777777" w:rsidR="005B065F" w:rsidRPr="00FC6D62" w:rsidRDefault="005B065F" w:rsidP="00FC6D62">
      <w:pPr>
        <w:rPr>
          <w:rFonts w:cstheme="minorHAnsi"/>
          <w:b/>
          <w:i/>
          <w:sz w:val="24"/>
          <w:szCs w:val="24"/>
        </w:rPr>
      </w:pPr>
      <w:r w:rsidRPr="00FC6D62">
        <w:rPr>
          <w:rFonts w:cstheme="minorHAnsi"/>
          <w:b/>
          <w:i/>
          <w:sz w:val="24"/>
          <w:szCs w:val="24"/>
        </w:rPr>
        <w:br w:type="page"/>
      </w:r>
    </w:p>
    <w:sdt>
      <w:sdtPr>
        <w:rPr>
          <w:rFonts w:asciiTheme="minorHAnsi" w:eastAsiaTheme="minorHAnsi" w:hAnsiTheme="minorHAnsi" w:cstheme="minorHAnsi"/>
          <w:b w:val="0"/>
          <w:sz w:val="22"/>
          <w:szCs w:val="24"/>
          <w:lang w:eastAsia="en-US"/>
        </w:rPr>
        <w:id w:val="-1936120184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C0A91F9" w14:textId="1794B3A4" w:rsidR="00722124" w:rsidRPr="00FC6D62" w:rsidRDefault="00722124" w:rsidP="00FC6D62">
          <w:pPr>
            <w:pStyle w:val="Nagwekspisutreci"/>
            <w:rPr>
              <w:rFonts w:asciiTheme="minorHAnsi" w:hAnsiTheme="minorHAnsi" w:cstheme="minorHAnsi"/>
              <w:b w:val="0"/>
              <w:szCs w:val="24"/>
            </w:rPr>
          </w:pPr>
          <w:r w:rsidRPr="00FC6D62">
            <w:rPr>
              <w:rFonts w:asciiTheme="minorHAnsi" w:hAnsiTheme="minorHAnsi" w:cstheme="minorHAnsi"/>
              <w:szCs w:val="24"/>
            </w:rPr>
            <w:t>Spis treści</w:t>
          </w:r>
        </w:p>
        <w:p w14:paraId="55694A33" w14:textId="5AF82E30" w:rsidR="00CB783C" w:rsidRDefault="00722124" w:rsidP="00CB1E64">
          <w:pPr>
            <w:pStyle w:val="Spistreci1"/>
            <w:tabs>
              <w:tab w:val="right" w:leader="dot" w:pos="9062"/>
            </w:tabs>
            <w:spacing w:line="360" w:lineRule="auto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FC6D62">
            <w:rPr>
              <w:rFonts w:cstheme="minorHAnsi"/>
              <w:sz w:val="24"/>
              <w:szCs w:val="24"/>
            </w:rPr>
            <w:fldChar w:fldCharType="begin"/>
          </w:r>
          <w:r w:rsidRPr="00FC6D62">
            <w:rPr>
              <w:rFonts w:cstheme="minorHAnsi"/>
              <w:sz w:val="24"/>
              <w:szCs w:val="24"/>
            </w:rPr>
            <w:instrText xml:space="preserve"> TOC \o "1-3" \h \z \u </w:instrText>
          </w:r>
          <w:r w:rsidRPr="00FC6D62">
            <w:rPr>
              <w:rFonts w:cstheme="minorHAnsi"/>
              <w:sz w:val="24"/>
              <w:szCs w:val="24"/>
            </w:rPr>
            <w:fldChar w:fldCharType="separate"/>
          </w:r>
          <w:hyperlink w:anchor="_Toc169702709" w:history="1">
            <w:r w:rsidR="00CB783C" w:rsidRPr="00FD27A9">
              <w:rPr>
                <w:rStyle w:val="Hipercze"/>
                <w:rFonts w:eastAsia="MS Mincho" w:cstheme="minorHAnsi"/>
                <w:noProof/>
                <w:lang w:eastAsia="ja-JP"/>
              </w:rPr>
              <w:t>1. Zamówienia udzielane w ramach Przedsięwzięć</w:t>
            </w:r>
            <w:r w:rsidR="00CB783C">
              <w:rPr>
                <w:noProof/>
                <w:webHidden/>
              </w:rPr>
              <w:tab/>
            </w:r>
            <w:r w:rsidR="00CB783C">
              <w:rPr>
                <w:noProof/>
                <w:webHidden/>
              </w:rPr>
              <w:fldChar w:fldCharType="begin"/>
            </w:r>
            <w:r w:rsidR="00CB783C">
              <w:rPr>
                <w:noProof/>
                <w:webHidden/>
              </w:rPr>
              <w:instrText xml:space="preserve"> PAGEREF _Toc169702709 \h </w:instrText>
            </w:r>
            <w:r w:rsidR="00CB783C">
              <w:rPr>
                <w:noProof/>
                <w:webHidden/>
              </w:rPr>
            </w:r>
            <w:r w:rsidR="00CB783C">
              <w:rPr>
                <w:noProof/>
                <w:webHidden/>
              </w:rPr>
              <w:fldChar w:fldCharType="separate"/>
            </w:r>
            <w:r w:rsidR="00CB783C">
              <w:rPr>
                <w:noProof/>
                <w:webHidden/>
              </w:rPr>
              <w:t>2</w:t>
            </w:r>
            <w:r w:rsidR="00CB783C">
              <w:rPr>
                <w:noProof/>
                <w:webHidden/>
              </w:rPr>
              <w:fldChar w:fldCharType="end"/>
            </w:r>
          </w:hyperlink>
        </w:p>
        <w:p w14:paraId="43506FCD" w14:textId="0CF17F9A" w:rsidR="00CB783C" w:rsidRDefault="009A0D1C" w:rsidP="00CB1E64">
          <w:pPr>
            <w:pStyle w:val="Spistreci2"/>
            <w:spacing w:line="360" w:lineRule="auto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9702710" w:history="1">
            <w:r w:rsidR="00CB783C" w:rsidRPr="00FD27A9">
              <w:rPr>
                <w:rStyle w:val="Hipercze"/>
                <w:rFonts w:eastAsia="MS Mincho" w:cstheme="minorHAnsi"/>
                <w:iCs/>
                <w:noProof/>
                <w:lang w:eastAsia="ja-JP"/>
              </w:rPr>
              <w:t>1.1. Zasada konkurencyjności</w:t>
            </w:r>
            <w:r w:rsidR="00CB783C">
              <w:rPr>
                <w:noProof/>
                <w:webHidden/>
              </w:rPr>
              <w:tab/>
            </w:r>
            <w:r w:rsidR="00CB783C">
              <w:rPr>
                <w:noProof/>
                <w:webHidden/>
              </w:rPr>
              <w:fldChar w:fldCharType="begin"/>
            </w:r>
            <w:r w:rsidR="00CB783C">
              <w:rPr>
                <w:noProof/>
                <w:webHidden/>
              </w:rPr>
              <w:instrText xml:space="preserve"> PAGEREF _Toc169702710 \h </w:instrText>
            </w:r>
            <w:r w:rsidR="00CB783C">
              <w:rPr>
                <w:noProof/>
                <w:webHidden/>
              </w:rPr>
            </w:r>
            <w:r w:rsidR="00CB783C">
              <w:rPr>
                <w:noProof/>
                <w:webHidden/>
              </w:rPr>
              <w:fldChar w:fldCharType="separate"/>
            </w:r>
            <w:r w:rsidR="00CB783C">
              <w:rPr>
                <w:noProof/>
                <w:webHidden/>
              </w:rPr>
              <w:t>6</w:t>
            </w:r>
            <w:r w:rsidR="00CB783C">
              <w:rPr>
                <w:noProof/>
                <w:webHidden/>
              </w:rPr>
              <w:fldChar w:fldCharType="end"/>
            </w:r>
          </w:hyperlink>
        </w:p>
        <w:p w14:paraId="7FDDED2D" w14:textId="11973CE9" w:rsidR="00CB783C" w:rsidRDefault="009A0D1C" w:rsidP="00CB1E64">
          <w:pPr>
            <w:pStyle w:val="Spistreci2"/>
            <w:spacing w:line="360" w:lineRule="auto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9702711" w:history="1">
            <w:r w:rsidR="00CB783C" w:rsidRPr="00FD27A9">
              <w:rPr>
                <w:rStyle w:val="Hipercze"/>
                <w:rFonts w:eastAsia="MS Mincho"/>
                <w:noProof/>
                <w:lang w:eastAsia="ja-JP"/>
              </w:rPr>
              <w:t xml:space="preserve">1.2. </w:t>
            </w:r>
            <w:r w:rsidR="00CB783C" w:rsidRPr="00FD27A9">
              <w:rPr>
                <w:rStyle w:val="Hipercze"/>
                <w:noProof/>
              </w:rPr>
              <w:t>Zamówienia w trybie in-house</w:t>
            </w:r>
            <w:r w:rsidR="00CB783C">
              <w:rPr>
                <w:noProof/>
                <w:webHidden/>
              </w:rPr>
              <w:tab/>
            </w:r>
            <w:r w:rsidR="00CB783C">
              <w:rPr>
                <w:noProof/>
                <w:webHidden/>
              </w:rPr>
              <w:fldChar w:fldCharType="begin"/>
            </w:r>
            <w:r w:rsidR="00CB783C">
              <w:rPr>
                <w:noProof/>
                <w:webHidden/>
              </w:rPr>
              <w:instrText xml:space="preserve"> PAGEREF _Toc169702711 \h </w:instrText>
            </w:r>
            <w:r w:rsidR="00CB783C">
              <w:rPr>
                <w:noProof/>
                <w:webHidden/>
              </w:rPr>
            </w:r>
            <w:r w:rsidR="00CB783C">
              <w:rPr>
                <w:noProof/>
                <w:webHidden/>
              </w:rPr>
              <w:fldChar w:fldCharType="separate"/>
            </w:r>
            <w:r w:rsidR="00CB783C">
              <w:rPr>
                <w:noProof/>
                <w:webHidden/>
              </w:rPr>
              <w:t>15</w:t>
            </w:r>
            <w:r w:rsidR="00CB783C">
              <w:rPr>
                <w:noProof/>
                <w:webHidden/>
              </w:rPr>
              <w:fldChar w:fldCharType="end"/>
            </w:r>
          </w:hyperlink>
        </w:p>
        <w:p w14:paraId="7FE0D227" w14:textId="2BE81F7C" w:rsidR="00CB783C" w:rsidRDefault="009A0D1C" w:rsidP="00CB1E64">
          <w:pPr>
            <w:pStyle w:val="Spistreci1"/>
            <w:tabs>
              <w:tab w:val="right" w:leader="dot" w:pos="9062"/>
            </w:tabs>
            <w:spacing w:line="360" w:lineRule="auto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9702712" w:history="1">
            <w:r w:rsidR="00CB783C" w:rsidRPr="00FD27A9">
              <w:rPr>
                <w:rStyle w:val="Hipercze"/>
                <w:rFonts w:eastAsia="MS Mincho" w:cstheme="minorHAnsi"/>
                <w:noProof/>
                <w:lang w:eastAsia="ja-JP"/>
              </w:rPr>
              <w:t>2. Przykłady możliwych nieprawidłowości w obszarze zamówień.</w:t>
            </w:r>
            <w:r w:rsidR="00CB783C">
              <w:rPr>
                <w:noProof/>
                <w:webHidden/>
              </w:rPr>
              <w:tab/>
            </w:r>
            <w:r w:rsidR="00CB783C">
              <w:rPr>
                <w:noProof/>
                <w:webHidden/>
              </w:rPr>
              <w:fldChar w:fldCharType="begin"/>
            </w:r>
            <w:r w:rsidR="00CB783C">
              <w:rPr>
                <w:noProof/>
                <w:webHidden/>
              </w:rPr>
              <w:instrText xml:space="preserve"> PAGEREF _Toc169702712 \h </w:instrText>
            </w:r>
            <w:r w:rsidR="00CB783C">
              <w:rPr>
                <w:noProof/>
                <w:webHidden/>
              </w:rPr>
            </w:r>
            <w:r w:rsidR="00CB783C">
              <w:rPr>
                <w:noProof/>
                <w:webHidden/>
              </w:rPr>
              <w:fldChar w:fldCharType="separate"/>
            </w:r>
            <w:r w:rsidR="00CB783C">
              <w:rPr>
                <w:noProof/>
                <w:webHidden/>
              </w:rPr>
              <w:t>16</w:t>
            </w:r>
            <w:r w:rsidR="00CB783C">
              <w:rPr>
                <w:noProof/>
                <w:webHidden/>
              </w:rPr>
              <w:fldChar w:fldCharType="end"/>
            </w:r>
          </w:hyperlink>
        </w:p>
        <w:p w14:paraId="6EEB1747" w14:textId="33D03B57" w:rsidR="00CB783C" w:rsidRDefault="009A0D1C" w:rsidP="00CB1E64">
          <w:pPr>
            <w:pStyle w:val="Spistreci1"/>
            <w:tabs>
              <w:tab w:val="right" w:leader="dot" w:pos="9062"/>
            </w:tabs>
            <w:spacing w:line="360" w:lineRule="auto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9702713" w:history="1">
            <w:r w:rsidR="00CB783C" w:rsidRPr="00FD27A9">
              <w:rPr>
                <w:rStyle w:val="Hipercze"/>
                <w:rFonts w:eastAsia="MS Mincho" w:cstheme="minorHAnsi"/>
                <w:noProof/>
                <w:lang w:eastAsia="ja-JP"/>
              </w:rPr>
              <w:t>3. Zestawienie regulacji w zakresie zasady konkurencyjności w odniesieniu do konieczności stosowania przez zamawiającego określonej ścieżki postępowania</w:t>
            </w:r>
            <w:r w:rsidR="00CB783C">
              <w:rPr>
                <w:noProof/>
                <w:webHidden/>
              </w:rPr>
              <w:tab/>
            </w:r>
            <w:r w:rsidR="00CB783C">
              <w:rPr>
                <w:noProof/>
                <w:webHidden/>
              </w:rPr>
              <w:fldChar w:fldCharType="begin"/>
            </w:r>
            <w:r w:rsidR="00CB783C">
              <w:rPr>
                <w:noProof/>
                <w:webHidden/>
              </w:rPr>
              <w:instrText xml:space="preserve"> PAGEREF _Toc169702713 \h </w:instrText>
            </w:r>
            <w:r w:rsidR="00CB783C">
              <w:rPr>
                <w:noProof/>
                <w:webHidden/>
              </w:rPr>
            </w:r>
            <w:r w:rsidR="00CB783C">
              <w:rPr>
                <w:noProof/>
                <w:webHidden/>
              </w:rPr>
              <w:fldChar w:fldCharType="separate"/>
            </w:r>
            <w:r w:rsidR="00CB783C">
              <w:rPr>
                <w:noProof/>
                <w:webHidden/>
              </w:rPr>
              <w:t>19</w:t>
            </w:r>
            <w:r w:rsidR="00CB783C">
              <w:rPr>
                <w:noProof/>
                <w:webHidden/>
              </w:rPr>
              <w:fldChar w:fldCharType="end"/>
            </w:r>
          </w:hyperlink>
        </w:p>
        <w:p w14:paraId="4D202458" w14:textId="0E11A4B4" w:rsidR="00CB1E64" w:rsidRPr="00CB1E64" w:rsidRDefault="00722124" w:rsidP="00CB1E64">
          <w:pPr>
            <w:spacing w:line="276" w:lineRule="auto"/>
            <w:rPr>
              <w:rFonts w:cstheme="minorHAnsi"/>
              <w:b/>
              <w:bCs/>
              <w:sz w:val="24"/>
              <w:szCs w:val="24"/>
            </w:rPr>
          </w:pPr>
          <w:r w:rsidRPr="00FC6D62">
            <w:rPr>
              <w:rFonts w:cstheme="minorHAnsi"/>
              <w:b/>
              <w:bCs/>
              <w:sz w:val="24"/>
              <w:szCs w:val="24"/>
            </w:rPr>
            <w:fldChar w:fldCharType="end"/>
          </w:r>
        </w:p>
      </w:sdtContent>
    </w:sdt>
    <w:bookmarkEnd w:id="3" w:displacedByCustomXml="prev"/>
    <w:bookmarkStart w:id="4" w:name="_Toc169702709" w:displacedByCustomXml="prev"/>
    <w:p w14:paraId="061FA9EB" w14:textId="77777777" w:rsidR="00CB1E64" w:rsidRDefault="00CB1E64">
      <w:pPr>
        <w:rPr>
          <w:rFonts w:asciiTheme="majorHAnsi" w:eastAsia="MS Mincho" w:hAnsiTheme="majorHAnsi" w:cstheme="majorBidi"/>
          <w:b/>
          <w:sz w:val="24"/>
          <w:szCs w:val="32"/>
          <w:lang w:eastAsia="ja-JP"/>
        </w:rPr>
      </w:pPr>
      <w:r>
        <w:rPr>
          <w:rFonts w:eastAsia="MS Mincho"/>
          <w:lang w:eastAsia="ja-JP"/>
        </w:rPr>
        <w:br w:type="page"/>
      </w:r>
    </w:p>
    <w:p w14:paraId="677F43A3" w14:textId="41577E3B" w:rsidR="00D24E7A" w:rsidRPr="00CB783C" w:rsidRDefault="00CB1E64" w:rsidP="00CB783C">
      <w:pPr>
        <w:pStyle w:val="Nagwek1"/>
        <w:rPr>
          <w:rFonts w:eastAsia="MS Mincho"/>
          <w:lang w:eastAsia="ja-JP"/>
        </w:rPr>
      </w:pPr>
      <w:r>
        <w:rPr>
          <w:rFonts w:eastAsia="MS Mincho"/>
          <w:lang w:eastAsia="ja-JP"/>
        </w:rPr>
        <w:lastRenderedPageBreak/>
        <w:t xml:space="preserve">1. </w:t>
      </w:r>
      <w:r w:rsidR="00D24E7A" w:rsidRPr="00CB783C">
        <w:rPr>
          <w:rFonts w:eastAsia="MS Mincho"/>
          <w:lang w:eastAsia="ja-JP"/>
        </w:rPr>
        <w:t xml:space="preserve">Zamówienia udzielane w ramach </w:t>
      </w:r>
      <w:r w:rsidR="00D41CD7" w:rsidRPr="00CB783C">
        <w:rPr>
          <w:rFonts w:eastAsia="MS Mincho"/>
          <w:lang w:eastAsia="ja-JP"/>
        </w:rPr>
        <w:t>Przedsięwzięć</w:t>
      </w:r>
      <w:bookmarkEnd w:id="4"/>
    </w:p>
    <w:p w14:paraId="19D8C8AB" w14:textId="77777777" w:rsidR="005C1397" w:rsidRPr="00FC6D62" w:rsidRDefault="00691701" w:rsidP="00AD78EE">
      <w:pPr>
        <w:pStyle w:val="Akapitzlist"/>
        <w:numPr>
          <w:ilvl w:val="0"/>
          <w:numId w:val="3"/>
        </w:numPr>
        <w:spacing w:after="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Beneficjent jest zobowiązany do</w:t>
      </w:r>
      <w:r w:rsidR="005C1397" w:rsidRPr="00FC6D62">
        <w:rPr>
          <w:rFonts w:eastAsia="MS Mincho" w:cstheme="minorHAnsi"/>
          <w:sz w:val="24"/>
          <w:szCs w:val="24"/>
          <w:lang w:eastAsia="ja-JP"/>
        </w:rPr>
        <w:t>:</w:t>
      </w:r>
    </w:p>
    <w:p w14:paraId="0C899948" w14:textId="054B25D9" w:rsidR="005C1397" w:rsidRPr="00FC6D62" w:rsidRDefault="00CE5A47" w:rsidP="00AD78EE">
      <w:pPr>
        <w:pStyle w:val="Akapitzlist"/>
        <w:numPr>
          <w:ilvl w:val="1"/>
          <w:numId w:val="3"/>
        </w:numPr>
        <w:spacing w:after="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s</w:t>
      </w:r>
      <w:r w:rsidR="00691701" w:rsidRPr="00FC6D62">
        <w:rPr>
          <w:rFonts w:eastAsia="MS Mincho" w:cstheme="minorHAnsi"/>
          <w:sz w:val="24"/>
          <w:szCs w:val="24"/>
          <w:lang w:eastAsia="ja-JP"/>
        </w:rPr>
        <w:t xml:space="preserve">tosowania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ustawy </w:t>
      </w:r>
      <w:r w:rsidR="00691701" w:rsidRPr="00FC6D62">
        <w:rPr>
          <w:rFonts w:eastAsia="MS Mincho" w:cstheme="minorHAnsi"/>
          <w:sz w:val="24"/>
          <w:szCs w:val="24"/>
          <w:lang w:eastAsia="ja-JP"/>
        </w:rPr>
        <w:t>PZP</w:t>
      </w:r>
    </w:p>
    <w:p w14:paraId="616A9C4E" w14:textId="2EF79EAB" w:rsidR="00691701" w:rsidRPr="00FC6D62" w:rsidRDefault="00691701" w:rsidP="00AD78EE">
      <w:pPr>
        <w:pStyle w:val="Akapitzlist"/>
        <w:numPr>
          <w:ilvl w:val="1"/>
          <w:numId w:val="3"/>
        </w:numPr>
        <w:spacing w:after="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lub dla podmiotów nie zobowiązanych do stosowania</w:t>
      </w:r>
      <w:r w:rsidR="00CE5A47" w:rsidRPr="00FC6D62">
        <w:rPr>
          <w:rFonts w:eastAsia="MS Mincho" w:cstheme="minorHAnsi"/>
          <w:sz w:val="24"/>
          <w:szCs w:val="24"/>
          <w:lang w:eastAsia="ja-JP"/>
        </w:rPr>
        <w:t xml:space="preserve"> ustawy</w:t>
      </w:r>
      <w:r w:rsidR="005C139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PZP</w:t>
      </w:r>
      <w:r w:rsidR="005C1397" w:rsidRPr="00FC6D62">
        <w:rPr>
          <w:rFonts w:eastAsia="MS Mincho" w:cstheme="minorHAnsi"/>
          <w:sz w:val="24"/>
          <w:szCs w:val="24"/>
          <w:lang w:eastAsia="ja-JP"/>
        </w:rPr>
        <w:t>, do stosowania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zasad, określonych w</w:t>
      </w:r>
      <w:r w:rsidR="00CE5A47" w:rsidRPr="00FC6D62">
        <w:rPr>
          <w:rFonts w:eastAsia="MS Mincho" w:cstheme="minorHAnsi"/>
          <w:sz w:val="24"/>
          <w:szCs w:val="24"/>
          <w:lang w:eastAsia="ja-JP"/>
        </w:rPr>
        <w:t xml:space="preserve"> niniejszym załączniku</w:t>
      </w:r>
      <w:r w:rsidR="005C1397" w:rsidRPr="00FC6D62">
        <w:rPr>
          <w:rFonts w:eastAsia="MS Mincho" w:cstheme="minorHAnsi"/>
          <w:sz w:val="24"/>
          <w:szCs w:val="24"/>
          <w:lang w:eastAsia="ja-JP"/>
        </w:rPr>
        <w:t>.</w:t>
      </w:r>
    </w:p>
    <w:p w14:paraId="5F1BCA2B" w14:textId="1E519FB9" w:rsidR="000069FF" w:rsidRPr="00FC6D62" w:rsidRDefault="008068E6" w:rsidP="00AD78EE">
      <w:pPr>
        <w:pStyle w:val="Akapitzlist"/>
        <w:numPr>
          <w:ilvl w:val="0"/>
          <w:numId w:val="3"/>
        </w:numPr>
        <w:spacing w:after="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 xml:space="preserve">Beneficjent </w:t>
      </w:r>
      <w:r w:rsidR="00E773E3" w:rsidRPr="00FC6D62">
        <w:rPr>
          <w:rFonts w:eastAsia="MS Mincho" w:cstheme="minorHAnsi"/>
          <w:sz w:val="24"/>
          <w:szCs w:val="24"/>
          <w:lang w:eastAsia="ja-JP"/>
        </w:rPr>
        <w:t>jest</w:t>
      </w:r>
      <w:r w:rsidR="00D12C3D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7E33C4" w:rsidRPr="00FC6D62">
        <w:rPr>
          <w:rFonts w:eastAsia="MS Mincho" w:cstheme="minorHAnsi"/>
          <w:sz w:val="24"/>
          <w:szCs w:val="24"/>
          <w:lang w:eastAsia="ja-JP"/>
        </w:rPr>
        <w:t>zobowiązan</w:t>
      </w:r>
      <w:r w:rsidR="00E773E3" w:rsidRPr="00FC6D62">
        <w:rPr>
          <w:rFonts w:eastAsia="MS Mincho" w:cstheme="minorHAnsi"/>
          <w:sz w:val="24"/>
          <w:szCs w:val="24"/>
          <w:lang w:eastAsia="ja-JP"/>
        </w:rPr>
        <w:t>y</w:t>
      </w:r>
      <w:r w:rsidR="007E33C4" w:rsidRPr="00FC6D62">
        <w:rPr>
          <w:rFonts w:eastAsia="MS Mincho" w:cstheme="minorHAnsi"/>
          <w:sz w:val="24"/>
          <w:szCs w:val="24"/>
          <w:lang w:eastAsia="ja-JP"/>
        </w:rPr>
        <w:t xml:space="preserve"> do 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>przeprowadzenia postępowania</w:t>
      </w:r>
      <w:r w:rsidR="00FA6EB4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>o udzielenie zamówienia o wartości szacunkowej przekraczającej 50 tys. PLN netto,</w:t>
      </w:r>
      <w:r w:rsidR="00FA6EB4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>tj. bez podatku od towarów i usług (VAT) w sposób zapewniający przejrzystość oraz</w:t>
      </w:r>
      <w:r w:rsidR="00FA6EB4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>zachowanie uczciwej konkurencji i równego traktowania wykonawców. Spełnienie</w:t>
      </w:r>
      <w:r w:rsidR="00FA6EB4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>powyższych wymogów następuje w drodze zastosowania Pzp albo zasady</w:t>
      </w:r>
      <w:r w:rsidR="00FA6EB4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 xml:space="preserve">konkurencyjności określonej w sekcji </w:t>
      </w:r>
      <w:r w:rsidR="0084083C" w:rsidRPr="00FC6D62">
        <w:rPr>
          <w:rFonts w:eastAsia="MS Mincho" w:cstheme="minorHAnsi"/>
          <w:sz w:val="24"/>
          <w:szCs w:val="24"/>
          <w:lang w:eastAsia="ja-JP"/>
        </w:rPr>
        <w:t>1.</w:t>
      </w:r>
      <w:r w:rsidR="00543235" w:rsidRPr="00FC6D62">
        <w:rPr>
          <w:rFonts w:eastAsia="MS Mincho" w:cstheme="minorHAnsi"/>
          <w:sz w:val="24"/>
          <w:szCs w:val="24"/>
          <w:lang w:eastAsia="ja-JP"/>
        </w:rPr>
        <w:t>1</w:t>
      </w:r>
      <w:r w:rsidR="0084083C" w:rsidRPr="00FC6D62">
        <w:rPr>
          <w:rFonts w:eastAsia="MS Mincho" w:cstheme="minorHAnsi"/>
          <w:sz w:val="24"/>
          <w:szCs w:val="24"/>
          <w:lang w:eastAsia="ja-JP"/>
        </w:rPr>
        <w:t xml:space="preserve">. </w:t>
      </w:r>
    </w:p>
    <w:p w14:paraId="6D97D19D" w14:textId="04425B12" w:rsidR="000069FF" w:rsidRPr="00FC6D62" w:rsidRDefault="004255EE" w:rsidP="00AD78EE">
      <w:pPr>
        <w:pStyle w:val="Akapitzlist"/>
        <w:numPr>
          <w:ilvl w:val="0"/>
          <w:numId w:val="3"/>
        </w:numPr>
        <w:spacing w:after="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 xml:space="preserve">Beneficjenci zobowiązani do stosowania ustawy PZP jak i podmioty </w:t>
      </w:r>
      <w:r w:rsidR="0095124F" w:rsidRPr="00FC6D62">
        <w:rPr>
          <w:rFonts w:eastAsia="MS Mincho" w:cstheme="minorHAnsi"/>
          <w:sz w:val="24"/>
          <w:szCs w:val="24"/>
          <w:lang w:eastAsia="ja-JP"/>
        </w:rPr>
        <w:t>niemające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takiego obowiązku mogą </w:t>
      </w:r>
      <w:r w:rsidR="00731CD4" w:rsidRPr="00FC6D62">
        <w:rPr>
          <w:rFonts w:eastAsia="MS Mincho" w:cstheme="minorHAnsi"/>
          <w:sz w:val="24"/>
          <w:szCs w:val="24"/>
          <w:lang w:eastAsia="ja-JP"/>
        </w:rPr>
        <w:t xml:space="preserve">dla wydatków </w:t>
      </w:r>
      <w:r w:rsidRPr="00FC6D62">
        <w:rPr>
          <w:rFonts w:eastAsia="MS Mincho" w:cstheme="minorHAnsi"/>
          <w:sz w:val="24"/>
          <w:szCs w:val="24"/>
          <w:lang w:eastAsia="ja-JP"/>
        </w:rPr>
        <w:t>do 50 tys. PLN netto stosować własne wewnętrzne uregulowania określające zasady dokonywania zakupu towarów, usług oraz robót budowlanych.</w:t>
      </w:r>
      <w:r w:rsidR="00731CD4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1C4668" w:rsidRPr="00FC6D62">
        <w:rPr>
          <w:rFonts w:eastAsia="MS Mincho" w:cstheme="minorHAnsi"/>
          <w:sz w:val="24"/>
          <w:szCs w:val="24"/>
          <w:lang w:eastAsia="ja-JP"/>
        </w:rPr>
        <w:t xml:space="preserve">Koszty 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 xml:space="preserve">w ramach </w:t>
      </w:r>
      <w:r w:rsidR="001C4668" w:rsidRPr="00FC6D62">
        <w:rPr>
          <w:rFonts w:eastAsia="MS Mincho" w:cstheme="minorHAnsi"/>
          <w:sz w:val="24"/>
          <w:szCs w:val="24"/>
          <w:lang w:eastAsia="ja-JP"/>
        </w:rPr>
        <w:t>Przedsięwzięcia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 xml:space="preserve"> muszą być</w:t>
      </w:r>
      <w:r w:rsidR="00A053A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 xml:space="preserve">ponoszone w sposób przejrzysty, racjonalny i efektywny. </w:t>
      </w:r>
    </w:p>
    <w:p w14:paraId="1ABA1F5A" w14:textId="396D2778" w:rsidR="000069FF" w:rsidRPr="00FC6D62" w:rsidRDefault="00D24E7A" w:rsidP="00AD78EE">
      <w:pPr>
        <w:pStyle w:val="Akapitzlist"/>
        <w:numPr>
          <w:ilvl w:val="0"/>
          <w:numId w:val="3"/>
        </w:numPr>
        <w:spacing w:after="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 przypadku, gdy</w:t>
      </w:r>
      <w:r w:rsidR="00653A5E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033023" w:rsidRPr="00FC6D62">
        <w:rPr>
          <w:rFonts w:eastAsia="MS Mincho" w:cstheme="minorHAnsi"/>
          <w:sz w:val="24"/>
          <w:szCs w:val="24"/>
          <w:lang w:eastAsia="ja-JP"/>
        </w:rPr>
        <w:t>B</w:t>
      </w:r>
      <w:r w:rsidRPr="00FC6D62">
        <w:rPr>
          <w:rFonts w:eastAsia="MS Mincho" w:cstheme="minorHAnsi"/>
          <w:sz w:val="24"/>
          <w:szCs w:val="24"/>
          <w:lang w:eastAsia="ja-JP"/>
        </w:rPr>
        <w:t>eneficjent</w:t>
      </w:r>
      <w:r w:rsidR="007A21C0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jest organem administracji publicznej, może on</w:t>
      </w:r>
      <w:r w:rsidR="007A21C0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powierzać na podstawie art. 5 ust. 2 pkt 1 ustawy z dnia 24 kwietnia 2003 r.</w:t>
      </w:r>
      <w:r w:rsidR="007A21C0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 działalności pożytku publicznego i o wolontariacie realizację zadań publicznych</w:t>
      </w:r>
      <w:r w:rsidR="007A21C0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 trybie określonym w tej ustawie. Do powierzenia realizacji zadań publicznych</w:t>
      </w:r>
      <w:r w:rsidR="00D124F4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 ww. trybie, procedur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y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określo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nej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w sekcj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i</w:t>
      </w:r>
      <w:r w:rsidR="00EF5F4C" w:rsidRPr="00FC6D62">
        <w:rPr>
          <w:rFonts w:eastAsia="MS Mincho" w:cstheme="minorHAnsi"/>
          <w:sz w:val="24"/>
          <w:szCs w:val="24"/>
          <w:lang w:eastAsia="ja-JP"/>
        </w:rPr>
        <w:t xml:space="preserve"> 1.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1</w:t>
      </w:r>
      <w:r w:rsidR="00D124F4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nie stosuje się.</w:t>
      </w:r>
    </w:p>
    <w:p w14:paraId="63007E30" w14:textId="27A58D33" w:rsidR="000069FF" w:rsidRPr="00FC6D62" w:rsidRDefault="00D24E7A" w:rsidP="00AD78EE">
      <w:pPr>
        <w:pStyle w:val="Akapitzlist"/>
        <w:numPr>
          <w:ilvl w:val="0"/>
          <w:numId w:val="3"/>
        </w:numPr>
        <w:spacing w:after="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 przypadku, gdy na podstawie obowiązujących przepisów prawa innych niż Pzp</w:t>
      </w:r>
      <w:r w:rsidR="00F310AD" w:rsidRPr="00FC6D62">
        <w:rPr>
          <w:rFonts w:eastAsia="MS Mincho" w:cstheme="minorHAnsi"/>
          <w:sz w:val="24"/>
          <w:szCs w:val="24"/>
          <w:lang w:eastAsia="ja-JP"/>
        </w:rPr>
        <w:t xml:space="preserve"> wyłącza się stosowanie Pzp, </w:t>
      </w:r>
      <w:r w:rsidR="009D2F4A" w:rsidRPr="00FC6D62">
        <w:rPr>
          <w:rFonts w:eastAsia="MS Mincho" w:cstheme="minorHAnsi"/>
          <w:sz w:val="24"/>
          <w:szCs w:val="24"/>
          <w:lang w:eastAsia="ja-JP"/>
        </w:rPr>
        <w:t xml:space="preserve">Beneficjent </w:t>
      </w:r>
      <w:r w:rsidR="00F310AD" w:rsidRPr="00FC6D62">
        <w:rPr>
          <w:rFonts w:eastAsia="MS Mincho" w:cstheme="minorHAnsi"/>
          <w:sz w:val="24"/>
          <w:szCs w:val="24"/>
          <w:lang w:eastAsia="ja-JP"/>
        </w:rPr>
        <w:t>będący zamawiającym w rozumieniu Pzp przeprowadza zamówienie z zastosowaniem tych przepisów. Do przeprowadzenia zamówienia w ww. trybie, procedur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y</w:t>
      </w:r>
      <w:r w:rsidR="00F310AD" w:rsidRPr="00FC6D62">
        <w:rPr>
          <w:rFonts w:eastAsia="MS Mincho" w:cstheme="minorHAnsi"/>
          <w:sz w:val="24"/>
          <w:szCs w:val="24"/>
          <w:lang w:eastAsia="ja-JP"/>
        </w:rPr>
        <w:t xml:space="preserve"> określo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nej</w:t>
      </w:r>
      <w:r w:rsidR="00F310AD" w:rsidRPr="00FC6D62">
        <w:rPr>
          <w:rFonts w:eastAsia="MS Mincho" w:cstheme="minorHAnsi"/>
          <w:sz w:val="24"/>
          <w:szCs w:val="24"/>
          <w:lang w:eastAsia="ja-JP"/>
        </w:rPr>
        <w:t xml:space="preserve"> w sek</w:t>
      </w:r>
      <w:r w:rsidR="00016D2C" w:rsidRPr="00FC6D62">
        <w:rPr>
          <w:rFonts w:eastAsia="MS Mincho" w:cstheme="minorHAnsi"/>
          <w:sz w:val="24"/>
          <w:szCs w:val="24"/>
          <w:lang w:eastAsia="ja-JP"/>
        </w:rPr>
        <w:t>cj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i</w:t>
      </w:r>
      <w:r w:rsidR="00016D2C" w:rsidRPr="00FC6D62">
        <w:rPr>
          <w:rFonts w:eastAsia="MS Mincho" w:cstheme="minorHAnsi"/>
          <w:sz w:val="24"/>
          <w:szCs w:val="24"/>
          <w:lang w:eastAsia="ja-JP"/>
        </w:rPr>
        <w:t xml:space="preserve"> 1.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1</w:t>
      </w:r>
      <w:r w:rsidR="00016D2C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F310AD" w:rsidRPr="00FC6D62">
        <w:rPr>
          <w:rFonts w:eastAsia="MS Mincho" w:cstheme="minorHAnsi"/>
          <w:sz w:val="24"/>
          <w:szCs w:val="24"/>
          <w:lang w:eastAsia="ja-JP"/>
        </w:rPr>
        <w:t xml:space="preserve">nie stosuje </w:t>
      </w:r>
      <w:r w:rsidR="000069FF" w:rsidRPr="00FC6D62">
        <w:rPr>
          <w:rFonts w:eastAsia="MS Mincho" w:cstheme="minorHAnsi"/>
          <w:sz w:val="24"/>
          <w:szCs w:val="24"/>
          <w:lang w:eastAsia="ja-JP"/>
        </w:rPr>
        <w:t>się</w:t>
      </w:r>
      <w:r w:rsidR="00E87176" w:rsidRPr="00FC6D62">
        <w:rPr>
          <w:rFonts w:eastAsia="MS Mincho" w:cstheme="minorHAnsi"/>
          <w:sz w:val="24"/>
          <w:szCs w:val="24"/>
          <w:lang w:eastAsia="ja-JP"/>
        </w:rPr>
        <w:t>.</w:t>
      </w:r>
    </w:p>
    <w:p w14:paraId="74EBECBC" w14:textId="0D4D01F8" w:rsidR="000069FF" w:rsidRPr="00FC6D62" w:rsidRDefault="00D24E7A" w:rsidP="00AD78EE">
      <w:pPr>
        <w:pStyle w:val="Akapitzlist"/>
        <w:numPr>
          <w:ilvl w:val="0"/>
          <w:numId w:val="3"/>
        </w:numPr>
        <w:spacing w:after="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Procedur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y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określo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nej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w sekcj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 xml:space="preserve">i </w:t>
      </w:r>
      <w:r w:rsidR="00016D2C" w:rsidRPr="00FC6D62">
        <w:rPr>
          <w:rFonts w:eastAsia="MS Mincho" w:cstheme="minorHAnsi"/>
          <w:sz w:val="24"/>
          <w:szCs w:val="24"/>
          <w:lang w:eastAsia="ja-JP"/>
        </w:rPr>
        <w:t>1.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1</w:t>
      </w:r>
      <w:r w:rsidR="00016D2C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nie stosuje się </w:t>
      </w:r>
      <w:r w:rsidR="00C256DD" w:rsidRPr="00FC6D62">
        <w:rPr>
          <w:rFonts w:eastAsia="MS Mincho" w:cstheme="minorHAnsi"/>
          <w:sz w:val="24"/>
          <w:szCs w:val="24"/>
          <w:lang w:eastAsia="ja-JP"/>
        </w:rPr>
        <w:t xml:space="preserve">także </w:t>
      </w:r>
      <w:r w:rsidR="00B90C7E" w:rsidRPr="00FC6D62">
        <w:rPr>
          <w:rFonts w:eastAsia="MS Mincho" w:cstheme="minorHAnsi"/>
          <w:sz w:val="24"/>
          <w:szCs w:val="24"/>
          <w:lang w:eastAsia="ja-JP"/>
        </w:rPr>
        <w:t xml:space="preserve">do </w:t>
      </w:r>
      <w:r w:rsidRPr="00FC6D62">
        <w:rPr>
          <w:rFonts w:eastAsia="MS Mincho" w:cstheme="minorHAnsi"/>
          <w:sz w:val="24"/>
          <w:szCs w:val="24"/>
          <w:lang w:eastAsia="ja-JP"/>
        </w:rPr>
        <w:t>zamówi</w:t>
      </w:r>
      <w:r w:rsidR="00B90C7E" w:rsidRPr="00FC6D62">
        <w:rPr>
          <w:rFonts w:eastAsia="MS Mincho" w:cstheme="minorHAnsi"/>
          <w:sz w:val="24"/>
          <w:szCs w:val="24"/>
          <w:lang w:eastAsia="ja-JP"/>
        </w:rPr>
        <w:t xml:space="preserve">eń określonych w art. 9-14 Pzp. </w:t>
      </w:r>
    </w:p>
    <w:p w14:paraId="1B46A052" w14:textId="69B8780A" w:rsidR="00A149EC" w:rsidRPr="00FC6D62" w:rsidRDefault="00D24E7A" w:rsidP="00AD78EE">
      <w:pPr>
        <w:pStyle w:val="Akapitzlist"/>
        <w:numPr>
          <w:ilvl w:val="0"/>
          <w:numId w:val="3"/>
        </w:numPr>
        <w:spacing w:after="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lastRenderedPageBreak/>
        <w:t>Możliwe jest niestosowanie procedur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y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określon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ej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w sekcj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i</w:t>
      </w:r>
      <w:r w:rsidR="002737F0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95124F" w:rsidRPr="00FC6D62">
        <w:rPr>
          <w:rFonts w:eastAsia="MS Mincho" w:cstheme="minorHAnsi"/>
          <w:sz w:val="24"/>
          <w:szCs w:val="24"/>
          <w:lang w:eastAsia="ja-JP"/>
        </w:rPr>
        <w:t>1.1 przy</w:t>
      </w:r>
      <w:r w:rsidR="000D1C56" w:rsidRPr="00FC6D62">
        <w:rPr>
          <w:rFonts w:eastAsia="MS Mincho" w:cstheme="minorHAnsi"/>
          <w:sz w:val="24"/>
          <w:szCs w:val="24"/>
          <w:lang w:eastAsia="ja-JP"/>
        </w:rPr>
        <w:t xml:space="preserve"> udzielaniu zamówień w następujących przypadkach:</w:t>
      </w:r>
      <w:r w:rsidR="008B068D" w:rsidRPr="00FC6D62">
        <w:rPr>
          <w:rStyle w:val="Odwoanieprzypisudolnego"/>
          <w:rFonts w:eastAsia="MS Mincho" w:cstheme="minorHAnsi"/>
          <w:sz w:val="24"/>
          <w:szCs w:val="24"/>
          <w:lang w:eastAsia="ja-JP"/>
        </w:rPr>
        <w:footnoteReference w:id="1"/>
      </w:r>
    </w:p>
    <w:p w14:paraId="644183DF" w14:textId="6699D7D5" w:rsidR="000069FF" w:rsidRPr="00FC6D62" w:rsidRDefault="00D24E7A" w:rsidP="00AD78EE">
      <w:pPr>
        <w:pStyle w:val="Akapitzlist"/>
        <w:numPr>
          <w:ilvl w:val="0"/>
          <w:numId w:val="4"/>
        </w:numPr>
        <w:spacing w:after="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 xml:space="preserve">w wyniku prawidłowego zastosowania zasady konkurencyjności </w:t>
      </w:r>
      <w:r w:rsidR="00591B6B" w:rsidRPr="00FC6D62">
        <w:rPr>
          <w:rFonts w:eastAsia="MS Mincho" w:cstheme="minorHAnsi"/>
          <w:sz w:val="24"/>
          <w:szCs w:val="24"/>
          <w:lang w:eastAsia="ja-JP"/>
        </w:rPr>
        <w:t>określonej w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sekcji </w:t>
      </w:r>
      <w:r w:rsidR="003D5AA1" w:rsidRPr="00FC6D62">
        <w:rPr>
          <w:rFonts w:eastAsia="MS Mincho" w:cstheme="minorHAnsi"/>
          <w:sz w:val="24"/>
          <w:szCs w:val="24"/>
          <w:lang w:eastAsia="ja-JP"/>
        </w:rPr>
        <w:t>1.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1</w:t>
      </w:r>
      <w:r w:rsidR="003D5AA1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nie wpłynęła żadna oferta</w:t>
      </w:r>
      <w:r w:rsidR="00591B6B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lub wpłynęły tylko oferty podlegające</w:t>
      </w:r>
      <w:r w:rsidR="00DC255C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odrzuceniu</w:t>
      </w:r>
      <w:r w:rsidR="00591B6B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albo wszyscy wykonawcy zostali wykluczeni z postępowania lub nie</w:t>
      </w:r>
      <w:r w:rsidR="00DC255C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spełnili warunków udziału w postępowaniu</w:t>
      </w:r>
      <w:r w:rsidR="000D1C56" w:rsidRPr="00FC6D62">
        <w:rPr>
          <w:rFonts w:eastAsia="MS Mincho" w:cstheme="minorHAnsi"/>
          <w:sz w:val="24"/>
          <w:szCs w:val="24"/>
          <w:lang w:eastAsia="ja-JP"/>
        </w:rPr>
        <w:t>. Z</w:t>
      </w:r>
      <w:r w:rsidRPr="00FC6D62">
        <w:rPr>
          <w:rFonts w:eastAsia="MS Mincho" w:cstheme="minorHAnsi"/>
          <w:sz w:val="24"/>
          <w:szCs w:val="24"/>
          <w:lang w:eastAsia="ja-JP"/>
        </w:rPr>
        <w:t>awarcie umowy w sprawie realizacji</w:t>
      </w:r>
      <w:r w:rsidR="00DC255C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zamówienia z pominięciem zasady konkurencyjności jest możliwe, gdy pierwotne</w:t>
      </w:r>
      <w:r w:rsidR="002E5A1C" w:rsidRPr="00FC6D62">
        <w:rPr>
          <w:rFonts w:eastAsia="MS Mincho" w:cstheme="minorHAnsi"/>
          <w:sz w:val="24"/>
          <w:szCs w:val="24"/>
          <w:lang w:eastAsia="ja-JP"/>
        </w:rPr>
        <w:t xml:space="preserve"> warunki zamówienia nie zostały zmienione,</w:t>
      </w:r>
    </w:p>
    <w:p w14:paraId="5AF0B3F2" w14:textId="26A00737" w:rsidR="00D24E7A" w:rsidRPr="00FC6D62" w:rsidRDefault="00D24E7A" w:rsidP="00AD78EE">
      <w:pPr>
        <w:pStyle w:val="Akapitzlist"/>
        <w:numPr>
          <w:ilvl w:val="0"/>
          <w:numId w:val="4"/>
        </w:numPr>
        <w:spacing w:after="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zamówienie może być zrealizowane tylko przez jednego wykonawcę z jednego</w:t>
      </w:r>
      <w:r w:rsidR="002E5A1C" w:rsidRPr="00FC6D62">
        <w:rPr>
          <w:rFonts w:eastAsia="MS Mincho" w:cstheme="minorHAnsi"/>
          <w:sz w:val="24"/>
          <w:szCs w:val="24"/>
          <w:lang w:eastAsia="ja-JP"/>
        </w:rPr>
        <w:t xml:space="preserve"> z następujących powodów:</w:t>
      </w:r>
    </w:p>
    <w:p w14:paraId="1E2F0198" w14:textId="35DA3650" w:rsidR="00D24E7A" w:rsidRPr="00FC6D62" w:rsidRDefault="00D24E7A" w:rsidP="00FC6D62">
      <w:pPr>
        <w:pStyle w:val="Akapitzlist"/>
        <w:numPr>
          <w:ilvl w:val="1"/>
          <w:numId w:val="21"/>
        </w:numPr>
        <w:spacing w:after="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 xml:space="preserve">brak konkurencji ze względów technicznych o obiektywnym charakterze, </w:t>
      </w:r>
      <w:r w:rsidR="009E230B" w:rsidRPr="00FC6D62">
        <w:rPr>
          <w:rFonts w:eastAsia="MS Mincho" w:cstheme="minorHAnsi"/>
          <w:sz w:val="24"/>
          <w:szCs w:val="24"/>
          <w:lang w:eastAsia="ja-JP"/>
        </w:rPr>
        <w:t>tzn. istnieje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tylko jeden wykonawca, który jako jedyny może zrealizować</w:t>
      </w:r>
      <w:r w:rsidR="002E5A1C" w:rsidRPr="00FC6D62">
        <w:rPr>
          <w:rFonts w:eastAsia="MS Mincho" w:cstheme="minorHAnsi"/>
          <w:sz w:val="24"/>
          <w:szCs w:val="24"/>
          <w:lang w:eastAsia="ja-JP"/>
        </w:rPr>
        <w:t xml:space="preserve"> zamówienie</w:t>
      </w:r>
      <w:r w:rsidR="009E230B" w:rsidRPr="00FC6D62">
        <w:rPr>
          <w:rFonts w:eastAsia="MS Mincho" w:cstheme="minorHAnsi"/>
          <w:sz w:val="24"/>
          <w:szCs w:val="24"/>
          <w:lang w:eastAsia="ja-JP"/>
        </w:rPr>
        <w:t>,</w:t>
      </w:r>
    </w:p>
    <w:p w14:paraId="39046CD6" w14:textId="3E18F5EE" w:rsidR="00D24E7A" w:rsidRPr="00FC6D62" w:rsidRDefault="00D24E7A" w:rsidP="00FC6D62">
      <w:pPr>
        <w:pStyle w:val="Akapitzlist"/>
        <w:numPr>
          <w:ilvl w:val="1"/>
          <w:numId w:val="21"/>
        </w:numPr>
        <w:spacing w:after="0" w:line="360" w:lineRule="auto"/>
        <w:ind w:left="1134" w:hanging="425"/>
        <w:rPr>
          <w:rFonts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przedmiot zamówienia jest objęty ochroną praw wyłącznych, w tym praw</w:t>
      </w:r>
      <w:r w:rsidR="00DC255C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własności intelektualnej, tzn. istnieje tylko jeden wykonawca, który ma</w:t>
      </w:r>
      <w:r w:rsidR="00DC255C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wyłączne prawo do dysponowania przedmiotem zamówienia, a prawo to</w:t>
      </w:r>
      <w:r w:rsidR="00DC255C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podlega ochronie </w:t>
      </w:r>
      <w:r w:rsidR="009E230B" w:rsidRPr="00FC6D62">
        <w:rPr>
          <w:rFonts w:eastAsia="MS Mincho" w:cstheme="minorHAnsi"/>
          <w:sz w:val="24"/>
          <w:szCs w:val="24"/>
          <w:lang w:eastAsia="ja-JP"/>
        </w:rPr>
        <w:t>ustawowej; wyłączenie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może być zastosowane, o ile nie istnieje rozwiązanie alternatywne lub</w:t>
      </w:r>
      <w:r w:rsidR="00543235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zastępcze</w:t>
      </w:r>
      <w:r w:rsidR="009E230B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a brak konkurencji nie jest wynikiem sztucznego zawężania</w:t>
      </w:r>
      <w:r w:rsidR="00543235" w:rsidRPr="00FC6D62">
        <w:rPr>
          <w:rFonts w:cstheme="minorHAnsi"/>
          <w:sz w:val="24"/>
          <w:szCs w:val="24"/>
          <w:lang w:eastAsia="ja-JP"/>
        </w:rPr>
        <w:t xml:space="preserve"> </w:t>
      </w:r>
      <w:r w:rsidRPr="00FC6D62">
        <w:rPr>
          <w:rFonts w:cstheme="minorHAnsi"/>
          <w:sz w:val="24"/>
          <w:szCs w:val="24"/>
          <w:lang w:eastAsia="ja-JP"/>
        </w:rPr>
        <w:t>parametrów zamówienia,</w:t>
      </w:r>
    </w:p>
    <w:p w14:paraId="33BC75A6" w14:textId="28BE2D2A" w:rsidR="000069FF" w:rsidRPr="00FC6D62" w:rsidRDefault="00D24E7A" w:rsidP="00AD78EE">
      <w:pPr>
        <w:pStyle w:val="Akapitzlist"/>
        <w:numPr>
          <w:ilvl w:val="0"/>
          <w:numId w:val="4"/>
        </w:numPr>
        <w:spacing w:after="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 przypadku zamówień</w:t>
      </w:r>
      <w:r w:rsidR="009E230B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do których ma zastosowanie zasada konkurencyjności</w:t>
      </w:r>
      <w:r w:rsidR="009E230B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B62941" w:rsidRPr="00FC6D62">
        <w:rPr>
          <w:rFonts w:eastAsia="MS Mincho" w:cstheme="minorHAnsi"/>
          <w:sz w:val="24"/>
          <w:szCs w:val="24"/>
          <w:lang w:eastAsia="ja-JP"/>
        </w:rPr>
        <w:t>ze względu na pilną potrzebę (konieczność) udzielenia zamówienia</w:t>
      </w:r>
      <w:r w:rsidR="00DC255C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niewynikającą z przyczyn leżących po stronie zamawiającego, której wcześniej</w:t>
      </w:r>
      <w:r w:rsidR="00C3645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nie można było przewidzieć, nie można zachować terminów określonych w sekcji</w:t>
      </w:r>
      <w:r w:rsidR="009E230B" w:rsidRPr="00FC6D62">
        <w:rPr>
          <w:rFonts w:eastAsia="MS Mincho" w:cstheme="minorHAnsi"/>
          <w:sz w:val="24"/>
          <w:szCs w:val="24"/>
          <w:lang w:eastAsia="ja-JP"/>
        </w:rPr>
        <w:t xml:space="preserve"> 1.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1</w:t>
      </w:r>
      <w:r w:rsidR="009E230B" w:rsidRPr="00FC6D62">
        <w:rPr>
          <w:rFonts w:eastAsia="MS Mincho" w:cstheme="minorHAnsi"/>
          <w:sz w:val="24"/>
          <w:szCs w:val="24"/>
          <w:lang w:eastAsia="ja-JP"/>
        </w:rPr>
        <w:t xml:space="preserve"> pkt 1</w:t>
      </w:r>
      <w:r w:rsidR="00543235" w:rsidRPr="00FC6D62">
        <w:rPr>
          <w:rFonts w:eastAsia="MS Mincho" w:cstheme="minorHAnsi"/>
          <w:sz w:val="24"/>
          <w:szCs w:val="24"/>
          <w:lang w:eastAsia="ja-JP"/>
        </w:rPr>
        <w:t>1</w:t>
      </w:r>
      <w:r w:rsidR="00C3645A" w:rsidRPr="00FC6D62">
        <w:rPr>
          <w:rFonts w:eastAsia="MS Mincho" w:cstheme="minorHAnsi"/>
          <w:sz w:val="24"/>
          <w:szCs w:val="24"/>
          <w:lang w:eastAsia="ja-JP"/>
        </w:rPr>
        <w:t>,</w:t>
      </w:r>
    </w:p>
    <w:p w14:paraId="03CBF754" w14:textId="3CB4BD4B" w:rsidR="000069FF" w:rsidRPr="00FC6D62" w:rsidRDefault="00D24E7A" w:rsidP="00AD78EE">
      <w:pPr>
        <w:pStyle w:val="Akapitzlist"/>
        <w:numPr>
          <w:ilvl w:val="0"/>
          <w:numId w:val="4"/>
        </w:numPr>
        <w:spacing w:after="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 przypadku zamówień</w:t>
      </w:r>
      <w:r w:rsidR="001A6C67" w:rsidRPr="00FC6D62">
        <w:rPr>
          <w:rFonts w:eastAsia="MS Mincho" w:cstheme="minorHAnsi"/>
          <w:sz w:val="24"/>
          <w:szCs w:val="24"/>
          <w:lang w:eastAsia="ja-JP"/>
        </w:rPr>
        <w:t>,</w:t>
      </w:r>
      <w:r w:rsidR="00C3645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do których ma zastosowanie zasada konkurencyjności,</w:t>
      </w:r>
      <w:r w:rsidR="00620FB6" w:rsidRPr="00FC6D62">
        <w:rPr>
          <w:rFonts w:eastAsia="MS Mincho" w:cstheme="minorHAnsi"/>
          <w:sz w:val="24"/>
          <w:szCs w:val="24"/>
          <w:lang w:eastAsia="ja-JP"/>
        </w:rPr>
        <w:t xml:space="preserve"> ze względu na wyjątkową sytuację niewynikającą z przyczyn leżących po stronie zamawiającego, której wcześniej nie moż</w:t>
      </w:r>
      <w:r w:rsidR="00285958" w:rsidRPr="00FC6D62">
        <w:rPr>
          <w:rFonts w:eastAsia="MS Mincho" w:cstheme="minorHAnsi"/>
          <w:sz w:val="24"/>
          <w:szCs w:val="24"/>
          <w:lang w:eastAsia="ja-JP"/>
        </w:rPr>
        <w:t xml:space="preserve">na było przewidzieć (np. klęski </w:t>
      </w:r>
      <w:r w:rsidR="00620FB6" w:rsidRPr="00FC6D62">
        <w:rPr>
          <w:rFonts w:eastAsia="MS Mincho" w:cstheme="minorHAnsi"/>
          <w:sz w:val="24"/>
          <w:szCs w:val="24"/>
          <w:lang w:eastAsia="ja-JP"/>
        </w:rPr>
        <w:t>żywiołowe, katastrofy, awarie), wymagane jest natychmiastowe wykonanie</w:t>
      </w:r>
      <w:r w:rsidR="00285958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620FB6" w:rsidRPr="00FC6D62">
        <w:rPr>
          <w:rFonts w:eastAsia="MS Mincho" w:cstheme="minorHAnsi"/>
          <w:sz w:val="24"/>
          <w:szCs w:val="24"/>
          <w:lang w:eastAsia="ja-JP"/>
        </w:rPr>
        <w:t xml:space="preserve">zamówienia i nie można zachować terminów określonych w sekcji </w:t>
      </w:r>
      <w:r w:rsidR="003862D6" w:rsidRPr="00FC6D62">
        <w:rPr>
          <w:rFonts w:eastAsia="MS Mincho" w:cstheme="minorHAnsi"/>
          <w:sz w:val="24"/>
          <w:szCs w:val="24"/>
          <w:lang w:eastAsia="ja-JP"/>
        </w:rPr>
        <w:t>1.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1</w:t>
      </w:r>
      <w:r w:rsidR="003862D6" w:rsidRPr="00FC6D62">
        <w:rPr>
          <w:rFonts w:eastAsia="MS Mincho" w:cstheme="minorHAnsi"/>
          <w:sz w:val="24"/>
          <w:szCs w:val="24"/>
          <w:lang w:eastAsia="ja-JP"/>
        </w:rPr>
        <w:t xml:space="preserve"> pkt</w:t>
      </w:r>
      <w:r w:rsidR="00285958" w:rsidRPr="00FC6D62">
        <w:rPr>
          <w:rFonts w:eastAsia="MS Mincho" w:cstheme="minorHAnsi"/>
          <w:sz w:val="24"/>
          <w:szCs w:val="24"/>
          <w:lang w:eastAsia="ja-JP"/>
        </w:rPr>
        <w:t>.</w:t>
      </w:r>
      <w:r w:rsidR="003862D6" w:rsidRPr="00FC6D62">
        <w:rPr>
          <w:rFonts w:eastAsia="MS Mincho" w:cstheme="minorHAnsi"/>
          <w:sz w:val="24"/>
          <w:szCs w:val="24"/>
          <w:lang w:eastAsia="ja-JP"/>
        </w:rPr>
        <w:t xml:space="preserve"> 1</w:t>
      </w:r>
      <w:r w:rsidR="00543235" w:rsidRPr="00FC6D62">
        <w:rPr>
          <w:rFonts w:eastAsia="MS Mincho" w:cstheme="minorHAnsi"/>
          <w:sz w:val="24"/>
          <w:szCs w:val="24"/>
          <w:lang w:eastAsia="ja-JP"/>
        </w:rPr>
        <w:t>1</w:t>
      </w:r>
      <w:r w:rsidR="003862D6" w:rsidRPr="00FC6D62">
        <w:rPr>
          <w:rFonts w:eastAsia="MS Mincho" w:cstheme="minorHAnsi"/>
          <w:sz w:val="24"/>
          <w:szCs w:val="24"/>
          <w:lang w:eastAsia="ja-JP"/>
        </w:rPr>
        <w:t xml:space="preserve">, </w:t>
      </w:r>
    </w:p>
    <w:p w14:paraId="753FC0A0" w14:textId="77777777" w:rsidR="000069FF" w:rsidRPr="00FC6D62" w:rsidRDefault="00D24E7A" w:rsidP="00AD78EE">
      <w:pPr>
        <w:pStyle w:val="Akapitzlist"/>
        <w:numPr>
          <w:ilvl w:val="0"/>
          <w:numId w:val="4"/>
        </w:numPr>
        <w:spacing w:after="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zamawiający udziela wykonawcy wybranemu zgodnie z zasadą konkurencyjności</w:t>
      </w:r>
      <w:r w:rsidR="0083678B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zamówień na dodatkowe dostawy, polegających na częściowej wymianie</w:t>
      </w:r>
      <w:r w:rsidR="00C3645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lastRenderedPageBreak/>
        <w:t>dostarczonych produktów lub instalacji albo zwiększeniu bieżących dostaw lub</w:t>
      </w:r>
      <w:r w:rsidR="00C3645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rozbudowie istniejących instalacji, a zmiana wykonawcy prowadziłaby do nabycia</w:t>
      </w:r>
      <w:r w:rsidR="00C3645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materiałów o innych właściwościach technicznych, co powodowałoby</w:t>
      </w:r>
      <w:r w:rsidR="00C3645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niekompatybilność techniczną lub nieproporcjonalnie duże trudności techniczne</w:t>
      </w:r>
      <w:r w:rsidR="0083678B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 użytkowaniu i utrzymaniu tych produktów lub instalacji. Czas trwania umowy</w:t>
      </w:r>
      <w:r w:rsidR="00C3645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 sprawie zamówienia na dostawy dodatkowe nie może przekraczać 3 lat,</w:t>
      </w:r>
    </w:p>
    <w:p w14:paraId="647E3210" w14:textId="149A406B" w:rsidR="000069FF" w:rsidRPr="00FC6D62" w:rsidRDefault="00D24E7A" w:rsidP="00AD78EE">
      <w:pPr>
        <w:pStyle w:val="Akapitzlist"/>
        <w:numPr>
          <w:ilvl w:val="0"/>
          <w:numId w:val="4"/>
        </w:numPr>
        <w:spacing w:after="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zamawiający udziela wykonawcy wybranemu zgodnie z zasadą</w:t>
      </w:r>
      <w:r w:rsidR="00C3645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konkurencyjności</w:t>
      </w:r>
      <w:r w:rsidR="00C3645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95124F" w:rsidRPr="00FC6D62">
        <w:rPr>
          <w:rFonts w:eastAsia="MS Mincho" w:cstheme="minorHAnsi"/>
          <w:sz w:val="24"/>
          <w:szCs w:val="24"/>
          <w:lang w:eastAsia="ja-JP"/>
        </w:rPr>
        <w:t>w okresie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3 lat od dnia udzielenia zamówienia podstawowego,</w:t>
      </w:r>
      <w:r w:rsidR="003F3B4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przewidzianych w zapytaniu ofertowym zamówień na usługi, polegających na powtórzeniu podobnych usług</w:t>
      </w:r>
      <w:r w:rsidR="00541534" w:rsidRPr="00FC6D62">
        <w:rPr>
          <w:rFonts w:eastAsia="MS Mincho" w:cstheme="minorHAnsi"/>
          <w:sz w:val="24"/>
          <w:szCs w:val="24"/>
          <w:lang w:eastAsia="ja-JP"/>
        </w:rPr>
        <w:t xml:space="preserve"> do wysokości wartości pierwotnego zamówienia</w:t>
      </w:r>
      <w:r w:rsidRPr="00FC6D62">
        <w:rPr>
          <w:rFonts w:eastAsia="MS Mincho" w:cstheme="minorHAnsi"/>
          <w:sz w:val="24"/>
          <w:szCs w:val="24"/>
          <w:lang w:eastAsia="ja-JP"/>
        </w:rPr>
        <w:t>,</w:t>
      </w:r>
    </w:p>
    <w:p w14:paraId="5637A761" w14:textId="77777777" w:rsidR="000069FF" w:rsidRPr="00FC6D62" w:rsidRDefault="00D24E7A" w:rsidP="00AD78EE">
      <w:pPr>
        <w:pStyle w:val="Akapitzlist"/>
        <w:numPr>
          <w:ilvl w:val="0"/>
          <w:numId w:val="4"/>
        </w:numPr>
        <w:spacing w:after="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 xml:space="preserve">przedmiotem zamówienia są dostawy na szczególnie korzystnych </w:t>
      </w:r>
      <w:r w:rsidR="00A975F5" w:rsidRPr="00FC6D62">
        <w:rPr>
          <w:rFonts w:eastAsia="MS Mincho" w:cstheme="minorHAnsi"/>
          <w:sz w:val="24"/>
          <w:szCs w:val="24"/>
          <w:lang w:eastAsia="ja-JP"/>
        </w:rPr>
        <w:t>warunkach w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związku z likwidacją działalności innego podmiotu, </w:t>
      </w:r>
      <w:r w:rsidR="00A975F5" w:rsidRPr="00FC6D62">
        <w:rPr>
          <w:rFonts w:eastAsia="MS Mincho" w:cstheme="minorHAnsi"/>
          <w:sz w:val="24"/>
          <w:szCs w:val="24"/>
          <w:lang w:eastAsia="ja-JP"/>
        </w:rPr>
        <w:t>postępowaniem egzekucyjnym</w:t>
      </w:r>
      <w:r w:rsidR="000069FF" w:rsidRPr="00FC6D62">
        <w:rPr>
          <w:rFonts w:eastAsia="MS Mincho" w:cstheme="minorHAnsi"/>
          <w:sz w:val="24"/>
          <w:szCs w:val="24"/>
          <w:lang w:eastAsia="ja-JP"/>
        </w:rPr>
        <w:t xml:space="preserve"> albo upadłościowym,</w:t>
      </w:r>
    </w:p>
    <w:p w14:paraId="41C637C1" w14:textId="14222F8E" w:rsidR="00957265" w:rsidRPr="00FC6D62" w:rsidRDefault="00D24E7A" w:rsidP="00AD78EE">
      <w:pPr>
        <w:pStyle w:val="Akapitzlist"/>
        <w:numPr>
          <w:ilvl w:val="0"/>
          <w:numId w:val="4"/>
        </w:numPr>
        <w:spacing w:after="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zamówienie na dostawy jest dokonywane na giełdzie towarowej w rozumieniu</w:t>
      </w:r>
      <w:r w:rsidR="00C3645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przepisów o giełdach towarowych, w tym na giełdzie towarowej innych państw</w:t>
      </w:r>
      <w:r w:rsidR="00C3645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członkowskich Europejskiego Obszaru Gospodarczego</w:t>
      </w:r>
      <w:r w:rsidR="00DE113B" w:rsidRPr="00FC6D62">
        <w:rPr>
          <w:rFonts w:eastAsia="MS Mincho" w:cstheme="minorHAnsi"/>
          <w:sz w:val="24"/>
          <w:szCs w:val="24"/>
          <w:lang w:eastAsia="ja-JP"/>
        </w:rPr>
        <w:t xml:space="preserve">. </w:t>
      </w:r>
    </w:p>
    <w:p w14:paraId="3E876AF0" w14:textId="7CCEC015" w:rsidR="00D24E7A" w:rsidRPr="00FC6D62" w:rsidRDefault="00D24E7A" w:rsidP="00FC6D62">
      <w:pPr>
        <w:spacing w:after="0" w:line="360" w:lineRule="auto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 przypadku</w:t>
      </w:r>
      <w:r w:rsidR="00C3645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E22C16" w:rsidRPr="00FC6D62">
        <w:rPr>
          <w:rFonts w:eastAsia="MS Mincho" w:cstheme="minorHAnsi"/>
          <w:sz w:val="24"/>
          <w:szCs w:val="24"/>
          <w:lang w:eastAsia="ja-JP"/>
        </w:rPr>
        <w:t>B</w:t>
      </w:r>
      <w:r w:rsidRPr="00FC6D62">
        <w:rPr>
          <w:rFonts w:eastAsia="MS Mincho" w:cstheme="minorHAnsi"/>
          <w:sz w:val="24"/>
          <w:szCs w:val="24"/>
          <w:lang w:eastAsia="ja-JP"/>
        </w:rPr>
        <w:t>eneficjenta, któr</w:t>
      </w:r>
      <w:r w:rsidR="006740F1" w:rsidRPr="00FC6D62">
        <w:rPr>
          <w:rFonts w:eastAsia="MS Mincho" w:cstheme="minorHAnsi"/>
          <w:sz w:val="24"/>
          <w:szCs w:val="24"/>
          <w:lang w:eastAsia="ja-JP"/>
        </w:rPr>
        <w:t>y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nie</w:t>
      </w:r>
      <w:r w:rsidR="006740F1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jest zamawiającym w rozumieniu Pzp</w:t>
      </w:r>
      <w:r w:rsidR="00C3645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zamówienia o wartości szacunkowej przekraczającej 50 tys. PLN netto, o których</w:t>
      </w:r>
      <w:r w:rsidR="00323634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mowa w lit</w:t>
      </w:r>
      <w:r w:rsidR="00C3645A" w:rsidRPr="00FC6D62">
        <w:rPr>
          <w:rFonts w:eastAsia="MS Mincho" w:cstheme="minorHAnsi"/>
          <w:sz w:val="24"/>
          <w:szCs w:val="24"/>
          <w:lang w:eastAsia="ja-JP"/>
        </w:rPr>
        <w:t>. a - d</w:t>
      </w:r>
      <w:r w:rsidR="00323634" w:rsidRPr="00FC6D62">
        <w:rPr>
          <w:rFonts w:eastAsia="MS Mincho" w:cstheme="minorHAnsi"/>
          <w:sz w:val="24"/>
          <w:szCs w:val="24"/>
          <w:lang w:eastAsia="ja-JP"/>
        </w:rPr>
        <w:t xml:space="preserve"> lub g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E113B" w:rsidRPr="00FC6D62">
        <w:rPr>
          <w:rFonts w:eastAsia="MS Mincho" w:cstheme="minorHAnsi"/>
          <w:sz w:val="24"/>
          <w:szCs w:val="24"/>
          <w:lang w:eastAsia="ja-JP"/>
        </w:rPr>
        <w:t>–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323634" w:rsidRPr="00FC6D62">
        <w:rPr>
          <w:rFonts w:eastAsia="MS Mincho" w:cstheme="minorHAnsi"/>
          <w:sz w:val="24"/>
          <w:szCs w:val="24"/>
          <w:lang w:eastAsia="ja-JP"/>
        </w:rPr>
        <w:t>h</w:t>
      </w:r>
      <w:r w:rsidR="00DE113B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nie mogą być udzielane podmiotom powiązanym z nim</w:t>
      </w:r>
      <w:r w:rsidR="0021792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E113B" w:rsidRPr="00FC6D62">
        <w:rPr>
          <w:rFonts w:eastAsia="MS Mincho" w:cstheme="minorHAnsi"/>
          <w:sz w:val="24"/>
          <w:szCs w:val="24"/>
          <w:lang w:eastAsia="ja-JP"/>
        </w:rPr>
        <w:t>osobowo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lub kapitałowo w s</w:t>
      </w:r>
      <w:r w:rsidR="00957265" w:rsidRPr="00FC6D62">
        <w:rPr>
          <w:rFonts w:eastAsia="MS Mincho" w:cstheme="minorHAnsi"/>
          <w:sz w:val="24"/>
          <w:szCs w:val="24"/>
          <w:lang w:eastAsia="ja-JP"/>
        </w:rPr>
        <w:t xml:space="preserve">posób określony w pkt 3 sekcji </w:t>
      </w:r>
      <w:r w:rsidR="00A01AC4" w:rsidRPr="00FC6D62">
        <w:rPr>
          <w:rFonts w:eastAsia="MS Mincho" w:cstheme="minorHAnsi"/>
          <w:sz w:val="24"/>
          <w:szCs w:val="24"/>
          <w:lang w:eastAsia="ja-JP"/>
        </w:rPr>
        <w:t>1</w:t>
      </w:r>
      <w:r w:rsidRPr="00FC6D62">
        <w:rPr>
          <w:rFonts w:eastAsia="MS Mincho" w:cstheme="minorHAnsi"/>
          <w:sz w:val="24"/>
          <w:szCs w:val="24"/>
          <w:lang w:eastAsia="ja-JP"/>
        </w:rPr>
        <w:t>.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1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bez zgody</w:t>
      </w:r>
      <w:r w:rsidR="0021792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554259" w:rsidRPr="00FC6D62">
        <w:rPr>
          <w:rFonts w:eastAsia="MS Mincho" w:cstheme="minorHAnsi"/>
          <w:sz w:val="24"/>
          <w:szCs w:val="24"/>
          <w:lang w:eastAsia="ja-JP"/>
        </w:rPr>
        <w:t>JW.</w:t>
      </w:r>
    </w:p>
    <w:p w14:paraId="4020BB6A" w14:textId="14E84EAA" w:rsidR="000069FF" w:rsidRPr="00FC6D62" w:rsidRDefault="00541534" w:rsidP="00AD78EE">
      <w:pPr>
        <w:pStyle w:val="Akapitzlist"/>
        <w:numPr>
          <w:ilvl w:val="0"/>
          <w:numId w:val="3"/>
        </w:numPr>
        <w:spacing w:after="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 przypadku gdy Beneficjentem jest Zamawiający w rozumieniu przepisów ustawy Pzp, m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>ożliwe jest niestosowanie procedur określonych w niniejsz</w:t>
      </w:r>
      <w:r w:rsidR="00A01AC4" w:rsidRPr="00FC6D62">
        <w:rPr>
          <w:rFonts w:eastAsia="MS Mincho" w:cstheme="minorHAnsi"/>
          <w:sz w:val="24"/>
          <w:szCs w:val="24"/>
          <w:lang w:eastAsia="ja-JP"/>
        </w:rPr>
        <w:t>ej sekcji</w:t>
      </w:r>
      <w:r w:rsidR="0021792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 xml:space="preserve">w przypadkach określonych w art. 214 ust. 1 Pzp. </w:t>
      </w:r>
    </w:p>
    <w:p w14:paraId="1FA60D53" w14:textId="36639C4C" w:rsidR="001241D3" w:rsidRPr="00FC6D62" w:rsidRDefault="00D24E7A" w:rsidP="00AD78EE">
      <w:pPr>
        <w:pStyle w:val="Akapitzlist"/>
        <w:numPr>
          <w:ilvl w:val="0"/>
          <w:numId w:val="3"/>
        </w:numPr>
        <w:spacing w:after="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 xml:space="preserve">Spełnienie przesłanek z pkt </w:t>
      </w:r>
      <w:r w:rsidR="00543235" w:rsidRPr="00FC6D62">
        <w:rPr>
          <w:rFonts w:eastAsia="MS Mincho" w:cstheme="minorHAnsi"/>
          <w:sz w:val="24"/>
          <w:szCs w:val="24"/>
          <w:lang w:eastAsia="ja-JP"/>
        </w:rPr>
        <w:t>7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i </w:t>
      </w:r>
      <w:r w:rsidR="00543235" w:rsidRPr="00FC6D62">
        <w:rPr>
          <w:rFonts w:eastAsia="MS Mincho" w:cstheme="minorHAnsi"/>
          <w:sz w:val="24"/>
          <w:szCs w:val="24"/>
          <w:lang w:eastAsia="ja-JP"/>
        </w:rPr>
        <w:t>8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musi być pisemnie uzasadnione</w:t>
      </w:r>
      <w:r w:rsidR="00541534" w:rsidRPr="00FC6D62">
        <w:rPr>
          <w:rFonts w:eastAsia="MS Mincho" w:cstheme="minorHAnsi"/>
          <w:sz w:val="24"/>
          <w:szCs w:val="24"/>
          <w:lang w:eastAsia="ja-JP"/>
        </w:rPr>
        <w:t xml:space="preserve"> a do uzasadnienia muszą być załączone dowody na uprawdopodobnienie twierdzeń Zamawiającego</w:t>
      </w:r>
      <w:r w:rsidRPr="00FC6D62">
        <w:rPr>
          <w:rFonts w:eastAsia="MS Mincho" w:cstheme="minorHAnsi"/>
          <w:sz w:val="24"/>
          <w:szCs w:val="24"/>
          <w:lang w:eastAsia="ja-JP"/>
        </w:rPr>
        <w:t>.</w:t>
      </w:r>
    </w:p>
    <w:p w14:paraId="15469087" w14:textId="1CC85BA7" w:rsidR="00D24E7A" w:rsidRPr="00FC6D62" w:rsidRDefault="00D24E7A" w:rsidP="00AD78EE">
      <w:pPr>
        <w:pStyle w:val="Akapitzlist"/>
        <w:numPr>
          <w:ilvl w:val="0"/>
          <w:numId w:val="3"/>
        </w:numPr>
        <w:spacing w:after="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Podstawą ustalenia wartości zamówienia w ramach</w:t>
      </w:r>
      <w:r w:rsidR="00CC69AB" w:rsidRPr="00FC6D62">
        <w:rPr>
          <w:rFonts w:eastAsia="MS Mincho" w:cstheme="minorHAnsi"/>
          <w:sz w:val="24"/>
          <w:szCs w:val="24"/>
          <w:lang w:eastAsia="ja-JP"/>
        </w:rPr>
        <w:t xml:space="preserve"> Przedsięwzięcia</w:t>
      </w:r>
      <w:r w:rsidR="0021792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jest </w:t>
      </w:r>
      <w:r w:rsidR="00A01AC4" w:rsidRPr="00FC6D62">
        <w:rPr>
          <w:rFonts w:eastAsia="MS Mincho" w:cstheme="minorHAnsi"/>
          <w:sz w:val="24"/>
          <w:szCs w:val="24"/>
          <w:lang w:eastAsia="ja-JP"/>
        </w:rPr>
        <w:t>całkowite szacunkowe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wynagrodzenie wykonawcy netto, tj. bez podatku od towarów i usług</w:t>
      </w:r>
      <w:r w:rsidR="0021792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(VAT), ustalone z należytą starannością, z uwzględnieniem ewentualnych</w:t>
      </w:r>
      <w:r w:rsidR="0021792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zamówień, o których mowa w pkt 7 lit. </w:t>
      </w:r>
      <w:r w:rsidR="00A01AC4" w:rsidRPr="00FC6D62">
        <w:rPr>
          <w:rFonts w:eastAsia="MS Mincho" w:cstheme="minorHAnsi"/>
          <w:sz w:val="24"/>
          <w:szCs w:val="24"/>
          <w:lang w:eastAsia="ja-JP"/>
        </w:rPr>
        <w:t>f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. </w:t>
      </w:r>
      <w:r w:rsidR="00541534" w:rsidRPr="00FC6D62">
        <w:rPr>
          <w:rFonts w:eastAsia="MS Mincho" w:cstheme="minorHAnsi"/>
          <w:sz w:val="24"/>
          <w:szCs w:val="24"/>
          <w:lang w:eastAsia="ja-JP"/>
        </w:rPr>
        <w:t xml:space="preserve">Brak uwzględnienia zamówień dodatkowych uniemożliwia skorzystanie z zamówień dodatkowych. </w:t>
      </w:r>
      <w:r w:rsidRPr="00FC6D62">
        <w:rPr>
          <w:rFonts w:eastAsia="MS Mincho" w:cstheme="minorHAnsi"/>
          <w:sz w:val="24"/>
          <w:szCs w:val="24"/>
          <w:lang w:eastAsia="ja-JP"/>
        </w:rPr>
        <w:t>Szacowanie jest dokumentowane w sposób</w:t>
      </w:r>
      <w:r w:rsidR="0021792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zapewniający właściwą ścieżkę audytu (np. w zatwierdzonym </w:t>
      </w:r>
      <w:r w:rsidR="00263204" w:rsidRPr="00FC6D62">
        <w:rPr>
          <w:rFonts w:eastAsia="MS Mincho" w:cstheme="minorHAnsi"/>
          <w:sz w:val="24"/>
          <w:szCs w:val="24"/>
          <w:lang w:eastAsia="ja-JP"/>
        </w:rPr>
        <w:t>wniosku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263204" w:rsidRPr="00FC6D62">
        <w:rPr>
          <w:rFonts w:eastAsia="MS Mincho" w:cstheme="minorHAnsi"/>
          <w:sz w:val="24"/>
          <w:szCs w:val="24"/>
          <w:lang w:eastAsia="ja-JP"/>
        </w:rPr>
        <w:t xml:space="preserve">o objęcie Przedsięwzięcia wsparciem </w:t>
      </w:r>
      <w:r w:rsidRPr="00FC6D62">
        <w:rPr>
          <w:rFonts w:eastAsia="MS Mincho" w:cstheme="minorHAnsi"/>
          <w:sz w:val="24"/>
          <w:szCs w:val="24"/>
          <w:lang w:eastAsia="ja-JP"/>
        </w:rPr>
        <w:t>lub w notatce z szacowania).</w:t>
      </w:r>
      <w:r w:rsidR="00E6301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523B9" w:rsidRPr="00FC6D62">
        <w:rPr>
          <w:rFonts w:eastAsia="MS Mincho" w:cstheme="minorHAnsi"/>
          <w:sz w:val="24"/>
          <w:szCs w:val="24"/>
          <w:lang w:eastAsia="ja-JP"/>
        </w:rPr>
        <w:t xml:space="preserve">Określenie szacunkowej </w:t>
      </w:r>
      <w:r w:rsidR="00D523B9" w:rsidRPr="00FC6D62">
        <w:rPr>
          <w:rFonts w:eastAsia="MS Mincho" w:cstheme="minorHAnsi"/>
          <w:sz w:val="24"/>
          <w:szCs w:val="24"/>
          <w:lang w:eastAsia="ja-JP"/>
        </w:rPr>
        <w:lastRenderedPageBreak/>
        <w:t xml:space="preserve">wartości zamówienia musi </w:t>
      </w:r>
      <w:r w:rsidR="00511460" w:rsidRPr="00FC6D62">
        <w:rPr>
          <w:rFonts w:eastAsia="MS Mincho" w:cstheme="minorHAnsi"/>
          <w:sz w:val="24"/>
          <w:szCs w:val="24"/>
          <w:lang w:eastAsia="ja-JP"/>
        </w:rPr>
        <w:t xml:space="preserve">się </w:t>
      </w:r>
      <w:r w:rsidR="00D523B9" w:rsidRPr="00FC6D62">
        <w:rPr>
          <w:rFonts w:eastAsia="MS Mincho" w:cstheme="minorHAnsi"/>
          <w:sz w:val="24"/>
          <w:szCs w:val="24"/>
          <w:lang w:eastAsia="ja-JP"/>
        </w:rPr>
        <w:t xml:space="preserve">odbyć z zachowaniem należytej staranności. Musi objąć cały przedmiot zamówienia.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Zabronione jest </w:t>
      </w:r>
      <w:r w:rsidR="00D523B9" w:rsidRPr="00FC6D62">
        <w:rPr>
          <w:rFonts w:eastAsia="MS Mincho" w:cstheme="minorHAnsi"/>
          <w:sz w:val="24"/>
          <w:szCs w:val="24"/>
          <w:lang w:eastAsia="ja-JP"/>
        </w:rPr>
        <w:t xml:space="preserve">zawyżanie oraz </w:t>
      </w:r>
      <w:r w:rsidRPr="00FC6D62">
        <w:rPr>
          <w:rFonts w:eastAsia="MS Mincho" w:cstheme="minorHAnsi"/>
          <w:sz w:val="24"/>
          <w:szCs w:val="24"/>
          <w:lang w:eastAsia="ja-JP"/>
        </w:rPr>
        <w:t>zaniżanie wartości szacunkowej zamówienia lub jego podział</w:t>
      </w:r>
      <w:r w:rsidR="00E6301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skutkujący zaniżeniem jego wartości szacunkowej, przy czym ustalając wartość</w:t>
      </w:r>
      <w:r w:rsidR="00E6301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zamówienia</w:t>
      </w:r>
      <w:r w:rsidR="003A7B91" w:rsidRPr="00FC6D62">
        <w:rPr>
          <w:rFonts w:eastAsia="MS Mincho" w:cstheme="minorHAnsi"/>
          <w:sz w:val="24"/>
          <w:szCs w:val="24"/>
          <w:lang w:eastAsia="ja-JP"/>
        </w:rPr>
        <w:t xml:space="preserve"> lub przy ewentualnym sumowaniu odrębnych zamówień</w:t>
      </w:r>
      <w:r w:rsidR="00BA4810" w:rsidRPr="00FC6D62">
        <w:rPr>
          <w:rFonts w:eastAsia="MS Mincho" w:cstheme="minorHAnsi"/>
          <w:sz w:val="24"/>
          <w:szCs w:val="24"/>
          <w:lang w:eastAsia="ja-JP"/>
        </w:rPr>
        <w:t>,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należy wziąć pod uwagę konieczność łącznego spełnienia trzech</w:t>
      </w:r>
      <w:r w:rsidR="00E6301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przesłanek (tożsamości):</w:t>
      </w:r>
      <w:r w:rsidR="00BA4810" w:rsidRPr="00FC6D62">
        <w:rPr>
          <w:rStyle w:val="Odwoanieprzypisudolnego"/>
          <w:rFonts w:eastAsia="MS Mincho" w:cstheme="minorHAnsi"/>
          <w:sz w:val="24"/>
          <w:szCs w:val="24"/>
          <w:lang w:eastAsia="ja-JP"/>
        </w:rPr>
        <w:footnoteReference w:id="2"/>
      </w:r>
    </w:p>
    <w:p w14:paraId="315A6906" w14:textId="77777777" w:rsidR="000069FF" w:rsidRPr="00FC6D62" w:rsidRDefault="00D24E7A" w:rsidP="00AD78EE">
      <w:pPr>
        <w:pStyle w:val="Akapitzlist"/>
        <w:numPr>
          <w:ilvl w:val="0"/>
          <w:numId w:val="5"/>
        </w:numPr>
        <w:spacing w:after="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usługi</w:t>
      </w:r>
      <w:r w:rsidR="006B7054" w:rsidRPr="00FC6D62">
        <w:rPr>
          <w:rFonts w:eastAsia="MS Mincho" w:cstheme="minorHAnsi"/>
          <w:sz w:val="24"/>
          <w:szCs w:val="24"/>
          <w:lang w:eastAsia="ja-JP"/>
        </w:rPr>
        <w:t xml:space="preserve"> oraz</w:t>
      </w:r>
      <w:r w:rsidR="00E6301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dostawy są tożsame rodzajowo lub funkcjonalnie</w:t>
      </w:r>
      <w:r w:rsidR="006B7054" w:rsidRPr="00FC6D62">
        <w:rPr>
          <w:rFonts w:eastAsia="MS Mincho" w:cstheme="minorHAnsi"/>
          <w:sz w:val="24"/>
          <w:szCs w:val="24"/>
          <w:lang w:eastAsia="ja-JP"/>
        </w:rPr>
        <w:t xml:space="preserve"> (tożsamość przedmiotowa),</w:t>
      </w:r>
    </w:p>
    <w:p w14:paraId="5D98FD4D" w14:textId="448D657E" w:rsidR="000069FF" w:rsidRPr="00FC6D62" w:rsidRDefault="00D24E7A" w:rsidP="00AD78EE">
      <w:pPr>
        <w:pStyle w:val="Akapitzlist"/>
        <w:numPr>
          <w:ilvl w:val="0"/>
          <w:numId w:val="5"/>
        </w:numPr>
        <w:spacing w:after="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możliwe jest udzielenie zamówienia w tym samym czasie (tożsamość czasowa),</w:t>
      </w:r>
      <w:r w:rsidR="00BA4810" w:rsidRPr="00FC6D62">
        <w:rPr>
          <w:rStyle w:val="Odwoanieprzypisudolnego"/>
          <w:rFonts w:eastAsia="MS Mincho" w:cstheme="minorHAnsi"/>
          <w:sz w:val="24"/>
          <w:szCs w:val="24"/>
          <w:lang w:eastAsia="ja-JP"/>
        </w:rPr>
        <w:footnoteReference w:id="3"/>
      </w:r>
    </w:p>
    <w:p w14:paraId="58139971" w14:textId="2D19CC6A" w:rsidR="0065086E" w:rsidRPr="00FC6D62" w:rsidRDefault="00D24E7A" w:rsidP="00AD78EE">
      <w:pPr>
        <w:pStyle w:val="Akapitzlist"/>
        <w:numPr>
          <w:ilvl w:val="0"/>
          <w:numId w:val="5"/>
        </w:numPr>
        <w:spacing w:after="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możliwe jest wykonanie zamówienia przez jednego wykonawcę (tożsamość</w:t>
      </w:r>
      <w:r w:rsidR="00E6301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podmiotowa).</w:t>
      </w:r>
      <w:r w:rsidR="009415E0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 przypadku udzielania zamówienia w częściach (z określonych względów</w:t>
      </w:r>
      <w:r w:rsidR="00FC118C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ekonomicznych, organizacyjnych, celowościowych), wartość zamówienia ustala się</w:t>
      </w:r>
      <w:r w:rsidR="00FC118C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jako łączną wartość poszczególnych jego części</w:t>
      </w:r>
      <w:r w:rsidR="00F84F7A" w:rsidRPr="00FC6D62">
        <w:rPr>
          <w:rStyle w:val="Odwoanieprzypisudolnego"/>
          <w:rFonts w:eastAsia="MS Mincho" w:cstheme="minorHAnsi"/>
          <w:sz w:val="24"/>
          <w:szCs w:val="24"/>
          <w:lang w:eastAsia="ja-JP"/>
        </w:rPr>
        <w:footnoteReference w:id="4"/>
      </w:r>
      <w:r w:rsidRPr="00FC6D62">
        <w:rPr>
          <w:rFonts w:eastAsia="MS Mincho" w:cstheme="minorHAnsi"/>
          <w:sz w:val="24"/>
          <w:szCs w:val="24"/>
          <w:lang w:eastAsia="ja-JP"/>
        </w:rPr>
        <w:t>.</w:t>
      </w:r>
    </w:p>
    <w:p w14:paraId="0A2C14BC" w14:textId="117BE454" w:rsidR="000521A3" w:rsidRPr="00FC6D62" w:rsidRDefault="0065086E" w:rsidP="00AD78EE">
      <w:pPr>
        <w:pStyle w:val="Akapitzlist"/>
        <w:numPr>
          <w:ilvl w:val="0"/>
          <w:numId w:val="3"/>
        </w:numPr>
        <w:spacing w:after="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 xml:space="preserve">Podmioty będące Zamawiającymi w rozumieniu Pzp </w:t>
      </w:r>
      <w:r w:rsidR="000521A3" w:rsidRPr="00FC6D62">
        <w:rPr>
          <w:rFonts w:eastAsia="MS Mincho" w:cstheme="minorHAnsi"/>
          <w:sz w:val="24"/>
          <w:szCs w:val="24"/>
          <w:lang w:eastAsia="ja-JP"/>
        </w:rPr>
        <w:t xml:space="preserve">a także podmioty nie będące zamawiającymi w rozumieniu Pzp,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w pierwszej kolejności dokonują szacowania wartości zamówienia zgodnie z przepisami tej ustawy. Po stwierdzeniu, że szacunkowa wartość zamówienia ustalona na podstawie Pzp nie przekracza wartości, od której istnieje obowiązek stosowania Pzp, podmioty </w:t>
      </w:r>
      <w:r w:rsidR="000521A3" w:rsidRPr="00FC6D62">
        <w:rPr>
          <w:rFonts w:eastAsia="MS Mincho" w:cstheme="minorHAnsi"/>
          <w:sz w:val="24"/>
          <w:szCs w:val="24"/>
          <w:lang w:eastAsia="ja-JP"/>
        </w:rPr>
        <w:t xml:space="preserve">te </w:t>
      </w:r>
      <w:r w:rsidRPr="00FC6D62">
        <w:rPr>
          <w:rFonts w:eastAsia="MS Mincho" w:cstheme="minorHAnsi"/>
          <w:sz w:val="24"/>
          <w:szCs w:val="24"/>
          <w:lang w:eastAsia="ja-JP"/>
        </w:rPr>
        <w:t>zobowiązane są stosować zasady konkurencyjności</w:t>
      </w:r>
      <w:r w:rsidR="00543235" w:rsidRPr="00FC6D62">
        <w:rPr>
          <w:rFonts w:eastAsia="MS Mincho" w:cstheme="minorHAnsi"/>
          <w:sz w:val="24"/>
          <w:szCs w:val="24"/>
          <w:lang w:eastAsia="ja-JP"/>
        </w:rPr>
        <w:t xml:space="preserve"> do zamówień których wartość szacunkowa przekracza </w:t>
      </w:r>
      <w:r w:rsidR="000521A3" w:rsidRPr="00FC6D62">
        <w:rPr>
          <w:rFonts w:eastAsia="MS Mincho" w:cstheme="minorHAnsi"/>
          <w:sz w:val="24"/>
          <w:szCs w:val="24"/>
          <w:lang w:eastAsia="ja-JP"/>
        </w:rPr>
        <w:t xml:space="preserve">50 tys. PLN netto, tj. bez podatku od towarów i usług (VAT). </w:t>
      </w:r>
    </w:p>
    <w:p w14:paraId="246EFE22" w14:textId="77777777" w:rsidR="000521A3" w:rsidRPr="00FC6D62" w:rsidRDefault="00D24E7A" w:rsidP="00AD78EE">
      <w:pPr>
        <w:pStyle w:val="Akapitzlist"/>
        <w:numPr>
          <w:ilvl w:val="0"/>
          <w:numId w:val="3"/>
        </w:numPr>
        <w:spacing w:after="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 przypadku naruszenia przez</w:t>
      </w:r>
      <w:r w:rsidR="006221C8" w:rsidRPr="00FC6D62">
        <w:rPr>
          <w:rFonts w:eastAsia="MS Mincho" w:cstheme="minorHAnsi"/>
          <w:sz w:val="24"/>
          <w:szCs w:val="24"/>
          <w:lang w:eastAsia="ja-JP"/>
        </w:rPr>
        <w:t xml:space="preserve"> B</w:t>
      </w:r>
      <w:r w:rsidRPr="00FC6D62">
        <w:rPr>
          <w:rFonts w:eastAsia="MS Mincho" w:cstheme="minorHAnsi"/>
          <w:sz w:val="24"/>
          <w:szCs w:val="24"/>
          <w:lang w:eastAsia="ja-JP"/>
        </w:rPr>
        <w:t>eneficjenta warunków i procedur postępowania</w:t>
      </w:r>
      <w:r w:rsidR="008A54A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 udzielenie zamówienia</w:t>
      </w:r>
      <w:r w:rsidR="000069FF" w:rsidRPr="00FC6D62">
        <w:rPr>
          <w:rFonts w:eastAsia="MS Mincho" w:cstheme="minorHAnsi"/>
          <w:sz w:val="24"/>
          <w:szCs w:val="24"/>
          <w:lang w:eastAsia="ja-JP"/>
        </w:rPr>
        <w:t>,</w:t>
      </w:r>
      <w:r w:rsidR="00492BA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2548A5" w:rsidRPr="00FC6D62">
        <w:rPr>
          <w:rFonts w:eastAsia="MS Mincho" w:cstheme="minorHAnsi"/>
          <w:sz w:val="24"/>
          <w:szCs w:val="24"/>
          <w:lang w:eastAsia="ja-JP"/>
        </w:rPr>
        <w:t>JW</w:t>
      </w:r>
      <w:r w:rsidR="008A54A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uznaje całość</w:t>
      </w:r>
      <w:r w:rsidR="008A54A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lub część </w:t>
      </w:r>
      <w:r w:rsidR="005011D3" w:rsidRPr="00FC6D62">
        <w:rPr>
          <w:rFonts w:eastAsia="MS Mincho" w:cstheme="minorHAnsi"/>
          <w:sz w:val="24"/>
          <w:szCs w:val="24"/>
          <w:lang w:eastAsia="ja-JP"/>
        </w:rPr>
        <w:t>kosztów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związanych z tym zamówieniem za niekwalifikowalne</w:t>
      </w:r>
      <w:r w:rsidR="003112C8" w:rsidRPr="00FC6D62">
        <w:rPr>
          <w:rFonts w:eastAsia="MS Mincho" w:cstheme="minorHAnsi"/>
          <w:sz w:val="24"/>
          <w:szCs w:val="24"/>
          <w:lang w:eastAsia="ja-JP"/>
        </w:rPr>
        <w:t xml:space="preserve"> w zależności od skali naruszenia. </w:t>
      </w:r>
    </w:p>
    <w:p w14:paraId="561DE8DB" w14:textId="475F210E" w:rsidR="00D24E7A" w:rsidRPr="00FC6D62" w:rsidRDefault="000521A3" w:rsidP="00AD78EE">
      <w:pPr>
        <w:pStyle w:val="Akapitzlist"/>
        <w:numPr>
          <w:ilvl w:val="0"/>
          <w:numId w:val="3"/>
        </w:numPr>
        <w:spacing w:after="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 xml:space="preserve">Do zamówień udzielanych w ramach Krajowego Planu Odbudowy zastosowanie ma taryfikator korekt stanowiący załącznik do Rozporządzenia w sprawie warunków </w:t>
      </w:r>
      <w:r w:rsidRPr="00FC6D62">
        <w:rPr>
          <w:rFonts w:eastAsia="MS Mincho" w:cstheme="minorHAnsi"/>
          <w:sz w:val="24"/>
          <w:szCs w:val="24"/>
          <w:lang w:eastAsia="ja-JP"/>
        </w:rPr>
        <w:lastRenderedPageBreak/>
        <w:t>obniżania wartości korekt finansowych oraz wydatków poniesionych nieprawidłowo związanych z udzielaniem zamówień obowiązujące na dzień wszczęcia postępowania.</w:t>
      </w:r>
    </w:p>
    <w:p w14:paraId="5571DD82" w14:textId="2E27CB1A" w:rsidR="00D24E7A" w:rsidRPr="00FC6D62" w:rsidRDefault="00943D92" w:rsidP="00FC6D62">
      <w:pPr>
        <w:pStyle w:val="Nagwek2"/>
        <w:spacing w:line="360" w:lineRule="auto"/>
        <w:ind w:left="567"/>
        <w:rPr>
          <w:rFonts w:asciiTheme="minorHAnsi" w:eastAsia="MS Mincho" w:hAnsiTheme="minorHAnsi" w:cstheme="minorHAnsi"/>
          <w:iCs/>
          <w:szCs w:val="24"/>
          <w:lang w:eastAsia="ja-JP"/>
        </w:rPr>
      </w:pPr>
      <w:bookmarkStart w:id="5" w:name="_Toc169702710"/>
      <w:r w:rsidRPr="00FC6D62">
        <w:rPr>
          <w:rFonts w:asciiTheme="minorHAnsi" w:eastAsia="MS Mincho" w:hAnsiTheme="minorHAnsi" w:cstheme="minorHAnsi"/>
          <w:iCs/>
          <w:szCs w:val="24"/>
          <w:lang w:eastAsia="ja-JP"/>
        </w:rPr>
        <w:t>1.</w:t>
      </w:r>
      <w:r w:rsidR="004255EE" w:rsidRPr="00FC6D62">
        <w:rPr>
          <w:rFonts w:asciiTheme="minorHAnsi" w:eastAsia="MS Mincho" w:hAnsiTheme="minorHAnsi" w:cstheme="minorHAnsi"/>
          <w:iCs/>
          <w:szCs w:val="24"/>
          <w:lang w:eastAsia="ja-JP"/>
        </w:rPr>
        <w:t>1</w:t>
      </w:r>
      <w:r w:rsidRPr="00FC6D62">
        <w:rPr>
          <w:rFonts w:asciiTheme="minorHAnsi" w:eastAsia="MS Mincho" w:hAnsiTheme="minorHAnsi" w:cstheme="minorHAnsi"/>
          <w:iCs/>
          <w:szCs w:val="24"/>
          <w:lang w:eastAsia="ja-JP"/>
        </w:rPr>
        <w:t xml:space="preserve">. </w:t>
      </w:r>
      <w:r w:rsidR="00D24E7A" w:rsidRPr="00FC6D62">
        <w:rPr>
          <w:rFonts w:asciiTheme="minorHAnsi" w:eastAsia="MS Mincho" w:hAnsiTheme="minorHAnsi" w:cstheme="minorHAnsi"/>
          <w:iCs/>
          <w:szCs w:val="24"/>
          <w:lang w:eastAsia="ja-JP"/>
        </w:rPr>
        <w:t>Zasada konkurencyjności</w:t>
      </w:r>
      <w:bookmarkEnd w:id="5"/>
    </w:p>
    <w:p w14:paraId="0C4BAA82" w14:textId="494674A7" w:rsidR="00D24E7A" w:rsidRPr="00FC6D62" w:rsidRDefault="00D24E7A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 xml:space="preserve">Udzielenie zamówienia w ramach </w:t>
      </w:r>
      <w:r w:rsidR="0095124F" w:rsidRPr="00FC6D62">
        <w:rPr>
          <w:rFonts w:eastAsia="MS Mincho" w:cstheme="minorHAnsi"/>
          <w:sz w:val="24"/>
          <w:szCs w:val="24"/>
          <w:lang w:eastAsia="ja-JP"/>
        </w:rPr>
        <w:t>Przedsięwzięcia przez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1A1C8A" w:rsidRPr="00FC6D62">
        <w:rPr>
          <w:rFonts w:eastAsia="MS Mincho" w:cstheme="minorHAnsi"/>
          <w:sz w:val="24"/>
          <w:szCs w:val="24"/>
          <w:lang w:eastAsia="ja-JP"/>
        </w:rPr>
        <w:t>B</w:t>
      </w:r>
      <w:r w:rsidRPr="00FC6D62">
        <w:rPr>
          <w:rFonts w:eastAsia="MS Mincho" w:cstheme="minorHAnsi"/>
          <w:sz w:val="24"/>
          <w:szCs w:val="24"/>
          <w:lang w:eastAsia="ja-JP"/>
        </w:rPr>
        <w:t>eneficjenta następuje zgodnie</w:t>
      </w:r>
      <w:r w:rsidR="001B4CA4" w:rsidRPr="00FC6D62">
        <w:rPr>
          <w:rFonts w:eastAsia="MS Mincho" w:cstheme="minorHAnsi"/>
          <w:sz w:val="24"/>
          <w:szCs w:val="24"/>
          <w:lang w:eastAsia="ja-JP"/>
        </w:rPr>
        <w:t xml:space="preserve"> z zasadą konkurencyjności w przypadku:</w:t>
      </w:r>
    </w:p>
    <w:p w14:paraId="5FF5955E" w14:textId="3DAF608D" w:rsidR="001241D3" w:rsidRPr="00FC6D62" w:rsidRDefault="00EA1302" w:rsidP="00AD78EE">
      <w:pPr>
        <w:pStyle w:val="Akapitzlist"/>
        <w:numPr>
          <w:ilvl w:val="0"/>
          <w:numId w:val="8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B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>eneficjenta</w:t>
      </w:r>
      <w:r w:rsidR="006E4408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>niebędącego zamawiającym w rozumieniu Pzp w przypadku</w:t>
      </w:r>
      <w:r w:rsidR="00142BF9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>zamówień przekraczających wartość 50 tys. PLN netto, tj. bez podatku od</w:t>
      </w:r>
      <w:r w:rsidR="006E4408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>towarów i usług (VAT),</w:t>
      </w:r>
    </w:p>
    <w:p w14:paraId="4620676D" w14:textId="0C66D492" w:rsidR="00D24E7A" w:rsidRPr="00FC6D62" w:rsidRDefault="00EA1302" w:rsidP="00AD78EE">
      <w:pPr>
        <w:pStyle w:val="Akapitzlist"/>
        <w:numPr>
          <w:ilvl w:val="0"/>
          <w:numId w:val="8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B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>eneficjenta będącego zamawiającym w rozumieniu Pzp w przypadku</w:t>
      </w:r>
      <w:r w:rsidR="006E4408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>zamówień o wartości niższej niż kwoty określone w art. 2 ust. 1 Pzp, a</w:t>
      </w:r>
      <w:r w:rsidR="006E4408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>jednocześnie przekraczającej 50 tys. PLN netto, tj. bez podatku od towarów i</w:t>
      </w:r>
      <w:r w:rsidR="006E4408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>usług (VAT).</w:t>
      </w:r>
    </w:p>
    <w:p w14:paraId="642C9BC9" w14:textId="51D43F3E" w:rsidR="00D24E7A" w:rsidRPr="00FC6D62" w:rsidRDefault="00D24E7A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 celu uniknięcia konfliktu interesów:</w:t>
      </w:r>
    </w:p>
    <w:p w14:paraId="4EC03E59" w14:textId="4C86DF96" w:rsidR="00D24E7A" w:rsidRPr="00FC6D62" w:rsidRDefault="00D24E7A" w:rsidP="00AD78EE">
      <w:pPr>
        <w:pStyle w:val="Akapitzlist"/>
        <w:numPr>
          <w:ilvl w:val="1"/>
          <w:numId w:val="9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 xml:space="preserve">w przypadku </w:t>
      </w:r>
      <w:r w:rsidR="002F43B8" w:rsidRPr="00FC6D62">
        <w:rPr>
          <w:rFonts w:eastAsia="MS Mincho" w:cstheme="minorHAnsi"/>
          <w:sz w:val="24"/>
          <w:szCs w:val="24"/>
          <w:lang w:eastAsia="ja-JP"/>
        </w:rPr>
        <w:t>B</w:t>
      </w:r>
      <w:r w:rsidRPr="00FC6D62">
        <w:rPr>
          <w:rFonts w:eastAsia="MS Mincho" w:cstheme="minorHAnsi"/>
          <w:sz w:val="24"/>
          <w:szCs w:val="24"/>
          <w:lang w:eastAsia="ja-JP"/>
        </w:rPr>
        <w:t>eneficjenta, który nie jest zamawiającym w rozumieniu Pzp,</w:t>
      </w:r>
      <w:r w:rsidR="006E4408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zamówienia nie mogą być udzielane podmiotom powiązanym z nim osobowo</w:t>
      </w:r>
      <w:r w:rsidR="006E4408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lub kapitałowo, z wyłączeniem zamówień sektorowych, zamówień określonych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</w:t>
      </w:r>
      <w:r w:rsidR="00982C42" w:rsidRPr="00FC6D62">
        <w:rPr>
          <w:rFonts w:eastAsia="MS Mincho" w:cstheme="minorHAnsi"/>
          <w:sz w:val="24"/>
          <w:szCs w:val="24"/>
          <w:lang w:eastAsia="ja-JP"/>
        </w:rPr>
        <w:t xml:space="preserve"> sekcji</w:t>
      </w:r>
      <w:r w:rsidR="003468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982C42" w:rsidRPr="00FC6D62">
        <w:rPr>
          <w:rFonts w:eastAsia="MS Mincho" w:cstheme="minorHAnsi"/>
          <w:sz w:val="24"/>
          <w:szCs w:val="24"/>
          <w:lang w:eastAsia="ja-JP"/>
        </w:rPr>
        <w:t xml:space="preserve">1 </w:t>
      </w:r>
      <w:r w:rsidRPr="00FC6D62">
        <w:rPr>
          <w:rFonts w:eastAsia="MS Mincho" w:cstheme="minorHAnsi"/>
          <w:sz w:val="24"/>
          <w:szCs w:val="24"/>
          <w:lang w:eastAsia="ja-JP"/>
        </w:rPr>
        <w:t>pkt</w:t>
      </w:r>
      <w:r w:rsidR="00142BF9" w:rsidRPr="00FC6D62">
        <w:rPr>
          <w:rFonts w:eastAsia="MS Mincho" w:cstheme="minorHAnsi"/>
          <w:sz w:val="24"/>
          <w:szCs w:val="24"/>
          <w:lang w:eastAsia="ja-JP"/>
        </w:rPr>
        <w:t>.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7 lit. </w:t>
      </w:r>
      <w:r w:rsidR="008D44C9" w:rsidRPr="00FC6D62">
        <w:rPr>
          <w:rFonts w:eastAsia="MS Mincho" w:cstheme="minorHAnsi"/>
          <w:sz w:val="24"/>
          <w:szCs w:val="24"/>
          <w:lang w:eastAsia="ja-JP"/>
        </w:rPr>
        <w:t>e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lub </w:t>
      </w:r>
      <w:r w:rsidR="008D44C9" w:rsidRPr="00FC6D62">
        <w:rPr>
          <w:rFonts w:eastAsia="MS Mincho" w:cstheme="minorHAnsi"/>
          <w:sz w:val="24"/>
          <w:szCs w:val="24"/>
          <w:lang w:eastAsia="ja-JP"/>
        </w:rPr>
        <w:t>f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oraz wyjątkowo w przypadku, w którym umożliwienie podmiotowi powiązanemu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wzięcia udziału w postępowaniu jest uzasadnione ze względu na specyfikę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CB1346" w:rsidRPr="00FC6D62">
        <w:rPr>
          <w:rFonts w:eastAsia="MS Mincho" w:cstheme="minorHAnsi"/>
          <w:sz w:val="24"/>
          <w:szCs w:val="24"/>
          <w:lang w:eastAsia="ja-JP"/>
        </w:rPr>
        <w:t xml:space="preserve">Przedsięwzięcia </w:t>
      </w:r>
      <w:r w:rsidRPr="00FC6D62">
        <w:rPr>
          <w:rFonts w:eastAsia="MS Mincho" w:cstheme="minorHAnsi"/>
          <w:sz w:val="24"/>
          <w:szCs w:val="24"/>
          <w:lang w:eastAsia="ja-JP"/>
        </w:rPr>
        <w:t>lub typ</w:t>
      </w:r>
      <w:r w:rsidR="00F01818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F01818" w:rsidRPr="00FC6D62">
        <w:rPr>
          <w:rFonts w:eastAsia="MS Mincho" w:cstheme="minorHAnsi"/>
          <w:sz w:val="24"/>
          <w:szCs w:val="24"/>
          <w:lang w:eastAsia="ja-JP"/>
        </w:rPr>
        <w:t>B</w:t>
      </w:r>
      <w:r w:rsidRPr="00FC6D62">
        <w:rPr>
          <w:rFonts w:eastAsia="MS Mincho" w:cstheme="minorHAnsi"/>
          <w:sz w:val="24"/>
          <w:szCs w:val="24"/>
          <w:lang w:eastAsia="ja-JP"/>
        </w:rPr>
        <w:t>eneficjenta</w:t>
      </w:r>
      <w:r w:rsidR="00142BF9" w:rsidRPr="00FC6D62">
        <w:rPr>
          <w:rFonts w:eastAsia="MS Mincho" w:cstheme="minorHAnsi"/>
          <w:sz w:val="24"/>
          <w:szCs w:val="24"/>
          <w:lang w:eastAsia="ja-JP"/>
        </w:rPr>
        <w:t>,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a wybór wykonawcy będącego podmiotem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powiązanym będzie dokonany zgodnie z procedurą opisaną w niniejsz</w:t>
      </w:r>
      <w:r w:rsidR="001B59CD" w:rsidRPr="00FC6D62">
        <w:rPr>
          <w:rFonts w:eastAsia="MS Mincho" w:cstheme="minorHAnsi"/>
          <w:sz w:val="24"/>
          <w:szCs w:val="24"/>
          <w:lang w:eastAsia="ja-JP"/>
        </w:rPr>
        <w:t>ej sekcji</w:t>
      </w:r>
      <w:r w:rsidRPr="00FC6D62">
        <w:rPr>
          <w:rFonts w:eastAsia="MS Mincho" w:cstheme="minorHAnsi"/>
          <w:sz w:val="24"/>
          <w:szCs w:val="24"/>
          <w:lang w:eastAsia="ja-JP"/>
        </w:rPr>
        <w:t>, I</w:t>
      </w:r>
      <w:r w:rsidR="00F01818" w:rsidRPr="00FC6D62">
        <w:rPr>
          <w:rFonts w:eastAsia="MS Mincho" w:cstheme="minorHAnsi"/>
          <w:sz w:val="24"/>
          <w:szCs w:val="24"/>
          <w:lang w:eastAsia="ja-JP"/>
        </w:rPr>
        <w:t>OI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może wyrazić zgodę na wyłączenie zakazu w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odniesieniu do danego postępowania przed jego przeprowadzeniem,</w:t>
      </w:r>
    </w:p>
    <w:p w14:paraId="33297017" w14:textId="369CE04A" w:rsidR="00D24E7A" w:rsidRPr="00FC6D62" w:rsidRDefault="00D24E7A" w:rsidP="00AD78EE">
      <w:pPr>
        <w:pStyle w:val="Akapitzlist"/>
        <w:numPr>
          <w:ilvl w:val="1"/>
          <w:numId w:val="9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osoby wykonujące w imieniu zamawiającego czynności związane z procedurą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wyboru wykonawcy, w szczególności osoby biorące udział w procesie oceny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ofert, nie mogą być powiązane osobowo lub kapitałowo z wykonawcami, którzy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złożyli oferty. Powinny być to osoby bezstronne i obiektywne.</w:t>
      </w:r>
      <w:r w:rsidR="000521A3" w:rsidRPr="00FC6D62">
        <w:rPr>
          <w:rFonts w:eastAsia="MS Mincho" w:cstheme="minorHAnsi"/>
          <w:sz w:val="24"/>
          <w:szCs w:val="24"/>
          <w:lang w:eastAsia="ja-JP"/>
        </w:rPr>
        <w:t xml:space="preserve"> W tym celu składają oświadczenie o bezstronności o którym mowa w art. 56 Pzp. </w:t>
      </w:r>
    </w:p>
    <w:p w14:paraId="24C6C9EF" w14:textId="10B6879D" w:rsidR="00D24E7A" w:rsidRPr="00FC6D62" w:rsidRDefault="00D24E7A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Przez powiązania kapitałowe lub osobowe rozumie się wzajemne powiązania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między </w:t>
      </w:r>
      <w:r w:rsidR="00F21768" w:rsidRPr="00FC6D62">
        <w:rPr>
          <w:rFonts w:eastAsia="MS Mincho" w:cstheme="minorHAnsi"/>
          <w:sz w:val="24"/>
          <w:szCs w:val="24"/>
          <w:lang w:eastAsia="ja-JP"/>
        </w:rPr>
        <w:t>B</w:t>
      </w:r>
      <w:r w:rsidRPr="00FC6D62">
        <w:rPr>
          <w:rFonts w:eastAsia="MS Mincho" w:cstheme="minorHAnsi"/>
          <w:sz w:val="24"/>
          <w:szCs w:val="24"/>
          <w:lang w:eastAsia="ja-JP"/>
        </w:rPr>
        <w:t>eneficjentem lub osobami upoważnionymi do zaciągania zobowiązań w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imieniu </w:t>
      </w:r>
      <w:r w:rsidR="00F21768" w:rsidRPr="00FC6D62">
        <w:rPr>
          <w:rFonts w:eastAsia="MS Mincho" w:cstheme="minorHAnsi"/>
          <w:sz w:val="24"/>
          <w:szCs w:val="24"/>
          <w:lang w:eastAsia="ja-JP"/>
        </w:rPr>
        <w:t>B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eneficjenta lub osobami wykonującymi w imieniu </w:t>
      </w:r>
      <w:r w:rsidR="00F21768" w:rsidRPr="00FC6D62">
        <w:rPr>
          <w:rFonts w:eastAsia="MS Mincho" w:cstheme="minorHAnsi"/>
          <w:sz w:val="24"/>
          <w:szCs w:val="24"/>
          <w:lang w:eastAsia="ja-JP"/>
        </w:rPr>
        <w:t xml:space="preserve">Beneficjenta </w:t>
      </w:r>
      <w:r w:rsidRPr="00FC6D62">
        <w:rPr>
          <w:rFonts w:eastAsia="MS Mincho" w:cstheme="minorHAnsi"/>
          <w:sz w:val="24"/>
          <w:szCs w:val="24"/>
          <w:lang w:eastAsia="ja-JP"/>
        </w:rPr>
        <w:t>czynności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związane z przeprowadzeniem procedury wyboru wykonawcy a wykonawcą,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polegające w szczególności na:</w:t>
      </w:r>
    </w:p>
    <w:p w14:paraId="2FF38A25" w14:textId="77777777" w:rsidR="00AD2B32" w:rsidRPr="00FC6D62" w:rsidRDefault="00D24E7A" w:rsidP="00AD78EE">
      <w:pPr>
        <w:pStyle w:val="Akapitzlist"/>
        <w:numPr>
          <w:ilvl w:val="1"/>
          <w:numId w:val="11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uczestniczeniu w spółce jako wspólnik spółki cywilnej lub spółki osobowej,</w:t>
      </w:r>
    </w:p>
    <w:p w14:paraId="3EC807A8" w14:textId="77777777" w:rsidR="00AD2B32" w:rsidRPr="00FC6D62" w:rsidRDefault="00D24E7A" w:rsidP="00AD78EE">
      <w:pPr>
        <w:pStyle w:val="Akapitzlist"/>
        <w:numPr>
          <w:ilvl w:val="1"/>
          <w:numId w:val="11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lastRenderedPageBreak/>
        <w:t>posiadaniu co najmniej 10% udziałów lub akcji, o ile niższy próg nie wynika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z przepisów prawa</w:t>
      </w:r>
      <w:r w:rsidRPr="00FC6D62">
        <w:rPr>
          <w:rFonts w:eastAsia="MS Mincho" w:cstheme="minorHAnsi"/>
          <w:sz w:val="24"/>
          <w:szCs w:val="24"/>
          <w:lang w:eastAsia="ja-JP"/>
        </w:rPr>
        <w:t>,</w:t>
      </w:r>
    </w:p>
    <w:p w14:paraId="6DBEC0DD" w14:textId="77777777" w:rsidR="00AD2B32" w:rsidRPr="00FC6D62" w:rsidRDefault="00D24E7A" w:rsidP="00AD78EE">
      <w:pPr>
        <w:pStyle w:val="Akapitzlist"/>
        <w:numPr>
          <w:ilvl w:val="1"/>
          <w:numId w:val="11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pełnieniu funkcji członka organu nadzorczego lub zarządzającego, prokurenta,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pełnomocnika,</w:t>
      </w:r>
    </w:p>
    <w:p w14:paraId="79500BA5" w14:textId="4998C94B" w:rsidR="00D24E7A" w:rsidRPr="00FC6D62" w:rsidRDefault="00D24E7A" w:rsidP="00AD78EE">
      <w:pPr>
        <w:pStyle w:val="Akapitzlist"/>
        <w:numPr>
          <w:ilvl w:val="1"/>
          <w:numId w:val="11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pozostawaniu w związku małżeńskim, w stosunku pokrewieństwa lub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powinowactwa w linii prostej, pokrewieństwa drugiego stopnia lub powinowactwa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drugiego stopnia w linii bocznej lub w stosunku przysposobienia, opieki lub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kurateli.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 przypadku, gdy</w:t>
      </w:r>
      <w:r w:rsidR="00500E70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500C62" w:rsidRPr="00FC6D62">
        <w:rPr>
          <w:rFonts w:eastAsia="MS Mincho" w:cstheme="minorHAnsi"/>
          <w:sz w:val="24"/>
          <w:szCs w:val="24"/>
          <w:lang w:eastAsia="ja-JP"/>
        </w:rPr>
        <w:t>JW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stwierdzi udzielenie</w:t>
      </w:r>
      <w:r w:rsidR="00AD2B3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zamówienia podmiotowi powiązanemu w sposób inny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niż wskazane w lit. a-d, jest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zobowiązana przed wezwaniem do zwrotu środków wykazać istnienie naruszenia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zasady konkurencyjności poprzez istniejące powiązanie.</w:t>
      </w:r>
    </w:p>
    <w:p w14:paraId="056F2F58" w14:textId="52D185EF" w:rsidR="003758C7" w:rsidRPr="00FC6D62" w:rsidRDefault="003758C7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 xml:space="preserve">Podmiot, który nie jest zamawiającym w rozumieniu Pzp, stosuje zasady określone w art. 56 tej ustawy, niezależnie od wartości szacunkowej zamówienia. </w:t>
      </w:r>
    </w:p>
    <w:p w14:paraId="665BD6B3" w14:textId="76C70FD3" w:rsidR="00AD2B32" w:rsidRPr="00FC6D62" w:rsidRDefault="00D24E7A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 xml:space="preserve">W przypadku </w:t>
      </w:r>
      <w:r w:rsidR="00A9209B" w:rsidRPr="00FC6D62">
        <w:rPr>
          <w:rFonts w:eastAsia="MS Mincho" w:cstheme="minorHAnsi"/>
          <w:sz w:val="24"/>
          <w:szCs w:val="24"/>
          <w:lang w:eastAsia="ja-JP"/>
        </w:rPr>
        <w:t>B</w:t>
      </w:r>
      <w:r w:rsidRPr="00FC6D62">
        <w:rPr>
          <w:rFonts w:eastAsia="MS Mincho" w:cstheme="minorHAnsi"/>
          <w:sz w:val="24"/>
          <w:szCs w:val="24"/>
          <w:lang w:eastAsia="ja-JP"/>
        </w:rPr>
        <w:t>eneficjenta, który jest zamawiającym w rozumieniu Pzp, zasadę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konkurencyjności uznaje się za </w:t>
      </w:r>
      <w:r w:rsidR="0095124F" w:rsidRPr="00FC6D62">
        <w:rPr>
          <w:rFonts w:eastAsia="MS Mincho" w:cstheme="minorHAnsi"/>
          <w:sz w:val="24"/>
          <w:szCs w:val="24"/>
          <w:lang w:eastAsia="ja-JP"/>
        </w:rPr>
        <w:t>spełnioną,</w:t>
      </w:r>
      <w:r w:rsidR="00485AED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jeżeli postępowanie o udzielenie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zamówienia przeprowadzone jest na zasadach i w trybach określonych w Pzp.</w:t>
      </w:r>
    </w:p>
    <w:p w14:paraId="15A19BFC" w14:textId="4F2D3C89" w:rsidR="00AD2B32" w:rsidRPr="00FC6D62" w:rsidRDefault="00D24E7A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 xml:space="preserve">Przedmiot zamówienia opisuje się w sposób jednoznaczny i wyczerpujący, </w:t>
      </w:r>
      <w:r w:rsidR="00787499" w:rsidRPr="00FC6D62">
        <w:rPr>
          <w:rFonts w:eastAsia="MS Mincho" w:cstheme="minorHAnsi"/>
          <w:sz w:val="24"/>
          <w:szCs w:val="24"/>
          <w:lang w:eastAsia="ja-JP"/>
        </w:rPr>
        <w:t xml:space="preserve">przy </w:t>
      </w:r>
      <w:r w:rsidRPr="00FC6D62">
        <w:rPr>
          <w:rFonts w:eastAsia="MS Mincho" w:cstheme="minorHAnsi"/>
          <w:sz w:val="24"/>
          <w:szCs w:val="24"/>
          <w:lang w:eastAsia="ja-JP"/>
        </w:rPr>
        <w:t>pomoc</w:t>
      </w:r>
      <w:r w:rsidR="00787499" w:rsidRPr="00FC6D62">
        <w:rPr>
          <w:rFonts w:eastAsia="MS Mincho" w:cstheme="minorHAnsi"/>
          <w:sz w:val="24"/>
          <w:szCs w:val="24"/>
          <w:lang w:eastAsia="ja-JP"/>
        </w:rPr>
        <w:t>y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dokładnych i zrozumiałych określeń, uwzględniając wszystkie wymagania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i okoliczności mogące mieć wpływ na sporządzenie oferty. Jeżeli nie uzasadnia tego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przedmiot zamówienia, opis przedmiotu zamówienia nie może zawierać odniesień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do znaków towarowych, patentów lub pochodzenia, źródła lub szczególnego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procesu, który charakteryzuje produkty lub usługi dostarczane przez konkretnego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wykonawcę, jeżeli mogłoby to doprowadzić do uprzywilejowania lub wyeliminowania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niektórych wykonawców lub produktów. W wyjątkowych przypadkach dopuszcza się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stosowanie takich odniesień, jeżeli niemożliwe jest opisanie przedmiotu zamówienia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 wystarczająco precyzyjny i zrozumiały sposób zgodnie ze zdaniem pierwszym.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Takim odniesieniom muszą towarzyszyć słowa „lub równoważne”</w:t>
      </w:r>
      <w:r w:rsidR="003758C7" w:rsidRPr="00FC6D62">
        <w:rPr>
          <w:rFonts w:eastAsia="MS Mincho" w:cstheme="minorHAnsi"/>
          <w:sz w:val="24"/>
          <w:szCs w:val="24"/>
          <w:lang w:eastAsia="ja-JP"/>
        </w:rPr>
        <w:t xml:space="preserve"> wraz z podaniem kryteriów równoważności</w:t>
      </w:r>
      <w:r w:rsidRPr="00FC6D62">
        <w:rPr>
          <w:rFonts w:eastAsia="MS Mincho" w:cstheme="minorHAnsi"/>
          <w:sz w:val="24"/>
          <w:szCs w:val="24"/>
          <w:lang w:eastAsia="ja-JP"/>
        </w:rPr>
        <w:t>. W przypadku</w:t>
      </w:r>
      <w:r w:rsidR="00500C62" w:rsidRPr="00FC6D62">
        <w:rPr>
          <w:rFonts w:eastAsia="MS Mincho" w:cstheme="minorHAnsi"/>
          <w:sz w:val="24"/>
          <w:szCs w:val="24"/>
          <w:lang w:eastAsia="ja-JP"/>
        </w:rPr>
        <w:t>,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gdy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zamawiający korzysta z możliwości zastosowania takich odniesień, nie może on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odrzucić oferty jako niezgodnej z zapytaniem ofertowym, jeżeli wykonawca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udowodni w swojej ofercie, że proponowane rozwiązania w równoważnym stopniu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spełniają wymagania określone w zapytaniu ofertowym.</w:t>
      </w:r>
    </w:p>
    <w:p w14:paraId="77CE28A0" w14:textId="77777777" w:rsidR="00AD2B32" w:rsidRPr="00FC6D62" w:rsidRDefault="00D24E7A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Z uwagi na konieczność ochrony tajemnicy przedsiębiorstwa dopuszcza się</w:t>
      </w:r>
      <w:r w:rsidR="002D0D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możliwość ograniczenia zakresu opisu przedmiotu zamówienia, przy czym</w:t>
      </w:r>
      <w:r w:rsidR="002D0D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wymagane jest </w:t>
      </w:r>
      <w:r w:rsidRPr="00FC6D62">
        <w:rPr>
          <w:rFonts w:eastAsia="MS Mincho" w:cstheme="minorHAnsi"/>
          <w:sz w:val="24"/>
          <w:szCs w:val="24"/>
          <w:lang w:eastAsia="ja-JP"/>
        </w:rPr>
        <w:lastRenderedPageBreak/>
        <w:t>udostępnienie uzupełnienia wyłączonego opisu przedmiotu</w:t>
      </w:r>
      <w:r w:rsidR="002D0D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zamówienia potencjalnemu wykonawcy, który zobowiązał się do zachowania</w:t>
      </w:r>
      <w:r w:rsidR="002D0D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poufności w odniesieniu do przedstawionych informacji, w terminie umożliwiającym</w:t>
      </w:r>
      <w:r w:rsidR="002D0D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przygotowanie i złożenie oferty.</w:t>
      </w:r>
    </w:p>
    <w:p w14:paraId="6E086194" w14:textId="68BD6D79" w:rsidR="00AD2B32" w:rsidRPr="00FC6D62" w:rsidRDefault="00D24E7A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Do opisu przedmiotu zamówienia stosuje się nazwy i kody określone we Wspólnym</w:t>
      </w:r>
      <w:r w:rsidR="002D0D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Słowniku Zamówień</w:t>
      </w:r>
      <w:r w:rsidR="00500C62" w:rsidRPr="00FC6D62">
        <w:rPr>
          <w:rFonts w:eastAsia="MS Mincho" w:cstheme="minorHAnsi"/>
          <w:sz w:val="24"/>
          <w:szCs w:val="24"/>
          <w:lang w:eastAsia="ja-JP"/>
        </w:rPr>
        <w:t>,</w:t>
      </w:r>
      <w:r w:rsidR="002D0D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 którym mowa w rozporządzeniu (WE) nr 2195/2002</w:t>
      </w:r>
      <w:r w:rsidR="002D0D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Parlamentu Europejskiego i Rady z dnia 5 listopada 2002 r. w sprawie Wspólnego</w:t>
      </w:r>
      <w:r w:rsidR="002D0D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Słownika Zamówień (CPV) (Dz. Urz. WE L 340 z 16.12.2002, str. 1, z późn. zm.; Dz.</w:t>
      </w:r>
      <w:r w:rsidR="002D0D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Urz. UE Polskie wydanie specjalne rozdz. 6, t. 5, str. 3).</w:t>
      </w:r>
      <w:r w:rsidR="00500C62" w:rsidRPr="00FC6D62">
        <w:rPr>
          <w:rStyle w:val="Odwoanieprzypisudolnego"/>
          <w:rFonts w:eastAsia="MS Mincho" w:cstheme="minorHAnsi"/>
          <w:sz w:val="24"/>
          <w:szCs w:val="24"/>
          <w:lang w:eastAsia="ja-JP"/>
        </w:rPr>
        <w:footnoteReference w:id="5"/>
      </w:r>
    </w:p>
    <w:p w14:paraId="1F73277C" w14:textId="6867D43B" w:rsidR="00AD2B32" w:rsidRPr="00FC6D62" w:rsidRDefault="00D24E7A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Warunki udziału w postępowaniu o udzielenie zamówienia oraz opis sposobu</w:t>
      </w:r>
      <w:r w:rsidR="002D0D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dokonywania oceny ich spełniania, o ile zostaną zawarte w zapytaniu ofertowym,</w:t>
      </w:r>
      <w:r w:rsidR="002D0D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 którym mowa w pkt 1</w:t>
      </w:r>
      <w:r w:rsidR="00B70D2F" w:rsidRPr="00FC6D62">
        <w:rPr>
          <w:rFonts w:eastAsia="MS Mincho" w:cstheme="minorHAnsi"/>
          <w:sz w:val="24"/>
          <w:szCs w:val="24"/>
          <w:lang w:eastAsia="ja-JP"/>
        </w:rPr>
        <w:t>2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lit. a, określane są w sposób proporcjonalny do przedmiotu</w:t>
      </w:r>
      <w:r w:rsidR="002D0D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zamówienia, zapewniający zachowanie uczciwej konkurencji i równego traktowania</w:t>
      </w:r>
      <w:r w:rsidR="002D0D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wykonawców. Nie można formułować warunków przewyższających wymagania</w:t>
      </w:r>
      <w:r w:rsidR="002D0D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wystarczające do należytego wykonania zamówienia.</w:t>
      </w:r>
    </w:p>
    <w:p w14:paraId="3F3391E3" w14:textId="1849A002" w:rsidR="00D9038B" w:rsidRPr="00FC6D62" w:rsidRDefault="00D9038B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Kryteria oceny ofert składanych w ramach postępowania o udzielenie zamówienia</w:t>
      </w:r>
      <w:r w:rsidR="002D0D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są formułowane w sposób zapewniający zachowanie uczciwej konkurencji oraz</w:t>
      </w:r>
      <w:r w:rsidR="002D0D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równego traktowania wykonawców, przy czym:</w:t>
      </w:r>
    </w:p>
    <w:p w14:paraId="0DD2F9E7" w14:textId="77777777" w:rsidR="00AD2B32" w:rsidRPr="00FC6D62" w:rsidRDefault="00D9038B" w:rsidP="00AD78EE">
      <w:pPr>
        <w:pStyle w:val="Akapitzlist"/>
        <w:numPr>
          <w:ilvl w:val="1"/>
          <w:numId w:val="12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każde kryterium oceny ofert musi odnosić się do danego przedmiotu zamówienia,</w:t>
      </w:r>
    </w:p>
    <w:p w14:paraId="14802C8B" w14:textId="77777777" w:rsidR="00AD2B32" w:rsidRPr="00FC6D62" w:rsidRDefault="00D9038B" w:rsidP="00AD78EE">
      <w:pPr>
        <w:pStyle w:val="Akapitzlist"/>
        <w:numPr>
          <w:ilvl w:val="1"/>
          <w:numId w:val="12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każde kryterium (i opis jego stosowania) musi być sformułowane jednoznacznie</w:t>
      </w:r>
      <w:r w:rsidR="0022365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i precyzyjnie, tak żeby każdy wykonawca</w:t>
      </w:r>
      <w:r w:rsidR="002D0D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mógł interpretować je w jednakowy sposób,</w:t>
      </w:r>
    </w:p>
    <w:p w14:paraId="750B6BE7" w14:textId="63859B7E" w:rsidR="00AD2B32" w:rsidRPr="00FC6D62" w:rsidRDefault="00D9038B" w:rsidP="00AD78EE">
      <w:pPr>
        <w:pStyle w:val="Akapitzlist"/>
        <w:numPr>
          <w:ilvl w:val="1"/>
          <w:numId w:val="12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wagi (znaczenie) poszczególnych kryteriów powinny być określone w sposób</w:t>
      </w:r>
      <w:r w:rsidR="002D0D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umożliwiający wybór najkorzystniejszej oferty,</w:t>
      </w:r>
    </w:p>
    <w:p w14:paraId="501E7709" w14:textId="14956A76" w:rsidR="00AD2B32" w:rsidRPr="00FC6D62" w:rsidRDefault="00D9038B" w:rsidP="00AD78EE">
      <w:pPr>
        <w:pStyle w:val="Akapitzlist"/>
        <w:numPr>
          <w:ilvl w:val="1"/>
          <w:numId w:val="12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kryteria oceny ofert nie mogą dotyczyć właściwości wykonawcy</w:t>
      </w:r>
      <w:r w:rsidR="005337E6" w:rsidRPr="00FC6D62">
        <w:rPr>
          <w:rFonts w:eastAsia="MS Mincho" w:cstheme="minorHAnsi"/>
          <w:sz w:val="24"/>
          <w:szCs w:val="24"/>
          <w:lang w:eastAsia="ja-JP"/>
        </w:rPr>
        <w:t>,</w:t>
      </w:r>
      <w:r w:rsidR="0022365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a w szczególności jego wiarygodności ekonomicznej, technicznej lub finansowej</w:t>
      </w:r>
      <w:r w:rsidR="0022365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oraz doświadczenia. Zakaz ten nie dotyczy zamówień na usługi społeczne</w:t>
      </w:r>
      <w:r w:rsidR="0022365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i innych szczególnych usług</w:t>
      </w:r>
      <w:r w:rsidR="00223657" w:rsidRPr="00FC6D62">
        <w:rPr>
          <w:rFonts w:eastAsia="MS Mincho" w:cstheme="minorHAnsi"/>
          <w:sz w:val="24"/>
          <w:szCs w:val="24"/>
          <w:lang w:eastAsia="ja-JP"/>
        </w:rPr>
        <w:t>,</w:t>
      </w:r>
      <w:r w:rsidR="005337E6" w:rsidRPr="00FC6D62">
        <w:rPr>
          <w:rStyle w:val="Odwoanieprzypisudolnego"/>
          <w:rFonts w:eastAsia="MS Mincho" w:cstheme="minorHAnsi"/>
          <w:sz w:val="24"/>
          <w:szCs w:val="24"/>
          <w:lang w:eastAsia="ja-JP"/>
        </w:rPr>
        <w:footnoteReference w:id="6"/>
      </w:r>
    </w:p>
    <w:p w14:paraId="2B69EC99" w14:textId="3CF48103" w:rsidR="00D9038B" w:rsidRPr="00FC6D62" w:rsidRDefault="00D9038B" w:rsidP="00AD78EE">
      <w:pPr>
        <w:pStyle w:val="Akapitzlist"/>
        <w:numPr>
          <w:ilvl w:val="1"/>
          <w:numId w:val="12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lastRenderedPageBreak/>
        <w:t>cena może być jedynym kryterium oceny ofert. Poza wymaganiami dotyczącymi</w:t>
      </w:r>
      <w:r w:rsidR="00223657" w:rsidRPr="00FC6D62">
        <w:rPr>
          <w:rFonts w:eastAsia="MS Mincho" w:cstheme="minorHAnsi"/>
          <w:sz w:val="24"/>
          <w:szCs w:val="24"/>
          <w:lang w:eastAsia="ja-JP"/>
        </w:rPr>
        <w:t xml:space="preserve"> o</w:t>
      </w:r>
      <w:r w:rsidRPr="00FC6D62">
        <w:rPr>
          <w:rFonts w:eastAsia="MS Mincho" w:cstheme="minorHAnsi"/>
          <w:sz w:val="24"/>
          <w:szCs w:val="24"/>
          <w:lang w:eastAsia="ja-JP"/>
        </w:rPr>
        <w:t>ceny wskazane jest stosowanie jako kryterium oceny ofert innych wymagań</w:t>
      </w:r>
      <w:r w:rsidR="0022365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odnoszących się do przedmiotu zamówienia, takich jak np. jakość,</w:t>
      </w:r>
      <w:r w:rsidR="0022365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funkcjonalność, parametry techniczne, aspekty środowiskowe, społeczne,</w:t>
      </w:r>
      <w:r w:rsidR="0022365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innowacyjne, serwis, termin wykonania zamówienia, koszty eksploatacji oraz</w:t>
      </w:r>
      <w:r w:rsidR="0022365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organizacja, kwalifikacje zawodowe i doświadczenie osób wyznaczonych do</w:t>
      </w:r>
      <w:r w:rsidR="00223657" w:rsidRPr="00FC6D62">
        <w:rPr>
          <w:rFonts w:eastAsia="MS Mincho" w:cstheme="minorHAnsi"/>
          <w:sz w:val="24"/>
          <w:szCs w:val="24"/>
          <w:lang w:eastAsia="ja-JP"/>
        </w:rPr>
        <w:t xml:space="preserve"> realizacji zamówienia, jeżeli mogą mieć zna</w:t>
      </w:r>
      <w:r w:rsidR="00647C41" w:rsidRPr="00FC6D62">
        <w:rPr>
          <w:rFonts w:eastAsia="MS Mincho" w:cstheme="minorHAnsi"/>
          <w:sz w:val="24"/>
          <w:szCs w:val="24"/>
          <w:lang w:eastAsia="ja-JP"/>
        </w:rPr>
        <w:t xml:space="preserve">czący wpływ na jakość wykonania </w:t>
      </w:r>
      <w:r w:rsidR="00223657" w:rsidRPr="00FC6D62">
        <w:rPr>
          <w:rFonts w:eastAsia="MS Mincho" w:cstheme="minorHAnsi"/>
          <w:sz w:val="24"/>
          <w:szCs w:val="24"/>
          <w:lang w:eastAsia="ja-JP"/>
        </w:rPr>
        <w:t>zamówienia.</w:t>
      </w:r>
    </w:p>
    <w:p w14:paraId="7C756C93" w14:textId="267C3ABD" w:rsidR="00AD2B32" w:rsidRPr="00FC6D62" w:rsidRDefault="00D9038B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Termin na złożenie oferty (decyduje data wpływu oferty do zamawiającego) wynosi</w:t>
      </w:r>
      <w:r w:rsidR="00647C41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co najmniej 7 dni – w przypadku dostaw i usług, co najmniej 14 dni w przypadku zamówień sektorowych o wartości niższej niż</w:t>
      </w:r>
      <w:r w:rsidR="00647C41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progi unijne w rozumieniu art. 3 Pzp. W przypadku zamówień o wartości</w:t>
      </w:r>
      <w:r w:rsidR="00647C41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szacunkowej równej lub przekraczającej progi unijne w rozumieniu art. 3 Pzp</w:t>
      </w:r>
      <w:r w:rsidR="00274100" w:rsidRPr="00FC6D62">
        <w:rPr>
          <w:rStyle w:val="Odwoanieprzypisudolnego"/>
          <w:rFonts w:eastAsia="MS Mincho" w:cstheme="minorHAnsi"/>
          <w:sz w:val="24"/>
          <w:szCs w:val="24"/>
          <w:lang w:eastAsia="ja-JP"/>
        </w:rPr>
        <w:footnoteReference w:id="7"/>
      </w:r>
      <w:r w:rsidR="00647C41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termin wynosi co najmniej 30 dni. Bieg terminu rozpoczyna się w dniu następującym</w:t>
      </w:r>
      <w:r w:rsidR="00647C41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po dniu upublicznienia zapytania ofertowego, a kończy się z upływem ostatniego</w:t>
      </w:r>
      <w:r w:rsidR="00647C41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dnia. Jeżeli koniec terminu przypada na sobotę lub dzień ustawowo wolny od pracy,</w:t>
      </w:r>
      <w:r w:rsidR="00035E99" w:rsidRPr="00FC6D62">
        <w:rPr>
          <w:rFonts w:eastAsia="MS Mincho" w:cstheme="minorHAnsi"/>
          <w:sz w:val="24"/>
          <w:szCs w:val="24"/>
          <w:lang w:eastAsia="ja-JP"/>
        </w:rPr>
        <w:t xml:space="preserve"> termin upływa dnia następującego po dniu lub dniach wolnych od pracy.</w:t>
      </w:r>
    </w:p>
    <w:p w14:paraId="3DA01E9C" w14:textId="7F9DD138" w:rsidR="00D9038B" w:rsidRPr="00FC6D62" w:rsidRDefault="00D9038B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 celu spełnienia zasady konkurencyjności należy:</w:t>
      </w:r>
    </w:p>
    <w:p w14:paraId="51EB7CF6" w14:textId="79D1B2DF" w:rsidR="00D9038B" w:rsidRPr="00FC6D62" w:rsidRDefault="00D9038B" w:rsidP="00AD78EE">
      <w:pPr>
        <w:pStyle w:val="Akapitzlist"/>
        <w:numPr>
          <w:ilvl w:val="1"/>
          <w:numId w:val="13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upublicznić zapytanie ofertowe zgodnie z warunkami</w:t>
      </w:r>
      <w:r w:rsidR="005337E6" w:rsidRPr="00FC6D62">
        <w:rPr>
          <w:rFonts w:eastAsia="MS Mincho" w:cstheme="minorHAnsi"/>
          <w:sz w:val="24"/>
          <w:szCs w:val="24"/>
          <w:lang w:eastAsia="ja-JP"/>
        </w:rPr>
        <w:t>,</w:t>
      </w:r>
      <w:r w:rsidR="00647C41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 których mowa w pkt 1</w:t>
      </w:r>
      <w:r w:rsidR="00B70D2F" w:rsidRPr="00FC6D62">
        <w:rPr>
          <w:rFonts w:eastAsia="MS Mincho" w:cstheme="minorHAnsi"/>
          <w:sz w:val="24"/>
          <w:szCs w:val="24"/>
          <w:lang w:eastAsia="ja-JP"/>
        </w:rPr>
        <w:t>3</w:t>
      </w:r>
      <w:r w:rsidR="00647C41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lub 1</w:t>
      </w:r>
      <w:r w:rsidR="00B70D2F" w:rsidRPr="00FC6D62">
        <w:rPr>
          <w:rFonts w:eastAsia="MS Mincho" w:cstheme="minorHAnsi"/>
          <w:sz w:val="24"/>
          <w:szCs w:val="24"/>
          <w:lang w:eastAsia="ja-JP"/>
        </w:rPr>
        <w:t>4</w:t>
      </w:r>
      <w:r w:rsidRPr="00FC6D62">
        <w:rPr>
          <w:rFonts w:eastAsia="MS Mincho" w:cstheme="minorHAnsi"/>
          <w:sz w:val="24"/>
          <w:szCs w:val="24"/>
          <w:lang w:eastAsia="ja-JP"/>
        </w:rPr>
        <w:t>, które zawiera co najmniej:</w:t>
      </w:r>
    </w:p>
    <w:p w14:paraId="5225C4EE" w14:textId="0588A015" w:rsidR="00D9038B" w:rsidRPr="00FC6D62" w:rsidRDefault="00D9038B" w:rsidP="00FC6D62">
      <w:pPr>
        <w:pStyle w:val="Akapitzlist"/>
        <w:numPr>
          <w:ilvl w:val="0"/>
          <w:numId w:val="14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opis przedmiotu zamówienia,</w:t>
      </w:r>
    </w:p>
    <w:p w14:paraId="4C7775F9" w14:textId="340211B0" w:rsidR="00D9038B" w:rsidRPr="00FC6D62" w:rsidRDefault="00D9038B" w:rsidP="00FC6D62">
      <w:pPr>
        <w:pStyle w:val="Akapitzlist"/>
        <w:numPr>
          <w:ilvl w:val="0"/>
          <w:numId w:val="14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warunki udziału w postępowaniu oraz opis sposobu dokonywania oceny ich</w:t>
      </w:r>
      <w:r w:rsidR="005F2B0B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spełniania, przy czym stawianie warunków udziału nie jest obowiązkowe,</w:t>
      </w:r>
    </w:p>
    <w:p w14:paraId="1DF5A84D" w14:textId="2597E24E" w:rsidR="00D9038B" w:rsidRPr="00FC6D62" w:rsidRDefault="00D9038B" w:rsidP="00FC6D62">
      <w:pPr>
        <w:pStyle w:val="Akapitzlist"/>
        <w:numPr>
          <w:ilvl w:val="0"/>
          <w:numId w:val="14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kryteria oceny oferty,</w:t>
      </w:r>
    </w:p>
    <w:p w14:paraId="49E29BEB" w14:textId="3D3F991D" w:rsidR="00D9038B" w:rsidRPr="00FC6D62" w:rsidRDefault="00D9038B" w:rsidP="00FC6D62">
      <w:pPr>
        <w:pStyle w:val="Akapitzlist"/>
        <w:numPr>
          <w:ilvl w:val="0"/>
          <w:numId w:val="14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informację o wagach punktowych lub procentowych przypisanych</w:t>
      </w:r>
      <w:r w:rsidR="00042CEF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do poszczególnych kryteriów oceny oferty,</w:t>
      </w:r>
    </w:p>
    <w:p w14:paraId="1431F4DC" w14:textId="4A93BFCF" w:rsidR="00D9038B" w:rsidRPr="00FC6D62" w:rsidRDefault="00D9038B" w:rsidP="00FC6D62">
      <w:pPr>
        <w:pStyle w:val="Akapitzlist"/>
        <w:numPr>
          <w:ilvl w:val="0"/>
          <w:numId w:val="14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opis sposobu przyznawania punktacji za spełnienie danego kryterium oceny</w:t>
      </w:r>
      <w:r w:rsidR="005F2B0B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oferty,</w:t>
      </w:r>
    </w:p>
    <w:p w14:paraId="0A88CCB2" w14:textId="48D8FE27" w:rsidR="00D9038B" w:rsidRPr="00FC6D62" w:rsidRDefault="00D9038B" w:rsidP="00FC6D62">
      <w:pPr>
        <w:pStyle w:val="Akapitzlist"/>
        <w:numPr>
          <w:ilvl w:val="0"/>
          <w:numId w:val="14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termin składania ofert,</w:t>
      </w:r>
    </w:p>
    <w:p w14:paraId="3D218116" w14:textId="633FB229" w:rsidR="00D9038B" w:rsidRPr="00FC6D62" w:rsidRDefault="00D9038B" w:rsidP="00FC6D62">
      <w:pPr>
        <w:pStyle w:val="Akapitzlist"/>
        <w:numPr>
          <w:ilvl w:val="0"/>
          <w:numId w:val="14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termin realizacji umowy,</w:t>
      </w:r>
    </w:p>
    <w:p w14:paraId="0C2975B0" w14:textId="27A54EA8" w:rsidR="00D9038B" w:rsidRPr="00FC6D62" w:rsidRDefault="00D9038B" w:rsidP="00FC6D62">
      <w:pPr>
        <w:pStyle w:val="Akapitzlist"/>
        <w:numPr>
          <w:ilvl w:val="0"/>
          <w:numId w:val="14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lastRenderedPageBreak/>
        <w:t>informację na temat zakazu powiązań osobowych lub kapitałowych</w:t>
      </w:r>
      <w:r w:rsidR="005337E6" w:rsidRPr="00FC6D62">
        <w:rPr>
          <w:rFonts w:eastAsia="MS Mincho" w:cstheme="minorHAnsi"/>
          <w:sz w:val="24"/>
          <w:szCs w:val="24"/>
          <w:lang w:eastAsia="ja-JP"/>
        </w:rPr>
        <w:t>,</w:t>
      </w:r>
      <w:r w:rsidR="00B46A3C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 którym</w:t>
      </w:r>
      <w:r w:rsidR="00B46A3C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mowa w pkt 2 lit. a,</w:t>
      </w:r>
      <w:r w:rsidR="005337E6" w:rsidRPr="00FC6D62">
        <w:rPr>
          <w:rStyle w:val="Odwoanieprzypisudolnego"/>
          <w:rFonts w:eastAsia="MS Mincho" w:cstheme="minorHAnsi"/>
          <w:sz w:val="24"/>
          <w:szCs w:val="24"/>
          <w:lang w:eastAsia="ja-JP"/>
        </w:rPr>
        <w:footnoteReference w:id="8"/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o ile zakaz taki nie został wyłączony na podstawie pkt 2</w:t>
      </w:r>
      <w:r w:rsidR="00B46A3C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lit. a tiret i,</w:t>
      </w:r>
    </w:p>
    <w:p w14:paraId="4302F1F5" w14:textId="285962A7" w:rsidR="00D9038B" w:rsidRPr="00FC6D62" w:rsidRDefault="00D9038B" w:rsidP="00FC6D62">
      <w:pPr>
        <w:pStyle w:val="Akapitzlist"/>
        <w:numPr>
          <w:ilvl w:val="0"/>
          <w:numId w:val="14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określenie warunków istotnych zmian umowy zawartej w wyniku</w:t>
      </w:r>
      <w:r w:rsidR="00F70C4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przeprowadzonego postępowania o udzielenie zamówienia, o ile przewiduje</w:t>
      </w:r>
      <w:r w:rsidR="00F70C4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się możliwość zmiany takiej umowy,</w:t>
      </w:r>
    </w:p>
    <w:p w14:paraId="6D4F75B8" w14:textId="625B0F56" w:rsidR="00D9038B" w:rsidRPr="00FC6D62" w:rsidRDefault="00D9038B" w:rsidP="00FC6D62">
      <w:pPr>
        <w:pStyle w:val="Akapitzlist"/>
        <w:numPr>
          <w:ilvl w:val="0"/>
          <w:numId w:val="14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informację o możliwości składania ofert częściowych, o ile zamawiający taką</w:t>
      </w:r>
      <w:r w:rsidR="00F70C4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możliwość przewiduje,</w:t>
      </w:r>
    </w:p>
    <w:p w14:paraId="5FAF5B38" w14:textId="4C5B7E6E" w:rsidR="00F70C46" w:rsidRPr="00FC6D62" w:rsidRDefault="00D9038B" w:rsidP="00FC6D62">
      <w:pPr>
        <w:pStyle w:val="Akapitzlist"/>
        <w:numPr>
          <w:ilvl w:val="0"/>
          <w:numId w:val="14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opis sposobu przedstawiania ofert wariantowych oraz minimalne warunki,</w:t>
      </w:r>
      <w:r w:rsidR="00F70C4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jakim muszą odpowiadać oferty wariantowe wraz z wybranymi kryteriami</w:t>
      </w:r>
      <w:r w:rsidR="00F70C4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oceny, jeżeli zamawiający wymaga lub dopuszcza ich składanie,</w:t>
      </w:r>
    </w:p>
    <w:p w14:paraId="015D001F" w14:textId="48097C3E" w:rsidR="00D9038B" w:rsidRPr="00FC6D62" w:rsidRDefault="00D9038B" w:rsidP="00FC6D62">
      <w:pPr>
        <w:pStyle w:val="Akapitzlist"/>
        <w:numPr>
          <w:ilvl w:val="0"/>
          <w:numId w:val="14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 xml:space="preserve">informację o planowanych zamówieniach, o których mowa w pkt 7 lit. </w:t>
      </w:r>
      <w:r w:rsidR="00F34E10" w:rsidRPr="00FC6D62">
        <w:rPr>
          <w:rFonts w:eastAsia="MS Mincho" w:cstheme="minorHAnsi"/>
          <w:sz w:val="24"/>
          <w:szCs w:val="24"/>
          <w:lang w:eastAsia="ja-JP"/>
        </w:rPr>
        <w:t>f sekcji 1</w:t>
      </w:r>
      <w:r w:rsidRPr="00FC6D62">
        <w:rPr>
          <w:rFonts w:eastAsia="MS Mincho" w:cstheme="minorHAnsi"/>
          <w:sz w:val="24"/>
          <w:szCs w:val="24"/>
          <w:lang w:eastAsia="ja-JP"/>
        </w:rPr>
        <w:t>, ich zakres oraz warunki, na jakich zostaną udzielone,</w:t>
      </w:r>
      <w:r w:rsidR="00F70C4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 ile zamawiający przewiduje udzielenie tego typu zamówień,</w:t>
      </w:r>
    </w:p>
    <w:p w14:paraId="2EF0202E" w14:textId="24B5894E" w:rsidR="000D4C28" w:rsidRPr="00FC6D62" w:rsidRDefault="000D4C28" w:rsidP="00FC6D62">
      <w:pPr>
        <w:pStyle w:val="Akapitzlist"/>
        <w:numPr>
          <w:ilvl w:val="0"/>
          <w:numId w:val="14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wysokość wadium (jeśli dotyczy), zakazane jest ustalenie wysokości wadium o wartości większej aniżeli wskazano w art. 97 ust. 2 ustawy Pzp</w:t>
      </w:r>
      <w:r w:rsidR="0025094C" w:rsidRPr="00FC6D62">
        <w:rPr>
          <w:rFonts w:eastAsia="MS Mincho" w:cstheme="minorHAnsi"/>
          <w:sz w:val="24"/>
          <w:szCs w:val="24"/>
          <w:lang w:eastAsia="ja-JP"/>
        </w:rPr>
        <w:t>,</w:t>
      </w:r>
    </w:p>
    <w:p w14:paraId="1B7648F5" w14:textId="1D20AE91" w:rsidR="000D4C28" w:rsidRPr="00FC6D62" w:rsidRDefault="000D4C28" w:rsidP="00FC6D62">
      <w:pPr>
        <w:pStyle w:val="Akapitzlist"/>
        <w:numPr>
          <w:ilvl w:val="0"/>
          <w:numId w:val="14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wysokość zabezpieczenia należytego wykonania umowy (jeśli dotyczy), zakazane jest ustalenie wysokości zabezpieczenia o wartości większej aniżeli wskazano w art. 452 ust. 2 i 3 ustawy Pzp</w:t>
      </w:r>
      <w:r w:rsidR="0025094C" w:rsidRPr="00FC6D62">
        <w:rPr>
          <w:rFonts w:eastAsia="MS Mincho" w:cstheme="minorHAnsi"/>
          <w:sz w:val="24"/>
          <w:szCs w:val="24"/>
          <w:lang w:eastAsia="ja-JP"/>
        </w:rPr>
        <w:t>,</w:t>
      </w:r>
    </w:p>
    <w:p w14:paraId="2C3EE8EF" w14:textId="2B383B64" w:rsidR="00B70D2F" w:rsidRPr="00FC6D62" w:rsidRDefault="006E6F42" w:rsidP="00FC6D62">
      <w:pPr>
        <w:pStyle w:val="Akapitzlist"/>
        <w:numPr>
          <w:ilvl w:val="0"/>
          <w:numId w:val="14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wzór umowy,</w:t>
      </w:r>
    </w:p>
    <w:p w14:paraId="21BBE47C" w14:textId="4978489F" w:rsidR="00664ED4" w:rsidRPr="00FC6D62" w:rsidRDefault="00D9038B" w:rsidP="00AD78EE">
      <w:pPr>
        <w:pStyle w:val="Akapitzlist"/>
        <w:numPr>
          <w:ilvl w:val="1"/>
          <w:numId w:val="13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wybrać najkorzystniejszą ofertę zgodną z opisem przedmiotu zamówienia</w:t>
      </w:r>
      <w:r w:rsidR="0094445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złożoną przez wykonawcę spełniającego warunki udziału w postępowaniu,</w:t>
      </w:r>
      <w:r w:rsidR="0094445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 oparciu o ustalone w zapytaniu ofertowym kryteria oceny. Wybór oferty jest</w:t>
      </w:r>
      <w:r w:rsidR="0094445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dokumentowany protokołem postępowania o udzielenie zamówienia, o którym</w:t>
      </w:r>
      <w:r w:rsidR="0094445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mowa w pkt 17. Postępowanie może zakończyć się wyborem kilku wykonawców,</w:t>
      </w:r>
      <w:r w:rsidR="0094445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gdy zamawiający dopuszcza składanie ofert częściowych</w:t>
      </w:r>
      <w:r w:rsidR="00344E81" w:rsidRPr="00FC6D62">
        <w:rPr>
          <w:rFonts w:eastAsia="MS Mincho" w:cstheme="minorHAnsi"/>
          <w:sz w:val="24"/>
          <w:szCs w:val="24"/>
          <w:lang w:eastAsia="ja-JP"/>
        </w:rPr>
        <w:t xml:space="preserve"> lub zamawiający planuje zawrzeć umowę ramową</w:t>
      </w:r>
      <w:r w:rsidRPr="00FC6D62">
        <w:rPr>
          <w:rFonts w:eastAsia="MS Mincho" w:cstheme="minorHAnsi"/>
          <w:sz w:val="24"/>
          <w:szCs w:val="24"/>
          <w:lang w:eastAsia="ja-JP"/>
        </w:rPr>
        <w:t>.</w:t>
      </w:r>
      <w:r w:rsidR="004B1184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</w:p>
    <w:p w14:paraId="236CFE4F" w14:textId="710392BC" w:rsidR="00E23146" w:rsidRPr="00FC6D62" w:rsidRDefault="00D9038B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lastRenderedPageBreak/>
        <w:t>Upublicznienie zapytania ofertowego polega na jego umieszczeniu w bazie</w:t>
      </w:r>
      <w:r w:rsidR="0094445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konkurencyjności,</w:t>
      </w:r>
      <w:r w:rsidR="002204D4" w:rsidRPr="00FC6D62">
        <w:rPr>
          <w:rStyle w:val="Odwoanieprzypisudolnego"/>
          <w:rFonts w:eastAsia="MS Mincho" w:cstheme="minorHAnsi"/>
          <w:sz w:val="24"/>
          <w:szCs w:val="24"/>
          <w:lang w:eastAsia="ja-JP"/>
        </w:rPr>
        <w:footnoteReference w:id="9"/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a w przypadku zawieszenia działalności bazy potwierdzonego</w:t>
      </w:r>
      <w:r w:rsidR="0094445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odpowiednim komunikatem ministra właściwego do spraw rozwoju regionalnego –</w:t>
      </w:r>
      <w:r w:rsidR="00C6456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45636" w:rsidRPr="00FC6D62">
        <w:rPr>
          <w:rFonts w:eastAsia="MS Mincho" w:cstheme="minorHAnsi"/>
          <w:sz w:val="24"/>
          <w:szCs w:val="24"/>
          <w:lang w:eastAsia="ja-JP"/>
        </w:rPr>
        <w:t>skierowaniu zapytania ofertowego do co najmniej trzech potencjalnych</w:t>
      </w:r>
      <w:r w:rsidR="00C6456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45636" w:rsidRPr="00FC6D62">
        <w:rPr>
          <w:rFonts w:eastAsia="MS Mincho" w:cstheme="minorHAnsi"/>
          <w:sz w:val="24"/>
          <w:szCs w:val="24"/>
          <w:lang w:eastAsia="ja-JP"/>
        </w:rPr>
        <w:t>wykonawców, o ile na rynku istnieje trzech potencjalnych wykonawców danego</w:t>
      </w:r>
      <w:r w:rsidR="00C6456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45636" w:rsidRPr="00FC6D62">
        <w:rPr>
          <w:rFonts w:eastAsia="MS Mincho" w:cstheme="minorHAnsi"/>
          <w:sz w:val="24"/>
          <w:szCs w:val="24"/>
          <w:lang w:eastAsia="ja-JP"/>
        </w:rPr>
        <w:t>zamówienia oraz upublicznieniu tego zapytania co najmniej na stronie internetowej</w:t>
      </w:r>
      <w:r w:rsidR="00C6456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E296D" w:rsidRPr="00FC6D62">
        <w:rPr>
          <w:rFonts w:eastAsia="MS Mincho" w:cstheme="minorHAnsi"/>
          <w:sz w:val="24"/>
          <w:szCs w:val="24"/>
          <w:lang w:eastAsia="ja-JP"/>
        </w:rPr>
        <w:t>B</w:t>
      </w:r>
      <w:r w:rsidR="00D45636" w:rsidRPr="00FC6D62">
        <w:rPr>
          <w:rFonts w:eastAsia="MS Mincho" w:cstheme="minorHAnsi"/>
          <w:sz w:val="24"/>
          <w:szCs w:val="24"/>
          <w:lang w:eastAsia="ja-JP"/>
        </w:rPr>
        <w:t>eneficjenta, o ile posiada</w:t>
      </w:r>
      <w:r w:rsidR="007D6C52" w:rsidRPr="00FC6D62">
        <w:rPr>
          <w:rFonts w:eastAsia="MS Mincho" w:cstheme="minorHAnsi"/>
          <w:sz w:val="24"/>
          <w:szCs w:val="24"/>
          <w:lang w:eastAsia="ja-JP"/>
        </w:rPr>
        <w:t>ją</w:t>
      </w:r>
      <w:r w:rsidR="00D45636" w:rsidRPr="00FC6D62">
        <w:rPr>
          <w:rFonts w:eastAsia="MS Mincho" w:cstheme="minorHAnsi"/>
          <w:sz w:val="24"/>
          <w:szCs w:val="24"/>
          <w:lang w:eastAsia="ja-JP"/>
        </w:rPr>
        <w:t xml:space="preserve"> taką stronę. Upublicznienie zapytania ofertowego</w:t>
      </w:r>
      <w:r w:rsidR="00C6456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45636" w:rsidRPr="00FC6D62">
        <w:rPr>
          <w:rFonts w:eastAsia="MS Mincho" w:cstheme="minorHAnsi"/>
          <w:sz w:val="24"/>
          <w:szCs w:val="24"/>
          <w:lang w:eastAsia="ja-JP"/>
        </w:rPr>
        <w:t xml:space="preserve">oznacza wszczęcie postępowania o udzielenie zamówienia w ramach </w:t>
      </w:r>
      <w:r w:rsidR="007D6C52" w:rsidRPr="00FC6D62">
        <w:rPr>
          <w:rFonts w:eastAsia="MS Mincho" w:cstheme="minorHAnsi"/>
          <w:sz w:val="24"/>
          <w:szCs w:val="24"/>
          <w:lang w:eastAsia="ja-JP"/>
        </w:rPr>
        <w:t>Przedsięwzięcia</w:t>
      </w:r>
      <w:r w:rsidR="00D45636" w:rsidRPr="00FC6D62">
        <w:rPr>
          <w:rFonts w:eastAsia="MS Mincho" w:cstheme="minorHAnsi"/>
          <w:sz w:val="24"/>
          <w:szCs w:val="24"/>
          <w:lang w:eastAsia="ja-JP"/>
        </w:rPr>
        <w:t>.</w:t>
      </w:r>
      <w:r w:rsidR="004B1184" w:rsidRPr="00FC6D62">
        <w:rPr>
          <w:rFonts w:eastAsia="MS Mincho" w:cstheme="minorHAnsi"/>
          <w:sz w:val="24"/>
          <w:szCs w:val="24"/>
          <w:lang w:eastAsia="ja-JP"/>
        </w:rPr>
        <w:t xml:space="preserve"> Zapytanie ofertowe musi być ogólnodostępne do czasu formalnego zamknięcia Przedsięwzięcia wraz z finalnym rozliczeniem Wniosku o Płatność Końcową.</w:t>
      </w:r>
    </w:p>
    <w:p w14:paraId="63D7CCDA" w14:textId="20177A89" w:rsidR="00E23146" w:rsidRPr="00FC6D62" w:rsidRDefault="00C6456A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</w:t>
      </w:r>
      <w:r w:rsidR="008E3124" w:rsidRPr="00FC6D62">
        <w:rPr>
          <w:rFonts w:eastAsia="MS Mincho" w:cstheme="minorHAnsi"/>
          <w:sz w:val="24"/>
          <w:szCs w:val="24"/>
          <w:lang w:eastAsia="ja-JP"/>
        </w:rPr>
        <w:t xml:space="preserve"> przypadku, gdy Beneficjent </w:t>
      </w:r>
      <w:r w:rsidR="00D45636" w:rsidRPr="00FC6D62">
        <w:rPr>
          <w:rFonts w:eastAsia="MS Mincho" w:cstheme="minorHAnsi"/>
          <w:sz w:val="24"/>
          <w:szCs w:val="24"/>
          <w:lang w:eastAsia="ja-JP"/>
        </w:rPr>
        <w:t xml:space="preserve">rozpoczyna realizację </w:t>
      </w:r>
      <w:r w:rsidR="007D6C52" w:rsidRPr="00FC6D62">
        <w:rPr>
          <w:rFonts w:eastAsia="MS Mincho" w:cstheme="minorHAnsi"/>
          <w:sz w:val="24"/>
          <w:szCs w:val="24"/>
          <w:lang w:eastAsia="ja-JP"/>
        </w:rPr>
        <w:t>Przedsięwzięcia</w:t>
      </w:r>
      <w:r w:rsidR="00D45636" w:rsidRPr="00FC6D62">
        <w:rPr>
          <w:rFonts w:eastAsia="MS Mincho" w:cstheme="minorHAnsi"/>
          <w:sz w:val="24"/>
          <w:szCs w:val="24"/>
          <w:lang w:eastAsia="ja-JP"/>
        </w:rPr>
        <w:t xml:space="preserve"> na własne ryzyko</w:t>
      </w:r>
      <w:r w:rsidR="00664ED4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45636" w:rsidRPr="00FC6D62">
        <w:rPr>
          <w:rFonts w:eastAsia="MS Mincho" w:cstheme="minorHAnsi"/>
          <w:sz w:val="24"/>
          <w:szCs w:val="24"/>
          <w:lang w:eastAsia="ja-JP"/>
        </w:rPr>
        <w:t>przed</w:t>
      </w:r>
      <w:r w:rsidR="004806D4" w:rsidRPr="00FC6D62">
        <w:rPr>
          <w:rFonts w:eastAsia="MS Mincho" w:cstheme="minorHAnsi"/>
          <w:sz w:val="24"/>
          <w:szCs w:val="24"/>
          <w:lang w:eastAsia="ja-JP"/>
        </w:rPr>
        <w:t xml:space="preserve"> podpisaniem umowy o objęciem </w:t>
      </w:r>
      <w:r w:rsidR="00C1694B" w:rsidRPr="00FC6D62">
        <w:rPr>
          <w:rFonts w:eastAsia="MS Mincho" w:cstheme="minorHAnsi"/>
          <w:sz w:val="24"/>
          <w:szCs w:val="24"/>
          <w:lang w:eastAsia="ja-JP"/>
        </w:rPr>
        <w:t>Przedsięwzięcia</w:t>
      </w:r>
      <w:r w:rsidR="00C910F1" w:rsidRPr="00FC6D62">
        <w:rPr>
          <w:rFonts w:eastAsia="MS Mincho" w:cstheme="minorHAnsi"/>
          <w:sz w:val="24"/>
          <w:szCs w:val="24"/>
          <w:lang w:eastAsia="ja-JP"/>
        </w:rPr>
        <w:t xml:space="preserve"> wsparciem</w:t>
      </w:r>
      <w:r w:rsidR="00D45636" w:rsidRPr="00FC6D62">
        <w:rPr>
          <w:rFonts w:eastAsia="MS Mincho" w:cstheme="minorHAnsi"/>
          <w:sz w:val="24"/>
          <w:szCs w:val="24"/>
          <w:lang w:eastAsia="ja-JP"/>
        </w:rPr>
        <w:t>, upublicznia zapytanie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45636" w:rsidRPr="00FC6D62">
        <w:rPr>
          <w:rFonts w:eastAsia="MS Mincho" w:cstheme="minorHAnsi"/>
          <w:sz w:val="24"/>
          <w:szCs w:val="24"/>
          <w:lang w:eastAsia="ja-JP"/>
        </w:rPr>
        <w:t>ofertowe na stronie internetowej</w:t>
      </w:r>
      <w:r w:rsidR="004B1184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hyperlink r:id="rId8" w:history="1">
        <w:r w:rsidR="00664ED4" w:rsidRPr="00FC6D62">
          <w:rPr>
            <w:rStyle w:val="Hipercze"/>
            <w:rFonts w:eastAsia="MS Mincho" w:cstheme="minorHAnsi"/>
            <w:sz w:val="24"/>
            <w:szCs w:val="24"/>
            <w:lang w:eastAsia="ja-JP"/>
          </w:rPr>
          <w:t>https://bazakonkurencyjnosci.funduszeeuropejskie.gov.pl/</w:t>
        </w:r>
      </w:hyperlink>
      <w:r w:rsidR="00C910F1" w:rsidRPr="00FC6D62">
        <w:rPr>
          <w:rFonts w:eastAsia="MS Mincho" w:cstheme="minorHAnsi"/>
          <w:sz w:val="24"/>
          <w:szCs w:val="24"/>
          <w:lang w:eastAsia="ja-JP"/>
        </w:rPr>
        <w:t>.</w:t>
      </w:r>
    </w:p>
    <w:p w14:paraId="011CCA7B" w14:textId="023D9B6E" w:rsidR="00E23146" w:rsidRPr="00FC6D62" w:rsidRDefault="00D45636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 przypadku wszczęcia postępowania przed</w:t>
      </w:r>
      <w:r w:rsidR="00C910F1" w:rsidRPr="00FC6D62">
        <w:rPr>
          <w:rFonts w:eastAsia="MS Mincho" w:cstheme="minorHAnsi"/>
          <w:sz w:val="24"/>
          <w:szCs w:val="24"/>
          <w:lang w:eastAsia="ja-JP"/>
        </w:rPr>
        <w:t xml:space="preserve"> podpisaniem umowy o objęciem Przedsięwzięcia wsparciem, </w:t>
      </w:r>
      <w:r w:rsidR="0095124F" w:rsidRPr="00FC6D62">
        <w:rPr>
          <w:rFonts w:eastAsia="MS Mincho" w:cstheme="minorHAnsi"/>
          <w:sz w:val="24"/>
          <w:szCs w:val="24"/>
          <w:lang w:eastAsia="ja-JP"/>
        </w:rPr>
        <w:t>ocena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czy</w:t>
      </w:r>
      <w:r w:rsidR="00C910F1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stopień upublicznienia zapytania ofertowego był wystarczający do uznania </w:t>
      </w:r>
      <w:r w:rsidR="007D6C52" w:rsidRPr="00FC6D62">
        <w:rPr>
          <w:rFonts w:eastAsia="MS Mincho" w:cstheme="minorHAnsi"/>
          <w:sz w:val="24"/>
          <w:szCs w:val="24"/>
          <w:lang w:eastAsia="ja-JP"/>
        </w:rPr>
        <w:t>koszt</w:t>
      </w:r>
      <w:r w:rsidR="00C910F1" w:rsidRPr="00FC6D62">
        <w:rPr>
          <w:rFonts w:eastAsia="MS Mincho" w:cstheme="minorHAnsi"/>
          <w:sz w:val="24"/>
          <w:szCs w:val="24"/>
          <w:lang w:eastAsia="ja-JP"/>
        </w:rPr>
        <w:t xml:space="preserve"> za kwalifikowalny </w:t>
      </w:r>
      <w:r w:rsidRPr="00FC6D62">
        <w:rPr>
          <w:rFonts w:eastAsia="MS Mincho" w:cstheme="minorHAnsi"/>
          <w:sz w:val="24"/>
          <w:szCs w:val="24"/>
          <w:lang w:eastAsia="ja-JP"/>
        </w:rPr>
        <w:t>należy do</w:t>
      </w:r>
      <w:r w:rsidR="00DE296D" w:rsidRPr="00FC6D62">
        <w:rPr>
          <w:rFonts w:eastAsia="MS Mincho" w:cstheme="minorHAnsi"/>
          <w:sz w:val="24"/>
          <w:szCs w:val="24"/>
          <w:lang w:eastAsia="ja-JP"/>
        </w:rPr>
        <w:t xml:space="preserve"> JW</w:t>
      </w:r>
      <w:r w:rsidRPr="00FC6D62">
        <w:rPr>
          <w:rFonts w:eastAsia="MS Mincho" w:cstheme="minorHAnsi"/>
          <w:sz w:val="24"/>
          <w:szCs w:val="24"/>
          <w:lang w:eastAsia="ja-JP"/>
        </w:rPr>
        <w:t>.</w:t>
      </w:r>
    </w:p>
    <w:p w14:paraId="46FC6D47" w14:textId="2BE0F297" w:rsidR="00E23146" w:rsidRPr="00FC6D62" w:rsidRDefault="00D45636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Zapytanie ofertowe może zostać zmienione przed upływem terminu składania ofert</w:t>
      </w:r>
      <w:r w:rsidR="00C910F1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przewidzianym w zapytaniu ofertowym. W takim przypadku należy w opublikowanym</w:t>
      </w:r>
      <w:r w:rsidR="00C910F1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zgodnie z pkt 1</w:t>
      </w:r>
      <w:r w:rsidR="004B1184" w:rsidRPr="00FC6D62">
        <w:rPr>
          <w:rFonts w:eastAsia="MS Mincho" w:cstheme="minorHAnsi"/>
          <w:sz w:val="24"/>
          <w:szCs w:val="24"/>
          <w:lang w:eastAsia="ja-JP"/>
        </w:rPr>
        <w:t>3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lub 1</w:t>
      </w:r>
      <w:r w:rsidR="004B1184" w:rsidRPr="00FC6D62">
        <w:rPr>
          <w:rFonts w:eastAsia="MS Mincho" w:cstheme="minorHAnsi"/>
          <w:sz w:val="24"/>
          <w:szCs w:val="24"/>
          <w:lang w:eastAsia="ja-JP"/>
        </w:rPr>
        <w:t xml:space="preserve">4 </w:t>
      </w:r>
      <w:r w:rsidRPr="00FC6D62">
        <w:rPr>
          <w:rFonts w:eastAsia="MS Mincho" w:cstheme="minorHAnsi"/>
          <w:sz w:val="24"/>
          <w:szCs w:val="24"/>
          <w:lang w:eastAsia="ja-JP"/>
        </w:rPr>
        <w:t>zapytaniu ofertowym uwzględnić informację o zmianie.</w:t>
      </w:r>
      <w:r w:rsidR="00C910F1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Informacja ta powinna zawierać co najmniej</w:t>
      </w:r>
      <w:r w:rsidR="004B426F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datę upublicznienia zmienianego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zapytania ofertowego</w:t>
      </w:r>
      <w:r w:rsidR="004B426F" w:rsidRPr="00FC6D62">
        <w:rPr>
          <w:rFonts w:eastAsia="MS Mincho" w:cstheme="minorHAnsi"/>
          <w:sz w:val="24"/>
          <w:szCs w:val="24"/>
          <w:lang w:eastAsia="ja-JP"/>
        </w:rPr>
        <w:t xml:space="preserve"> oraz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opis dokonanych zmian. Zamawiający </w:t>
      </w:r>
      <w:r w:rsidR="00977B8D" w:rsidRPr="00FC6D62">
        <w:rPr>
          <w:rFonts w:eastAsia="MS Mincho" w:cstheme="minorHAnsi"/>
          <w:sz w:val="24"/>
          <w:szCs w:val="24"/>
          <w:lang w:eastAsia="ja-JP"/>
        </w:rPr>
        <w:t>przedłuża termin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składania ofert o czas niezbędny do wprowadzenia zmian w ofertach, jeżeli</w:t>
      </w:r>
      <w:r w:rsidR="00211E7C" w:rsidRPr="00FC6D62">
        <w:rPr>
          <w:rFonts w:eastAsia="MS Mincho" w:cstheme="minorHAnsi"/>
          <w:sz w:val="24"/>
          <w:szCs w:val="24"/>
          <w:lang w:eastAsia="ja-JP"/>
        </w:rPr>
        <w:t xml:space="preserve"> jest to konieczne z uwag</w:t>
      </w:r>
      <w:r w:rsidR="00E23146" w:rsidRPr="00FC6D62">
        <w:rPr>
          <w:rFonts w:eastAsia="MS Mincho" w:cstheme="minorHAnsi"/>
          <w:sz w:val="24"/>
          <w:szCs w:val="24"/>
          <w:lang w:eastAsia="ja-JP"/>
        </w:rPr>
        <w:t>i na zakres wprowadzonych zmian.</w:t>
      </w:r>
    </w:p>
    <w:p w14:paraId="2A6B6B31" w14:textId="223EB620" w:rsidR="00E23146" w:rsidRPr="00FC6D62" w:rsidRDefault="00D45636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Treść pytań dotyczących zapytania ofertowego wraz z wyjaśnieniami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zamawiającego publikowana jest zgodnie z pkt 1</w:t>
      </w:r>
      <w:r w:rsidR="004B1184" w:rsidRPr="00FC6D62">
        <w:rPr>
          <w:rFonts w:eastAsia="MS Mincho" w:cstheme="minorHAnsi"/>
          <w:sz w:val="24"/>
          <w:szCs w:val="24"/>
          <w:lang w:eastAsia="ja-JP"/>
        </w:rPr>
        <w:t>3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lub 1</w:t>
      </w:r>
      <w:r w:rsidR="004B1184" w:rsidRPr="00FC6D62">
        <w:rPr>
          <w:rFonts w:eastAsia="MS Mincho" w:cstheme="minorHAnsi"/>
          <w:sz w:val="24"/>
          <w:szCs w:val="24"/>
          <w:lang w:eastAsia="ja-JP"/>
        </w:rPr>
        <w:t>4</w:t>
      </w:r>
      <w:r w:rsidRPr="00FC6D62">
        <w:rPr>
          <w:rFonts w:eastAsia="MS Mincho" w:cstheme="minorHAnsi"/>
          <w:sz w:val="24"/>
          <w:szCs w:val="24"/>
          <w:lang w:eastAsia="ja-JP"/>
        </w:rPr>
        <w:t>.</w:t>
      </w:r>
    </w:p>
    <w:p w14:paraId="40E2297A" w14:textId="5F9F71A6" w:rsidR="00D45636" w:rsidRPr="00FC6D62" w:rsidRDefault="00D45636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Protokół postępowania o udzielenie zamówienia należy sporządzić w formie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pisemnej. Protokół zawiera co najmniej:</w:t>
      </w:r>
    </w:p>
    <w:p w14:paraId="1495C8D2" w14:textId="072CF916" w:rsidR="009C078D" w:rsidRPr="00FC6D62" w:rsidRDefault="00D45636" w:rsidP="00AD78EE">
      <w:pPr>
        <w:pStyle w:val="Akapitzlist"/>
        <w:numPr>
          <w:ilvl w:val="0"/>
          <w:numId w:val="15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lastRenderedPageBreak/>
        <w:t>wykaz wszystkich ofert, które wpłynęły w odpowiedzi na zapytanie ofertowe</w:t>
      </w:r>
      <w:r w:rsidR="00D045EE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wraz</w:t>
      </w:r>
      <w:r w:rsidR="004B1184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ze wskazaniem daty wpłynięcia oferty do zamawiającego,</w:t>
      </w:r>
    </w:p>
    <w:p w14:paraId="09DC48F9" w14:textId="77777777" w:rsidR="009C078D" w:rsidRPr="00FC6D62" w:rsidRDefault="00D45636" w:rsidP="00AD78EE">
      <w:pPr>
        <w:pStyle w:val="Akapitzlist"/>
        <w:numPr>
          <w:ilvl w:val="0"/>
          <w:numId w:val="15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informację o spełnieniu warunku, o którym mowa w pkt 2 lit. a,</w:t>
      </w:r>
    </w:p>
    <w:p w14:paraId="2CC02285" w14:textId="77777777" w:rsidR="009C078D" w:rsidRPr="00FC6D62" w:rsidRDefault="00D45636" w:rsidP="00AD78EE">
      <w:pPr>
        <w:pStyle w:val="Akapitzlist"/>
        <w:numPr>
          <w:ilvl w:val="0"/>
          <w:numId w:val="15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 xml:space="preserve">informację o spełnieniu warunków udziału w postępowaniu przez </w:t>
      </w:r>
      <w:r w:rsidR="008B1EBC" w:rsidRPr="00FC6D62">
        <w:rPr>
          <w:rFonts w:eastAsia="MS Mincho" w:cstheme="minorHAnsi"/>
          <w:sz w:val="24"/>
          <w:szCs w:val="24"/>
          <w:lang w:eastAsia="ja-JP"/>
        </w:rPr>
        <w:t>wykonawców o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ile takie warunki były stawiane,</w:t>
      </w:r>
    </w:p>
    <w:p w14:paraId="1A6B5E20" w14:textId="77777777" w:rsidR="009C078D" w:rsidRPr="00FC6D62" w:rsidRDefault="00D45636" w:rsidP="00AD78EE">
      <w:pPr>
        <w:pStyle w:val="Akapitzlist"/>
        <w:numPr>
          <w:ilvl w:val="0"/>
          <w:numId w:val="15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informację o wagach punktowych lub procentowych przypisanych do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poszczególnych kryteriów oceny i sposobie przyznawania punktacji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poszczególnym wykonawcom</w:t>
      </w:r>
      <w:r w:rsidR="008B1EBC" w:rsidRPr="00FC6D62">
        <w:rPr>
          <w:rFonts w:eastAsia="MS Mincho" w:cstheme="minorHAnsi"/>
          <w:sz w:val="24"/>
          <w:szCs w:val="24"/>
          <w:lang w:eastAsia="ja-JP"/>
        </w:rPr>
        <w:t xml:space="preserve"> za spełnienie danego kryterium,</w:t>
      </w:r>
    </w:p>
    <w:p w14:paraId="535687F8" w14:textId="77777777" w:rsidR="009C078D" w:rsidRPr="00FC6D62" w:rsidRDefault="00D45636" w:rsidP="00AD78EE">
      <w:pPr>
        <w:pStyle w:val="Akapitzlist"/>
        <w:numPr>
          <w:ilvl w:val="0"/>
          <w:numId w:val="15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wskazanie wybranej oferty wraz z uzasadnieniem wyboru,</w:t>
      </w:r>
    </w:p>
    <w:p w14:paraId="2ABE128F" w14:textId="77777777" w:rsidR="009C078D" w:rsidRPr="00FC6D62" w:rsidRDefault="00D45636" w:rsidP="00AD78EE">
      <w:pPr>
        <w:pStyle w:val="Akapitzlist"/>
        <w:numPr>
          <w:ilvl w:val="0"/>
          <w:numId w:val="15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datę sporządzenia protokołu i podpis zamawiającego,</w:t>
      </w:r>
    </w:p>
    <w:p w14:paraId="7B894EF8" w14:textId="0432C50C" w:rsidR="00D45636" w:rsidRPr="00FC6D62" w:rsidRDefault="00D45636" w:rsidP="00AD78EE">
      <w:pPr>
        <w:pStyle w:val="Akapitzlist"/>
        <w:numPr>
          <w:ilvl w:val="0"/>
          <w:numId w:val="15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następujące załączniki:</w:t>
      </w:r>
    </w:p>
    <w:p w14:paraId="13DDA639" w14:textId="7632FBB2" w:rsidR="00D45636" w:rsidRPr="00FC6D62" w:rsidRDefault="00D45636" w:rsidP="00FC6D62">
      <w:pPr>
        <w:pStyle w:val="Akapitzlist"/>
        <w:numPr>
          <w:ilvl w:val="1"/>
          <w:numId w:val="16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potwierdzenie upublicznienia zapytania ofertowego w sposób wskazany</w:t>
      </w:r>
      <w:r w:rsidR="009C078D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 pkt 1</w:t>
      </w:r>
      <w:r w:rsidR="00A43A42" w:rsidRPr="00FC6D62">
        <w:rPr>
          <w:rFonts w:eastAsia="MS Mincho" w:cstheme="minorHAnsi"/>
          <w:sz w:val="24"/>
          <w:szCs w:val="24"/>
          <w:lang w:eastAsia="ja-JP"/>
        </w:rPr>
        <w:t>3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lub 1</w:t>
      </w:r>
      <w:r w:rsidR="00A43A42" w:rsidRPr="00FC6D62">
        <w:rPr>
          <w:rFonts w:eastAsia="MS Mincho" w:cstheme="minorHAnsi"/>
          <w:sz w:val="24"/>
          <w:szCs w:val="24"/>
          <w:lang w:eastAsia="ja-JP"/>
        </w:rPr>
        <w:t>4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wraz ze zmianami w zapytaniu ofertowym</w:t>
      </w:r>
      <w:r w:rsidR="00D045EE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 których mowa</w:t>
      </w:r>
      <w:r w:rsidR="009C078D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 pkt 1</w:t>
      </w:r>
      <w:r w:rsidR="00A43A42" w:rsidRPr="00FC6D62">
        <w:rPr>
          <w:rFonts w:eastAsia="MS Mincho" w:cstheme="minorHAnsi"/>
          <w:sz w:val="24"/>
          <w:szCs w:val="24"/>
          <w:lang w:eastAsia="ja-JP"/>
        </w:rPr>
        <w:t>6</w:t>
      </w:r>
      <w:r w:rsidRPr="00FC6D62">
        <w:rPr>
          <w:rFonts w:eastAsia="MS Mincho" w:cstheme="minorHAnsi"/>
          <w:sz w:val="24"/>
          <w:szCs w:val="24"/>
          <w:lang w:eastAsia="ja-JP"/>
        </w:rPr>
        <w:t>, o ile zostały dokonane,</w:t>
      </w:r>
    </w:p>
    <w:p w14:paraId="393E9746" w14:textId="2B67DD0F" w:rsidR="00D45636" w:rsidRPr="00FC6D62" w:rsidRDefault="00D45636" w:rsidP="00FC6D62">
      <w:pPr>
        <w:pStyle w:val="Akapitzlist"/>
        <w:numPr>
          <w:ilvl w:val="1"/>
          <w:numId w:val="16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złożone oferty,</w:t>
      </w:r>
    </w:p>
    <w:p w14:paraId="61282CAE" w14:textId="639502AE" w:rsidR="00D45636" w:rsidRPr="00FC6D62" w:rsidRDefault="00D45636" w:rsidP="00FC6D62">
      <w:pPr>
        <w:pStyle w:val="Akapitzlist"/>
        <w:numPr>
          <w:ilvl w:val="1"/>
          <w:numId w:val="16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oświadczenia o braku powiązań z wykonawcami, którzy złożyli oferty,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podpisane przez </w:t>
      </w:r>
      <w:r w:rsidR="008B1EBC" w:rsidRPr="00FC6D62">
        <w:rPr>
          <w:rFonts w:eastAsia="MS Mincho" w:cstheme="minorHAnsi"/>
          <w:sz w:val="24"/>
          <w:szCs w:val="24"/>
          <w:lang w:eastAsia="ja-JP"/>
        </w:rPr>
        <w:t xml:space="preserve">osoby uprawnione do reprezentowania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zamawiającego i osoby wykonujące w </w:t>
      </w:r>
      <w:r w:rsidR="008B1EBC" w:rsidRPr="00FC6D62">
        <w:rPr>
          <w:rFonts w:eastAsia="MS Mincho" w:cstheme="minorHAnsi"/>
          <w:sz w:val="24"/>
          <w:szCs w:val="24"/>
          <w:lang w:eastAsia="ja-JP"/>
        </w:rPr>
        <w:t>imieniu zamawiającego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czynności związane z procedurą wyboru wykonawcy, w tym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biorące udział w procesie oceny ofert (tj. powiązań, o których mowa pkt 2 lit.</w:t>
      </w:r>
      <w:r w:rsidR="008B1EBC" w:rsidRPr="00FC6D62">
        <w:rPr>
          <w:rFonts w:eastAsia="MS Mincho" w:cstheme="minorHAnsi"/>
          <w:sz w:val="24"/>
          <w:szCs w:val="24"/>
          <w:lang w:eastAsia="ja-JP"/>
        </w:rPr>
        <w:t xml:space="preserve"> b).</w:t>
      </w:r>
    </w:p>
    <w:p w14:paraId="6694BF40" w14:textId="351D0CF7" w:rsidR="000D4C28" w:rsidRPr="00FC6D62" w:rsidRDefault="0095124F" w:rsidP="00FC6D62">
      <w:pPr>
        <w:pStyle w:val="Akapitzlist"/>
        <w:numPr>
          <w:ilvl w:val="1"/>
          <w:numId w:val="16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oświadczenie,</w:t>
      </w:r>
      <w:r w:rsidR="000D4C28" w:rsidRPr="00FC6D62">
        <w:rPr>
          <w:rFonts w:eastAsia="MS Mincho" w:cstheme="minorHAnsi"/>
          <w:sz w:val="24"/>
          <w:szCs w:val="24"/>
          <w:lang w:eastAsia="ja-JP"/>
        </w:rPr>
        <w:t xml:space="preserve"> o którym mowa w art. 56 ust. 4 ustawy Pzp</w:t>
      </w:r>
      <w:r w:rsidR="0025094C" w:rsidRPr="00FC6D62">
        <w:rPr>
          <w:rFonts w:eastAsia="MS Mincho" w:cstheme="minorHAnsi"/>
          <w:sz w:val="24"/>
          <w:szCs w:val="24"/>
          <w:lang w:eastAsia="ja-JP"/>
        </w:rPr>
        <w:t xml:space="preserve">. </w:t>
      </w:r>
    </w:p>
    <w:p w14:paraId="485C873F" w14:textId="2E1E4A12" w:rsidR="009C078D" w:rsidRPr="00FC6D62" w:rsidRDefault="00D45636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 xml:space="preserve">Informację o wyniku postępowania upublicznia się w taki </w:t>
      </w:r>
      <w:r w:rsidR="00824B24" w:rsidRPr="00FC6D62">
        <w:rPr>
          <w:rFonts w:eastAsia="MS Mincho" w:cstheme="minorHAnsi"/>
          <w:sz w:val="24"/>
          <w:szCs w:val="24"/>
          <w:lang w:eastAsia="ja-JP"/>
        </w:rPr>
        <w:t>sposób</w:t>
      </w:r>
      <w:r w:rsidR="002204D4" w:rsidRPr="00FC6D62">
        <w:rPr>
          <w:rFonts w:eastAsia="MS Mincho" w:cstheme="minorHAnsi"/>
          <w:sz w:val="24"/>
          <w:szCs w:val="24"/>
          <w:lang w:eastAsia="ja-JP"/>
        </w:rPr>
        <w:t>,</w:t>
      </w:r>
      <w:r w:rsidR="00824B24" w:rsidRPr="00FC6D62">
        <w:rPr>
          <w:rFonts w:eastAsia="MS Mincho" w:cstheme="minorHAnsi"/>
          <w:sz w:val="24"/>
          <w:szCs w:val="24"/>
          <w:lang w:eastAsia="ja-JP"/>
        </w:rPr>
        <w:t xml:space="preserve"> w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jaki zostało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upublicznione zapytanie ofertowe. Informacja o wyniku postępowania zawiera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nazwę wybranego wykonawcy, </w:t>
      </w:r>
      <w:r w:rsidR="00824B24" w:rsidRPr="00FC6D62">
        <w:rPr>
          <w:rFonts w:eastAsia="MS Mincho" w:cstheme="minorHAnsi"/>
          <w:sz w:val="24"/>
          <w:szCs w:val="24"/>
          <w:lang w:eastAsia="ja-JP"/>
        </w:rPr>
        <w:t xml:space="preserve">adres </w:t>
      </w:r>
      <w:r w:rsidRPr="00FC6D62">
        <w:rPr>
          <w:rFonts w:eastAsia="MS Mincho" w:cstheme="minorHAnsi"/>
          <w:sz w:val="24"/>
          <w:szCs w:val="24"/>
          <w:lang w:eastAsia="ja-JP"/>
        </w:rPr>
        <w:t>jego siedzib</w:t>
      </w:r>
      <w:r w:rsidR="00824B24" w:rsidRPr="00FC6D62">
        <w:rPr>
          <w:rFonts w:eastAsia="MS Mincho" w:cstheme="minorHAnsi"/>
          <w:sz w:val="24"/>
          <w:szCs w:val="24"/>
          <w:lang w:eastAsia="ja-JP"/>
        </w:rPr>
        <w:t>y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oraz cenę zamówienia. Na wniosek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wykonawcy, który złożył ofertę</w:t>
      </w:r>
      <w:r w:rsidR="00A43A42" w:rsidRPr="00FC6D62">
        <w:rPr>
          <w:rFonts w:eastAsia="MS Mincho" w:cstheme="minorHAnsi"/>
          <w:sz w:val="24"/>
          <w:szCs w:val="24"/>
          <w:lang w:eastAsia="ja-JP"/>
        </w:rPr>
        <w:t xml:space="preserve"> lub innego zainteresowanego podmiotu</w:t>
      </w:r>
      <w:r w:rsidRPr="00FC6D62">
        <w:rPr>
          <w:rFonts w:eastAsia="MS Mincho" w:cstheme="minorHAnsi"/>
          <w:sz w:val="24"/>
          <w:szCs w:val="24"/>
          <w:lang w:eastAsia="ja-JP"/>
        </w:rPr>
        <w:t>, należy udostępnić protokół</w:t>
      </w:r>
      <w:r w:rsidR="00D045EE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6C576D" w:rsidRPr="00FC6D62">
        <w:rPr>
          <w:rFonts w:eastAsia="MS Mincho" w:cstheme="minorHAnsi"/>
          <w:sz w:val="24"/>
          <w:szCs w:val="24"/>
          <w:lang w:eastAsia="ja-JP"/>
        </w:rPr>
        <w:t>postępowania o udzielenie zamówienia, z wyłączeniem części ofert stanowiących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6C576D" w:rsidRPr="00FC6D62">
        <w:rPr>
          <w:rFonts w:eastAsia="MS Mincho" w:cstheme="minorHAnsi"/>
          <w:sz w:val="24"/>
          <w:szCs w:val="24"/>
          <w:lang w:eastAsia="ja-JP"/>
        </w:rPr>
        <w:t>tajemnicę przedsiębiorstwa.</w:t>
      </w:r>
      <w:r w:rsidR="003764D5" w:rsidRPr="00FC6D62">
        <w:rPr>
          <w:rStyle w:val="Odwoanieprzypisudolnego"/>
          <w:rFonts w:eastAsia="MS Mincho" w:cstheme="minorHAnsi"/>
          <w:sz w:val="24"/>
          <w:szCs w:val="24"/>
          <w:lang w:eastAsia="ja-JP"/>
        </w:rPr>
        <w:footnoteReference w:id="10"/>
      </w:r>
    </w:p>
    <w:p w14:paraId="45131AE5" w14:textId="79DB68B0" w:rsidR="009C078D" w:rsidRPr="00FC6D62" w:rsidRDefault="006C576D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lastRenderedPageBreak/>
        <w:t>Po przeprowadzeniu procedury uregulowanej w niniejszej sekcji następuje zawarcie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umowy z wykonawcą w formie pisemnej lub elektronicznej (wraz z kwalifikowanym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podpisem elektronicznym). W przypadku, gdy zamawiający dopuszcza składanie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ofert częściowych, postępowanie może zakończyć się zawarciem umowy na część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zamówienia. </w:t>
      </w:r>
      <w:r w:rsidR="00A43A42" w:rsidRPr="00FC6D62">
        <w:rPr>
          <w:rFonts w:eastAsia="MS Mincho" w:cstheme="minorHAnsi"/>
          <w:sz w:val="24"/>
          <w:szCs w:val="24"/>
          <w:lang w:eastAsia="ja-JP"/>
        </w:rPr>
        <w:t xml:space="preserve">W przypadku gdy przedmiotem zamówienia jest zawarcie umowy ramowej, dopuszcza się sporządzenie jednej umowy z wieloma </w:t>
      </w:r>
      <w:r w:rsidR="0095124F" w:rsidRPr="00FC6D62">
        <w:rPr>
          <w:rFonts w:eastAsia="MS Mincho" w:cstheme="minorHAnsi"/>
          <w:sz w:val="24"/>
          <w:szCs w:val="24"/>
          <w:lang w:eastAsia="ja-JP"/>
        </w:rPr>
        <w:t>wykonawcami</w:t>
      </w:r>
      <w:r w:rsidR="00A43A42" w:rsidRPr="00FC6D62">
        <w:rPr>
          <w:rFonts w:eastAsia="MS Mincho" w:cstheme="minorHAnsi"/>
          <w:sz w:val="24"/>
          <w:szCs w:val="24"/>
          <w:lang w:eastAsia="ja-JP"/>
        </w:rPr>
        <w:t xml:space="preserve"> lub kilku samodzielnych umów. </w:t>
      </w:r>
      <w:r w:rsidRPr="00FC6D62">
        <w:rPr>
          <w:rFonts w:eastAsia="MS Mincho" w:cstheme="minorHAnsi"/>
          <w:sz w:val="24"/>
          <w:szCs w:val="24"/>
          <w:lang w:eastAsia="ja-JP"/>
        </w:rPr>
        <w:t>W przypadku gdy wybrany wykonawca odstąpi od zawarcia umowy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 zamawiającym, zamawiający zawiera umowę z kolejnym wykonawcą, który w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postępowaniu o udzielenie zamówienia uzyskał kolejną najwyższą liczbę punktów.</w:t>
      </w:r>
    </w:p>
    <w:p w14:paraId="73AA198E" w14:textId="032AB7A1" w:rsidR="006C576D" w:rsidRPr="00FC6D62" w:rsidRDefault="006C576D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Nie jest możliwe dokonywanie istotnych zmian</w:t>
      </w:r>
      <w:r w:rsidR="00683D29" w:rsidRPr="00FC6D62">
        <w:rPr>
          <w:rStyle w:val="Odwoanieprzypisudolnego"/>
          <w:rFonts w:eastAsia="MS Mincho" w:cstheme="minorHAnsi"/>
          <w:sz w:val="24"/>
          <w:szCs w:val="24"/>
          <w:lang w:eastAsia="ja-JP"/>
        </w:rPr>
        <w:footnoteReference w:id="11"/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postanowień zawartej umowy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 stosunku do treści oferty, na podstawie której dokonano wyboru wykonawcy,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chyba że:</w:t>
      </w:r>
    </w:p>
    <w:p w14:paraId="3FCDC685" w14:textId="61C6F42D" w:rsidR="006C576D" w:rsidRPr="00FC6D62" w:rsidRDefault="006C576D" w:rsidP="00AD78EE">
      <w:pPr>
        <w:pStyle w:val="Akapitzlist"/>
        <w:numPr>
          <w:ilvl w:val="1"/>
          <w:numId w:val="17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zmiany zostały przewidziane w zapytaniu ofertowym w postaci jednoznacznych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postanowień umownych, które określają ich zakres i charakter oraz warunki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wprowadzenia zmian,</w:t>
      </w:r>
    </w:p>
    <w:p w14:paraId="19D92F32" w14:textId="28BEDBE3" w:rsidR="006C576D" w:rsidRPr="00FC6D62" w:rsidRDefault="006C576D" w:rsidP="00AD78EE">
      <w:pPr>
        <w:pStyle w:val="Akapitzlist"/>
        <w:numPr>
          <w:ilvl w:val="1"/>
          <w:numId w:val="17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zmiany dotyczą realizacji dodatkowych dostaw</w:t>
      </w:r>
      <w:r w:rsidR="009C001A" w:rsidRPr="00FC6D62">
        <w:rPr>
          <w:rFonts w:eastAsia="MS Mincho" w:cstheme="minorHAnsi"/>
          <w:sz w:val="24"/>
          <w:szCs w:val="24"/>
          <w:lang w:eastAsia="ja-JP"/>
        </w:rPr>
        <w:t xml:space="preserve"> lub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usług 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od dotychczasowego wykonawcy, nieobjętych zamówieniem podstawowym,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 ile stały się niezbędne i zostały spełnione łącznie następujące warunki:</w:t>
      </w:r>
    </w:p>
    <w:p w14:paraId="40373123" w14:textId="25236872" w:rsidR="006C576D" w:rsidRPr="00FC6D62" w:rsidRDefault="006C576D" w:rsidP="00FC6D62">
      <w:pPr>
        <w:pStyle w:val="Akapitzlist"/>
        <w:numPr>
          <w:ilvl w:val="1"/>
          <w:numId w:val="18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zmiana wykonawcy nie może zostać dokonana z powodów ekonomicznych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lub technicznych, w szczególności dotyczących zamienności lub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interoperacyjności sprzętu, usług lub instalacji, zamówionych w ramach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zamówienia podstawowego,</w:t>
      </w:r>
    </w:p>
    <w:p w14:paraId="5AD874F9" w14:textId="73C1795F" w:rsidR="006C576D" w:rsidRPr="00FC6D62" w:rsidRDefault="006C576D" w:rsidP="00FC6D62">
      <w:pPr>
        <w:pStyle w:val="Akapitzlist"/>
        <w:numPr>
          <w:ilvl w:val="1"/>
          <w:numId w:val="18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zmiana wykonawcy spowodowałaby istotną niedogodność lub znaczne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zwiększenie kosztów dla zamawiającego,</w:t>
      </w:r>
    </w:p>
    <w:p w14:paraId="1F496713" w14:textId="17548670" w:rsidR="006C576D" w:rsidRPr="00FC6D62" w:rsidRDefault="006C576D" w:rsidP="00FC6D62">
      <w:pPr>
        <w:pStyle w:val="Akapitzlist"/>
        <w:numPr>
          <w:ilvl w:val="1"/>
          <w:numId w:val="18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wartość każdej kolejnej zmiany nie przekracza 50% wartości zamówienia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określonej pierwotnie w umowie,</w:t>
      </w:r>
    </w:p>
    <w:p w14:paraId="58B1DBDC" w14:textId="0D515043" w:rsidR="006C576D" w:rsidRPr="00FC6D62" w:rsidRDefault="006C576D" w:rsidP="00AD78EE">
      <w:pPr>
        <w:pStyle w:val="Akapitzlist"/>
        <w:numPr>
          <w:ilvl w:val="1"/>
          <w:numId w:val="17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lastRenderedPageBreak/>
        <w:t>zmiana nie prowadzi do zmiany charakteru umowy i zostały spełnione łącznie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następujące warunki:</w:t>
      </w:r>
    </w:p>
    <w:p w14:paraId="1EC16F2B" w14:textId="6BD9777D" w:rsidR="006C576D" w:rsidRPr="00FC6D62" w:rsidRDefault="006C576D" w:rsidP="00FC6D62">
      <w:pPr>
        <w:pStyle w:val="Akapitzlist"/>
        <w:numPr>
          <w:ilvl w:val="1"/>
          <w:numId w:val="19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konieczność zmiany umowy spowodowana jest okolicznościami, których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zamawiający, działając z należytą starannością, nie mógł przewidzieć,</w:t>
      </w:r>
    </w:p>
    <w:p w14:paraId="1341301D" w14:textId="78CFA7BC" w:rsidR="006C576D" w:rsidRPr="00FC6D62" w:rsidRDefault="006C576D" w:rsidP="00FC6D62">
      <w:pPr>
        <w:pStyle w:val="Akapitzlist"/>
        <w:numPr>
          <w:ilvl w:val="1"/>
          <w:numId w:val="19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wartość zmiany nie przekracza 50% wartości zamówienia określonej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pierwotnie w umowie,</w:t>
      </w:r>
    </w:p>
    <w:p w14:paraId="46DF799D" w14:textId="532D702D" w:rsidR="006C576D" w:rsidRPr="00FC6D62" w:rsidRDefault="006C576D" w:rsidP="00AD78EE">
      <w:pPr>
        <w:pStyle w:val="Akapitzlist"/>
        <w:numPr>
          <w:ilvl w:val="1"/>
          <w:numId w:val="17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 xml:space="preserve">wykonawcę, któremu zamawiający udzielił </w:t>
      </w:r>
      <w:r w:rsidR="00D16C82" w:rsidRPr="00FC6D62">
        <w:rPr>
          <w:rFonts w:eastAsia="MS Mincho" w:cstheme="minorHAnsi"/>
          <w:sz w:val="24"/>
          <w:szCs w:val="24"/>
          <w:lang w:eastAsia="ja-JP"/>
        </w:rPr>
        <w:t>zamówienia ma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zastąpić nowy</w:t>
      </w:r>
      <w:r w:rsidR="00D16C82" w:rsidRPr="00FC6D62">
        <w:rPr>
          <w:rFonts w:eastAsia="MS Mincho" w:cstheme="minorHAnsi"/>
          <w:sz w:val="24"/>
          <w:szCs w:val="24"/>
          <w:lang w:eastAsia="ja-JP"/>
        </w:rPr>
        <w:t xml:space="preserve"> wykonawca:</w:t>
      </w:r>
    </w:p>
    <w:p w14:paraId="464AE5BA" w14:textId="49DCF902" w:rsidR="006C576D" w:rsidRPr="00FC6D62" w:rsidRDefault="006C576D" w:rsidP="00FC6D62">
      <w:pPr>
        <w:pStyle w:val="Akapitzlist"/>
        <w:numPr>
          <w:ilvl w:val="1"/>
          <w:numId w:val="20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na podstawie postanowień umownych, o których mowa w lit. a,</w:t>
      </w:r>
    </w:p>
    <w:p w14:paraId="3C14A91D" w14:textId="7AF752AA" w:rsidR="006C576D" w:rsidRPr="00FC6D62" w:rsidRDefault="006C576D" w:rsidP="00FC6D62">
      <w:pPr>
        <w:pStyle w:val="Akapitzlist"/>
        <w:numPr>
          <w:ilvl w:val="1"/>
          <w:numId w:val="20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 wyniku połączenia, podziału, przekształcenia, upadłości, restrukturyzacji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lub nabycia dotychczasowego wykonawcy lub jego przedsiębiorstwa</w:t>
      </w:r>
      <w:r w:rsidR="00F5360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 ile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nowy wykonawca spełnia warunki udziału w postępowaniu, nie zachodzą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wobec niego podstawy wykluczenia oraz nie pociąga to za sobą innych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istotnych zmian umowy,</w:t>
      </w:r>
    </w:p>
    <w:p w14:paraId="5F225AEB" w14:textId="0B119FBA" w:rsidR="00D45636" w:rsidRPr="00FC6D62" w:rsidRDefault="006C576D" w:rsidP="00FC6D62">
      <w:pPr>
        <w:pStyle w:val="Akapitzlist"/>
        <w:numPr>
          <w:ilvl w:val="1"/>
          <w:numId w:val="20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 wyniku przejęcia przez zamawiającego zobowiązań wykonawcy względem jego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podwykonawców; w przypadku zmiany podwykonawcy, zamawiający może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zawrzeć umowę z nowym podwykonawcą bez zmiany warunków realizacji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zamówienia z uwzględnieniem dokonanych płatności z tytułu dotychczas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zrealizowanych prac,</w:t>
      </w:r>
    </w:p>
    <w:p w14:paraId="5AE942C3" w14:textId="6587F723" w:rsidR="00117196" w:rsidRPr="00FC6D62" w:rsidRDefault="006C576D" w:rsidP="00AD78EE">
      <w:pPr>
        <w:pStyle w:val="Akapitzlist"/>
        <w:numPr>
          <w:ilvl w:val="1"/>
          <w:numId w:val="17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zmiana nie prowadzi do zmiany charakteru umowy a łączna wartość zmian jest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mniejsza niż progi unijne w rozumieniu art. 3 Pzp</w:t>
      </w:r>
      <w:r w:rsidR="0097090F" w:rsidRPr="00FC6D62">
        <w:rPr>
          <w:rStyle w:val="Odwoanieprzypisudolnego"/>
          <w:rFonts w:eastAsia="MS Mincho" w:cstheme="minorHAnsi"/>
          <w:sz w:val="24"/>
          <w:szCs w:val="24"/>
          <w:lang w:eastAsia="ja-JP"/>
        </w:rPr>
        <w:footnoteReference w:id="12"/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i jednocześnie jest mniejsza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od 10% wartości zamówienia określonej pierwotnie w umowie w przypadku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zamówień na usługi lub dostawy</w:t>
      </w:r>
      <w:r w:rsidR="00F53607" w:rsidRPr="00FC6D62">
        <w:rPr>
          <w:rFonts w:eastAsia="MS Mincho" w:cstheme="minorHAnsi"/>
          <w:sz w:val="24"/>
          <w:szCs w:val="24"/>
          <w:lang w:eastAsia="ja-JP"/>
        </w:rPr>
        <w:t>.</w:t>
      </w:r>
    </w:p>
    <w:p w14:paraId="01FA4A47" w14:textId="2024C49A" w:rsidR="004B5A4B" w:rsidRPr="00FC6D62" w:rsidRDefault="00A11606" w:rsidP="00FC6D62">
      <w:pPr>
        <w:pStyle w:val="Nagwek2"/>
        <w:rPr>
          <w:rFonts w:eastAsia="MS Mincho"/>
          <w:szCs w:val="24"/>
          <w:lang w:eastAsia="ja-JP"/>
        </w:rPr>
      </w:pPr>
      <w:bookmarkStart w:id="6" w:name="_Toc169702711"/>
      <w:r w:rsidRPr="00FC6D62">
        <w:rPr>
          <w:rFonts w:eastAsia="MS Mincho"/>
          <w:szCs w:val="24"/>
          <w:lang w:eastAsia="ja-JP"/>
        </w:rPr>
        <w:t>1.</w:t>
      </w:r>
      <w:r w:rsidR="004255EE" w:rsidRPr="00FC6D62">
        <w:rPr>
          <w:rFonts w:eastAsia="MS Mincho"/>
          <w:szCs w:val="24"/>
          <w:lang w:eastAsia="ja-JP"/>
        </w:rPr>
        <w:t>2</w:t>
      </w:r>
      <w:bookmarkStart w:id="7" w:name="_Toc115082200"/>
      <w:r w:rsidR="004B5A4B" w:rsidRPr="00FC6D62">
        <w:rPr>
          <w:rFonts w:eastAsia="MS Mincho"/>
          <w:szCs w:val="24"/>
          <w:lang w:eastAsia="ja-JP"/>
        </w:rPr>
        <w:t xml:space="preserve">. </w:t>
      </w:r>
      <w:r w:rsidR="004B5A4B" w:rsidRPr="00FC6D62">
        <w:rPr>
          <w:szCs w:val="24"/>
        </w:rPr>
        <w:t>Zamówienia w trybie in-house</w:t>
      </w:r>
      <w:bookmarkEnd w:id="7"/>
      <w:bookmarkEnd w:id="6"/>
    </w:p>
    <w:p w14:paraId="7A003B97" w14:textId="77777777" w:rsidR="004B5A4B" w:rsidRPr="00FC6D62" w:rsidRDefault="004B5A4B" w:rsidP="00FC6D62">
      <w:pPr>
        <w:spacing w:before="120" w:after="12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t>W przypadku zamówień w trybie in-house, oprócz zasad i warunków zawartych w niniejszym dokumencie wraz z załącznikiem oraz spełnienia przesłanek wskazanych w ustawie – Prawo zamówień publicznych, w celu uznania kosztów poniesionych w związku z zamówieniem w trybie in-house za kwalifikowalne Beneficjent zobowiązany jest do:</w:t>
      </w:r>
    </w:p>
    <w:p w14:paraId="7BD983D1" w14:textId="77777777" w:rsidR="00522F3E" w:rsidRDefault="004B5A4B" w:rsidP="00FC6D62">
      <w:pPr>
        <w:pStyle w:val="Akapitzlist"/>
        <w:numPr>
          <w:ilvl w:val="0"/>
          <w:numId w:val="28"/>
        </w:numPr>
        <w:spacing w:before="120" w:after="12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522F3E">
        <w:rPr>
          <w:rFonts w:eastAsia="Times New Roman" w:cstheme="minorHAnsi"/>
          <w:sz w:val="24"/>
          <w:szCs w:val="24"/>
          <w:lang w:eastAsia="pl-PL"/>
        </w:rPr>
        <w:lastRenderedPageBreak/>
        <w:t xml:space="preserve">zlecenie prac podmiotowi wewnętrznemu na </w:t>
      </w:r>
      <w:r w:rsidR="0095124F" w:rsidRPr="00522F3E">
        <w:rPr>
          <w:rFonts w:eastAsia="Times New Roman" w:cstheme="minorHAnsi"/>
          <w:sz w:val="24"/>
          <w:szCs w:val="24"/>
          <w:lang w:eastAsia="pl-PL"/>
        </w:rPr>
        <w:t>podstawie podpisanej</w:t>
      </w:r>
      <w:r w:rsidRPr="00522F3E">
        <w:rPr>
          <w:rFonts w:eastAsia="Times New Roman" w:cstheme="minorHAnsi"/>
          <w:sz w:val="24"/>
          <w:szCs w:val="24"/>
          <w:lang w:eastAsia="pl-PL"/>
        </w:rPr>
        <w:t xml:space="preserve"> umowy z podmiotem wewnętrznym;</w:t>
      </w:r>
    </w:p>
    <w:p w14:paraId="03BCE8AF" w14:textId="77777777" w:rsidR="00522F3E" w:rsidRDefault="004B5A4B" w:rsidP="00FC6D62">
      <w:pPr>
        <w:pStyle w:val="Akapitzlist"/>
        <w:numPr>
          <w:ilvl w:val="0"/>
          <w:numId w:val="28"/>
        </w:numPr>
        <w:spacing w:before="120" w:after="12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522F3E">
        <w:rPr>
          <w:rFonts w:eastAsia="Times New Roman" w:cstheme="minorHAnsi"/>
          <w:sz w:val="24"/>
          <w:szCs w:val="24"/>
          <w:lang w:eastAsia="pl-PL"/>
        </w:rPr>
        <w:t>przeprowadzenie rozeznania rynku przed zleceniem prac in-house (ex ante) poprzez:</w:t>
      </w:r>
    </w:p>
    <w:p w14:paraId="0D8102F8" w14:textId="77777777" w:rsidR="00522F3E" w:rsidRPr="00522F3E" w:rsidRDefault="004B5A4B" w:rsidP="00522F3E">
      <w:pPr>
        <w:pStyle w:val="Akapitzlist"/>
        <w:numPr>
          <w:ilvl w:val="1"/>
          <w:numId w:val="28"/>
        </w:numPr>
        <w:spacing w:before="120" w:after="120" w:line="360" w:lineRule="auto"/>
        <w:ind w:left="641" w:hanging="357"/>
        <w:rPr>
          <w:rFonts w:eastAsia="Times New Roman" w:cstheme="minorHAnsi"/>
          <w:sz w:val="24"/>
          <w:szCs w:val="24"/>
          <w:lang w:eastAsia="pl-PL"/>
        </w:rPr>
      </w:pPr>
      <w:r w:rsidRPr="00522F3E">
        <w:rPr>
          <w:rFonts w:eastAsia="Times New Roman" w:cstheme="minorHAnsi"/>
          <w:sz w:val="24"/>
          <w:szCs w:val="24"/>
          <w:lang w:eastAsia="pl-PL"/>
        </w:rPr>
        <w:t xml:space="preserve">przeprowadzenie niezależnej, zewnętrznej wyceny zakresu prac projektowych, przeznaczonych do powierzenia wewnętrznemu podmiotowi w ramach konkretnych zleceń, przez wyłonionego w otwartym konkursie eksperta rynkowego </w:t>
      </w:r>
      <w:r w:rsidRPr="00522F3E">
        <w:rPr>
          <w:rFonts w:eastAsia="Times New Roman" w:cstheme="minorHAnsi"/>
          <w:color w:val="000000" w:themeColor="text1"/>
          <w:sz w:val="24"/>
          <w:szCs w:val="24"/>
          <w:lang w:eastAsia="pl-PL"/>
        </w:rPr>
        <w:t>lub/i ekspertów z jednostek podległych i nadzorowanych przez Beneficjenta;</w:t>
      </w:r>
    </w:p>
    <w:p w14:paraId="1224E007" w14:textId="77777777" w:rsidR="00522F3E" w:rsidRPr="00522F3E" w:rsidRDefault="004B5A4B" w:rsidP="00522F3E">
      <w:pPr>
        <w:pStyle w:val="Akapitzlist"/>
        <w:numPr>
          <w:ilvl w:val="1"/>
          <w:numId w:val="28"/>
        </w:numPr>
        <w:spacing w:before="120" w:after="120" w:line="360" w:lineRule="auto"/>
        <w:ind w:left="641" w:hanging="357"/>
        <w:rPr>
          <w:rFonts w:eastAsia="Times New Roman" w:cstheme="minorHAnsi"/>
          <w:sz w:val="24"/>
          <w:szCs w:val="24"/>
          <w:lang w:eastAsia="pl-PL"/>
        </w:rPr>
      </w:pPr>
      <w:r w:rsidRPr="00522F3E">
        <w:rPr>
          <w:rFonts w:eastAsia="Times New Roman" w:cstheme="minorHAnsi"/>
          <w:sz w:val="24"/>
          <w:szCs w:val="24"/>
          <w:lang w:eastAsia="pl-PL"/>
        </w:rPr>
        <w:t xml:space="preserve">przeprowadzenie niezależnej, zewnętrznej weryfikacji poprawności oszacowania kosztów prac przedstawionych przez podmiot wewnętrzny, w tym: metodologii szacowania i pracochłonności prac projektowych określonej przez podmiot wewnętrzny, przez wyłonionego w otwartym konkursie eksperta rynkowego </w:t>
      </w:r>
      <w:r w:rsidRPr="00522F3E">
        <w:rPr>
          <w:rFonts w:eastAsia="Times New Roman" w:cstheme="minorHAnsi"/>
          <w:color w:val="000000" w:themeColor="text1"/>
          <w:sz w:val="24"/>
          <w:szCs w:val="24"/>
          <w:lang w:eastAsia="pl-PL"/>
        </w:rPr>
        <w:t>lub/i ekspertów z jednostek podległych i nadzorowanych przez Beneficjenta</w:t>
      </w:r>
    </w:p>
    <w:p w14:paraId="5EEB8B41" w14:textId="423D1091" w:rsidR="004B5A4B" w:rsidRPr="00522F3E" w:rsidRDefault="004B5A4B" w:rsidP="00522F3E">
      <w:pPr>
        <w:pStyle w:val="Akapitzlist"/>
        <w:numPr>
          <w:ilvl w:val="1"/>
          <w:numId w:val="28"/>
        </w:numPr>
        <w:spacing w:before="120" w:after="120" w:line="360" w:lineRule="auto"/>
        <w:ind w:left="641" w:hanging="357"/>
        <w:rPr>
          <w:rFonts w:eastAsia="Times New Roman" w:cstheme="minorHAnsi"/>
          <w:sz w:val="24"/>
          <w:szCs w:val="24"/>
          <w:lang w:eastAsia="pl-PL"/>
        </w:rPr>
      </w:pPr>
      <w:r w:rsidRPr="00522F3E">
        <w:rPr>
          <w:rFonts w:eastAsia="Times New Roman" w:cstheme="minorHAnsi"/>
          <w:sz w:val="24"/>
          <w:szCs w:val="24"/>
          <w:lang w:eastAsia="pl-PL"/>
        </w:rPr>
        <w:t>przeprowadzenie zewnętrznej, niezależnej analizy porównawczej wyceny rynkowej</w:t>
      </w:r>
      <w:r w:rsidR="00522F3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22F3E">
        <w:rPr>
          <w:rFonts w:eastAsia="Times New Roman" w:cstheme="minorHAnsi"/>
          <w:sz w:val="24"/>
          <w:szCs w:val="24"/>
          <w:lang w:eastAsia="pl-PL"/>
        </w:rPr>
        <w:t>(punkt 2</w:t>
      </w:r>
      <w:r w:rsidR="00522F3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22F3E">
        <w:rPr>
          <w:rFonts w:eastAsia="Times New Roman" w:cstheme="minorHAnsi"/>
          <w:sz w:val="24"/>
          <w:szCs w:val="24"/>
          <w:lang w:eastAsia="pl-PL"/>
        </w:rPr>
        <w:t>a</w:t>
      </w:r>
      <w:r w:rsidR="00522F3E">
        <w:rPr>
          <w:rFonts w:eastAsia="Times New Roman" w:cstheme="minorHAnsi"/>
          <w:sz w:val="24"/>
          <w:szCs w:val="24"/>
          <w:lang w:eastAsia="pl-PL"/>
        </w:rPr>
        <w:t>)</w:t>
      </w:r>
      <w:r w:rsidRPr="00522F3E">
        <w:rPr>
          <w:rFonts w:eastAsia="Times New Roman" w:cstheme="minorHAnsi"/>
          <w:sz w:val="24"/>
          <w:szCs w:val="24"/>
          <w:lang w:eastAsia="pl-PL"/>
        </w:rPr>
        <w:t xml:space="preserve"> powyżej</w:t>
      </w:r>
      <w:r w:rsidR="00522F3E">
        <w:rPr>
          <w:rFonts w:eastAsia="Times New Roman" w:cstheme="minorHAnsi"/>
          <w:sz w:val="24"/>
          <w:szCs w:val="24"/>
          <w:lang w:eastAsia="pl-PL"/>
        </w:rPr>
        <w:t>)</w:t>
      </w:r>
      <w:r w:rsidRPr="00522F3E">
        <w:rPr>
          <w:rFonts w:eastAsia="Times New Roman" w:cstheme="minorHAnsi"/>
          <w:sz w:val="24"/>
          <w:szCs w:val="24"/>
          <w:lang w:eastAsia="pl-PL"/>
        </w:rPr>
        <w:t xml:space="preserve"> i oszacowania kosztów podmiotu wewnętrznego (punkt </w:t>
      </w:r>
      <w:r w:rsidR="00522F3E">
        <w:rPr>
          <w:rFonts w:eastAsia="Times New Roman" w:cstheme="minorHAnsi"/>
          <w:sz w:val="24"/>
          <w:szCs w:val="24"/>
          <w:lang w:eastAsia="pl-PL"/>
        </w:rPr>
        <w:t xml:space="preserve">2 </w:t>
      </w:r>
      <w:r w:rsidRPr="00522F3E">
        <w:rPr>
          <w:rFonts w:eastAsia="Times New Roman" w:cstheme="minorHAnsi"/>
          <w:sz w:val="24"/>
          <w:szCs w:val="24"/>
          <w:lang w:eastAsia="pl-PL"/>
        </w:rPr>
        <w:t>b</w:t>
      </w:r>
      <w:r w:rsidR="00522F3E">
        <w:rPr>
          <w:rFonts w:eastAsia="Times New Roman" w:cstheme="minorHAnsi"/>
          <w:sz w:val="24"/>
          <w:szCs w:val="24"/>
          <w:lang w:eastAsia="pl-PL"/>
        </w:rPr>
        <w:t>)</w:t>
      </w:r>
      <w:r w:rsidRPr="00522F3E">
        <w:rPr>
          <w:rFonts w:eastAsia="Times New Roman" w:cstheme="minorHAnsi"/>
          <w:sz w:val="24"/>
          <w:szCs w:val="24"/>
          <w:lang w:eastAsia="pl-PL"/>
        </w:rPr>
        <w:t xml:space="preserve"> powyżej) przez wyłonionego w otwartym konkursie eksperta rynkowego</w:t>
      </w:r>
      <w:r w:rsidRPr="00522F3E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lub/i ekspertów z jednostek podległych i nadzorowanych przez - Beneficjenta, </w:t>
      </w:r>
      <w:r w:rsidRPr="00522F3E">
        <w:rPr>
          <w:rFonts w:eastAsia="Times New Roman" w:cstheme="minorHAnsi"/>
          <w:sz w:val="24"/>
          <w:szCs w:val="24"/>
          <w:lang w:eastAsia="pl-PL"/>
        </w:rPr>
        <w:t>w celu potwierdzenia lub zaprzeczenia oszczędnego i efektywnego gospodarowania środkami finansowymi.</w:t>
      </w:r>
    </w:p>
    <w:p w14:paraId="0D4A2F55" w14:textId="77777777" w:rsidR="004B5A4B" w:rsidRPr="00FC6D62" w:rsidRDefault="004B5A4B" w:rsidP="00FC6D62">
      <w:pPr>
        <w:rPr>
          <w:rFonts w:cstheme="minorHAnsi"/>
          <w:b/>
          <w:bCs/>
          <w:sz w:val="24"/>
          <w:szCs w:val="24"/>
        </w:rPr>
      </w:pPr>
      <w:r w:rsidRPr="00FC6D62">
        <w:rPr>
          <w:rFonts w:cstheme="minorHAnsi"/>
          <w:b/>
          <w:bCs/>
          <w:sz w:val="24"/>
          <w:szCs w:val="24"/>
        </w:rPr>
        <w:t xml:space="preserve">Eksperci muszą jednocześnie spełniać warunek posiadania niezbędnej wiedzy eksperckiej oraz złożyć deklarację o braku konfliktu interesów/deklarację o bezstronności. </w:t>
      </w:r>
    </w:p>
    <w:p w14:paraId="11A91850" w14:textId="77777777" w:rsidR="00522F3E" w:rsidRDefault="004B5A4B" w:rsidP="00522F3E">
      <w:pPr>
        <w:pStyle w:val="Akapitzlist"/>
        <w:numPr>
          <w:ilvl w:val="0"/>
          <w:numId w:val="28"/>
        </w:numPr>
        <w:spacing w:before="120" w:after="12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522F3E">
        <w:rPr>
          <w:rFonts w:eastAsia="Times New Roman" w:cstheme="minorHAnsi"/>
          <w:sz w:val="24"/>
          <w:szCs w:val="24"/>
          <w:lang w:eastAsia="pl-PL"/>
        </w:rPr>
        <w:t>Odbioru prac zgodnie z przyjętym harmonogramem realizacji Przedsięwzięcia wskazanym w Umowie/Porozumieniu o objęciu Przedsięwzięcia wsparciem;</w:t>
      </w:r>
    </w:p>
    <w:p w14:paraId="7F7125A6" w14:textId="2C27E5D6" w:rsidR="004B5A4B" w:rsidRPr="00522F3E" w:rsidRDefault="008B214E" w:rsidP="00522F3E">
      <w:pPr>
        <w:pStyle w:val="Akapitzlist"/>
        <w:numPr>
          <w:ilvl w:val="0"/>
          <w:numId w:val="28"/>
        </w:numPr>
        <w:spacing w:before="120" w:after="12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522F3E">
        <w:rPr>
          <w:rFonts w:eastAsia="Times New Roman" w:cstheme="minorHAnsi"/>
          <w:sz w:val="24"/>
          <w:szCs w:val="24"/>
          <w:lang w:eastAsia="pl-PL"/>
        </w:rPr>
        <w:t>c</w:t>
      </w:r>
      <w:r w:rsidR="004B5A4B" w:rsidRPr="00522F3E">
        <w:rPr>
          <w:rFonts w:eastAsia="Times New Roman" w:cstheme="minorHAnsi"/>
          <w:sz w:val="24"/>
          <w:szCs w:val="24"/>
          <w:lang w:eastAsia="pl-PL"/>
        </w:rPr>
        <w:t>yklicznego raportowania kosztów ponoszonych w trybie in-house do JW.</w:t>
      </w:r>
    </w:p>
    <w:p w14:paraId="32BE4F43" w14:textId="77777777" w:rsidR="004B5A4B" w:rsidRPr="00FC6D62" w:rsidRDefault="004B5A4B" w:rsidP="00FC6D62">
      <w:pPr>
        <w:spacing w:before="120" w:after="12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t>Podmiot wewnętrzny zobowiązany jest do:</w:t>
      </w:r>
    </w:p>
    <w:p w14:paraId="732EC863" w14:textId="77777777" w:rsidR="00522F3E" w:rsidRPr="00C66B1A" w:rsidRDefault="004B5A4B" w:rsidP="00522F3E">
      <w:pPr>
        <w:pStyle w:val="Akapitzlist"/>
        <w:numPr>
          <w:ilvl w:val="0"/>
          <w:numId w:val="30"/>
        </w:numPr>
        <w:spacing w:before="120" w:after="120" w:line="360" w:lineRule="auto"/>
        <w:ind w:left="641" w:hanging="357"/>
        <w:rPr>
          <w:rFonts w:eastAsia="Times New Roman" w:cstheme="minorHAnsi"/>
          <w:iCs/>
          <w:sz w:val="24"/>
          <w:szCs w:val="24"/>
          <w:lang w:eastAsia="pl-PL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t xml:space="preserve">dokonywania zakupów towarów, materiałów i usług dotyczących podpisanej umowy zgodnie z ustawą Prawo zamówień publicznych lub zgodnie z </w:t>
      </w:r>
      <w:r w:rsidRPr="00C66B1A">
        <w:rPr>
          <w:rFonts w:eastAsia="Times New Roman" w:cstheme="minorHAnsi"/>
          <w:iCs/>
          <w:sz w:val="24"/>
          <w:szCs w:val="24"/>
          <w:lang w:eastAsia="pl-PL"/>
        </w:rPr>
        <w:t>Z</w:t>
      </w:r>
      <w:r w:rsidR="008B214E" w:rsidRPr="00C66B1A">
        <w:rPr>
          <w:rFonts w:eastAsia="Times New Roman" w:cstheme="minorHAnsi"/>
          <w:iCs/>
          <w:sz w:val="24"/>
          <w:szCs w:val="24"/>
          <w:lang w:eastAsia="pl-PL"/>
        </w:rPr>
        <w:t>asadami</w:t>
      </w:r>
      <w:r w:rsidRPr="00C66B1A">
        <w:rPr>
          <w:rFonts w:eastAsia="Times New Roman" w:cstheme="minorHAnsi"/>
          <w:iCs/>
          <w:sz w:val="24"/>
          <w:szCs w:val="24"/>
          <w:lang w:eastAsia="pl-PL"/>
        </w:rPr>
        <w:t>;</w:t>
      </w:r>
    </w:p>
    <w:p w14:paraId="0523EFCF" w14:textId="77777777" w:rsidR="00522F3E" w:rsidRDefault="004B5A4B" w:rsidP="00522F3E">
      <w:pPr>
        <w:pStyle w:val="Akapitzlist"/>
        <w:numPr>
          <w:ilvl w:val="0"/>
          <w:numId w:val="30"/>
        </w:numPr>
        <w:spacing w:before="120" w:after="120" w:line="360" w:lineRule="auto"/>
        <w:ind w:left="641" w:hanging="357"/>
        <w:rPr>
          <w:rFonts w:eastAsia="Times New Roman" w:cstheme="minorHAnsi"/>
          <w:sz w:val="24"/>
          <w:szCs w:val="24"/>
          <w:lang w:eastAsia="pl-PL"/>
        </w:rPr>
      </w:pPr>
      <w:r w:rsidRPr="00522F3E">
        <w:rPr>
          <w:rFonts w:eastAsia="Times New Roman" w:cstheme="minorHAnsi"/>
          <w:sz w:val="24"/>
          <w:szCs w:val="24"/>
          <w:lang w:eastAsia="pl-PL"/>
        </w:rPr>
        <w:t>prowadzenia wyodrębnionej ewidencji czasu pracy w ramach umowy w celu zapewnienia pełnej weryfikowalności i przejrzystości;</w:t>
      </w:r>
    </w:p>
    <w:p w14:paraId="399C97CF" w14:textId="62FFA9DA" w:rsidR="004B5A4B" w:rsidRPr="00522F3E" w:rsidRDefault="004B5A4B" w:rsidP="00522F3E">
      <w:pPr>
        <w:pStyle w:val="Akapitzlist"/>
        <w:numPr>
          <w:ilvl w:val="0"/>
          <w:numId w:val="30"/>
        </w:numPr>
        <w:spacing w:before="120" w:after="120" w:line="360" w:lineRule="auto"/>
        <w:ind w:left="641" w:hanging="357"/>
        <w:rPr>
          <w:rFonts w:eastAsia="Times New Roman" w:cstheme="minorHAnsi"/>
          <w:sz w:val="24"/>
          <w:szCs w:val="24"/>
          <w:lang w:eastAsia="pl-PL"/>
        </w:rPr>
      </w:pPr>
      <w:r w:rsidRPr="00522F3E">
        <w:rPr>
          <w:rFonts w:eastAsia="Times New Roman" w:cstheme="minorHAnsi"/>
          <w:sz w:val="24"/>
          <w:szCs w:val="24"/>
          <w:lang w:eastAsia="pl-PL"/>
        </w:rPr>
        <w:t>prowadzenia wyodrębnionej ewidencji księgowej kosztów związanych z realizacją danej umowy.</w:t>
      </w:r>
    </w:p>
    <w:p w14:paraId="1FA09AE1" w14:textId="1FF56F75" w:rsidR="00117196" w:rsidRPr="00FC6D62" w:rsidRDefault="00117196" w:rsidP="00684913">
      <w:pPr>
        <w:pStyle w:val="Nagwek1"/>
        <w:rPr>
          <w:rFonts w:asciiTheme="minorHAnsi" w:eastAsia="MS Mincho" w:hAnsiTheme="minorHAnsi" w:cstheme="minorHAnsi"/>
          <w:b w:val="0"/>
          <w:szCs w:val="24"/>
          <w:lang w:eastAsia="ja-JP"/>
        </w:rPr>
      </w:pPr>
      <w:bookmarkStart w:id="8" w:name="_Toc169702712"/>
      <w:bookmarkStart w:id="9" w:name="_Toc78468510"/>
      <w:r w:rsidRPr="00FC6D62">
        <w:rPr>
          <w:rFonts w:asciiTheme="minorHAnsi" w:eastAsia="MS Mincho" w:hAnsiTheme="minorHAnsi" w:cstheme="minorHAnsi"/>
          <w:szCs w:val="24"/>
          <w:lang w:eastAsia="ja-JP"/>
        </w:rPr>
        <w:lastRenderedPageBreak/>
        <w:t xml:space="preserve">2. Przykłady możliwych nieprawidłowości w obszarze </w:t>
      </w:r>
      <w:r w:rsidR="00D72C2E" w:rsidRPr="00FC6D62">
        <w:rPr>
          <w:rFonts w:asciiTheme="minorHAnsi" w:eastAsia="MS Mincho" w:hAnsiTheme="minorHAnsi" w:cstheme="minorHAnsi"/>
          <w:szCs w:val="24"/>
          <w:lang w:eastAsia="ja-JP"/>
        </w:rPr>
        <w:t>zamówień</w:t>
      </w:r>
      <w:bookmarkEnd w:id="8"/>
    </w:p>
    <w:p w14:paraId="5EBE3369" w14:textId="77777777" w:rsidR="007C0C37" w:rsidRPr="00FC6D62" w:rsidRDefault="007C0C37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t>Nieuprawnione stosowanie trybów niekonkurencyjnych lub nieuprawnione stosowanie procedur przyspieszonych powołując się np. na termin zakończenia projektu lub koniec roku budżetowego.</w:t>
      </w:r>
    </w:p>
    <w:p w14:paraId="41C72A66" w14:textId="70E7C518" w:rsidR="007C0C37" w:rsidRPr="00FC6D62" w:rsidRDefault="007C0C37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t>Niekorzystne zjawisko „uzależnienia się” zamawiającego od pierwotnego wykonawcy systemu lub producenta sprzętu lub oprogramowania gotowego, uniemożliwiające nabycie niezbędnych usług lub dostaw w trybach konkurencyjnych np. brak zapewnienia sobie w</w:t>
      </w:r>
      <w:r w:rsidR="00C66B1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C6D62">
        <w:rPr>
          <w:rFonts w:eastAsia="Times New Roman" w:cstheme="minorHAnsi"/>
          <w:sz w:val="24"/>
          <w:szCs w:val="24"/>
          <w:lang w:eastAsia="pl-PL"/>
        </w:rPr>
        <w:t>pierwotnym przetargu autorskich</w:t>
      </w:r>
      <w:r w:rsidR="00BA1F4D" w:rsidRPr="00FC6D62">
        <w:rPr>
          <w:rFonts w:eastAsia="Times New Roman" w:cstheme="minorHAnsi"/>
          <w:sz w:val="24"/>
          <w:szCs w:val="24"/>
          <w:lang w:eastAsia="pl-PL"/>
        </w:rPr>
        <w:t xml:space="preserve"> praw</w:t>
      </w:r>
      <w:r w:rsidR="00BA1F4D" w:rsidRPr="00FC6D62">
        <w:rPr>
          <w:rFonts w:cstheme="minorHAnsi"/>
          <w:sz w:val="24"/>
          <w:szCs w:val="24"/>
        </w:rPr>
        <w:t xml:space="preserve"> majątkowych oraz praw zależnych, w tym do kodów źródłowych i dokumentacji lub nabycie licencji na niewystarczających polach eksploatacji odpowiadających zakresowi Przedsięwzięcia</w:t>
      </w:r>
      <w:r w:rsidRPr="00FC6D62">
        <w:rPr>
          <w:rFonts w:eastAsia="Times New Roman" w:cstheme="minorHAnsi"/>
          <w:sz w:val="24"/>
          <w:szCs w:val="24"/>
          <w:lang w:eastAsia="pl-PL"/>
        </w:rPr>
        <w:t>.</w:t>
      </w:r>
    </w:p>
    <w:p w14:paraId="10B25589" w14:textId="77777777" w:rsidR="007C0C37" w:rsidRPr="00FC6D62" w:rsidRDefault="007C0C37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t>Nieuzasadnione udzielanie zamówień publicznych z wolnej ręki związanych z systemami informatycznymi, wynikające z niewłaściwego przygotowania postępowania i udzielania zamówienia publicznego.</w:t>
      </w:r>
    </w:p>
    <w:p w14:paraId="24883161" w14:textId="4275100C" w:rsidR="007C0C37" w:rsidRPr="00FC6D62" w:rsidRDefault="007C0C37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t>Niedopuszczenie przez zamawiającego zaoferowania produktu równoważnego lub usługi równoważnej, w</w:t>
      </w:r>
      <w:r w:rsidR="0046088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C6D62">
        <w:rPr>
          <w:rFonts w:eastAsia="Times New Roman" w:cstheme="minorHAnsi"/>
          <w:sz w:val="24"/>
          <w:szCs w:val="24"/>
          <w:lang w:eastAsia="pl-PL"/>
        </w:rPr>
        <w:t>przypadku opisania przedmiotu zamówienia publicznego poprzez wskazanie znaków towarowych, patentów, pochodzenia, źródła lub szczególnego procesu, który charakteryzuje produkty lub usługi dostarczane przez konkretnego wykonawcę.</w:t>
      </w:r>
    </w:p>
    <w:p w14:paraId="17DB0A17" w14:textId="5A288949" w:rsidR="007C0C37" w:rsidRPr="00FC6D62" w:rsidRDefault="007C0C37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t>Nieuprawnione dzielenie zamówienia publicznego na części w celu zastosowania mniej restrykcyjnej zasady udzielenia zamówienia w sytuacji, gdy zamawiający wszczyna kilka postępowań, które są tożsame przedmiotowo i czasowo, a zamówienie publiczne może być wykonane przez jednego wykonawcę. Tożsamość czasową należy odnosić nie tylko do roku budżetowego, ale także do całego okresu realizacji projektu.</w:t>
      </w:r>
    </w:p>
    <w:p w14:paraId="491EE281" w14:textId="6027ABFB" w:rsidR="007C0C37" w:rsidRPr="00FC6D62" w:rsidRDefault="007C0C37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t>Nieuprawnione łączenie zamówień publicznych, które odrębnie udzielane wymagają zastosowania różnych zasad udzielenia.</w:t>
      </w:r>
    </w:p>
    <w:p w14:paraId="4CAC62C0" w14:textId="55DA09A6" w:rsidR="00A43A42" w:rsidRPr="00FC6D62" w:rsidRDefault="00A43A42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t>Nieuprawnione łączenie zamówień publicznych, które odrębnie udzielane skutkowałoby zwiększeniem konkurencyjności ofert wykonawców i umożliwiałoby złożenie oferty przez podmioty zainteresowane konkretną częścią zamówienia, np. łącznie dostaw sprzętu wraz z usługami w postaci budowy systemów informatycznych.</w:t>
      </w:r>
    </w:p>
    <w:p w14:paraId="40E45A03" w14:textId="77777777" w:rsidR="007C0C37" w:rsidRPr="00FC6D62" w:rsidRDefault="007C0C37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lastRenderedPageBreak/>
        <w:t>Nieuzasadnione przedmiotem zamówienia publicznego ograniczenia dotyczące podwykonawstwa, np. wprowadzenie zasady, że określona w sposób procentowy część zamówienia publicznego nie może być zlecona podwykonawcom.</w:t>
      </w:r>
    </w:p>
    <w:p w14:paraId="135DF531" w14:textId="77777777" w:rsidR="007C0C37" w:rsidRPr="00FC6D62" w:rsidRDefault="007C0C37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t>Wymaganie od wykonawcy posiadania potencjału technicznego już na etapie składania ofert/wniosków o dopuszczenie do udziału w postępowaniu.</w:t>
      </w:r>
    </w:p>
    <w:p w14:paraId="480DE775" w14:textId="226674A3" w:rsidR="001D09F0" w:rsidRPr="00FC6D62" w:rsidRDefault="007C0C37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t>Żądanie, aby wykonawca posiadał doświadczenie w realizacji usług, dostaw lub robót budowlanych współfinansowanych ze środków UE lub z funduszy krajowych (w sytuacji, gdy fakt współfinansowania nie ma wpływu na potwierdzenie umiejętności wykonawcy w zakresie wykonania zamówienia publicznego)</w:t>
      </w:r>
      <w:r w:rsidR="001D09F0" w:rsidRPr="00FC6D62">
        <w:rPr>
          <w:rFonts w:eastAsia="Times New Roman" w:cstheme="minorHAnsi"/>
          <w:sz w:val="24"/>
          <w:szCs w:val="24"/>
          <w:lang w:eastAsia="pl-PL"/>
        </w:rPr>
        <w:t>.</w:t>
      </w:r>
    </w:p>
    <w:p w14:paraId="49A7A5F4" w14:textId="013C73DE" w:rsidR="007C0C37" w:rsidRPr="00FC6D62" w:rsidRDefault="007C0C37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t>Żądanie zamawiającego, aby wykonawca posiadał doświadczenie w realizacji usług, dostaw lub robót budowlanych wykonywanych wyłącznie w Polsce.</w:t>
      </w:r>
    </w:p>
    <w:p w14:paraId="0735CA24" w14:textId="66976C74" w:rsidR="001D09F0" w:rsidRPr="00FC6D62" w:rsidRDefault="001D09F0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t>Żądanie zamawiającego, aby wykonawca posiadał doświadczenie w realizacji usług, dostaw lub robót budowlanych, przewyższających wartość szacunkową zamówienia.</w:t>
      </w:r>
    </w:p>
    <w:p w14:paraId="3F966BE4" w14:textId="1CEA2D5A" w:rsidR="007C0C37" w:rsidRPr="00FC6D62" w:rsidRDefault="007C0C37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t>Uwzględnianie przez zamawiającego jedynie doświadczenia zdobytego po uzyskaniu przez wykonawcę stosownych polskich uprawnień budowlanych lub posiadania doświadczenia zdobytego w Polsce.</w:t>
      </w:r>
    </w:p>
    <w:p w14:paraId="5EDA8DF7" w14:textId="62E0D6A5" w:rsidR="001D09F0" w:rsidRPr="00FC6D62" w:rsidRDefault="001D09F0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t xml:space="preserve">Nieuprawniony podział zamówienia na części, w </w:t>
      </w:r>
      <w:r w:rsidR="0095124F" w:rsidRPr="00FC6D62">
        <w:rPr>
          <w:rFonts w:eastAsia="Times New Roman" w:cstheme="minorHAnsi"/>
          <w:sz w:val="24"/>
          <w:szCs w:val="24"/>
          <w:lang w:eastAsia="pl-PL"/>
        </w:rPr>
        <w:t>sytuacji,</w:t>
      </w:r>
      <w:r w:rsidRPr="00FC6D62">
        <w:rPr>
          <w:rFonts w:eastAsia="Times New Roman" w:cstheme="minorHAnsi"/>
          <w:sz w:val="24"/>
          <w:szCs w:val="24"/>
          <w:lang w:eastAsia="pl-PL"/>
        </w:rPr>
        <w:t xml:space="preserve"> gdy w ramach kilku Przedsięwzięć realizowane są tożsame zamówienia, celem uniknięcia stosowania przepisów Ustawy lub zasad określonych w niniejszym dokumencie.</w:t>
      </w:r>
    </w:p>
    <w:p w14:paraId="08B5D309" w14:textId="1CF4355C" w:rsidR="007C0C37" w:rsidRPr="00FC6D62" w:rsidRDefault="007C0C37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t xml:space="preserve">Odrzucenie przez zamawiającego oferty zamiast dokonania poprawy oczywistej omyłki pisarskiej/rachunkowej/innej. </w:t>
      </w:r>
      <w:r w:rsidRPr="00FC6D62">
        <w:rPr>
          <w:rFonts w:eastAsia="Calibri" w:cstheme="minorHAnsi"/>
          <w:sz w:val="24"/>
          <w:szCs w:val="24"/>
        </w:rPr>
        <w:t>Za niedopuszczalne uznaje się natomiast uprzednie uzgodnienie z wykonawcą lub jakimkolwiek innym podmiotem/jakąkolwiek inną osobą sposobu poprawienia omyłek, które pojawiły się w ofercie, a o których mowa w przepisie art.</w:t>
      </w:r>
      <w:r w:rsidR="0075766E">
        <w:rPr>
          <w:rFonts w:eastAsia="Calibri" w:cstheme="minorHAnsi"/>
          <w:sz w:val="24"/>
          <w:szCs w:val="24"/>
        </w:rPr>
        <w:t xml:space="preserve"> </w:t>
      </w:r>
      <w:r w:rsidRPr="00FC6D62">
        <w:rPr>
          <w:rFonts w:eastAsia="Calibri" w:cstheme="minorHAnsi"/>
          <w:sz w:val="24"/>
          <w:szCs w:val="24"/>
        </w:rPr>
        <w:t>87 ust. 2 ustawy Pzp.</w:t>
      </w:r>
    </w:p>
    <w:p w14:paraId="0E4FA8CA" w14:textId="254C9412" w:rsidR="001D09F0" w:rsidRPr="00FC6D62" w:rsidRDefault="001D09F0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FC6D62">
        <w:rPr>
          <w:rFonts w:eastAsia="Calibri" w:cstheme="minorHAnsi"/>
          <w:sz w:val="24"/>
          <w:szCs w:val="24"/>
        </w:rPr>
        <w:t>Konstruowanie kryteriów oceny ofert, które w połączeni</w:t>
      </w:r>
      <w:r w:rsidR="0025094C" w:rsidRPr="00FC6D62">
        <w:rPr>
          <w:rFonts w:eastAsia="Calibri" w:cstheme="minorHAnsi"/>
          <w:sz w:val="24"/>
          <w:szCs w:val="24"/>
        </w:rPr>
        <w:t>u z karami umownymi, mają charak</w:t>
      </w:r>
      <w:r w:rsidRPr="00FC6D62">
        <w:rPr>
          <w:rFonts w:eastAsia="Calibri" w:cstheme="minorHAnsi"/>
          <w:sz w:val="24"/>
          <w:szCs w:val="24"/>
        </w:rPr>
        <w:t xml:space="preserve">ter </w:t>
      </w:r>
      <w:r w:rsidR="0095124F" w:rsidRPr="00FC6D62">
        <w:rPr>
          <w:rFonts w:eastAsia="Calibri" w:cstheme="minorHAnsi"/>
          <w:sz w:val="24"/>
          <w:szCs w:val="24"/>
        </w:rPr>
        <w:t>iluzoryczny, m.in.</w:t>
      </w:r>
      <w:r w:rsidRPr="00FC6D62">
        <w:rPr>
          <w:rFonts w:eastAsia="Calibri" w:cstheme="minorHAnsi"/>
          <w:sz w:val="24"/>
          <w:szCs w:val="24"/>
        </w:rPr>
        <w:t xml:space="preserve"> takich jak kryterium terminu realizacji w </w:t>
      </w:r>
      <w:r w:rsidR="0095124F" w:rsidRPr="00FC6D62">
        <w:rPr>
          <w:rFonts w:eastAsia="Calibri" w:cstheme="minorHAnsi"/>
          <w:sz w:val="24"/>
          <w:szCs w:val="24"/>
        </w:rPr>
        <w:t>sytuacji,</w:t>
      </w:r>
      <w:r w:rsidRPr="00FC6D62">
        <w:rPr>
          <w:rFonts w:eastAsia="Calibri" w:cstheme="minorHAnsi"/>
          <w:sz w:val="24"/>
          <w:szCs w:val="24"/>
        </w:rPr>
        <w:t xml:space="preserve"> gdy brak jest kar umownej za zwłokę/opóźnienie </w:t>
      </w:r>
      <w:r w:rsidR="0025094C" w:rsidRPr="00FC6D62">
        <w:rPr>
          <w:rFonts w:eastAsia="Calibri" w:cstheme="minorHAnsi"/>
          <w:sz w:val="24"/>
          <w:szCs w:val="24"/>
        </w:rPr>
        <w:t xml:space="preserve">ze strony </w:t>
      </w:r>
      <w:r w:rsidRPr="00FC6D62">
        <w:rPr>
          <w:rFonts w:eastAsia="Calibri" w:cstheme="minorHAnsi"/>
          <w:sz w:val="24"/>
          <w:szCs w:val="24"/>
        </w:rPr>
        <w:t>wykonawcy.</w:t>
      </w:r>
    </w:p>
    <w:p w14:paraId="74DA7AD3" w14:textId="7631784B" w:rsidR="001D09F0" w:rsidRPr="00FC6D62" w:rsidRDefault="001D09F0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FC6D62">
        <w:rPr>
          <w:rFonts w:eastAsia="Calibri" w:cstheme="minorHAnsi"/>
          <w:sz w:val="24"/>
          <w:szCs w:val="24"/>
        </w:rPr>
        <w:t>Odrzucenie przez zamawiającego ofert przewyższający</w:t>
      </w:r>
      <w:r w:rsidR="0025094C" w:rsidRPr="00FC6D62">
        <w:rPr>
          <w:rFonts w:eastAsia="Calibri" w:cstheme="minorHAnsi"/>
          <w:sz w:val="24"/>
          <w:szCs w:val="24"/>
        </w:rPr>
        <w:t>ch wartość środków, które zostały przeznaczone na realizację z</w:t>
      </w:r>
      <w:r w:rsidRPr="00FC6D62">
        <w:rPr>
          <w:rFonts w:eastAsia="Calibri" w:cstheme="minorHAnsi"/>
          <w:sz w:val="24"/>
          <w:szCs w:val="24"/>
        </w:rPr>
        <w:t>amówienia.</w:t>
      </w:r>
    </w:p>
    <w:p w14:paraId="1772E49F" w14:textId="36264BAA" w:rsidR="00405EC4" w:rsidRPr="00FC6D62" w:rsidRDefault="00405EC4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FC6D62">
        <w:rPr>
          <w:rFonts w:eastAsia="Calibri" w:cstheme="minorHAnsi"/>
          <w:sz w:val="24"/>
          <w:szCs w:val="24"/>
        </w:rPr>
        <w:t>Wybór oferty wykonawcy, która nie była najkorzystniejszą ofertą w postępowaniu, podczas gdy inne oferty uzyskały więcej punktów w ramach kryteriów oceny ofert i nie mieściły się w budżecie Zamawiającego.</w:t>
      </w:r>
    </w:p>
    <w:p w14:paraId="426DC581" w14:textId="77777777" w:rsidR="007C0C37" w:rsidRPr="00FC6D62" w:rsidRDefault="007C0C37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FC6D62">
        <w:rPr>
          <w:rFonts w:eastAsia="Calibri" w:cstheme="minorHAnsi"/>
          <w:sz w:val="24"/>
          <w:szCs w:val="24"/>
        </w:rPr>
        <w:lastRenderedPageBreak/>
        <w:t>Przekazywanie wybranym wykonawcom określonych informacji dotyczących prowadzonego postępowania, które mogą stawiać ich w uprzywilejowanej pozycji w stosunku do innych wykonawców.</w:t>
      </w:r>
    </w:p>
    <w:p w14:paraId="083EB969" w14:textId="77777777" w:rsidR="007C0C37" w:rsidRPr="00FC6D62" w:rsidRDefault="007C0C37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FC6D62">
        <w:rPr>
          <w:rFonts w:eastAsia="Calibri" w:cstheme="minorHAnsi"/>
          <w:sz w:val="24"/>
          <w:szCs w:val="24"/>
        </w:rPr>
        <w:t>Wyznaczenie nowego terminu na złożenie wyjaśnień/uzupełnień po upływie pierwotnie wyznaczonego terminu. Zamawiający może rozważyć przedłużenie pierwotnie wyznaczonego terminu w trakcie jego biegu na odpowiednio umotywowany wniosek wykonawcy, mając na względzie potrzebę zachowania zasady uczciwej konkurencji i równego traktowania wykonawców.</w:t>
      </w:r>
    </w:p>
    <w:p w14:paraId="695BB8EC" w14:textId="77777777" w:rsidR="007C0C37" w:rsidRPr="00FC6D62" w:rsidRDefault="007C0C37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FC6D62">
        <w:rPr>
          <w:rFonts w:eastAsia="Calibri" w:cstheme="minorHAnsi"/>
          <w:sz w:val="24"/>
          <w:szCs w:val="24"/>
        </w:rPr>
        <w:t>Uznanie przez zamawiającego ofert, wyjaśnień lub uzupełnień, które wpłynęły do zamawiającego po upływie wyznaczonego terminu lub – w zakresie uzupełnień – także w nieodpowiedniej formie.</w:t>
      </w:r>
    </w:p>
    <w:p w14:paraId="7ED23662" w14:textId="3B238D2F" w:rsidR="007C0C37" w:rsidRPr="00FC6D62" w:rsidRDefault="007C0C37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Calibri" w:cstheme="minorHAnsi"/>
          <w:sz w:val="24"/>
          <w:szCs w:val="24"/>
        </w:rPr>
      </w:pPr>
      <w:r w:rsidRPr="00FC6D62">
        <w:rPr>
          <w:rFonts w:eastAsia="Calibri" w:cstheme="minorHAnsi"/>
          <w:sz w:val="24"/>
          <w:szCs w:val="24"/>
        </w:rPr>
        <w:t>Wszelkie działania mające na celu modyfikację daty lub godziny wpływu korespondencji do zamawiającego w sytuacji, gdy data lub godzina wpływu warunkuje uwzględnienie pisma wykonawcy.</w:t>
      </w:r>
    </w:p>
    <w:p w14:paraId="41FF5D55" w14:textId="1A7AD09C" w:rsidR="00577EB3" w:rsidRPr="00FC6D62" w:rsidRDefault="00577EB3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Calibri" w:cstheme="minorHAnsi"/>
          <w:sz w:val="24"/>
          <w:szCs w:val="24"/>
        </w:rPr>
      </w:pPr>
      <w:r w:rsidRPr="00FC6D62">
        <w:rPr>
          <w:rFonts w:eastAsia="Calibri" w:cstheme="minorHAnsi"/>
          <w:sz w:val="24"/>
          <w:szCs w:val="24"/>
        </w:rPr>
        <w:t>Przygotowanie dokumentacji zamówienia w oparciu o konkretny produkt lub dostawcę.</w:t>
      </w:r>
    </w:p>
    <w:p w14:paraId="44CFA6F1" w14:textId="74A1AE43" w:rsidR="00577EB3" w:rsidRPr="00FC6D62" w:rsidRDefault="00577EB3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Calibri" w:cstheme="minorHAnsi"/>
          <w:sz w:val="24"/>
          <w:szCs w:val="24"/>
        </w:rPr>
      </w:pPr>
      <w:r w:rsidRPr="00FC6D62">
        <w:rPr>
          <w:rFonts w:eastAsia="Calibri" w:cstheme="minorHAnsi"/>
          <w:sz w:val="24"/>
          <w:szCs w:val="24"/>
        </w:rPr>
        <w:t>Skracanie terminów składania ofert celem uniemożliwienia lub utrudnienia złożenia ofert przez innych wykonawców.</w:t>
      </w:r>
    </w:p>
    <w:p w14:paraId="33874A22" w14:textId="79A72604" w:rsidR="00577EB3" w:rsidRPr="00FC6D62" w:rsidRDefault="00577EB3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Calibri" w:cstheme="minorHAnsi"/>
          <w:sz w:val="24"/>
          <w:szCs w:val="24"/>
        </w:rPr>
      </w:pPr>
      <w:r w:rsidRPr="00FC6D62">
        <w:rPr>
          <w:rFonts w:eastAsia="Calibri" w:cstheme="minorHAnsi"/>
          <w:sz w:val="24"/>
          <w:szCs w:val="24"/>
        </w:rPr>
        <w:t>Ustalanie terminów realizacji zamówienia niemożliwe do realizacji dla potencjalnego wykonawcy a następnie aneksowanie umowy w oparciu o niejasne zapisy dotyczące terminów realizacji.</w:t>
      </w:r>
    </w:p>
    <w:p w14:paraId="0B79C820" w14:textId="1C6A5407" w:rsidR="001D09F0" w:rsidRPr="00FC6D62" w:rsidRDefault="001D09F0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Calibri" w:cstheme="minorHAnsi"/>
          <w:sz w:val="24"/>
          <w:szCs w:val="24"/>
        </w:rPr>
      </w:pPr>
      <w:r w:rsidRPr="00FC6D62">
        <w:rPr>
          <w:rFonts w:eastAsia="Calibri" w:cstheme="minorHAnsi"/>
          <w:sz w:val="24"/>
          <w:szCs w:val="24"/>
        </w:rPr>
        <w:t>Niepublikowanie wzoru umowy.</w:t>
      </w:r>
    </w:p>
    <w:p w14:paraId="5C481FF9" w14:textId="28265D66" w:rsidR="00577EB3" w:rsidRPr="00FC6D62" w:rsidRDefault="00577EB3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Calibri" w:cstheme="minorHAnsi"/>
          <w:sz w:val="24"/>
          <w:szCs w:val="24"/>
        </w:rPr>
      </w:pPr>
      <w:r w:rsidRPr="00FC6D62">
        <w:rPr>
          <w:rFonts w:eastAsia="Calibri" w:cstheme="minorHAnsi"/>
          <w:sz w:val="24"/>
          <w:szCs w:val="24"/>
        </w:rPr>
        <w:t xml:space="preserve">Sporządzenie aneksu do umowy wydłużającego termin realizacji zamówienia, w </w:t>
      </w:r>
      <w:r w:rsidR="0095124F" w:rsidRPr="00FC6D62">
        <w:rPr>
          <w:rFonts w:eastAsia="Calibri" w:cstheme="minorHAnsi"/>
          <w:sz w:val="24"/>
          <w:szCs w:val="24"/>
        </w:rPr>
        <w:t>sytuacji,</w:t>
      </w:r>
      <w:r w:rsidRPr="00FC6D62">
        <w:rPr>
          <w:rFonts w:eastAsia="Calibri" w:cstheme="minorHAnsi"/>
          <w:sz w:val="24"/>
          <w:szCs w:val="24"/>
        </w:rPr>
        <w:t xml:space="preserve"> gdy przesłanka i warunki wydłużenia terminu nie zostały wprost określone w treści wzoru umowy a termin realizacji był kryterium punktowanym w ramach kryteriów oceny ofert.</w:t>
      </w:r>
    </w:p>
    <w:p w14:paraId="4126E254" w14:textId="77777777" w:rsidR="00C07D05" w:rsidRPr="00FC6D62" w:rsidRDefault="00C07D05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Calibri" w:cstheme="minorHAnsi"/>
          <w:sz w:val="24"/>
          <w:szCs w:val="24"/>
        </w:rPr>
      </w:pPr>
      <w:r w:rsidRPr="00FC6D62">
        <w:rPr>
          <w:rFonts w:eastAsia="Calibri" w:cstheme="minorHAnsi"/>
          <w:sz w:val="24"/>
          <w:szCs w:val="24"/>
        </w:rPr>
        <w:t>Profilowanie opisu przedmiotu zamówienia pod konkretną technologię/produkt lub producenta/dostawcę.</w:t>
      </w:r>
    </w:p>
    <w:p w14:paraId="29A159D6" w14:textId="5482015B" w:rsidR="00C07D05" w:rsidRPr="00FC6D62" w:rsidRDefault="00C07D05" w:rsidP="0075766E">
      <w:pPr>
        <w:numPr>
          <w:ilvl w:val="0"/>
          <w:numId w:val="2"/>
        </w:numPr>
        <w:tabs>
          <w:tab w:val="left" w:pos="426"/>
        </w:tabs>
        <w:spacing w:after="600" w:line="360" w:lineRule="auto"/>
        <w:ind w:left="357" w:hanging="357"/>
        <w:rPr>
          <w:rFonts w:eastAsia="Calibri" w:cstheme="minorHAnsi"/>
          <w:sz w:val="24"/>
          <w:szCs w:val="24"/>
        </w:rPr>
      </w:pPr>
      <w:r w:rsidRPr="00FC6D62">
        <w:rPr>
          <w:rFonts w:eastAsia="Calibri" w:cstheme="minorHAnsi"/>
          <w:sz w:val="24"/>
          <w:szCs w:val="24"/>
        </w:rPr>
        <w:t>Nieuzasadnione stosowanie wyłączeń ustawowych.</w:t>
      </w:r>
    </w:p>
    <w:p w14:paraId="6A367185" w14:textId="4349F999" w:rsidR="000C47F8" w:rsidRPr="00FC6D62" w:rsidRDefault="00AB33AB" w:rsidP="00684913">
      <w:pPr>
        <w:pStyle w:val="Nagwek1"/>
        <w:rPr>
          <w:rFonts w:asciiTheme="minorHAnsi" w:eastAsia="MS Mincho" w:hAnsiTheme="minorHAnsi" w:cstheme="minorHAnsi"/>
          <w:b w:val="0"/>
          <w:szCs w:val="24"/>
          <w:lang w:eastAsia="ja-JP"/>
        </w:rPr>
      </w:pPr>
      <w:bookmarkStart w:id="10" w:name="_Toc169702713"/>
      <w:r w:rsidRPr="00FC6D62">
        <w:rPr>
          <w:rFonts w:asciiTheme="minorHAnsi" w:eastAsia="MS Mincho" w:hAnsiTheme="minorHAnsi" w:cstheme="minorHAnsi"/>
          <w:szCs w:val="24"/>
          <w:lang w:eastAsia="ja-JP"/>
        </w:rPr>
        <w:lastRenderedPageBreak/>
        <w:t xml:space="preserve">3. </w:t>
      </w:r>
      <w:r w:rsidR="000C47F8" w:rsidRPr="00FC6D62">
        <w:rPr>
          <w:rFonts w:asciiTheme="minorHAnsi" w:eastAsia="MS Mincho" w:hAnsiTheme="minorHAnsi" w:cstheme="minorHAnsi"/>
          <w:szCs w:val="24"/>
          <w:lang w:eastAsia="ja-JP"/>
        </w:rPr>
        <w:t>Zestawienie regulacji w za</w:t>
      </w:r>
      <w:r w:rsidR="009E4385" w:rsidRPr="00FC6D62">
        <w:rPr>
          <w:rFonts w:asciiTheme="minorHAnsi" w:eastAsia="MS Mincho" w:hAnsiTheme="minorHAnsi" w:cstheme="minorHAnsi"/>
          <w:szCs w:val="24"/>
          <w:lang w:eastAsia="ja-JP"/>
        </w:rPr>
        <w:t xml:space="preserve">kresie zasady konkurencyjności </w:t>
      </w:r>
      <w:r w:rsidR="000C47F8" w:rsidRPr="00FC6D62">
        <w:rPr>
          <w:rFonts w:asciiTheme="minorHAnsi" w:eastAsia="MS Mincho" w:hAnsiTheme="minorHAnsi" w:cstheme="minorHAnsi"/>
          <w:szCs w:val="24"/>
          <w:lang w:eastAsia="ja-JP"/>
        </w:rPr>
        <w:t>w</w:t>
      </w:r>
      <w:r w:rsidR="0075766E">
        <w:rPr>
          <w:rFonts w:asciiTheme="minorHAnsi" w:eastAsia="MS Mincho" w:hAnsiTheme="minorHAnsi" w:cstheme="minorHAnsi"/>
          <w:szCs w:val="24"/>
          <w:lang w:eastAsia="ja-JP"/>
        </w:rPr>
        <w:t xml:space="preserve"> </w:t>
      </w:r>
      <w:r w:rsidR="000C47F8" w:rsidRPr="00FC6D62">
        <w:rPr>
          <w:rFonts w:asciiTheme="minorHAnsi" w:eastAsia="MS Mincho" w:hAnsiTheme="minorHAnsi" w:cstheme="minorHAnsi"/>
          <w:szCs w:val="24"/>
          <w:lang w:eastAsia="ja-JP"/>
        </w:rPr>
        <w:t>odniesieniu do konieczności stosowania przez zamawiającego określonej ścieżki postępowania</w:t>
      </w:r>
      <w:bookmarkEnd w:id="9"/>
      <w:bookmarkEnd w:id="10"/>
    </w:p>
    <w:p w14:paraId="3952CBA5" w14:textId="09267811" w:rsidR="000C47F8" w:rsidRPr="00FC6D62" w:rsidRDefault="000C47F8" w:rsidP="00FC6D62">
      <w:pPr>
        <w:spacing w:before="120" w:after="120" w:line="360" w:lineRule="auto"/>
        <w:rPr>
          <w:rFonts w:eastAsia="MS Mincho" w:cstheme="minorHAnsi"/>
          <w:i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 xml:space="preserve">Poniższe zestawienie zostało opracowane na podstawie informacji zawartych w niniejszym załączniku </w:t>
      </w:r>
    </w:p>
    <w:tbl>
      <w:tblPr>
        <w:tblStyle w:val="Tabela-Siatka"/>
        <w:tblW w:w="0" w:type="auto"/>
        <w:tblInd w:w="-459" w:type="dxa"/>
        <w:tblLook w:val="04A0" w:firstRow="1" w:lastRow="0" w:firstColumn="1" w:lastColumn="0" w:noHBand="0" w:noVBand="1"/>
      </w:tblPr>
      <w:tblGrid>
        <w:gridCol w:w="1956"/>
        <w:gridCol w:w="2250"/>
        <w:gridCol w:w="2592"/>
        <w:gridCol w:w="2723"/>
      </w:tblGrid>
      <w:tr w:rsidR="000C47F8" w:rsidRPr="00FC6D62" w14:paraId="0A069939" w14:textId="77777777" w:rsidTr="007E62E8">
        <w:trPr>
          <w:trHeight w:val="235"/>
        </w:trPr>
        <w:tc>
          <w:tcPr>
            <w:tcW w:w="2694" w:type="dxa"/>
            <w:vMerge w:val="restart"/>
            <w:vAlign w:val="center"/>
          </w:tcPr>
          <w:p w14:paraId="385B3A94" w14:textId="77777777" w:rsidR="000C47F8" w:rsidRPr="00FC6D62" w:rsidRDefault="000C47F8" w:rsidP="00684913">
            <w:pPr>
              <w:spacing w:before="120" w:after="120" w:line="360" w:lineRule="auto"/>
              <w:ind w:left="403"/>
              <w:rPr>
                <w:rFonts w:eastAsia="MS Mincho" w:cstheme="minorHAnsi"/>
                <w:i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>Wartość zamówienia</w:t>
            </w:r>
          </w:p>
        </w:tc>
        <w:tc>
          <w:tcPr>
            <w:tcW w:w="11198" w:type="dxa"/>
            <w:gridSpan w:val="3"/>
            <w:vAlign w:val="center"/>
          </w:tcPr>
          <w:p w14:paraId="1EE31E1A" w14:textId="77777777" w:rsidR="000C47F8" w:rsidRPr="00FC6D62" w:rsidRDefault="000C47F8" w:rsidP="00684913">
            <w:pPr>
              <w:spacing w:before="120" w:after="120" w:line="360" w:lineRule="auto"/>
              <w:ind w:left="403"/>
              <w:rPr>
                <w:rFonts w:eastAsia="MS Mincho" w:cstheme="minorHAnsi"/>
                <w:b/>
                <w:i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b/>
                <w:bCs/>
                <w:sz w:val="24"/>
                <w:szCs w:val="24"/>
                <w:lang w:eastAsia="ja-JP"/>
              </w:rPr>
              <w:t>Regulacja w zakresie zasady uczciwej konkurencji</w:t>
            </w:r>
          </w:p>
        </w:tc>
      </w:tr>
      <w:tr w:rsidR="000C47F8" w:rsidRPr="00FC6D62" w14:paraId="5F328D1D" w14:textId="77777777" w:rsidTr="007E62E8">
        <w:trPr>
          <w:trHeight w:val="934"/>
        </w:trPr>
        <w:tc>
          <w:tcPr>
            <w:tcW w:w="2694" w:type="dxa"/>
            <w:vMerge/>
            <w:vAlign w:val="center"/>
          </w:tcPr>
          <w:p w14:paraId="3A30E803" w14:textId="77777777" w:rsidR="000C47F8" w:rsidRPr="00FC6D62" w:rsidRDefault="000C47F8" w:rsidP="00684913">
            <w:pPr>
              <w:spacing w:before="120" w:after="120" w:line="360" w:lineRule="auto"/>
              <w:ind w:left="403"/>
              <w:rPr>
                <w:rFonts w:eastAsia="MS Mincho" w:cstheme="minorHAnsi"/>
                <w:i/>
                <w:sz w:val="24"/>
                <w:szCs w:val="24"/>
                <w:lang w:eastAsia="ja-JP"/>
              </w:rPr>
            </w:pPr>
          </w:p>
        </w:tc>
        <w:tc>
          <w:tcPr>
            <w:tcW w:w="3402" w:type="dxa"/>
            <w:vAlign w:val="center"/>
          </w:tcPr>
          <w:p w14:paraId="01419FCC" w14:textId="77777777" w:rsidR="000C47F8" w:rsidRPr="00FC6D62" w:rsidRDefault="000C47F8" w:rsidP="00684913">
            <w:pPr>
              <w:spacing w:before="120" w:after="120" w:line="360" w:lineRule="auto"/>
              <w:ind w:left="403"/>
              <w:rPr>
                <w:rFonts w:eastAsia="MS Mincho" w:cstheme="minorHAnsi"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>Zamawiający zobligowani do stosowania Pzp (zgodnie z zapisami Pzp)</w:t>
            </w:r>
          </w:p>
        </w:tc>
        <w:tc>
          <w:tcPr>
            <w:tcW w:w="3543" w:type="dxa"/>
            <w:vAlign w:val="center"/>
          </w:tcPr>
          <w:p w14:paraId="4D9C0D61" w14:textId="3FF8EE61" w:rsidR="000C47F8" w:rsidRPr="00FC6D62" w:rsidRDefault="000C47F8" w:rsidP="00684913">
            <w:pPr>
              <w:spacing w:before="120" w:after="120" w:line="360" w:lineRule="auto"/>
              <w:ind w:left="403"/>
              <w:rPr>
                <w:rFonts w:eastAsia="MS Mincho" w:cstheme="minorHAnsi"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>Zamawiający zobowiązani do przestrz</w:t>
            </w:r>
            <w:r w:rsidR="00A91A7B" w:rsidRPr="00FC6D62">
              <w:rPr>
                <w:rFonts w:eastAsia="MS Mincho" w:cstheme="minorHAnsi"/>
                <w:sz w:val="24"/>
                <w:szCs w:val="24"/>
                <w:lang w:eastAsia="ja-JP"/>
              </w:rPr>
              <w:t xml:space="preserve">egania zasady </w:t>
            </w:r>
            <w:r w:rsidR="0095124F" w:rsidRPr="00FC6D62">
              <w:rPr>
                <w:rFonts w:eastAsia="MS Mincho" w:cstheme="minorHAnsi"/>
                <w:sz w:val="24"/>
                <w:szCs w:val="24"/>
                <w:lang w:eastAsia="ja-JP"/>
              </w:rPr>
              <w:t>konkurencyjności,</w:t>
            </w:r>
            <w:r w:rsidR="00A91A7B" w:rsidRPr="00FC6D62">
              <w:rPr>
                <w:rFonts w:eastAsia="MS Mincho" w:cstheme="minorHAnsi"/>
                <w:sz w:val="24"/>
                <w:szCs w:val="24"/>
                <w:lang w:eastAsia="ja-JP"/>
              </w:rPr>
              <w:t xml:space="preserve"> o której mowa w sekcji 1.</w:t>
            </w:r>
            <w:r w:rsidR="00447FE0" w:rsidRPr="00FC6D62">
              <w:rPr>
                <w:rFonts w:eastAsia="MS Mincho" w:cstheme="minorHAnsi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253" w:type="dxa"/>
            <w:vAlign w:val="center"/>
          </w:tcPr>
          <w:p w14:paraId="76BA2BE3" w14:textId="7E6B0E62" w:rsidR="000C47F8" w:rsidRPr="00FC6D62" w:rsidRDefault="000C47F8" w:rsidP="00684913">
            <w:pPr>
              <w:spacing w:before="120" w:after="120" w:line="360" w:lineRule="auto"/>
              <w:ind w:left="403"/>
              <w:rPr>
                <w:rFonts w:eastAsia="MS Mincho" w:cstheme="minorHAnsi"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>Zamawiający niezobowiązani do stosowania Pzp lub zasady konkurencyjności, o której mowa w s</w:t>
            </w:r>
            <w:r w:rsidR="00A91A7B" w:rsidRPr="00FC6D62">
              <w:rPr>
                <w:rFonts w:eastAsia="MS Mincho" w:cstheme="minorHAnsi"/>
                <w:sz w:val="24"/>
                <w:szCs w:val="24"/>
                <w:lang w:eastAsia="ja-JP"/>
              </w:rPr>
              <w:t xml:space="preserve">ekcji 1.2 </w:t>
            </w:r>
          </w:p>
        </w:tc>
      </w:tr>
      <w:tr w:rsidR="000C47F8" w:rsidRPr="00FC6D62" w14:paraId="45AE1236" w14:textId="77777777" w:rsidTr="007E62E8">
        <w:trPr>
          <w:trHeight w:val="70"/>
        </w:trPr>
        <w:tc>
          <w:tcPr>
            <w:tcW w:w="2694" w:type="dxa"/>
            <w:vAlign w:val="center"/>
          </w:tcPr>
          <w:p w14:paraId="315C6FDF" w14:textId="77777777" w:rsidR="000C47F8" w:rsidRPr="00FC6D62" w:rsidRDefault="000C47F8" w:rsidP="00684913">
            <w:pPr>
              <w:spacing w:before="120" w:after="120" w:line="360" w:lineRule="auto"/>
              <w:ind w:left="403"/>
              <w:rPr>
                <w:rFonts w:eastAsia="MS Mincho" w:cstheme="minorHAnsi"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3402" w:type="dxa"/>
            <w:vAlign w:val="center"/>
          </w:tcPr>
          <w:p w14:paraId="423C8BCA" w14:textId="77777777" w:rsidR="000C47F8" w:rsidRPr="00FC6D62" w:rsidRDefault="000C47F8" w:rsidP="00684913">
            <w:pPr>
              <w:spacing w:before="120" w:after="120" w:line="360" w:lineRule="auto"/>
              <w:ind w:left="403"/>
              <w:rPr>
                <w:rFonts w:eastAsia="MS Mincho" w:cstheme="minorHAnsi"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3543" w:type="dxa"/>
            <w:vAlign w:val="center"/>
          </w:tcPr>
          <w:p w14:paraId="27CB8CB1" w14:textId="77777777" w:rsidR="000C47F8" w:rsidRPr="00FC6D62" w:rsidRDefault="000C47F8" w:rsidP="00684913">
            <w:pPr>
              <w:spacing w:before="120" w:after="120" w:line="360" w:lineRule="auto"/>
              <w:ind w:left="403"/>
              <w:rPr>
                <w:rFonts w:eastAsia="MS Mincho" w:cstheme="minorHAnsi"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4253" w:type="dxa"/>
            <w:vAlign w:val="center"/>
          </w:tcPr>
          <w:p w14:paraId="46E120A4" w14:textId="77777777" w:rsidR="000C47F8" w:rsidRPr="00FC6D62" w:rsidRDefault="000C47F8" w:rsidP="00684913">
            <w:pPr>
              <w:spacing w:before="120" w:after="120" w:line="360" w:lineRule="auto"/>
              <w:ind w:left="403"/>
              <w:rPr>
                <w:rFonts w:eastAsia="MS Mincho" w:cstheme="minorHAnsi"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>4</w:t>
            </w:r>
          </w:p>
        </w:tc>
      </w:tr>
      <w:tr w:rsidR="000C47F8" w:rsidRPr="00FC6D62" w14:paraId="14A3AF14" w14:textId="77777777" w:rsidTr="007E62E8">
        <w:tc>
          <w:tcPr>
            <w:tcW w:w="2694" w:type="dxa"/>
            <w:vAlign w:val="center"/>
          </w:tcPr>
          <w:p w14:paraId="41FD8B44" w14:textId="542839AA" w:rsidR="000C47F8" w:rsidRPr="00FC6D62" w:rsidRDefault="00447FE0" w:rsidP="00684913">
            <w:pPr>
              <w:spacing w:before="120" w:after="120" w:line="360" w:lineRule="auto"/>
              <w:ind w:left="403"/>
              <w:rPr>
                <w:rFonts w:eastAsia="MS Mincho" w:cstheme="minorHAnsi"/>
                <w:i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>Do</w:t>
            </w:r>
            <w:r w:rsidR="000C47F8" w:rsidRPr="00FC6D62">
              <w:rPr>
                <w:rFonts w:eastAsia="MS Mincho" w:cstheme="minorHAnsi"/>
                <w:sz w:val="24"/>
                <w:szCs w:val="24"/>
                <w:lang w:eastAsia="ja-JP"/>
              </w:rPr>
              <w:t xml:space="preserve"> - 50 tys. zł netto włącznie</w:t>
            </w:r>
          </w:p>
        </w:tc>
        <w:tc>
          <w:tcPr>
            <w:tcW w:w="3402" w:type="dxa"/>
            <w:vAlign w:val="center"/>
          </w:tcPr>
          <w:p w14:paraId="36D48DE4" w14:textId="1E20AC13" w:rsidR="000C47F8" w:rsidRPr="00FC6D62" w:rsidRDefault="00447FE0" w:rsidP="00684913">
            <w:pPr>
              <w:spacing w:before="120" w:after="120" w:line="360" w:lineRule="auto"/>
              <w:ind w:left="403"/>
              <w:rPr>
                <w:rFonts w:eastAsia="MS Mincho" w:cstheme="minorHAnsi"/>
                <w:i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>Własne wewnętrzne uregulowania określające zasady dokonywania zakupu towarów, usług oraz robót budowlanych.</w:t>
            </w:r>
          </w:p>
        </w:tc>
        <w:tc>
          <w:tcPr>
            <w:tcW w:w="3543" w:type="dxa"/>
            <w:vAlign w:val="center"/>
          </w:tcPr>
          <w:p w14:paraId="135423AC" w14:textId="16B074F9" w:rsidR="000C47F8" w:rsidRPr="00FC6D62" w:rsidRDefault="00447FE0" w:rsidP="00684913">
            <w:pPr>
              <w:spacing w:before="120" w:after="120" w:line="360" w:lineRule="auto"/>
              <w:ind w:left="403"/>
              <w:rPr>
                <w:rFonts w:eastAsia="MS Mincho" w:cstheme="minorHAnsi"/>
                <w:i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>Własne wewnętrzne uregulowania określające zasady dokonywania zakupu towarów, usług oraz robót budowlanych.</w:t>
            </w:r>
          </w:p>
        </w:tc>
        <w:tc>
          <w:tcPr>
            <w:tcW w:w="4253" w:type="dxa"/>
            <w:vAlign w:val="center"/>
          </w:tcPr>
          <w:p w14:paraId="1DE927AC" w14:textId="573DD288" w:rsidR="000C47F8" w:rsidRPr="00FC6D62" w:rsidRDefault="00447FE0" w:rsidP="00684913">
            <w:pPr>
              <w:spacing w:before="120" w:after="120" w:line="360" w:lineRule="auto"/>
              <w:ind w:left="403"/>
              <w:rPr>
                <w:rFonts w:eastAsia="MS Mincho" w:cstheme="minorHAnsi"/>
                <w:i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>Własne wewnętrzne uregulowania określające zasady dokonywania zakupu towarów, usług oraz robót budowlanych.</w:t>
            </w:r>
            <w:r w:rsidR="00FF7E48" w:rsidRPr="00FC6D62">
              <w:rPr>
                <w:rFonts w:eastAsia="MS Mincho" w:cstheme="minorHAnsi"/>
                <w:sz w:val="24"/>
                <w:szCs w:val="24"/>
                <w:lang w:eastAsia="ja-JP"/>
              </w:rPr>
              <w:t xml:space="preserve"> Koszty w ramach Przedsięwzięcia muszą być ponoszone w sposób przejrzysty, racjonalny i efektywny.</w:t>
            </w:r>
          </w:p>
        </w:tc>
      </w:tr>
      <w:tr w:rsidR="000C47F8" w:rsidRPr="00FC6D62" w14:paraId="69219D1D" w14:textId="77777777" w:rsidTr="007E62E8">
        <w:trPr>
          <w:trHeight w:val="944"/>
        </w:trPr>
        <w:tc>
          <w:tcPr>
            <w:tcW w:w="2694" w:type="dxa"/>
            <w:vAlign w:val="center"/>
          </w:tcPr>
          <w:p w14:paraId="66805194" w14:textId="77777777" w:rsidR="000C47F8" w:rsidRPr="00FC6D62" w:rsidRDefault="000C47F8" w:rsidP="00684913">
            <w:pPr>
              <w:spacing w:before="120" w:after="120" w:line="360" w:lineRule="auto"/>
              <w:ind w:left="403"/>
              <w:rPr>
                <w:rFonts w:eastAsia="MS Mincho" w:cstheme="minorHAnsi"/>
                <w:i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 xml:space="preserve">Powyżej 50 tys. zł netto – </w:t>
            </w: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lastRenderedPageBreak/>
              <w:t>do kwoty 130 tys. zł netto</w:t>
            </w:r>
          </w:p>
        </w:tc>
        <w:tc>
          <w:tcPr>
            <w:tcW w:w="3402" w:type="dxa"/>
            <w:vAlign w:val="center"/>
          </w:tcPr>
          <w:p w14:paraId="63C68743" w14:textId="2639011B" w:rsidR="000C47F8" w:rsidRPr="00FC6D62" w:rsidRDefault="00A91A7B" w:rsidP="00684913">
            <w:pPr>
              <w:spacing w:before="120" w:after="120" w:line="360" w:lineRule="auto"/>
              <w:ind w:left="403"/>
              <w:rPr>
                <w:rFonts w:eastAsia="MS Mincho" w:cstheme="minorHAnsi"/>
                <w:i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lastRenderedPageBreak/>
              <w:t>Sekcja 1.</w:t>
            </w:r>
            <w:r w:rsidR="00447FE0" w:rsidRPr="00FC6D62">
              <w:rPr>
                <w:rFonts w:eastAsia="MS Mincho" w:cstheme="minorHAnsi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3543" w:type="dxa"/>
            <w:vAlign w:val="center"/>
          </w:tcPr>
          <w:p w14:paraId="523FEFC7" w14:textId="73EC342F" w:rsidR="000C47F8" w:rsidRPr="00FC6D62" w:rsidRDefault="00A91A7B" w:rsidP="00684913">
            <w:pPr>
              <w:spacing w:before="120" w:after="120" w:line="360" w:lineRule="auto"/>
              <w:ind w:left="403"/>
              <w:rPr>
                <w:rFonts w:eastAsia="MS Mincho" w:cstheme="minorHAnsi"/>
                <w:i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>Sekcja 1.</w:t>
            </w:r>
            <w:r w:rsidR="00447FE0" w:rsidRPr="00FC6D62">
              <w:rPr>
                <w:rFonts w:eastAsia="MS Mincho" w:cstheme="minorHAnsi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253" w:type="dxa"/>
            <w:vAlign w:val="center"/>
          </w:tcPr>
          <w:p w14:paraId="79DE8858" w14:textId="59821B3C" w:rsidR="000C47F8" w:rsidRPr="00FC6D62" w:rsidRDefault="00FF7E48" w:rsidP="00684913">
            <w:pPr>
              <w:spacing w:before="120" w:after="120" w:line="360" w:lineRule="auto"/>
              <w:ind w:left="403"/>
              <w:rPr>
                <w:rFonts w:eastAsia="MS Mincho" w:cstheme="minorHAnsi"/>
                <w:i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 xml:space="preserve">Własne wewnętrzne uregulowania </w:t>
            </w: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lastRenderedPageBreak/>
              <w:t xml:space="preserve">określające zasady dokonywania zakupu towarów, usług oraz robót budowlanych. Koszty w ramach Przedsięwzięcia muszą być ponoszone w sposób przejrzysty, racjonalny i efektywny. </w:t>
            </w:r>
          </w:p>
        </w:tc>
      </w:tr>
      <w:tr w:rsidR="000C47F8" w:rsidRPr="00FC6D62" w14:paraId="281C4866" w14:textId="77777777" w:rsidTr="007E62E8">
        <w:tc>
          <w:tcPr>
            <w:tcW w:w="2694" w:type="dxa"/>
            <w:vAlign w:val="center"/>
          </w:tcPr>
          <w:p w14:paraId="49955932" w14:textId="77777777" w:rsidR="000C47F8" w:rsidRPr="00FC6D62" w:rsidRDefault="000C47F8" w:rsidP="00684913">
            <w:pPr>
              <w:spacing w:before="120" w:after="120" w:line="360" w:lineRule="auto"/>
              <w:ind w:left="403"/>
              <w:rPr>
                <w:rFonts w:eastAsia="MS Mincho" w:cstheme="minorHAnsi"/>
                <w:i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lastRenderedPageBreak/>
              <w:t>Od 130 tys. zł netto włącznie</w:t>
            </w:r>
          </w:p>
        </w:tc>
        <w:tc>
          <w:tcPr>
            <w:tcW w:w="3402" w:type="dxa"/>
            <w:vAlign w:val="center"/>
          </w:tcPr>
          <w:p w14:paraId="018BB014" w14:textId="77777777" w:rsidR="000C47F8" w:rsidRPr="00FC6D62" w:rsidRDefault="000C47F8" w:rsidP="00684913">
            <w:pPr>
              <w:spacing w:before="120" w:after="120" w:line="360" w:lineRule="auto"/>
              <w:ind w:left="403"/>
              <w:rPr>
                <w:rFonts w:eastAsia="MS Mincho" w:cstheme="minorHAnsi"/>
                <w:i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>Pzp</w:t>
            </w:r>
          </w:p>
        </w:tc>
        <w:tc>
          <w:tcPr>
            <w:tcW w:w="3543" w:type="dxa"/>
            <w:vAlign w:val="center"/>
          </w:tcPr>
          <w:p w14:paraId="66EEABBB" w14:textId="479AE4F0" w:rsidR="000C47F8" w:rsidRPr="00FC6D62" w:rsidRDefault="00A91A7B" w:rsidP="00684913">
            <w:pPr>
              <w:spacing w:before="120" w:after="120" w:line="360" w:lineRule="auto"/>
              <w:ind w:left="403"/>
              <w:rPr>
                <w:rFonts w:eastAsia="MS Mincho" w:cstheme="minorHAnsi"/>
                <w:i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>Sekcja 1.</w:t>
            </w:r>
            <w:r w:rsidR="00447FE0" w:rsidRPr="00FC6D62">
              <w:rPr>
                <w:rFonts w:eastAsia="MS Mincho" w:cstheme="minorHAnsi"/>
                <w:sz w:val="24"/>
                <w:szCs w:val="24"/>
                <w:lang w:eastAsia="ja-JP"/>
              </w:rPr>
              <w:t>1</w:t>
            </w:r>
            <w:r w:rsidR="000C47F8" w:rsidRPr="00FC6D62">
              <w:rPr>
                <w:rFonts w:eastAsia="MS Mincho" w:cstheme="minorHAnsi"/>
                <w:sz w:val="24"/>
                <w:szCs w:val="24"/>
                <w:lang w:eastAsia="ja-JP"/>
              </w:rPr>
              <w:t xml:space="preserve"> </w:t>
            </w:r>
          </w:p>
        </w:tc>
        <w:tc>
          <w:tcPr>
            <w:tcW w:w="4253" w:type="dxa"/>
            <w:vAlign w:val="center"/>
          </w:tcPr>
          <w:p w14:paraId="6D3F152D" w14:textId="6C978BCE" w:rsidR="000C47F8" w:rsidRPr="00FC6D62" w:rsidRDefault="00FF7E48" w:rsidP="00684913">
            <w:pPr>
              <w:spacing w:before="120" w:after="120" w:line="360" w:lineRule="auto"/>
              <w:ind w:left="403"/>
              <w:rPr>
                <w:rFonts w:eastAsia="MS Mincho" w:cstheme="minorHAnsi"/>
                <w:i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 xml:space="preserve">Własne wewnętrzne uregulowania określające zasady dokonywania zakupu towarów, usług oraz robót budowlanych. Koszty w ramach Przedsięwzięcia muszą być ponoszone w sposób przejrzysty, racjonalny i efektywny. </w:t>
            </w:r>
          </w:p>
        </w:tc>
      </w:tr>
    </w:tbl>
    <w:p w14:paraId="4CDF20EC" w14:textId="1E141131" w:rsidR="00D24E7A" w:rsidRPr="005B065F" w:rsidRDefault="00D24E7A" w:rsidP="00FC6D62">
      <w:pPr>
        <w:spacing w:before="120" w:after="120" w:line="360" w:lineRule="auto"/>
        <w:rPr>
          <w:rFonts w:eastAsia="MS Mincho" w:cstheme="minorHAnsi"/>
          <w:sz w:val="24"/>
          <w:szCs w:val="24"/>
          <w:lang w:eastAsia="ja-JP"/>
        </w:rPr>
      </w:pPr>
    </w:p>
    <w:sectPr w:rsidR="00D24E7A" w:rsidRPr="005B065F" w:rsidSect="009A0D1C">
      <w:headerReference w:type="default" r:id="rId9"/>
      <w:footerReference w:type="default" r:id="rId10"/>
      <w:pgSz w:w="11906" w:h="16838"/>
      <w:pgMar w:top="1552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D90E8" w14:textId="77777777" w:rsidR="00FD2757" w:rsidRPr="00FC6D62" w:rsidRDefault="00FD2757" w:rsidP="004A3775">
      <w:pPr>
        <w:spacing w:after="0" w:line="240" w:lineRule="auto"/>
      </w:pPr>
      <w:r w:rsidRPr="00FC6D62">
        <w:separator/>
      </w:r>
    </w:p>
  </w:endnote>
  <w:endnote w:type="continuationSeparator" w:id="0">
    <w:p w14:paraId="348041D4" w14:textId="77777777" w:rsidR="00FD2757" w:rsidRPr="00FC6D62" w:rsidRDefault="00FD2757" w:rsidP="004A3775">
      <w:pPr>
        <w:spacing w:after="0" w:line="240" w:lineRule="auto"/>
      </w:pPr>
      <w:r w:rsidRPr="00FC6D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02824502"/>
      <w:docPartObj>
        <w:docPartGallery w:val="Page Numbers (Bottom of Page)"/>
        <w:docPartUnique/>
      </w:docPartObj>
    </w:sdtPr>
    <w:sdtEndPr/>
    <w:sdtContent>
      <w:p w14:paraId="51E16BCE" w14:textId="4B3DF2FE" w:rsidR="000D4C28" w:rsidRPr="00FC6D62" w:rsidRDefault="000D4C28">
        <w:pPr>
          <w:pStyle w:val="Stopka"/>
          <w:jc w:val="right"/>
        </w:pPr>
        <w:r w:rsidRPr="00FC6D62">
          <w:fldChar w:fldCharType="begin"/>
        </w:r>
        <w:r w:rsidRPr="00FC6D62">
          <w:instrText>PAGE   \* MERGEFORMAT</w:instrText>
        </w:r>
        <w:r w:rsidRPr="00FC6D62">
          <w:fldChar w:fldCharType="separate"/>
        </w:r>
        <w:r w:rsidR="00664ED4" w:rsidRPr="00FC6D62">
          <w:t>13</w:t>
        </w:r>
        <w:r w:rsidRPr="00FC6D62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EA5E57" w14:textId="77777777" w:rsidR="00FD2757" w:rsidRPr="00FC6D62" w:rsidRDefault="00FD2757" w:rsidP="004A3775">
      <w:pPr>
        <w:spacing w:after="0" w:line="240" w:lineRule="auto"/>
      </w:pPr>
      <w:r w:rsidRPr="00FC6D62">
        <w:separator/>
      </w:r>
    </w:p>
  </w:footnote>
  <w:footnote w:type="continuationSeparator" w:id="0">
    <w:p w14:paraId="7CD9FB88" w14:textId="77777777" w:rsidR="00FD2757" w:rsidRPr="00FC6D62" w:rsidRDefault="00FD2757" w:rsidP="004A3775">
      <w:pPr>
        <w:spacing w:after="0" w:line="240" w:lineRule="auto"/>
      </w:pPr>
      <w:r w:rsidRPr="00FC6D62">
        <w:continuationSeparator/>
      </w:r>
    </w:p>
  </w:footnote>
  <w:footnote w:id="1">
    <w:p w14:paraId="472D7534" w14:textId="00044696" w:rsidR="000D4C28" w:rsidRPr="00FC6D62" w:rsidRDefault="000D4C28" w:rsidP="009008E3">
      <w:pPr>
        <w:pStyle w:val="Tekstprzypisudolnego"/>
        <w:rPr>
          <w:rFonts w:cstheme="minorHAnsi"/>
          <w:sz w:val="24"/>
          <w:szCs w:val="24"/>
        </w:rPr>
      </w:pPr>
      <w:r w:rsidRPr="00FC6D62">
        <w:rPr>
          <w:rStyle w:val="Odwoanieprzypisudolnego"/>
          <w:rFonts w:cstheme="minorHAnsi"/>
          <w:sz w:val="24"/>
          <w:szCs w:val="24"/>
        </w:rPr>
        <w:footnoteRef/>
      </w:r>
      <w:r w:rsidRPr="00FC6D62">
        <w:rPr>
          <w:rFonts w:cstheme="minorHAnsi"/>
          <w:sz w:val="24"/>
          <w:szCs w:val="24"/>
        </w:rPr>
        <w:t xml:space="preserve"> Określone w sekcji 1</w:t>
      </w:r>
      <w:r w:rsidR="00543235" w:rsidRPr="00FC6D62">
        <w:rPr>
          <w:rFonts w:cstheme="minorHAnsi"/>
          <w:sz w:val="24"/>
          <w:szCs w:val="24"/>
        </w:rPr>
        <w:t xml:space="preserve"> </w:t>
      </w:r>
      <w:r w:rsidRPr="00FC6D62">
        <w:rPr>
          <w:rFonts w:cstheme="minorHAnsi"/>
          <w:sz w:val="24"/>
          <w:szCs w:val="24"/>
        </w:rPr>
        <w:t>pkt 7 i 8 przesłanki umożliwiające niestosowanie procedur należy interpretować biorąc pod uwagę wykładnię odpowiednich przepisów Pzp umożliwiających zastosowanie trybu niekonkurencyjnego po spełnieniu określonych warunków.</w:t>
      </w:r>
    </w:p>
  </w:footnote>
  <w:footnote w:id="2">
    <w:p w14:paraId="66B7D75D" w14:textId="2543B097" w:rsidR="000D4C28" w:rsidRPr="00FC6D62" w:rsidRDefault="000D4C28" w:rsidP="00522F3E">
      <w:pPr>
        <w:pStyle w:val="Tekstprzypisudolnego"/>
        <w:spacing w:line="276" w:lineRule="auto"/>
        <w:rPr>
          <w:rFonts w:cstheme="minorHAnsi"/>
          <w:sz w:val="24"/>
          <w:szCs w:val="24"/>
        </w:rPr>
      </w:pPr>
      <w:r w:rsidRPr="00FC6D62">
        <w:rPr>
          <w:rStyle w:val="Odwoanieprzypisudolnego"/>
          <w:rFonts w:cstheme="minorHAnsi"/>
          <w:sz w:val="24"/>
          <w:szCs w:val="24"/>
        </w:rPr>
        <w:footnoteRef/>
      </w:r>
      <w:r w:rsidRPr="00FC6D62">
        <w:rPr>
          <w:rFonts w:cstheme="minorHAnsi"/>
          <w:sz w:val="24"/>
          <w:szCs w:val="24"/>
        </w:rPr>
        <w:t>Wskazane przesłanki należy interpretować zgodnie z wykładnią przepisów Pzp dotyczących szacowania wartości zamówienia.</w:t>
      </w:r>
    </w:p>
  </w:footnote>
  <w:footnote w:id="3">
    <w:p w14:paraId="219447E5" w14:textId="30DA4934" w:rsidR="000D4C28" w:rsidRPr="00FC6D62" w:rsidRDefault="000D4C28" w:rsidP="00522F3E">
      <w:pPr>
        <w:pStyle w:val="Tekstprzypisudolnego"/>
        <w:spacing w:line="276" w:lineRule="auto"/>
        <w:rPr>
          <w:rFonts w:ascii="Arial" w:hAnsi="Arial" w:cs="Arial"/>
          <w:sz w:val="28"/>
          <w:szCs w:val="28"/>
        </w:rPr>
      </w:pPr>
      <w:r w:rsidRPr="00FC6D62">
        <w:rPr>
          <w:rStyle w:val="Odwoanieprzypisudolnego"/>
          <w:rFonts w:cstheme="minorHAnsi"/>
          <w:sz w:val="24"/>
          <w:szCs w:val="24"/>
        </w:rPr>
        <w:footnoteRef/>
      </w:r>
      <w:r w:rsidRPr="00FC6D62">
        <w:rPr>
          <w:rFonts w:cstheme="minorHAnsi"/>
          <w:sz w:val="24"/>
          <w:szCs w:val="24"/>
        </w:rPr>
        <w:t>Np. w przypadku Przedsięwzięć dotyczących organizacji misji gospodarczych i targów wartość zamówienia na usługi hotelowe czy dostawę biletów lotniczych szacuje się ze względu na specyfikę tych Przedsięwzięć co do zasady odrębnie dla każdego wydarzenia.</w:t>
      </w:r>
    </w:p>
  </w:footnote>
  <w:footnote w:id="4">
    <w:p w14:paraId="2D092A8A" w14:textId="41371A25" w:rsidR="000D4C28" w:rsidRPr="00FC6D62" w:rsidRDefault="000D4C28" w:rsidP="00522F3E">
      <w:pPr>
        <w:pStyle w:val="Tekstprzypisudolnego"/>
        <w:spacing w:line="276" w:lineRule="auto"/>
        <w:rPr>
          <w:rFonts w:cstheme="minorHAnsi"/>
          <w:sz w:val="16"/>
          <w:szCs w:val="16"/>
        </w:rPr>
      </w:pPr>
      <w:r w:rsidRPr="00FC6D62">
        <w:rPr>
          <w:rStyle w:val="Odwoanieprzypisudolnego"/>
          <w:rFonts w:cstheme="minorHAnsi"/>
          <w:sz w:val="24"/>
          <w:szCs w:val="24"/>
        </w:rPr>
        <w:footnoteRef/>
      </w:r>
      <w:r w:rsidRPr="00FC6D62">
        <w:rPr>
          <w:rFonts w:cstheme="minorHAnsi"/>
          <w:sz w:val="24"/>
          <w:szCs w:val="24"/>
        </w:rPr>
        <w:t>W przypadku podmiotu zobowiązanego do stosowania Pzp – nie dotyczy to zamówień o których mowa w art. 30 ust. 4 Pzp.</w:t>
      </w:r>
    </w:p>
  </w:footnote>
  <w:footnote w:id="5">
    <w:p w14:paraId="2ECC6F39" w14:textId="77777777" w:rsidR="000D4C28" w:rsidRPr="00FC6D62" w:rsidRDefault="000D4C28" w:rsidP="00522F3E">
      <w:pPr>
        <w:pStyle w:val="Tekstprzypisudolnego"/>
        <w:spacing w:line="276" w:lineRule="auto"/>
        <w:rPr>
          <w:rFonts w:cstheme="minorHAnsi"/>
          <w:sz w:val="24"/>
          <w:szCs w:val="24"/>
        </w:rPr>
      </w:pPr>
      <w:r w:rsidRPr="00FC6D62">
        <w:rPr>
          <w:rStyle w:val="Odwoanieprzypisudolnego"/>
          <w:rFonts w:cstheme="minorHAnsi"/>
          <w:sz w:val="24"/>
          <w:szCs w:val="24"/>
        </w:rPr>
        <w:footnoteRef/>
      </w:r>
      <w:r w:rsidRPr="00FC6D62">
        <w:rPr>
          <w:rFonts w:cstheme="minorHAnsi"/>
          <w:sz w:val="24"/>
          <w:szCs w:val="24"/>
        </w:rPr>
        <w:t xml:space="preserve"> Wspólny Słownik Zamówień dostępny jest m. in.: pod adresem: http://kody.uzp.gov.pl.</w:t>
      </w:r>
    </w:p>
  </w:footnote>
  <w:footnote w:id="6">
    <w:p w14:paraId="0B3F601F" w14:textId="58F319B8" w:rsidR="000D4C28" w:rsidRPr="00FC6D62" w:rsidRDefault="000D4C28" w:rsidP="00522F3E">
      <w:pPr>
        <w:pStyle w:val="Tekstprzypisudolnego"/>
        <w:spacing w:line="276" w:lineRule="auto"/>
        <w:rPr>
          <w:rFonts w:cstheme="minorHAnsi"/>
          <w:sz w:val="24"/>
          <w:szCs w:val="24"/>
        </w:rPr>
      </w:pPr>
      <w:r w:rsidRPr="00FC6D62">
        <w:rPr>
          <w:rStyle w:val="Odwoanieprzypisudolnego"/>
          <w:rFonts w:cstheme="minorHAnsi"/>
          <w:sz w:val="24"/>
          <w:szCs w:val="24"/>
        </w:rPr>
        <w:footnoteRef/>
      </w:r>
      <w:r w:rsidRPr="00FC6D62">
        <w:rPr>
          <w:rFonts w:cstheme="minorHAnsi"/>
          <w:sz w:val="24"/>
          <w:szCs w:val="24"/>
        </w:rPr>
        <w:t xml:space="preserve"> Wykaz usług społecznych i innych szczególnych usług stanowi załącznik XIV do dyrektywy 2014/24/UE z dnia 26 lutego 2014 r. w sprawie zamówień publicznych, uchylającej dyrektywę 2004/18/WE (Dz. Urz. UE L 94 z 28.03.2014, str. 65, z późn. zm.) oraz załącznik XVII dyrektywy 2014/25/UE z dnia 26 lutego 2014 r. w sprawie udzielania zamówień przez podmioty działające w sektorach gospodarki wodnej, energetyki, transportu i usług pocztowych, uchylającej dyrektywę 2004/17/WE (Dz. Urz. UE L 94 z 28.03.2014, str. 243, z późn. zm.).</w:t>
      </w:r>
    </w:p>
  </w:footnote>
  <w:footnote w:id="7">
    <w:p w14:paraId="4B26B3F9" w14:textId="2D73AAE3" w:rsidR="000D4C28" w:rsidRPr="00FC6D62" w:rsidRDefault="000D4C28" w:rsidP="00FC6D62">
      <w:pPr>
        <w:pStyle w:val="Tekstprzypisudolnego"/>
        <w:spacing w:line="276" w:lineRule="auto"/>
      </w:pPr>
      <w:r w:rsidRPr="00FC6D62">
        <w:rPr>
          <w:rStyle w:val="Odwoanieprzypisudolnego"/>
          <w:sz w:val="24"/>
          <w:szCs w:val="24"/>
        </w:rPr>
        <w:footnoteRef/>
      </w:r>
      <w:r w:rsidRPr="00FC6D62">
        <w:rPr>
          <w:sz w:val="24"/>
          <w:szCs w:val="24"/>
        </w:rPr>
        <w:t xml:space="preserve"> Średni kurs PLN w stosunku do EUR stanowiący podstawę przeliczania wartości zamówień ustala się w oparciu o przepisy art. 3 Pzp.</w:t>
      </w:r>
    </w:p>
  </w:footnote>
  <w:footnote w:id="8">
    <w:p w14:paraId="0D3C6A0F" w14:textId="77777777" w:rsidR="000D4C28" w:rsidRPr="00FC6D62" w:rsidRDefault="000D4C28" w:rsidP="00FC6D62">
      <w:pPr>
        <w:pStyle w:val="Tekstprzypisudolnego"/>
        <w:spacing w:line="276" w:lineRule="auto"/>
        <w:rPr>
          <w:rFonts w:cstheme="minorHAnsi"/>
          <w:sz w:val="24"/>
          <w:szCs w:val="24"/>
        </w:rPr>
      </w:pPr>
      <w:r w:rsidRPr="00FC6D62">
        <w:rPr>
          <w:rStyle w:val="Odwoanieprzypisudolnego"/>
          <w:rFonts w:cstheme="minorHAnsi"/>
          <w:sz w:val="24"/>
          <w:szCs w:val="24"/>
        </w:rPr>
        <w:footnoteRef/>
      </w:r>
      <w:r w:rsidRPr="00FC6D62">
        <w:rPr>
          <w:rFonts w:cstheme="minorHAnsi"/>
          <w:sz w:val="24"/>
          <w:szCs w:val="24"/>
        </w:rPr>
        <w:t xml:space="preserve"> Nie dotyczy podmiotów będących zamawiającymi w rozumieniu Pzp.</w:t>
      </w:r>
    </w:p>
  </w:footnote>
  <w:footnote w:id="9">
    <w:p w14:paraId="37AF51C4" w14:textId="6DB133E1" w:rsidR="000D4C28" w:rsidRPr="00FC6D62" w:rsidRDefault="000D4C28" w:rsidP="00FC6D62">
      <w:pPr>
        <w:pStyle w:val="Tekstprzypisudolnego"/>
        <w:spacing w:line="276" w:lineRule="auto"/>
      </w:pPr>
      <w:r w:rsidRPr="00FC6D62">
        <w:rPr>
          <w:rStyle w:val="Odwoanieprzypisudolnego"/>
          <w:rFonts w:cstheme="minorHAnsi"/>
          <w:sz w:val="24"/>
          <w:szCs w:val="24"/>
        </w:rPr>
        <w:footnoteRef/>
      </w:r>
      <w:r w:rsidRPr="00FC6D62">
        <w:rPr>
          <w:rFonts w:cstheme="minorHAnsi"/>
          <w:sz w:val="24"/>
          <w:szCs w:val="24"/>
        </w:rPr>
        <w:t xml:space="preserve"> Strona internetowa wskazana w komunikacie ministra właściwego do spraw rozwoju regionalnego, przeznaczona do umieszczania zapytań ofertowych (https://bazakonkurencyjnosci.funduszeeuropejskie.gov.pl/</w:t>
      </w:r>
      <w:r w:rsidR="00571889">
        <w:rPr>
          <w:rFonts w:cstheme="minorHAnsi"/>
          <w:sz w:val="24"/>
          <w:szCs w:val="24"/>
        </w:rPr>
        <w:t>)</w:t>
      </w:r>
    </w:p>
  </w:footnote>
  <w:footnote w:id="10">
    <w:p w14:paraId="4AFFACF6" w14:textId="77777777" w:rsidR="000D4C28" w:rsidRPr="00FC6D62" w:rsidRDefault="000D4C28" w:rsidP="00FC6D62">
      <w:pPr>
        <w:pStyle w:val="Tekstprzypisudolnego"/>
        <w:spacing w:line="276" w:lineRule="auto"/>
        <w:jc w:val="both"/>
        <w:rPr>
          <w:rFonts w:cstheme="minorHAnsi"/>
          <w:sz w:val="24"/>
          <w:szCs w:val="24"/>
        </w:rPr>
      </w:pPr>
      <w:r w:rsidRPr="00FC6D62">
        <w:rPr>
          <w:rStyle w:val="Odwoanieprzypisudolnego"/>
          <w:rFonts w:cstheme="minorHAnsi"/>
          <w:sz w:val="24"/>
          <w:szCs w:val="24"/>
        </w:rPr>
        <w:footnoteRef/>
      </w:r>
      <w:r w:rsidRPr="00FC6D62">
        <w:rPr>
          <w:rFonts w:cstheme="minorHAnsi"/>
          <w:sz w:val="24"/>
          <w:szCs w:val="24"/>
        </w:rPr>
        <w:t xml:space="preserve"> Tajemnicę przedsiębiorstwa należy rozumieć zgodnie z przepisami o zwalczaniu nieuczciwej konkurencji (ustawa z dnia 16 kwietnia 1993 r. o zwalczaniu nieuczciwej konkurencji (Dz. U. z 2020 r. poz. 1913).</w:t>
      </w:r>
    </w:p>
  </w:footnote>
  <w:footnote w:id="11">
    <w:p w14:paraId="329B00D6" w14:textId="529D8D9F" w:rsidR="000D4C28" w:rsidRPr="00FC6D62" w:rsidRDefault="000D4C28" w:rsidP="00FC6D62">
      <w:pPr>
        <w:pStyle w:val="Tekstprzypisudolnego"/>
        <w:spacing w:line="276" w:lineRule="auto"/>
        <w:jc w:val="both"/>
      </w:pPr>
      <w:r w:rsidRPr="00FC6D62">
        <w:rPr>
          <w:rStyle w:val="Odwoanieprzypisudolnego"/>
          <w:rFonts w:cstheme="minorHAnsi"/>
          <w:sz w:val="24"/>
          <w:szCs w:val="24"/>
        </w:rPr>
        <w:footnoteRef/>
      </w:r>
      <w:r w:rsidRPr="00FC6D62">
        <w:rPr>
          <w:rFonts w:cstheme="minorHAnsi"/>
          <w:sz w:val="24"/>
          <w:szCs w:val="24"/>
        </w:rPr>
        <w:t xml:space="preserve"> Zmianę uznaje się za istotną jeżeli zmienia ogólny charakter umowy, w stosunku do charakteru umowy w pierwotnym brzmieniu albo nie zmienia ogólnego charakteru umowy i zachodzi co najmniej jedna z następujących okoliczności: zmiana wprowadza warunki, które, gdyby były postawione w postępowaniu o udzielenie zamówienia, to w tym postępowaniu wzięliby lub mogliby wziąć udział inni wykonawcy lub przyjęto by oferty innej treści, zmiana narusza równowagę ekonomiczną umowy na korzyść wykonawcy w sposób nieprzewidziany pierwotnie w umowie</w:t>
      </w:r>
      <w:r w:rsidR="00FC6D62">
        <w:rPr>
          <w:rFonts w:cstheme="minorHAnsi"/>
          <w:sz w:val="24"/>
          <w:szCs w:val="24"/>
        </w:rPr>
        <w:t xml:space="preserve"> </w:t>
      </w:r>
      <w:r w:rsidRPr="00FC6D62">
        <w:rPr>
          <w:rFonts w:cstheme="minorHAnsi"/>
          <w:sz w:val="24"/>
          <w:szCs w:val="24"/>
        </w:rPr>
        <w:t>zmiana znacznie rozszerza lub zmniejsza zakres świadczeń i zobowiązań wynikający z umowy lub polega na zastąpieniu wykonawcy, któremu zamawiający udzielił zamówienia, nowym wykonawcą, w przypadkach innych niż wymienione w lit. d.</w:t>
      </w:r>
    </w:p>
  </w:footnote>
  <w:footnote w:id="12">
    <w:p w14:paraId="60883367" w14:textId="0F02BC9B" w:rsidR="000D4C28" w:rsidRPr="009C078D" w:rsidRDefault="000D4C28" w:rsidP="00684913">
      <w:pPr>
        <w:pStyle w:val="Tekstprzypisudolnego"/>
        <w:spacing w:line="276" w:lineRule="auto"/>
        <w:rPr>
          <w:rFonts w:cstheme="minorHAnsi"/>
          <w:sz w:val="16"/>
          <w:szCs w:val="16"/>
        </w:rPr>
      </w:pPr>
      <w:r w:rsidRPr="00684913">
        <w:rPr>
          <w:rStyle w:val="Odwoanieprzypisudolnego"/>
          <w:rFonts w:cstheme="minorHAnsi"/>
          <w:sz w:val="24"/>
          <w:szCs w:val="24"/>
        </w:rPr>
        <w:footnoteRef/>
      </w:r>
      <w:r w:rsidRPr="00684913">
        <w:rPr>
          <w:rFonts w:cstheme="minorHAnsi"/>
          <w:sz w:val="24"/>
          <w:szCs w:val="24"/>
        </w:rPr>
        <w:t xml:space="preserve"> Średni kurs PLN w stosunku do EUR stanowiący podstawę przeliczania wartości zamówień ustala się w oparciu o przepisy art. 3 Pzp.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CEFDE" w14:textId="6A7BEFD2" w:rsidR="0052562F" w:rsidRDefault="0052562F">
    <w:pPr>
      <w:pStyle w:val="Nagwek"/>
    </w:pPr>
    <w:r>
      <w:rPr>
        <w:noProof/>
      </w:rPr>
      <w:drawing>
        <wp:inline distT="0" distB="0" distL="0" distR="0" wp14:anchorId="2FAC2C66" wp14:editId="128BFC4D">
          <wp:extent cx="5757684" cy="344425"/>
          <wp:effectExtent l="0" t="0" r="0" b="0"/>
          <wp:docPr id="564543366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570800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7684" cy="344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65435"/>
    <w:multiLevelType w:val="hybridMultilevel"/>
    <w:tmpl w:val="E3163EEA"/>
    <w:lvl w:ilvl="0" w:tplc="C450C152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C450C152">
      <w:start w:val="1"/>
      <w:numFmt w:val="lowerRoman"/>
      <w:lvlText w:val="%2)"/>
      <w:lvlJc w:val="right"/>
      <w:pPr>
        <w:ind w:left="1440" w:hanging="360"/>
      </w:pPr>
      <w:rPr>
        <w:rFonts w:hint="default"/>
      </w:rPr>
    </w:lvl>
    <w:lvl w:ilvl="2" w:tplc="E8BADBF8">
      <w:start w:val="4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57E4B"/>
    <w:multiLevelType w:val="hybridMultilevel"/>
    <w:tmpl w:val="290AE3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D9D44266">
      <w:start w:val="1"/>
      <w:numFmt w:val="lowerRoman"/>
      <w:lvlText w:val="%2."/>
      <w:lvlJc w:val="left"/>
      <w:pPr>
        <w:ind w:left="252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165FA4"/>
    <w:multiLevelType w:val="multilevel"/>
    <w:tmpl w:val="309065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7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12902F2"/>
    <w:multiLevelType w:val="multilevel"/>
    <w:tmpl w:val="6CD82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ind w:left="7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22B3860"/>
    <w:multiLevelType w:val="hybridMultilevel"/>
    <w:tmpl w:val="DA56A1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A4AF7"/>
    <w:multiLevelType w:val="multilevel"/>
    <w:tmpl w:val="40F8F0D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0366AE0"/>
    <w:multiLevelType w:val="hybridMultilevel"/>
    <w:tmpl w:val="54D87D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E7B93"/>
    <w:multiLevelType w:val="hybridMultilevel"/>
    <w:tmpl w:val="5CA0C5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262BE"/>
    <w:multiLevelType w:val="hybridMultilevel"/>
    <w:tmpl w:val="2B826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71C5"/>
    <w:multiLevelType w:val="hybridMultilevel"/>
    <w:tmpl w:val="D1FC386A"/>
    <w:lvl w:ilvl="0" w:tplc="C450C152">
      <w:start w:val="1"/>
      <w:numFmt w:val="lowerRoman"/>
      <w:lvlText w:val="%1)"/>
      <w:lvlJc w:val="right"/>
      <w:pPr>
        <w:ind w:left="1429" w:hanging="360"/>
      </w:pPr>
      <w:rPr>
        <w:rFonts w:hint="default"/>
      </w:rPr>
    </w:lvl>
    <w:lvl w:ilvl="1" w:tplc="C450C152">
      <w:start w:val="1"/>
      <w:numFmt w:val="lowerRoman"/>
      <w:lvlText w:val="%2)"/>
      <w:lvlJc w:val="right"/>
      <w:pPr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8D6369E"/>
    <w:multiLevelType w:val="singleLevel"/>
    <w:tmpl w:val="6E2896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</w:abstractNum>
  <w:abstractNum w:abstractNumId="11" w15:restartNumberingAfterBreak="0">
    <w:nsid w:val="3A9A651A"/>
    <w:multiLevelType w:val="hybridMultilevel"/>
    <w:tmpl w:val="E13C3AE2"/>
    <w:lvl w:ilvl="0" w:tplc="C450C152">
      <w:start w:val="1"/>
      <w:numFmt w:val="lowerRoman"/>
      <w:lvlText w:val="%1)"/>
      <w:lvlJc w:val="righ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E200E1E"/>
    <w:multiLevelType w:val="hybridMultilevel"/>
    <w:tmpl w:val="B0F65D1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7A82ABB"/>
    <w:multiLevelType w:val="hybridMultilevel"/>
    <w:tmpl w:val="18BEA66C"/>
    <w:lvl w:ilvl="0" w:tplc="C450C152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C3209"/>
    <w:multiLevelType w:val="hybridMultilevel"/>
    <w:tmpl w:val="1EC49D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638098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F13141"/>
    <w:multiLevelType w:val="hybridMultilevel"/>
    <w:tmpl w:val="F1BE9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22912"/>
    <w:multiLevelType w:val="hybridMultilevel"/>
    <w:tmpl w:val="477E39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83470"/>
    <w:multiLevelType w:val="hybridMultilevel"/>
    <w:tmpl w:val="EE7A463C"/>
    <w:lvl w:ilvl="0" w:tplc="C450C152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C450C152">
      <w:start w:val="1"/>
      <w:numFmt w:val="lowerRoman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210B4"/>
    <w:multiLevelType w:val="hybridMultilevel"/>
    <w:tmpl w:val="0268A8C2"/>
    <w:lvl w:ilvl="0" w:tplc="C450C152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C450C152">
      <w:start w:val="1"/>
      <w:numFmt w:val="lowerRoman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73FFC"/>
    <w:multiLevelType w:val="hybridMultilevel"/>
    <w:tmpl w:val="B6068CA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38963B9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5D508B"/>
    <w:multiLevelType w:val="multilevel"/>
    <w:tmpl w:val="41CECB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5DC3457B"/>
    <w:multiLevelType w:val="multilevel"/>
    <w:tmpl w:val="E4648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DC4031D"/>
    <w:multiLevelType w:val="hybridMultilevel"/>
    <w:tmpl w:val="DDAEF9BC"/>
    <w:lvl w:ilvl="0" w:tplc="C450C152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C450C152">
      <w:start w:val="1"/>
      <w:numFmt w:val="lowerRoman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597EB8"/>
    <w:multiLevelType w:val="hybridMultilevel"/>
    <w:tmpl w:val="47F85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B6DC9"/>
    <w:multiLevelType w:val="hybridMultilevel"/>
    <w:tmpl w:val="1E9EE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9643C7"/>
    <w:multiLevelType w:val="hybridMultilevel"/>
    <w:tmpl w:val="EE1A0E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2239D"/>
    <w:multiLevelType w:val="hybridMultilevel"/>
    <w:tmpl w:val="D3E0C6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F4869CE"/>
    <w:multiLevelType w:val="hybridMultilevel"/>
    <w:tmpl w:val="D6B0B8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4A0FC8"/>
    <w:multiLevelType w:val="hybridMultilevel"/>
    <w:tmpl w:val="38DA5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197441"/>
    <w:multiLevelType w:val="hybridMultilevel"/>
    <w:tmpl w:val="23DC14CC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599902">
    <w:abstractNumId w:val="10"/>
  </w:num>
  <w:num w:numId="2" w16cid:durableId="1466696273">
    <w:abstractNumId w:val="5"/>
  </w:num>
  <w:num w:numId="3" w16cid:durableId="586622290">
    <w:abstractNumId w:val="19"/>
  </w:num>
  <w:num w:numId="4" w16cid:durableId="1797411414">
    <w:abstractNumId w:val="14"/>
  </w:num>
  <w:num w:numId="5" w16cid:durableId="74058265">
    <w:abstractNumId w:val="26"/>
  </w:num>
  <w:num w:numId="6" w16cid:durableId="1073696772">
    <w:abstractNumId w:val="23"/>
  </w:num>
  <w:num w:numId="7" w16cid:durableId="615410709">
    <w:abstractNumId w:val="29"/>
  </w:num>
  <w:num w:numId="8" w16cid:durableId="241447655">
    <w:abstractNumId w:val="25"/>
  </w:num>
  <w:num w:numId="9" w16cid:durableId="1699236500">
    <w:abstractNumId w:val="6"/>
  </w:num>
  <w:num w:numId="10" w16cid:durableId="668098575">
    <w:abstractNumId w:val="11"/>
  </w:num>
  <w:num w:numId="11" w16cid:durableId="811562432">
    <w:abstractNumId w:val="27"/>
  </w:num>
  <w:num w:numId="12" w16cid:durableId="1281380575">
    <w:abstractNumId w:val="4"/>
  </w:num>
  <w:num w:numId="13" w16cid:durableId="762606606">
    <w:abstractNumId w:val="16"/>
  </w:num>
  <w:num w:numId="14" w16cid:durableId="554775024">
    <w:abstractNumId w:val="13"/>
  </w:num>
  <w:num w:numId="15" w16cid:durableId="2018654439">
    <w:abstractNumId w:val="1"/>
  </w:num>
  <w:num w:numId="16" w16cid:durableId="1741127279">
    <w:abstractNumId w:val="22"/>
  </w:num>
  <w:num w:numId="17" w16cid:durableId="543562037">
    <w:abstractNumId w:val="7"/>
  </w:num>
  <w:num w:numId="18" w16cid:durableId="576591377">
    <w:abstractNumId w:val="17"/>
  </w:num>
  <w:num w:numId="19" w16cid:durableId="813568068">
    <w:abstractNumId w:val="18"/>
  </w:num>
  <w:num w:numId="20" w16cid:durableId="851116159">
    <w:abstractNumId w:val="0"/>
  </w:num>
  <w:num w:numId="21" w16cid:durableId="244267154">
    <w:abstractNumId w:val="9"/>
  </w:num>
  <w:num w:numId="22" w16cid:durableId="6829549">
    <w:abstractNumId w:val="12"/>
  </w:num>
  <w:num w:numId="23" w16cid:durableId="1273823461">
    <w:abstractNumId w:val="15"/>
  </w:num>
  <w:num w:numId="24" w16cid:durableId="739252076">
    <w:abstractNumId w:val="8"/>
  </w:num>
  <w:num w:numId="25" w16cid:durableId="2120220957">
    <w:abstractNumId w:val="21"/>
  </w:num>
  <w:num w:numId="26" w16cid:durableId="1719470920">
    <w:abstractNumId w:val="2"/>
  </w:num>
  <w:num w:numId="27" w16cid:durableId="753740369">
    <w:abstractNumId w:val="20"/>
  </w:num>
  <w:num w:numId="28" w16cid:durableId="2096826487">
    <w:abstractNumId w:val="24"/>
  </w:num>
  <w:num w:numId="29" w16cid:durableId="920795569">
    <w:abstractNumId w:val="28"/>
  </w:num>
  <w:num w:numId="30" w16cid:durableId="438332427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608"/>
    <w:rsid w:val="00002616"/>
    <w:rsid w:val="000069FF"/>
    <w:rsid w:val="00011C57"/>
    <w:rsid w:val="00013694"/>
    <w:rsid w:val="00016D2C"/>
    <w:rsid w:val="000212F1"/>
    <w:rsid w:val="00033023"/>
    <w:rsid w:val="00033DE0"/>
    <w:rsid w:val="00035E99"/>
    <w:rsid w:val="00042CEF"/>
    <w:rsid w:val="00043291"/>
    <w:rsid w:val="000521A3"/>
    <w:rsid w:val="00056C35"/>
    <w:rsid w:val="00087EAC"/>
    <w:rsid w:val="000A2730"/>
    <w:rsid w:val="000C2DCE"/>
    <w:rsid w:val="000C47F8"/>
    <w:rsid w:val="000D1C56"/>
    <w:rsid w:val="000D4C28"/>
    <w:rsid w:val="000E6768"/>
    <w:rsid w:val="000F3ABE"/>
    <w:rsid w:val="00105148"/>
    <w:rsid w:val="00114002"/>
    <w:rsid w:val="0011527F"/>
    <w:rsid w:val="00117196"/>
    <w:rsid w:val="001241D3"/>
    <w:rsid w:val="00142BF9"/>
    <w:rsid w:val="00147A62"/>
    <w:rsid w:val="001504BD"/>
    <w:rsid w:val="00167B43"/>
    <w:rsid w:val="00187603"/>
    <w:rsid w:val="00190DEE"/>
    <w:rsid w:val="00196524"/>
    <w:rsid w:val="001A1C8A"/>
    <w:rsid w:val="001A6C67"/>
    <w:rsid w:val="001B4CA4"/>
    <w:rsid w:val="001B59CD"/>
    <w:rsid w:val="001C4668"/>
    <w:rsid w:val="001C495C"/>
    <w:rsid w:val="001C5C0C"/>
    <w:rsid w:val="001D09F0"/>
    <w:rsid w:val="001E7E0C"/>
    <w:rsid w:val="001F5239"/>
    <w:rsid w:val="00211C2F"/>
    <w:rsid w:val="00211E7C"/>
    <w:rsid w:val="00217922"/>
    <w:rsid w:val="002204D4"/>
    <w:rsid w:val="00223657"/>
    <w:rsid w:val="0023787D"/>
    <w:rsid w:val="002379AF"/>
    <w:rsid w:val="00240912"/>
    <w:rsid w:val="00244837"/>
    <w:rsid w:val="00244F5E"/>
    <w:rsid w:val="0025094C"/>
    <w:rsid w:val="00253DE7"/>
    <w:rsid w:val="002548A5"/>
    <w:rsid w:val="00263204"/>
    <w:rsid w:val="002732B1"/>
    <w:rsid w:val="002737F0"/>
    <w:rsid w:val="00274100"/>
    <w:rsid w:val="0027692D"/>
    <w:rsid w:val="00277C5A"/>
    <w:rsid w:val="00283AFA"/>
    <w:rsid w:val="00285958"/>
    <w:rsid w:val="002A1648"/>
    <w:rsid w:val="002B2A9C"/>
    <w:rsid w:val="002B6B10"/>
    <w:rsid w:val="002C0035"/>
    <w:rsid w:val="002D0D26"/>
    <w:rsid w:val="002E5A1C"/>
    <w:rsid w:val="002E7271"/>
    <w:rsid w:val="002F2771"/>
    <w:rsid w:val="002F43B8"/>
    <w:rsid w:val="00302F3E"/>
    <w:rsid w:val="00304CD3"/>
    <w:rsid w:val="003112C8"/>
    <w:rsid w:val="00323634"/>
    <w:rsid w:val="00325211"/>
    <w:rsid w:val="003323DB"/>
    <w:rsid w:val="00332C3E"/>
    <w:rsid w:val="00344E81"/>
    <w:rsid w:val="00346826"/>
    <w:rsid w:val="00354668"/>
    <w:rsid w:val="00373A85"/>
    <w:rsid w:val="0037480D"/>
    <w:rsid w:val="003758C7"/>
    <w:rsid w:val="003764D5"/>
    <w:rsid w:val="00376A58"/>
    <w:rsid w:val="003862D6"/>
    <w:rsid w:val="003965DA"/>
    <w:rsid w:val="003A25F3"/>
    <w:rsid w:val="003A7B91"/>
    <w:rsid w:val="003C6C62"/>
    <w:rsid w:val="003D278B"/>
    <w:rsid w:val="003D5AA1"/>
    <w:rsid w:val="003F3A8F"/>
    <w:rsid w:val="003F3B47"/>
    <w:rsid w:val="003F4738"/>
    <w:rsid w:val="003F4FBA"/>
    <w:rsid w:val="00405A5A"/>
    <w:rsid w:val="00405EC4"/>
    <w:rsid w:val="004120F0"/>
    <w:rsid w:val="0041551C"/>
    <w:rsid w:val="0042267C"/>
    <w:rsid w:val="004255EE"/>
    <w:rsid w:val="0043321B"/>
    <w:rsid w:val="00433C71"/>
    <w:rsid w:val="00443C08"/>
    <w:rsid w:val="004470EC"/>
    <w:rsid w:val="00447FE0"/>
    <w:rsid w:val="00460889"/>
    <w:rsid w:val="00472125"/>
    <w:rsid w:val="004747E8"/>
    <w:rsid w:val="004806D4"/>
    <w:rsid w:val="00485AED"/>
    <w:rsid w:val="004914CF"/>
    <w:rsid w:val="00492BAA"/>
    <w:rsid w:val="00493D58"/>
    <w:rsid w:val="004A3775"/>
    <w:rsid w:val="004B1184"/>
    <w:rsid w:val="004B303F"/>
    <w:rsid w:val="004B426F"/>
    <w:rsid w:val="004B5A4B"/>
    <w:rsid w:val="004C15F4"/>
    <w:rsid w:val="004D2A8E"/>
    <w:rsid w:val="004D4793"/>
    <w:rsid w:val="004E0213"/>
    <w:rsid w:val="004E391D"/>
    <w:rsid w:val="004E60F0"/>
    <w:rsid w:val="004E729C"/>
    <w:rsid w:val="00500C62"/>
    <w:rsid w:val="00500E70"/>
    <w:rsid w:val="005011D3"/>
    <w:rsid w:val="005068D7"/>
    <w:rsid w:val="00506C48"/>
    <w:rsid w:val="00511460"/>
    <w:rsid w:val="00522F3E"/>
    <w:rsid w:val="00525485"/>
    <w:rsid w:val="0052562F"/>
    <w:rsid w:val="00532E0B"/>
    <w:rsid w:val="005337E6"/>
    <w:rsid w:val="00535C83"/>
    <w:rsid w:val="005403AD"/>
    <w:rsid w:val="00541534"/>
    <w:rsid w:val="00543235"/>
    <w:rsid w:val="005500A1"/>
    <w:rsid w:val="00554259"/>
    <w:rsid w:val="00554FF2"/>
    <w:rsid w:val="00555E74"/>
    <w:rsid w:val="00567223"/>
    <w:rsid w:val="00570B0A"/>
    <w:rsid w:val="00571889"/>
    <w:rsid w:val="00571CC0"/>
    <w:rsid w:val="00577EB3"/>
    <w:rsid w:val="00585473"/>
    <w:rsid w:val="00591B6B"/>
    <w:rsid w:val="0059651F"/>
    <w:rsid w:val="005B065F"/>
    <w:rsid w:val="005B727A"/>
    <w:rsid w:val="005C1397"/>
    <w:rsid w:val="005F2B0B"/>
    <w:rsid w:val="00607139"/>
    <w:rsid w:val="006110FE"/>
    <w:rsid w:val="00620FB6"/>
    <w:rsid w:val="006221C8"/>
    <w:rsid w:val="00632497"/>
    <w:rsid w:val="00632C47"/>
    <w:rsid w:val="006363AB"/>
    <w:rsid w:val="00647C41"/>
    <w:rsid w:val="0065086E"/>
    <w:rsid w:val="00653A5E"/>
    <w:rsid w:val="00655F2C"/>
    <w:rsid w:val="00662525"/>
    <w:rsid w:val="00664ED4"/>
    <w:rsid w:val="00667448"/>
    <w:rsid w:val="00667DFF"/>
    <w:rsid w:val="006740F1"/>
    <w:rsid w:val="006756A2"/>
    <w:rsid w:val="00683D29"/>
    <w:rsid w:val="006848C8"/>
    <w:rsid w:val="00684913"/>
    <w:rsid w:val="006849B5"/>
    <w:rsid w:val="006854E3"/>
    <w:rsid w:val="00690AB6"/>
    <w:rsid w:val="00691701"/>
    <w:rsid w:val="00693B20"/>
    <w:rsid w:val="00696ED9"/>
    <w:rsid w:val="006B7054"/>
    <w:rsid w:val="006C1C85"/>
    <w:rsid w:val="006C4ADE"/>
    <w:rsid w:val="006C576D"/>
    <w:rsid w:val="006D7B08"/>
    <w:rsid w:val="006E2A7D"/>
    <w:rsid w:val="006E4408"/>
    <w:rsid w:val="006E6F42"/>
    <w:rsid w:val="006F2DAF"/>
    <w:rsid w:val="00705C9B"/>
    <w:rsid w:val="0070611C"/>
    <w:rsid w:val="00706E16"/>
    <w:rsid w:val="00722124"/>
    <w:rsid w:val="00723029"/>
    <w:rsid w:val="00724BCB"/>
    <w:rsid w:val="00731C48"/>
    <w:rsid w:val="00731CD4"/>
    <w:rsid w:val="007330E0"/>
    <w:rsid w:val="00733E5F"/>
    <w:rsid w:val="0073705F"/>
    <w:rsid w:val="00741071"/>
    <w:rsid w:val="00747566"/>
    <w:rsid w:val="00752E65"/>
    <w:rsid w:val="00756744"/>
    <w:rsid w:val="0075766E"/>
    <w:rsid w:val="00787499"/>
    <w:rsid w:val="007914F0"/>
    <w:rsid w:val="007A21C0"/>
    <w:rsid w:val="007A3B88"/>
    <w:rsid w:val="007A51DD"/>
    <w:rsid w:val="007A585A"/>
    <w:rsid w:val="007B2893"/>
    <w:rsid w:val="007C0C37"/>
    <w:rsid w:val="007C65D2"/>
    <w:rsid w:val="007D6109"/>
    <w:rsid w:val="007D6379"/>
    <w:rsid w:val="007D6BD8"/>
    <w:rsid w:val="007D6C52"/>
    <w:rsid w:val="007E33C4"/>
    <w:rsid w:val="007E5193"/>
    <w:rsid w:val="007E62E8"/>
    <w:rsid w:val="007F1EC2"/>
    <w:rsid w:val="007F5B74"/>
    <w:rsid w:val="007F5BE0"/>
    <w:rsid w:val="00804FAF"/>
    <w:rsid w:val="00805608"/>
    <w:rsid w:val="008068E6"/>
    <w:rsid w:val="008131EF"/>
    <w:rsid w:val="00813E3F"/>
    <w:rsid w:val="00824B24"/>
    <w:rsid w:val="0083678B"/>
    <w:rsid w:val="0084083C"/>
    <w:rsid w:val="00853E14"/>
    <w:rsid w:val="008561E9"/>
    <w:rsid w:val="008600E6"/>
    <w:rsid w:val="00862662"/>
    <w:rsid w:val="008700FB"/>
    <w:rsid w:val="00872862"/>
    <w:rsid w:val="00876EDE"/>
    <w:rsid w:val="00895736"/>
    <w:rsid w:val="008968B0"/>
    <w:rsid w:val="008A54A7"/>
    <w:rsid w:val="008B068D"/>
    <w:rsid w:val="008B1EBC"/>
    <w:rsid w:val="008B214E"/>
    <w:rsid w:val="008B4558"/>
    <w:rsid w:val="008B566C"/>
    <w:rsid w:val="008D0717"/>
    <w:rsid w:val="008D44C9"/>
    <w:rsid w:val="008D46C2"/>
    <w:rsid w:val="008E1002"/>
    <w:rsid w:val="008E3124"/>
    <w:rsid w:val="009008E3"/>
    <w:rsid w:val="00907C68"/>
    <w:rsid w:val="00910FBB"/>
    <w:rsid w:val="00925D1B"/>
    <w:rsid w:val="009415E0"/>
    <w:rsid w:val="00943D92"/>
    <w:rsid w:val="00944452"/>
    <w:rsid w:val="0095036D"/>
    <w:rsid w:val="0095124F"/>
    <w:rsid w:val="00957265"/>
    <w:rsid w:val="0097090F"/>
    <w:rsid w:val="009725D7"/>
    <w:rsid w:val="00977B8D"/>
    <w:rsid w:val="00982C42"/>
    <w:rsid w:val="0098318F"/>
    <w:rsid w:val="0099611A"/>
    <w:rsid w:val="009A0D1C"/>
    <w:rsid w:val="009A1ED1"/>
    <w:rsid w:val="009C001A"/>
    <w:rsid w:val="009C078D"/>
    <w:rsid w:val="009C4831"/>
    <w:rsid w:val="009D2F4A"/>
    <w:rsid w:val="009D3A76"/>
    <w:rsid w:val="009E230B"/>
    <w:rsid w:val="009E4385"/>
    <w:rsid w:val="009E5053"/>
    <w:rsid w:val="009F30E8"/>
    <w:rsid w:val="00A01AC4"/>
    <w:rsid w:val="00A053A6"/>
    <w:rsid w:val="00A1007C"/>
    <w:rsid w:val="00A11606"/>
    <w:rsid w:val="00A1432C"/>
    <w:rsid w:val="00A149EC"/>
    <w:rsid w:val="00A35E8F"/>
    <w:rsid w:val="00A43A42"/>
    <w:rsid w:val="00A45735"/>
    <w:rsid w:val="00A533E6"/>
    <w:rsid w:val="00A601C9"/>
    <w:rsid w:val="00A636DE"/>
    <w:rsid w:val="00A8071B"/>
    <w:rsid w:val="00A83AF5"/>
    <w:rsid w:val="00A91A7B"/>
    <w:rsid w:val="00A9209B"/>
    <w:rsid w:val="00A94A40"/>
    <w:rsid w:val="00A95901"/>
    <w:rsid w:val="00A9616F"/>
    <w:rsid w:val="00A975F5"/>
    <w:rsid w:val="00AA4AC3"/>
    <w:rsid w:val="00AB33AB"/>
    <w:rsid w:val="00AB36F8"/>
    <w:rsid w:val="00AC7377"/>
    <w:rsid w:val="00AC7705"/>
    <w:rsid w:val="00AD2B32"/>
    <w:rsid w:val="00AD78EE"/>
    <w:rsid w:val="00B002A7"/>
    <w:rsid w:val="00B2578D"/>
    <w:rsid w:val="00B311D3"/>
    <w:rsid w:val="00B42ECD"/>
    <w:rsid w:val="00B434B0"/>
    <w:rsid w:val="00B46A3C"/>
    <w:rsid w:val="00B503A0"/>
    <w:rsid w:val="00B55554"/>
    <w:rsid w:val="00B62941"/>
    <w:rsid w:val="00B70D2F"/>
    <w:rsid w:val="00B848C8"/>
    <w:rsid w:val="00B8512D"/>
    <w:rsid w:val="00B9084E"/>
    <w:rsid w:val="00B90C7E"/>
    <w:rsid w:val="00BA1D2F"/>
    <w:rsid w:val="00BA1F4D"/>
    <w:rsid w:val="00BA4810"/>
    <w:rsid w:val="00BB0CA9"/>
    <w:rsid w:val="00BB3B13"/>
    <w:rsid w:val="00C060C2"/>
    <w:rsid w:val="00C07D05"/>
    <w:rsid w:val="00C1694B"/>
    <w:rsid w:val="00C1786F"/>
    <w:rsid w:val="00C2245D"/>
    <w:rsid w:val="00C256DD"/>
    <w:rsid w:val="00C269FE"/>
    <w:rsid w:val="00C33363"/>
    <w:rsid w:val="00C33B94"/>
    <w:rsid w:val="00C35A52"/>
    <w:rsid w:val="00C3645A"/>
    <w:rsid w:val="00C51330"/>
    <w:rsid w:val="00C537EA"/>
    <w:rsid w:val="00C567AE"/>
    <w:rsid w:val="00C5771B"/>
    <w:rsid w:val="00C6456A"/>
    <w:rsid w:val="00C66B1A"/>
    <w:rsid w:val="00C679CC"/>
    <w:rsid w:val="00C67A7E"/>
    <w:rsid w:val="00C826F1"/>
    <w:rsid w:val="00C910F1"/>
    <w:rsid w:val="00C94F8F"/>
    <w:rsid w:val="00CA1520"/>
    <w:rsid w:val="00CA3569"/>
    <w:rsid w:val="00CB1346"/>
    <w:rsid w:val="00CB1E64"/>
    <w:rsid w:val="00CB783C"/>
    <w:rsid w:val="00CC4B1E"/>
    <w:rsid w:val="00CC69AB"/>
    <w:rsid w:val="00CD5F79"/>
    <w:rsid w:val="00CD611B"/>
    <w:rsid w:val="00CE5A47"/>
    <w:rsid w:val="00D02136"/>
    <w:rsid w:val="00D045EE"/>
    <w:rsid w:val="00D124F4"/>
    <w:rsid w:val="00D12C3D"/>
    <w:rsid w:val="00D14C2B"/>
    <w:rsid w:val="00D16C82"/>
    <w:rsid w:val="00D20733"/>
    <w:rsid w:val="00D24E7A"/>
    <w:rsid w:val="00D41CD7"/>
    <w:rsid w:val="00D45636"/>
    <w:rsid w:val="00D523B9"/>
    <w:rsid w:val="00D6244A"/>
    <w:rsid w:val="00D72C2E"/>
    <w:rsid w:val="00D9038B"/>
    <w:rsid w:val="00D91320"/>
    <w:rsid w:val="00D92DC4"/>
    <w:rsid w:val="00D968C9"/>
    <w:rsid w:val="00D9788B"/>
    <w:rsid w:val="00DA00BA"/>
    <w:rsid w:val="00DA4E27"/>
    <w:rsid w:val="00DA533F"/>
    <w:rsid w:val="00DB0A88"/>
    <w:rsid w:val="00DB417D"/>
    <w:rsid w:val="00DB7D27"/>
    <w:rsid w:val="00DC255C"/>
    <w:rsid w:val="00DC6A5C"/>
    <w:rsid w:val="00DE113B"/>
    <w:rsid w:val="00DE296D"/>
    <w:rsid w:val="00DE4E96"/>
    <w:rsid w:val="00DF13BC"/>
    <w:rsid w:val="00E22C16"/>
    <w:rsid w:val="00E23146"/>
    <w:rsid w:val="00E3613A"/>
    <w:rsid w:val="00E46BF0"/>
    <w:rsid w:val="00E53FC2"/>
    <w:rsid w:val="00E54D30"/>
    <w:rsid w:val="00E63012"/>
    <w:rsid w:val="00E7323C"/>
    <w:rsid w:val="00E74CE0"/>
    <w:rsid w:val="00E773E3"/>
    <w:rsid w:val="00E83178"/>
    <w:rsid w:val="00E87176"/>
    <w:rsid w:val="00EA1302"/>
    <w:rsid w:val="00EA7218"/>
    <w:rsid w:val="00EB34D3"/>
    <w:rsid w:val="00EC0CA8"/>
    <w:rsid w:val="00EC73CE"/>
    <w:rsid w:val="00ED5A7D"/>
    <w:rsid w:val="00ED5CDC"/>
    <w:rsid w:val="00ED636E"/>
    <w:rsid w:val="00EE09AF"/>
    <w:rsid w:val="00EF5F4C"/>
    <w:rsid w:val="00EF6D16"/>
    <w:rsid w:val="00F01818"/>
    <w:rsid w:val="00F03471"/>
    <w:rsid w:val="00F1568A"/>
    <w:rsid w:val="00F21768"/>
    <w:rsid w:val="00F310AD"/>
    <w:rsid w:val="00F32B78"/>
    <w:rsid w:val="00F338D5"/>
    <w:rsid w:val="00F34E10"/>
    <w:rsid w:val="00F36EF6"/>
    <w:rsid w:val="00F42228"/>
    <w:rsid w:val="00F518E0"/>
    <w:rsid w:val="00F53607"/>
    <w:rsid w:val="00F622D0"/>
    <w:rsid w:val="00F70C46"/>
    <w:rsid w:val="00F72EFA"/>
    <w:rsid w:val="00F73E68"/>
    <w:rsid w:val="00F74B15"/>
    <w:rsid w:val="00F84F7A"/>
    <w:rsid w:val="00F95387"/>
    <w:rsid w:val="00F953E5"/>
    <w:rsid w:val="00FA594A"/>
    <w:rsid w:val="00FA6EB4"/>
    <w:rsid w:val="00FB0EA2"/>
    <w:rsid w:val="00FB790F"/>
    <w:rsid w:val="00FC118C"/>
    <w:rsid w:val="00FC6D62"/>
    <w:rsid w:val="00FD2675"/>
    <w:rsid w:val="00FD2757"/>
    <w:rsid w:val="00FD29A7"/>
    <w:rsid w:val="00FD2DEA"/>
    <w:rsid w:val="00FD4899"/>
    <w:rsid w:val="00FE4588"/>
    <w:rsid w:val="00FE5828"/>
    <w:rsid w:val="00FF7E48"/>
    <w:rsid w:val="08328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9AFC5C"/>
  <w15:docId w15:val="{89982A1D-6B6D-4799-AA85-7A163B1A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783C"/>
    <w:pPr>
      <w:keepNext/>
      <w:keepLines/>
      <w:spacing w:before="240" w:after="240" w:line="276" w:lineRule="auto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D62"/>
    <w:pPr>
      <w:keepNext/>
      <w:keepLines/>
      <w:spacing w:before="240" w:after="240" w:line="276" w:lineRule="auto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2E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24E7A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FC6D62"/>
    <w:rPr>
      <w:rFonts w:asciiTheme="majorHAnsi" w:eastAsiaTheme="majorEastAsia" w:hAnsiTheme="majorHAnsi" w:cstheme="majorBidi"/>
      <w:b/>
      <w:bCs/>
      <w:sz w:val="24"/>
      <w:szCs w:val="26"/>
      <w:lang w:val="pl-PL"/>
    </w:rPr>
  </w:style>
  <w:style w:type="paragraph" w:styleId="Akapitzlist">
    <w:name w:val="List Paragraph"/>
    <w:basedOn w:val="Normalny"/>
    <w:uiPriority w:val="34"/>
    <w:qFormat/>
    <w:rsid w:val="003F4FBA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2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C4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ED5C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D5C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5C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5C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5CDC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0C4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4A37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A37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77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B783C"/>
    <w:rPr>
      <w:rFonts w:asciiTheme="majorHAnsi" w:eastAsiaTheme="majorEastAsia" w:hAnsiTheme="majorHAnsi" w:cstheme="majorBidi"/>
      <w:b/>
      <w:sz w:val="24"/>
      <w:szCs w:val="32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32E0B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447FE0"/>
    <w:pPr>
      <w:tabs>
        <w:tab w:val="right" w:leader="dot" w:pos="9062"/>
      </w:tabs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rsid w:val="00532E0B"/>
    <w:pPr>
      <w:spacing w:after="100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532E0B"/>
    <w:pPr>
      <w:spacing w:after="100"/>
      <w:ind w:left="440"/>
    </w:pPr>
    <w:rPr>
      <w:rFonts w:eastAsiaTheme="minorEastAsia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32E0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73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32B1"/>
  </w:style>
  <w:style w:type="paragraph" w:styleId="Stopka">
    <w:name w:val="footer"/>
    <w:basedOn w:val="Normalny"/>
    <w:link w:val="StopkaZnak"/>
    <w:uiPriority w:val="99"/>
    <w:unhideWhenUsed/>
    <w:rsid w:val="00273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32B1"/>
  </w:style>
  <w:style w:type="paragraph" w:styleId="Poprawka">
    <w:name w:val="Revision"/>
    <w:hidden/>
    <w:uiPriority w:val="99"/>
    <w:semiHidden/>
    <w:rsid w:val="004255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EE039-B923-4EC1-81B6-5BDBF5648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21</Pages>
  <Words>4999</Words>
  <Characters>29996</Characters>
  <Application>Microsoft Office Word</Application>
  <DocSecurity>0</DocSecurity>
  <Lines>249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 Zamówienia udzielane w Przedsięwzięciach Inwestycja C2.1.1</vt:lpstr>
    </vt:vector>
  </TitlesOfParts>
  <Company/>
  <LinksUpToDate>false</LinksUpToDate>
  <CharactersWithSpaces>34926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 Zamówienia udzielane w Przedsięwzięciach Inwestycja C2.1.1</dc:title>
  <dc:creator>Violetta Korkuś</dc:creator>
  <cp:lastModifiedBy>Łukasz Szojda</cp:lastModifiedBy>
  <cp:revision>18</cp:revision>
  <dcterms:created xsi:type="dcterms:W3CDTF">2022-10-31T12:54:00Z</dcterms:created>
  <dcterms:modified xsi:type="dcterms:W3CDTF">2024-06-20T07:26:00Z</dcterms:modified>
</cp:coreProperties>
</file>