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17F3D" w14:textId="76363F39" w:rsidR="00C21841" w:rsidRPr="001164C8" w:rsidRDefault="00D3783E" w:rsidP="001164C8">
      <w:pPr>
        <w:spacing w:line="480" w:lineRule="auto"/>
        <w:jc w:val="right"/>
        <w:rPr>
          <w:rFonts w:ascii="Aptos Serif" w:hAnsi="Aptos Serif" w:cs="Aptos Serif"/>
          <w:i/>
          <w:iCs/>
          <w:sz w:val="22"/>
          <w:szCs w:val="22"/>
        </w:rPr>
      </w:pPr>
      <w:r>
        <w:rPr>
          <w:rFonts w:ascii="Aptos Serif" w:hAnsi="Aptos Serif" w:cs="Aptos Serif"/>
          <w:i/>
          <w:iCs/>
          <w:sz w:val="22"/>
          <w:szCs w:val="22"/>
        </w:rPr>
        <w:t xml:space="preserve">Warszawa, </w:t>
      </w:r>
      <w:r w:rsidR="00C21841" w:rsidRPr="00C21841">
        <w:rPr>
          <w:rFonts w:ascii="Aptos Serif" w:hAnsi="Aptos Serif" w:cs="Aptos Serif"/>
          <w:i/>
          <w:iCs/>
          <w:sz w:val="22"/>
          <w:szCs w:val="22"/>
        </w:rPr>
        <w:t>19 marca 2025 r.</w:t>
      </w:r>
    </w:p>
    <w:p w14:paraId="0BAAFF3F" w14:textId="77777777" w:rsidR="00C21841" w:rsidRDefault="00C21841" w:rsidP="00C21841">
      <w:pPr>
        <w:spacing w:line="480" w:lineRule="auto"/>
        <w:rPr>
          <w:rFonts w:ascii="Aptos Serif" w:hAnsi="Aptos Serif" w:cs="Aptos Serif"/>
          <w:b/>
          <w:bCs/>
          <w:sz w:val="28"/>
          <w:szCs w:val="28"/>
          <w:u w:val="single"/>
        </w:rPr>
      </w:pPr>
    </w:p>
    <w:p w14:paraId="55EB777B" w14:textId="77777777" w:rsidR="00C21841" w:rsidRDefault="00C21841" w:rsidP="00C21841">
      <w:pPr>
        <w:spacing w:line="480" w:lineRule="auto"/>
        <w:rPr>
          <w:rFonts w:ascii="Aptos Serif" w:hAnsi="Aptos Serif" w:cs="Aptos Serif"/>
          <w:b/>
          <w:bCs/>
          <w:sz w:val="28"/>
          <w:szCs w:val="28"/>
          <w:u w:val="single"/>
        </w:rPr>
      </w:pPr>
    </w:p>
    <w:p w14:paraId="65604777" w14:textId="7D07716E" w:rsidR="00C21841" w:rsidRDefault="00F91FE4" w:rsidP="00C21841">
      <w:pPr>
        <w:spacing w:line="480" w:lineRule="auto"/>
        <w:jc w:val="center"/>
        <w:rPr>
          <w:rFonts w:ascii="Aptos Serif" w:hAnsi="Aptos Serif" w:cs="Aptos Serif"/>
          <w:b/>
          <w:bCs/>
          <w:sz w:val="28"/>
          <w:szCs w:val="28"/>
          <w:u w:val="single"/>
        </w:rPr>
      </w:pPr>
      <w:r w:rsidRPr="00EA77F6">
        <w:rPr>
          <w:rFonts w:ascii="Aptos Serif" w:hAnsi="Aptos Serif" w:cs="Aptos Serif"/>
          <w:b/>
          <w:bCs/>
          <w:sz w:val="28"/>
          <w:szCs w:val="28"/>
          <w:u w:val="single"/>
        </w:rPr>
        <w:t xml:space="preserve">Orzecznictwo Europejskiego Trybunału Praw Człowieka </w:t>
      </w:r>
      <w:r w:rsidR="00E36312">
        <w:rPr>
          <w:rFonts w:ascii="Aptos Serif" w:hAnsi="Aptos Serif" w:cs="Aptos Serif"/>
          <w:b/>
          <w:bCs/>
          <w:sz w:val="28"/>
          <w:szCs w:val="28"/>
          <w:u w:val="single"/>
        </w:rPr>
        <w:br/>
      </w:r>
      <w:r w:rsidRPr="00EA77F6">
        <w:rPr>
          <w:rFonts w:ascii="Aptos Serif" w:hAnsi="Aptos Serif" w:cs="Aptos Serif"/>
          <w:b/>
          <w:bCs/>
          <w:sz w:val="28"/>
          <w:szCs w:val="28"/>
          <w:u w:val="single"/>
        </w:rPr>
        <w:t>w sprawach osób ze społeczności LGBT+</w:t>
      </w:r>
    </w:p>
    <w:p w14:paraId="48862300" w14:textId="77777777" w:rsidR="00C21841" w:rsidRPr="00EA77F6" w:rsidRDefault="00C21841" w:rsidP="00045576">
      <w:pPr>
        <w:spacing w:line="480" w:lineRule="auto"/>
        <w:jc w:val="center"/>
        <w:rPr>
          <w:rFonts w:ascii="Aptos Serif" w:hAnsi="Aptos Serif" w:cs="Aptos Serif"/>
          <w:b/>
          <w:bCs/>
          <w:sz w:val="28"/>
          <w:szCs w:val="28"/>
          <w:u w:val="single"/>
        </w:rPr>
      </w:pPr>
    </w:p>
    <w:p w14:paraId="765B62F1" w14:textId="2C8F009F" w:rsidR="00C21841" w:rsidRPr="009040AA" w:rsidRDefault="00EA77F6" w:rsidP="0037175F">
      <w:pPr>
        <w:spacing w:line="276" w:lineRule="auto"/>
        <w:jc w:val="center"/>
        <w:rPr>
          <w:rFonts w:ascii="Aptos Serif" w:hAnsi="Aptos Serif" w:cs="Aptos Serif"/>
          <w:b/>
          <w:bCs/>
          <w:color w:val="C00000"/>
          <w:sz w:val="22"/>
          <w:szCs w:val="22"/>
          <w:u w:val="single"/>
        </w:rPr>
      </w:pPr>
      <w:r w:rsidRPr="009040AA">
        <w:rPr>
          <w:rFonts w:ascii="Aptos Serif" w:hAnsi="Aptos Serif" w:cs="Aptos Serif"/>
          <w:b/>
          <w:bCs/>
          <w:color w:val="C00000"/>
          <w:sz w:val="22"/>
          <w:szCs w:val="22"/>
          <w:u w:val="single"/>
        </w:rPr>
        <w:t>Zagadnienia ogólne</w:t>
      </w:r>
    </w:p>
    <w:p w14:paraId="4D22DB18" w14:textId="0B221FAE" w:rsidR="00F91FE4" w:rsidRDefault="00F91FE4" w:rsidP="004B2A0B">
      <w:pPr>
        <w:spacing w:line="276" w:lineRule="auto"/>
        <w:jc w:val="both"/>
        <w:rPr>
          <w:rFonts w:ascii="Aptos Serif" w:hAnsi="Aptos Serif" w:cs="Aptos Serif"/>
          <w:sz w:val="22"/>
          <w:szCs w:val="22"/>
        </w:rPr>
      </w:pPr>
      <w:r w:rsidRPr="00F91FE4">
        <w:rPr>
          <w:rFonts w:ascii="Aptos Serif" w:hAnsi="Aptos Serif" w:cs="Aptos Serif"/>
          <w:sz w:val="22"/>
          <w:szCs w:val="22"/>
        </w:rPr>
        <w:t xml:space="preserve">Orientacja seksualna stanowi obiektywny wyznacznik tożsamości człowieka. </w:t>
      </w:r>
      <w:r w:rsidR="00300238">
        <w:rPr>
          <w:rFonts w:ascii="Aptos Serif" w:hAnsi="Aptos Serif" w:cs="Aptos Serif"/>
          <w:sz w:val="22"/>
          <w:szCs w:val="22"/>
        </w:rPr>
        <w:t>Europejski Trybunał Praw Człowieka</w:t>
      </w:r>
      <w:r w:rsidR="00EA77F6">
        <w:rPr>
          <w:rFonts w:ascii="Aptos Serif" w:hAnsi="Aptos Serif" w:cs="Aptos Serif"/>
          <w:sz w:val="22"/>
          <w:szCs w:val="22"/>
        </w:rPr>
        <w:t xml:space="preserve"> </w:t>
      </w:r>
      <w:r w:rsidR="00EA77F6" w:rsidRPr="00EA77F6">
        <w:rPr>
          <w:rFonts w:ascii="Aptos Serif" w:hAnsi="Aptos Serif" w:cs="Aptos Serif"/>
          <w:i/>
          <w:iCs/>
          <w:sz w:val="22"/>
          <w:szCs w:val="22"/>
        </w:rPr>
        <w:t>(dalej: „Trybunał” lub „ETPC”)</w:t>
      </w:r>
      <w:r w:rsidRPr="00EA77F6">
        <w:rPr>
          <w:rFonts w:ascii="Aptos Serif" w:hAnsi="Aptos Serif" w:cs="Aptos Serif"/>
          <w:i/>
          <w:iCs/>
          <w:sz w:val="22"/>
          <w:szCs w:val="22"/>
        </w:rPr>
        <w:t xml:space="preserve"> </w:t>
      </w:r>
      <w:r w:rsidRPr="00F91FE4">
        <w:rPr>
          <w:rFonts w:ascii="Aptos Serif" w:hAnsi="Aptos Serif" w:cs="Aptos Serif"/>
          <w:sz w:val="22"/>
          <w:szCs w:val="22"/>
        </w:rPr>
        <w:t xml:space="preserve">odniósł się do obu wymiarów reakcji państwa na odmienności orientacji seksualnej: </w:t>
      </w:r>
      <w:r w:rsidRPr="00F91FE4">
        <w:rPr>
          <w:rFonts w:ascii="Aptos Serif" w:hAnsi="Aptos Serif" w:cs="Aptos Serif"/>
          <w:b/>
          <w:bCs/>
          <w:sz w:val="22"/>
          <w:szCs w:val="22"/>
        </w:rPr>
        <w:t>ingerencji</w:t>
      </w:r>
      <w:r w:rsidRPr="00F91FE4">
        <w:rPr>
          <w:rFonts w:ascii="Aptos Serif" w:hAnsi="Aptos Serif" w:cs="Aptos Serif"/>
          <w:sz w:val="22"/>
          <w:szCs w:val="22"/>
        </w:rPr>
        <w:t xml:space="preserve"> (przejawiającej się przede wszystkim w karaniu praktyk homoseksualnych pomiędzy akceptującymi je osobami dorosłymi) oraz </w:t>
      </w:r>
      <w:r w:rsidRPr="00F91FE4">
        <w:rPr>
          <w:rFonts w:ascii="Aptos Serif" w:hAnsi="Aptos Serif" w:cs="Aptos Serif"/>
          <w:b/>
          <w:bCs/>
          <w:sz w:val="22"/>
          <w:szCs w:val="22"/>
        </w:rPr>
        <w:t>dyskryminacji</w:t>
      </w:r>
      <w:r w:rsidRPr="00F91FE4">
        <w:rPr>
          <w:rFonts w:ascii="Aptos Serif" w:hAnsi="Aptos Serif" w:cs="Aptos Serif"/>
          <w:sz w:val="22"/>
          <w:szCs w:val="22"/>
        </w:rPr>
        <w:t xml:space="preserve"> (wyrażającej się w przyjęciu kryterium orientacji seksualnej jako podstawy odmiennego traktowania w społeczeństwie). Sposób tego odniesienia</w:t>
      </w:r>
      <w:r w:rsidRPr="00F91FE4">
        <w:rPr>
          <w:rStyle w:val="Odwoanieprzypisudolnego"/>
          <w:rFonts w:ascii="Aptos Serif" w:hAnsi="Aptos Serif" w:cs="Aptos Serif"/>
          <w:sz w:val="22"/>
          <w:szCs w:val="22"/>
        </w:rPr>
        <w:footnoteReference w:id="1"/>
      </w:r>
      <w:r w:rsidRPr="00F91FE4">
        <w:rPr>
          <w:sz w:val="22"/>
          <w:szCs w:val="22"/>
        </w:rPr>
        <w:t xml:space="preserve"> </w:t>
      </w:r>
      <w:r w:rsidRPr="00F91FE4">
        <w:rPr>
          <w:rFonts w:ascii="Aptos Serif" w:hAnsi="Aptos Serif" w:cs="Aptos Serif"/>
          <w:sz w:val="22"/>
          <w:szCs w:val="22"/>
        </w:rPr>
        <w:t xml:space="preserve">dostarcza znakomitej ilustracji dla dynamizmu orzecznictwa strasburskiego; pamiętać przecież należy, że gdy Konwencja </w:t>
      </w:r>
      <w:r w:rsidR="00451A96">
        <w:rPr>
          <w:rFonts w:ascii="Aptos Serif" w:hAnsi="Aptos Serif" w:cs="Aptos Serif"/>
          <w:sz w:val="22"/>
          <w:szCs w:val="22"/>
        </w:rPr>
        <w:t xml:space="preserve">o ochronie praw człowieka i podstawowych wolności </w:t>
      </w:r>
      <w:r w:rsidR="00451A96" w:rsidRPr="00451A96">
        <w:rPr>
          <w:rFonts w:ascii="Aptos Serif" w:hAnsi="Aptos Serif" w:cs="Aptos Serif"/>
          <w:i/>
          <w:iCs/>
          <w:sz w:val="22"/>
          <w:szCs w:val="22"/>
        </w:rPr>
        <w:t>(</w:t>
      </w:r>
      <w:r w:rsidR="00F548AA" w:rsidRPr="00451A96">
        <w:rPr>
          <w:rFonts w:ascii="Aptos Serif" w:hAnsi="Aptos Serif" w:cs="Aptos Serif"/>
          <w:i/>
          <w:iCs/>
          <w:sz w:val="22"/>
          <w:szCs w:val="22"/>
        </w:rPr>
        <w:t>dalej: Konwencja</w:t>
      </w:r>
      <w:r w:rsidR="00451A96" w:rsidRPr="00451A96">
        <w:rPr>
          <w:rFonts w:ascii="Aptos Serif" w:hAnsi="Aptos Serif" w:cs="Aptos Serif"/>
          <w:i/>
          <w:iCs/>
          <w:sz w:val="22"/>
          <w:szCs w:val="22"/>
        </w:rPr>
        <w:t>)</w:t>
      </w:r>
      <w:r w:rsidR="00451A96">
        <w:rPr>
          <w:rFonts w:ascii="Aptos Serif" w:hAnsi="Aptos Serif" w:cs="Aptos Serif"/>
          <w:sz w:val="22"/>
          <w:szCs w:val="22"/>
        </w:rPr>
        <w:t xml:space="preserve"> </w:t>
      </w:r>
      <w:r w:rsidRPr="00F91FE4">
        <w:rPr>
          <w:rFonts w:ascii="Aptos Serif" w:hAnsi="Aptos Serif" w:cs="Aptos Serif"/>
          <w:sz w:val="22"/>
          <w:szCs w:val="22"/>
        </w:rPr>
        <w:t>wchodziła w życie, w wielu krajach praktyki homoseksualne podlegały karze.</w:t>
      </w:r>
    </w:p>
    <w:p w14:paraId="24CEE449" w14:textId="70ED445C" w:rsidR="00514C03" w:rsidRDefault="00514C03" w:rsidP="004B2A0B">
      <w:pPr>
        <w:spacing w:line="276" w:lineRule="auto"/>
        <w:jc w:val="both"/>
        <w:rPr>
          <w:rFonts w:ascii="Aptos Serif" w:hAnsi="Aptos Serif" w:cs="Aptos Serif"/>
          <w:i/>
          <w:iCs/>
          <w:sz w:val="22"/>
          <w:szCs w:val="22"/>
        </w:rPr>
      </w:pPr>
      <w:r>
        <w:rPr>
          <w:rFonts w:ascii="Aptos Serif" w:hAnsi="Aptos Serif" w:cs="Aptos Serif"/>
          <w:sz w:val="22"/>
          <w:szCs w:val="22"/>
        </w:rPr>
        <w:t xml:space="preserve">Badania nad orzecznictwem ETPC wskazują, że choć początkowo Trybunał wykazywał ostrożność w kwestiach dotyczących równości osób LGBT+, z czasem jego podejście ewoluowało w kierunku bardziej progresywnych interpretacji Konwencji. </w:t>
      </w:r>
      <w:r w:rsidR="00FF6D48">
        <w:rPr>
          <w:rFonts w:ascii="Aptos Serif" w:hAnsi="Aptos Serif" w:cs="Aptos Serif"/>
          <w:sz w:val="22"/>
          <w:szCs w:val="22"/>
        </w:rPr>
        <w:t xml:space="preserve">Szczególnie istotne były wyroki w sprawach dotyczących dekryminalizacji homoseksualizmu </w:t>
      </w:r>
      <w:r w:rsidR="00FF6D48" w:rsidRPr="008271CD">
        <w:rPr>
          <w:rFonts w:ascii="Aptos Serif" w:hAnsi="Aptos Serif" w:cs="Aptos Serif"/>
          <w:i/>
          <w:iCs/>
          <w:sz w:val="22"/>
          <w:szCs w:val="22"/>
        </w:rPr>
        <w:t xml:space="preserve">(Dudgeon przeciwko Zjednoczonemu </w:t>
      </w:r>
      <w:r w:rsidR="003F049F" w:rsidRPr="008271CD">
        <w:rPr>
          <w:rFonts w:ascii="Aptos Serif" w:hAnsi="Aptos Serif" w:cs="Aptos Serif"/>
          <w:i/>
          <w:iCs/>
          <w:sz w:val="22"/>
          <w:szCs w:val="22"/>
        </w:rPr>
        <w:t>Królestwu, skarga</w:t>
      </w:r>
      <w:r w:rsidR="00FF6D48" w:rsidRPr="008271CD">
        <w:rPr>
          <w:rFonts w:ascii="Aptos Serif" w:hAnsi="Aptos Serif" w:cs="Aptos Serif"/>
          <w:i/>
          <w:iCs/>
          <w:sz w:val="22"/>
          <w:szCs w:val="22"/>
        </w:rPr>
        <w:t xml:space="preserve"> nr 7525/76)</w:t>
      </w:r>
      <w:r w:rsidR="00FF6D48">
        <w:rPr>
          <w:rFonts w:ascii="Aptos Serif" w:hAnsi="Aptos Serif" w:cs="Aptos Serif"/>
          <w:sz w:val="22"/>
          <w:szCs w:val="22"/>
        </w:rPr>
        <w:t xml:space="preserve">, uznania praw osób </w:t>
      </w:r>
      <w:r w:rsidR="000D6C25">
        <w:rPr>
          <w:rFonts w:ascii="Aptos Serif" w:hAnsi="Aptos Serif" w:cs="Aptos Serif"/>
          <w:sz w:val="22"/>
          <w:szCs w:val="22"/>
        </w:rPr>
        <w:br/>
      </w:r>
      <w:r w:rsidR="00FF6D48">
        <w:rPr>
          <w:rFonts w:ascii="Aptos Serif" w:hAnsi="Aptos Serif" w:cs="Aptos Serif"/>
          <w:sz w:val="22"/>
          <w:szCs w:val="22"/>
        </w:rPr>
        <w:t xml:space="preserve">transpłciowych </w:t>
      </w:r>
      <w:r w:rsidR="00FF6D48" w:rsidRPr="008271CD">
        <w:rPr>
          <w:rFonts w:ascii="Aptos Serif" w:hAnsi="Aptos Serif" w:cs="Aptos Serif"/>
          <w:i/>
          <w:iCs/>
          <w:sz w:val="22"/>
          <w:szCs w:val="22"/>
        </w:rPr>
        <w:t>(</w:t>
      </w:r>
      <w:r w:rsidR="008271CD" w:rsidRPr="008271CD">
        <w:rPr>
          <w:rFonts w:ascii="Aptos Serif" w:hAnsi="Aptos Serif" w:cs="Aptos Serif"/>
          <w:i/>
          <w:iCs/>
          <w:sz w:val="22"/>
          <w:szCs w:val="22"/>
        </w:rPr>
        <w:t xml:space="preserve">Christine Goodwin przeciwko Zjednoczonemu Królestwu, skarga </w:t>
      </w:r>
      <w:r w:rsidR="00E52D3B">
        <w:rPr>
          <w:rFonts w:ascii="Aptos Serif" w:hAnsi="Aptos Serif" w:cs="Aptos Serif"/>
          <w:i/>
          <w:iCs/>
          <w:sz w:val="22"/>
          <w:szCs w:val="22"/>
        </w:rPr>
        <w:br/>
      </w:r>
      <w:r w:rsidR="008271CD" w:rsidRPr="008271CD">
        <w:rPr>
          <w:rFonts w:ascii="Aptos Serif" w:hAnsi="Aptos Serif" w:cs="Aptos Serif"/>
          <w:i/>
          <w:iCs/>
          <w:sz w:val="22"/>
          <w:szCs w:val="22"/>
        </w:rPr>
        <w:t>nr 28957/95)</w:t>
      </w:r>
      <w:r w:rsidR="008271CD">
        <w:rPr>
          <w:rFonts w:ascii="Aptos Serif" w:hAnsi="Aptos Serif" w:cs="Aptos Serif"/>
          <w:sz w:val="22"/>
          <w:szCs w:val="22"/>
        </w:rPr>
        <w:t xml:space="preserve">, czy obowiązku uznania związków partnerskich </w:t>
      </w:r>
      <w:r w:rsidR="008271CD" w:rsidRPr="008271CD">
        <w:rPr>
          <w:rFonts w:ascii="Aptos Serif" w:hAnsi="Aptos Serif" w:cs="Aptos Serif"/>
          <w:i/>
          <w:iCs/>
          <w:sz w:val="22"/>
          <w:szCs w:val="22"/>
        </w:rPr>
        <w:t>(Oliari i Inni przeciwko Włochom, skargi nr 18766/11 i 36030/11)</w:t>
      </w:r>
      <w:r w:rsidR="008271CD">
        <w:rPr>
          <w:rFonts w:ascii="Aptos Serif" w:hAnsi="Aptos Serif" w:cs="Aptos Serif"/>
          <w:i/>
          <w:iCs/>
          <w:sz w:val="22"/>
          <w:szCs w:val="22"/>
        </w:rPr>
        <w:t xml:space="preserve">. </w:t>
      </w:r>
    </w:p>
    <w:p w14:paraId="70A76131" w14:textId="5CEE3BEC" w:rsidR="005B6032" w:rsidRPr="00F229B5" w:rsidRDefault="005B6032" w:rsidP="004B2A0B">
      <w:pPr>
        <w:spacing w:line="276" w:lineRule="auto"/>
        <w:jc w:val="both"/>
        <w:rPr>
          <w:rFonts w:ascii="Aptos Serif" w:hAnsi="Aptos Serif" w:cs="Aptos Serif"/>
          <w:sz w:val="22"/>
          <w:szCs w:val="22"/>
        </w:rPr>
      </w:pPr>
      <w:r w:rsidRPr="005B6032">
        <w:rPr>
          <w:rFonts w:ascii="Aptos Serif" w:hAnsi="Aptos Serif" w:cs="Aptos Serif"/>
          <w:sz w:val="22"/>
          <w:szCs w:val="22"/>
        </w:rPr>
        <w:t xml:space="preserve">W ocenie </w:t>
      </w:r>
      <w:r>
        <w:rPr>
          <w:rFonts w:ascii="Aptos Serif" w:hAnsi="Aptos Serif" w:cs="Aptos Serif"/>
          <w:sz w:val="22"/>
          <w:szCs w:val="22"/>
        </w:rPr>
        <w:t xml:space="preserve">Trybunału </w:t>
      </w:r>
      <w:r w:rsidRPr="005B6032">
        <w:rPr>
          <w:rFonts w:ascii="Aptos Serif" w:hAnsi="Aptos Serif" w:cs="Aptos Serif"/>
          <w:sz w:val="22"/>
          <w:szCs w:val="22"/>
        </w:rPr>
        <w:t xml:space="preserve">państwa-strony Konwencji mają szeroki margines oceny co do charakteru przepisów dla par jednopłciowych. Istotne jest jednak, aby ochrona państwa była odpowiednia. Konwencja ma gwarantować nie iluzoryczne lub teoretyczne uprawnienia, </w:t>
      </w:r>
      <w:r w:rsidR="00E52D3B">
        <w:rPr>
          <w:rFonts w:ascii="Aptos Serif" w:hAnsi="Aptos Serif" w:cs="Aptos Serif"/>
          <w:sz w:val="22"/>
          <w:szCs w:val="22"/>
        </w:rPr>
        <w:br/>
      </w:r>
      <w:r w:rsidRPr="005B6032">
        <w:rPr>
          <w:rFonts w:ascii="Aptos Serif" w:hAnsi="Aptos Serif" w:cs="Aptos Serif"/>
          <w:sz w:val="22"/>
          <w:szCs w:val="22"/>
        </w:rPr>
        <w:t xml:space="preserve">ale takie, które będą praktycznie i efektywnie zapewniane. Tym samym prawna instytucjonalizacja powinna w polskim porządku prawnym odnosić się m.in. do problemów wskazanych już w skargach do ETPC. Ochrona związków tej samej płci powinna zatem obejmować uregulowanie: kwestii mieszczących się w prawie rodzinnym i opiekuńczym, </w:t>
      </w:r>
      <w:r w:rsidR="00393F34">
        <w:rPr>
          <w:rFonts w:ascii="Aptos Serif" w:hAnsi="Aptos Serif" w:cs="Aptos Serif"/>
          <w:sz w:val="22"/>
          <w:szCs w:val="22"/>
        </w:rPr>
        <w:br/>
      </w:r>
      <w:r w:rsidRPr="005B6032">
        <w:rPr>
          <w:rFonts w:ascii="Aptos Serif" w:hAnsi="Aptos Serif" w:cs="Aptos Serif"/>
          <w:sz w:val="22"/>
          <w:szCs w:val="22"/>
        </w:rPr>
        <w:lastRenderedPageBreak/>
        <w:t>w tym spraw finansowych pomiędzy partnerami, obowiązku alimentacji, opieki nad partnerem w złym stanie zdrowia, dostępu do dokumentacji medycznej, dziedziczenia, spraw podatkowych, praw związanych z własnością, dostępu do świadczeń emerytalno-rentowych, czy umożliwienia zmiany nazwiska na nazwisko partnera. Prawna instytucjonalizacja związków osób tej samej płci ma służyć nie tylko ułatwieniu im wspólnego, codziennego życia, ale przede wszystkim stanowić państwowe uznanie ich relacji.</w:t>
      </w:r>
      <w:r w:rsidR="00F229B5">
        <w:rPr>
          <w:rStyle w:val="Odwoanieprzypisudolnego"/>
          <w:rFonts w:ascii="Aptos Serif" w:hAnsi="Aptos Serif" w:cs="Aptos Serif"/>
          <w:sz w:val="22"/>
          <w:szCs w:val="22"/>
        </w:rPr>
        <w:footnoteReference w:id="2"/>
      </w:r>
    </w:p>
    <w:p w14:paraId="3ADB8353" w14:textId="3A7DAA78" w:rsidR="000331DB" w:rsidRDefault="00A75220" w:rsidP="004B2A0B">
      <w:pPr>
        <w:spacing w:line="276" w:lineRule="auto"/>
        <w:jc w:val="both"/>
        <w:rPr>
          <w:rFonts w:ascii="Aptos Serif" w:hAnsi="Aptos Serif" w:cs="Aptos Serif"/>
          <w:sz w:val="22"/>
          <w:szCs w:val="22"/>
        </w:rPr>
      </w:pPr>
      <w:r>
        <w:rPr>
          <w:rFonts w:ascii="Aptos Serif" w:hAnsi="Aptos Serif" w:cs="Aptos Serif"/>
          <w:sz w:val="22"/>
          <w:szCs w:val="22"/>
        </w:rPr>
        <w:t xml:space="preserve">Ochrona praw osób LGBT+ w orzecznictwie Trybunału opiera się na kilku kluczowych artykułach Europejskiej Konwencji Praw Człowieka, które stanowią fundament </w:t>
      </w:r>
      <w:r w:rsidR="00E02635">
        <w:rPr>
          <w:rFonts w:ascii="Aptos Serif" w:hAnsi="Aptos Serif" w:cs="Aptos Serif"/>
          <w:sz w:val="22"/>
          <w:szCs w:val="22"/>
        </w:rPr>
        <w:t xml:space="preserve">dla rozwoju standardów równości i niedyskryminacji. </w:t>
      </w:r>
      <w:r w:rsidR="00E02635" w:rsidRPr="00251211">
        <w:rPr>
          <w:rFonts w:ascii="Aptos Serif" w:hAnsi="Aptos Serif" w:cs="Aptos Serif"/>
          <w:b/>
          <w:bCs/>
          <w:sz w:val="22"/>
          <w:szCs w:val="22"/>
        </w:rPr>
        <w:t>Artykuł 8 EKPC</w:t>
      </w:r>
      <w:r w:rsidR="00E02635">
        <w:rPr>
          <w:rFonts w:ascii="Aptos Serif" w:hAnsi="Aptos Serif" w:cs="Aptos Serif"/>
          <w:sz w:val="22"/>
          <w:szCs w:val="22"/>
        </w:rPr>
        <w:t xml:space="preserve"> (prawo do poszanowania życia prywatnego i rodzinnego) ma szczególne znaczenie w kontekście uznania tożsamości płciowej osób transpłciowych oraz ochrony związków jednopłciowych. </w:t>
      </w:r>
      <w:r w:rsidR="00251211" w:rsidRPr="00251211">
        <w:rPr>
          <w:rFonts w:ascii="Aptos Serif" w:hAnsi="Aptos Serif" w:cs="Aptos Serif"/>
          <w:b/>
          <w:bCs/>
          <w:sz w:val="22"/>
          <w:szCs w:val="22"/>
        </w:rPr>
        <w:t xml:space="preserve">Artykuł 14 EKPC </w:t>
      </w:r>
      <w:r w:rsidR="00251211">
        <w:rPr>
          <w:rFonts w:ascii="Aptos Serif" w:hAnsi="Aptos Serif" w:cs="Aptos Serif"/>
          <w:sz w:val="22"/>
          <w:szCs w:val="22"/>
        </w:rPr>
        <w:t xml:space="preserve">(zakaz dyskryminacji) jest kluczowy w sprawach dotyczących równego traktowania </w:t>
      </w:r>
      <w:r w:rsidR="00393F34">
        <w:rPr>
          <w:rFonts w:ascii="Aptos Serif" w:hAnsi="Aptos Serif" w:cs="Aptos Serif"/>
          <w:sz w:val="22"/>
          <w:szCs w:val="22"/>
        </w:rPr>
        <w:br/>
      </w:r>
      <w:r w:rsidR="00251211">
        <w:rPr>
          <w:rFonts w:ascii="Aptos Serif" w:hAnsi="Aptos Serif" w:cs="Aptos Serif"/>
          <w:sz w:val="22"/>
          <w:szCs w:val="22"/>
        </w:rPr>
        <w:t xml:space="preserve">w zatrudnieniu, opiece rodzicielskiej czy uznawania formalnych relacji między osobami tej samej płci. </w:t>
      </w:r>
      <w:r w:rsidR="000331DB">
        <w:rPr>
          <w:rFonts w:ascii="Aptos Serif" w:hAnsi="Aptos Serif" w:cs="Aptos Serif"/>
          <w:sz w:val="22"/>
          <w:szCs w:val="22"/>
        </w:rPr>
        <w:t xml:space="preserve">Ponadto, </w:t>
      </w:r>
      <w:r w:rsidR="000331DB" w:rsidRPr="000331DB">
        <w:rPr>
          <w:rFonts w:ascii="Aptos Serif" w:hAnsi="Aptos Serif" w:cs="Aptos Serif"/>
          <w:b/>
          <w:bCs/>
          <w:sz w:val="22"/>
          <w:szCs w:val="22"/>
        </w:rPr>
        <w:t>a</w:t>
      </w:r>
      <w:r w:rsidR="00251211" w:rsidRPr="000331DB">
        <w:rPr>
          <w:rFonts w:ascii="Aptos Serif" w:hAnsi="Aptos Serif" w:cs="Aptos Serif"/>
          <w:b/>
          <w:bCs/>
          <w:sz w:val="22"/>
          <w:szCs w:val="22"/>
        </w:rPr>
        <w:t>rtykuł 10 EKPC</w:t>
      </w:r>
      <w:r w:rsidR="00251211">
        <w:rPr>
          <w:rFonts w:ascii="Aptos Serif" w:hAnsi="Aptos Serif" w:cs="Aptos Serif"/>
          <w:sz w:val="22"/>
          <w:szCs w:val="22"/>
        </w:rPr>
        <w:t xml:space="preserve"> (wolność wypowiedzi) oraz </w:t>
      </w:r>
      <w:r w:rsidR="00251211" w:rsidRPr="000331DB">
        <w:rPr>
          <w:rFonts w:ascii="Aptos Serif" w:hAnsi="Aptos Serif" w:cs="Aptos Serif"/>
          <w:b/>
          <w:bCs/>
          <w:sz w:val="22"/>
          <w:szCs w:val="22"/>
        </w:rPr>
        <w:t>artykuł 11 EKPC</w:t>
      </w:r>
      <w:r w:rsidR="00251211">
        <w:rPr>
          <w:rFonts w:ascii="Aptos Serif" w:hAnsi="Aptos Serif" w:cs="Aptos Serif"/>
          <w:sz w:val="22"/>
          <w:szCs w:val="22"/>
        </w:rPr>
        <w:t xml:space="preserve"> (</w:t>
      </w:r>
      <w:r w:rsidR="000331DB">
        <w:rPr>
          <w:rFonts w:ascii="Aptos Serif" w:hAnsi="Aptos Serif" w:cs="Aptos Serif"/>
          <w:sz w:val="22"/>
          <w:szCs w:val="22"/>
        </w:rPr>
        <w:t xml:space="preserve">wolność </w:t>
      </w:r>
      <w:r w:rsidR="000331DB" w:rsidRPr="000331DB">
        <w:rPr>
          <w:rFonts w:ascii="Aptos Serif" w:hAnsi="Aptos Serif" w:cs="Aptos Serif"/>
          <w:sz w:val="22"/>
          <w:szCs w:val="22"/>
        </w:rPr>
        <w:t>zgromadzania się i stowarzyszania się</w:t>
      </w:r>
      <w:r w:rsidR="000331DB">
        <w:rPr>
          <w:rFonts w:ascii="Aptos Serif" w:hAnsi="Aptos Serif" w:cs="Aptos Serif"/>
          <w:sz w:val="22"/>
          <w:szCs w:val="22"/>
        </w:rPr>
        <w:t xml:space="preserve">) gwarantują prawo do działalności na rzecz społeczności LGBTIQ+ </w:t>
      </w:r>
      <w:r w:rsidR="00615362">
        <w:rPr>
          <w:rFonts w:ascii="Aptos Serif" w:hAnsi="Aptos Serif" w:cs="Aptos Serif"/>
          <w:sz w:val="22"/>
          <w:szCs w:val="22"/>
        </w:rPr>
        <w:t xml:space="preserve">takich jak </w:t>
      </w:r>
      <w:r w:rsidR="000331DB">
        <w:rPr>
          <w:rFonts w:ascii="Aptos Serif" w:hAnsi="Aptos Serif" w:cs="Aptos Serif"/>
          <w:sz w:val="22"/>
          <w:szCs w:val="22"/>
        </w:rPr>
        <w:t>organizowanie marszów równości</w:t>
      </w:r>
      <w:r w:rsidR="00615362">
        <w:rPr>
          <w:rFonts w:ascii="Aptos Serif" w:hAnsi="Aptos Serif" w:cs="Aptos Serif"/>
          <w:sz w:val="22"/>
          <w:szCs w:val="22"/>
        </w:rPr>
        <w:t xml:space="preserve"> lub prowadzenie kampanii społecznych na rzecz równego traktowania. </w:t>
      </w:r>
    </w:p>
    <w:p w14:paraId="6AC2E4F0" w14:textId="495F0FBC" w:rsidR="00615362" w:rsidRDefault="00615362" w:rsidP="004B2A0B">
      <w:pPr>
        <w:spacing w:line="276" w:lineRule="auto"/>
        <w:jc w:val="both"/>
        <w:rPr>
          <w:rFonts w:ascii="Aptos Serif" w:hAnsi="Aptos Serif" w:cs="Aptos Serif"/>
          <w:sz w:val="22"/>
          <w:szCs w:val="22"/>
        </w:rPr>
      </w:pPr>
      <w:r>
        <w:rPr>
          <w:rFonts w:ascii="Aptos Serif" w:hAnsi="Aptos Serif" w:cs="Aptos Serif"/>
          <w:sz w:val="22"/>
          <w:szCs w:val="22"/>
        </w:rPr>
        <w:t xml:space="preserve">Trybunał </w:t>
      </w:r>
      <w:r w:rsidR="00F523EE">
        <w:rPr>
          <w:rFonts w:ascii="Aptos Serif" w:hAnsi="Aptos Serif" w:cs="Aptos Serif"/>
          <w:sz w:val="22"/>
          <w:szCs w:val="22"/>
        </w:rPr>
        <w:t xml:space="preserve">w swojej wykładni </w:t>
      </w:r>
      <w:r>
        <w:rPr>
          <w:rFonts w:ascii="Aptos Serif" w:hAnsi="Aptos Serif" w:cs="Aptos Serif"/>
          <w:sz w:val="22"/>
          <w:szCs w:val="22"/>
        </w:rPr>
        <w:t>orzekał</w:t>
      </w:r>
      <w:r w:rsidRPr="00615362">
        <w:rPr>
          <w:rFonts w:ascii="Aptos Serif" w:hAnsi="Aptos Serif" w:cs="Aptos Serif"/>
          <w:sz w:val="22"/>
          <w:szCs w:val="22"/>
        </w:rPr>
        <w:t xml:space="preserve">, zgodnie z </w:t>
      </w:r>
      <w:r w:rsidRPr="00E52D3B">
        <w:rPr>
          <w:rFonts w:ascii="Aptos Serif" w:hAnsi="Aptos Serif" w:cs="Aptos Serif"/>
          <w:b/>
          <w:bCs/>
          <w:sz w:val="22"/>
          <w:szCs w:val="22"/>
        </w:rPr>
        <w:t>art</w:t>
      </w:r>
      <w:r w:rsidR="00AE0498">
        <w:rPr>
          <w:rFonts w:ascii="Aptos Serif" w:hAnsi="Aptos Serif" w:cs="Aptos Serif"/>
          <w:b/>
          <w:bCs/>
          <w:sz w:val="22"/>
          <w:szCs w:val="22"/>
        </w:rPr>
        <w:t xml:space="preserve">ykułem </w:t>
      </w:r>
      <w:r w:rsidRPr="00E52D3B">
        <w:rPr>
          <w:rFonts w:ascii="Aptos Serif" w:hAnsi="Aptos Serif" w:cs="Aptos Serif"/>
          <w:b/>
          <w:bCs/>
          <w:sz w:val="22"/>
          <w:szCs w:val="22"/>
        </w:rPr>
        <w:t>14</w:t>
      </w:r>
      <w:r w:rsidRPr="00615362">
        <w:rPr>
          <w:rFonts w:ascii="Aptos Serif" w:hAnsi="Aptos Serif" w:cs="Aptos Serif"/>
          <w:sz w:val="22"/>
          <w:szCs w:val="22"/>
        </w:rPr>
        <w:t xml:space="preserve"> Konwencji, że tradycje, stereotypy i postawy społeczne panujące w danym kraju nie mogą same w sobie uzasadniać odmiennego traktowania ze względu na orientację seksualną. Rzekomo negatywnej, a nawet wrogiej postawy heteroseksualnej większości nie można przeciwstawić interesowi skarżących, jakim jest odpowiednie uznanie i ochrona ich związków przez prawo. Podobnie, chociaż Trybunał przyznał, że ochrona rodziny w tradycyjnym sensie była co do zasady uzasadnioną przyczyną mogącą uzasadniać różnicę w traktowaniu, stwierdził również, że nie było podstaw do uznania, że zapewnienie prawnego uznania i ochrony do par tej samej płci znajdujących się w stabilnym i zaangażowanym związku mogłoby samo w sobie zaszkodzić rodzinom utworzonym w tradycyjny sposób lub zagrozić ich przyszłości lub integralności. </w:t>
      </w:r>
      <w:r w:rsidR="00E52D3B">
        <w:rPr>
          <w:rFonts w:ascii="Aptos Serif" w:hAnsi="Aptos Serif" w:cs="Aptos Serif"/>
          <w:sz w:val="22"/>
          <w:szCs w:val="22"/>
        </w:rPr>
        <w:br/>
      </w:r>
      <w:r w:rsidRPr="00615362">
        <w:rPr>
          <w:rFonts w:ascii="Aptos Serif" w:hAnsi="Aptos Serif" w:cs="Aptos Serif"/>
          <w:sz w:val="22"/>
          <w:szCs w:val="22"/>
        </w:rPr>
        <w:t>W istocie zapewnienie praw parom tej samej płci nie oznaczało samo w sobie osłabienia praw przysługujących innym osobom lub parom przeciwnej płci.</w:t>
      </w:r>
    </w:p>
    <w:p w14:paraId="0D82E98C" w14:textId="77777777" w:rsidR="0010374C" w:rsidRPr="009040AA" w:rsidRDefault="0010374C" w:rsidP="004B2A0B">
      <w:pPr>
        <w:spacing w:line="276" w:lineRule="auto"/>
        <w:jc w:val="both"/>
        <w:rPr>
          <w:rFonts w:ascii="Aptos Serif" w:hAnsi="Aptos Serif" w:cs="Aptos Serif"/>
          <w:sz w:val="22"/>
          <w:szCs w:val="22"/>
          <w:u w:val="single"/>
        </w:rPr>
      </w:pPr>
    </w:p>
    <w:p w14:paraId="26A47BB6" w14:textId="2F856C0D" w:rsidR="00C21841" w:rsidRPr="0037175F" w:rsidRDefault="005C35C6" w:rsidP="0037175F">
      <w:pPr>
        <w:spacing w:line="276" w:lineRule="auto"/>
        <w:jc w:val="center"/>
        <w:rPr>
          <w:rFonts w:ascii="Aptos Serif" w:hAnsi="Aptos Serif" w:cs="Aptos Serif"/>
          <w:b/>
          <w:bCs/>
          <w:color w:val="BF4E14" w:themeColor="accent2" w:themeShade="BF"/>
          <w:sz w:val="22"/>
          <w:szCs w:val="22"/>
          <w:u w:val="single"/>
        </w:rPr>
      </w:pPr>
      <w:r w:rsidRPr="009040AA">
        <w:rPr>
          <w:rFonts w:ascii="Aptos Serif" w:hAnsi="Aptos Serif" w:cs="Aptos Serif"/>
          <w:b/>
          <w:bCs/>
          <w:color w:val="BF4E14" w:themeColor="accent2" w:themeShade="BF"/>
          <w:sz w:val="22"/>
          <w:szCs w:val="22"/>
          <w:u w:val="single"/>
        </w:rPr>
        <w:t>Ewolucja stanowiska Trybunału</w:t>
      </w:r>
      <w:r w:rsidR="0010374C" w:rsidRPr="009040AA">
        <w:rPr>
          <w:rFonts w:ascii="Aptos Serif" w:hAnsi="Aptos Serif" w:cs="Aptos Serif"/>
          <w:b/>
          <w:bCs/>
          <w:color w:val="BF4E14" w:themeColor="accent2" w:themeShade="BF"/>
          <w:sz w:val="22"/>
          <w:szCs w:val="22"/>
          <w:u w:val="single"/>
        </w:rPr>
        <w:t xml:space="preserve"> do spraw osób ze społeczności LGBT+</w:t>
      </w:r>
    </w:p>
    <w:p w14:paraId="14B8070B" w14:textId="0201A05A" w:rsidR="00045576" w:rsidRDefault="00BF1075" w:rsidP="004B2A0B">
      <w:pPr>
        <w:spacing w:line="276" w:lineRule="auto"/>
        <w:jc w:val="both"/>
        <w:rPr>
          <w:rFonts w:ascii="Aptos Serif" w:hAnsi="Aptos Serif" w:cs="Aptos Serif"/>
          <w:sz w:val="22"/>
          <w:szCs w:val="22"/>
        </w:rPr>
      </w:pPr>
      <w:r>
        <w:rPr>
          <w:rFonts w:ascii="Aptos Serif" w:hAnsi="Aptos Serif" w:cs="Aptos Serif"/>
          <w:sz w:val="22"/>
          <w:szCs w:val="22"/>
        </w:rPr>
        <w:t xml:space="preserve">Podejście Trybunału do spraw osób ze społeczności LGBT+ diametralnie ewoluowało na przestrzeni lat. </w:t>
      </w:r>
      <w:r w:rsidRPr="00BF1075">
        <w:rPr>
          <w:rFonts w:ascii="Aptos Serif" w:hAnsi="Aptos Serif" w:cs="Aptos Serif"/>
          <w:sz w:val="22"/>
          <w:szCs w:val="22"/>
        </w:rPr>
        <w:t>Pierwsze sprawy, w których ochrona par jednopłciowych była rozpatrywana w świetle EKPC, miały miejsce na początku lat 80. ubiegłego wieku.</w:t>
      </w:r>
      <w:r w:rsidR="00C355AC">
        <w:rPr>
          <w:rFonts w:ascii="Aptos Serif" w:hAnsi="Aptos Serif" w:cs="Aptos Serif"/>
          <w:sz w:val="22"/>
          <w:szCs w:val="22"/>
        </w:rPr>
        <w:t xml:space="preserve"> Wtedy </w:t>
      </w:r>
      <w:r w:rsidR="00C355AC" w:rsidRPr="00C355AC">
        <w:rPr>
          <w:rFonts w:ascii="Aptos Serif" w:hAnsi="Aptos Serif" w:cs="Aptos Serif"/>
          <w:sz w:val="22"/>
          <w:szCs w:val="22"/>
        </w:rPr>
        <w:t>Europejska Komisja Praw Człowieka</w:t>
      </w:r>
      <w:r w:rsidR="00C355AC">
        <w:rPr>
          <w:rFonts w:ascii="Aptos Serif" w:hAnsi="Aptos Serif" w:cs="Aptos Serif"/>
          <w:sz w:val="22"/>
          <w:szCs w:val="22"/>
        </w:rPr>
        <w:t xml:space="preserve"> w sprawie </w:t>
      </w:r>
      <w:r w:rsidR="00C355AC" w:rsidRPr="00EA77F6">
        <w:rPr>
          <w:rFonts w:ascii="Aptos Serif" w:hAnsi="Aptos Serif" w:cs="Aptos Serif"/>
          <w:i/>
          <w:iCs/>
          <w:sz w:val="22"/>
          <w:szCs w:val="22"/>
          <w:u w:val="single"/>
        </w:rPr>
        <w:t>X i Y przeciwko Zjednoczonemu Królestwu</w:t>
      </w:r>
      <w:r w:rsidR="00C355AC">
        <w:rPr>
          <w:rFonts w:ascii="Aptos Serif" w:hAnsi="Aptos Serif" w:cs="Aptos Serif"/>
          <w:sz w:val="22"/>
          <w:szCs w:val="22"/>
        </w:rPr>
        <w:t xml:space="preserve"> </w:t>
      </w:r>
      <w:r w:rsidR="003F049F">
        <w:rPr>
          <w:rFonts w:ascii="Aptos Serif" w:hAnsi="Aptos Serif" w:cs="Aptos Serif"/>
          <w:sz w:val="22"/>
          <w:szCs w:val="22"/>
        </w:rPr>
        <w:t>podtrzymała,</w:t>
      </w:r>
      <w:r w:rsidR="00C355AC">
        <w:rPr>
          <w:rFonts w:ascii="Aptos Serif" w:hAnsi="Aptos Serif" w:cs="Aptos Serif"/>
          <w:sz w:val="22"/>
          <w:szCs w:val="22"/>
        </w:rPr>
        <w:t xml:space="preserve"> </w:t>
      </w:r>
      <w:r w:rsidR="00C355AC" w:rsidRPr="00C355AC">
        <w:rPr>
          <w:rFonts w:ascii="Aptos Serif" w:hAnsi="Aptos Serif" w:cs="Aptos Serif"/>
          <w:sz w:val="22"/>
          <w:szCs w:val="22"/>
        </w:rPr>
        <w:t xml:space="preserve">że „pomimo współczesnej ewolucji postaw wobec homoseksualności” taki związek „nie wchodzi w zakres prawa do poszanowania życia rodzinnego”. ETPC przyjął również restrykcyjne pojęcie małżeństwa. W sprawie </w:t>
      </w:r>
      <w:r w:rsidR="00C355AC" w:rsidRPr="00690248">
        <w:rPr>
          <w:rFonts w:ascii="Aptos Serif" w:hAnsi="Aptos Serif" w:cs="Aptos Serif"/>
          <w:i/>
          <w:iCs/>
          <w:sz w:val="22"/>
          <w:szCs w:val="22"/>
          <w:u w:val="single"/>
        </w:rPr>
        <w:t>Rees przeciwko Zjednoczonemu Królestwu</w:t>
      </w:r>
      <w:r w:rsidR="00C355AC" w:rsidRPr="00C355AC">
        <w:rPr>
          <w:rFonts w:ascii="Aptos Serif" w:hAnsi="Aptos Serif" w:cs="Aptos Serif"/>
          <w:sz w:val="22"/>
          <w:szCs w:val="22"/>
        </w:rPr>
        <w:t xml:space="preserve"> </w:t>
      </w:r>
      <w:r w:rsidR="00393F34">
        <w:rPr>
          <w:rFonts w:ascii="Aptos Serif" w:hAnsi="Aptos Serif" w:cs="Aptos Serif"/>
          <w:sz w:val="22"/>
          <w:szCs w:val="22"/>
        </w:rPr>
        <w:br/>
      </w:r>
      <w:r w:rsidR="00C355AC" w:rsidRPr="00C355AC">
        <w:rPr>
          <w:rFonts w:ascii="Aptos Serif" w:hAnsi="Aptos Serif" w:cs="Aptos Serif"/>
          <w:sz w:val="22"/>
          <w:szCs w:val="22"/>
        </w:rPr>
        <w:lastRenderedPageBreak/>
        <w:t>z 1986 r., dotyczącej wniosku osoby transpłciowej o prawną zmianę płci, ETPC stwierdził, że małżeństwo powinno być rozumiane w tradycyjnym znaczeniu między osobami biologicznie przeciwnej płci (§ 49).</w:t>
      </w:r>
      <w:r w:rsidR="00D01B95">
        <w:rPr>
          <w:rStyle w:val="Odwoanieprzypisudolnego"/>
          <w:rFonts w:ascii="Aptos Serif" w:hAnsi="Aptos Serif" w:cs="Aptos Serif"/>
          <w:sz w:val="22"/>
          <w:szCs w:val="22"/>
        </w:rPr>
        <w:footnoteReference w:id="3"/>
      </w:r>
    </w:p>
    <w:p w14:paraId="3DB0BC20" w14:textId="33C60026" w:rsidR="0010374C" w:rsidRDefault="0010374C" w:rsidP="004B2A0B">
      <w:pPr>
        <w:spacing w:line="276" w:lineRule="auto"/>
        <w:jc w:val="both"/>
        <w:rPr>
          <w:rFonts w:ascii="Aptos Serif" w:hAnsi="Aptos Serif" w:cs="Aptos Serif"/>
          <w:sz w:val="22"/>
          <w:szCs w:val="22"/>
        </w:rPr>
      </w:pPr>
      <w:r w:rsidRPr="0010374C">
        <w:rPr>
          <w:rFonts w:ascii="Aptos Serif" w:hAnsi="Aptos Serif" w:cs="Aptos Serif"/>
          <w:sz w:val="22"/>
          <w:szCs w:val="22"/>
        </w:rPr>
        <w:t xml:space="preserve">W wyroku </w:t>
      </w:r>
      <w:r w:rsidRPr="0010374C">
        <w:rPr>
          <w:rFonts w:ascii="Aptos Serif" w:hAnsi="Aptos Serif" w:cs="Aptos Serif"/>
          <w:i/>
          <w:iCs/>
          <w:sz w:val="22"/>
          <w:szCs w:val="22"/>
          <w:u w:val="single"/>
        </w:rPr>
        <w:t>Salgueiro da Silva Mouta przeciwko Portugalii</w:t>
      </w:r>
      <w:r w:rsidRPr="0010374C">
        <w:rPr>
          <w:rFonts w:ascii="Aptos Serif" w:hAnsi="Aptos Serif" w:cs="Aptos Serif"/>
          <w:sz w:val="22"/>
          <w:szCs w:val="22"/>
        </w:rPr>
        <w:t xml:space="preserve"> </w:t>
      </w:r>
      <w:r>
        <w:rPr>
          <w:rFonts w:ascii="Aptos Serif" w:hAnsi="Aptos Serif" w:cs="Aptos Serif"/>
          <w:sz w:val="22"/>
          <w:szCs w:val="22"/>
        </w:rPr>
        <w:t xml:space="preserve">z 1999 r. </w:t>
      </w:r>
      <w:r w:rsidRPr="0010374C">
        <w:rPr>
          <w:rFonts w:ascii="Aptos Serif" w:hAnsi="Aptos Serif" w:cs="Aptos Serif"/>
          <w:sz w:val="22"/>
          <w:szCs w:val="22"/>
        </w:rPr>
        <w:t>Trybunał po raz pierwszy wyraźnie stwierdził, iż zakaz dyskryminacji przewidziany w artykule 14 Konwencji obejmuje również orientację seksualną, ponieważ zawarty w nim katalog przesłanek nie jest wyczerpujący, a ma jedynie charakter przykładowy. Trybunał wyraźnie zaznaczył, że dokonywanie rozróżnień ze względu na orientację seksualną jest „nie do przyjęcia”.</w:t>
      </w:r>
    </w:p>
    <w:p w14:paraId="07AD45C8" w14:textId="7F6D9F04" w:rsidR="00937736" w:rsidRPr="00937736" w:rsidRDefault="00C355AC" w:rsidP="004B2A0B">
      <w:pPr>
        <w:spacing w:line="276" w:lineRule="auto"/>
        <w:jc w:val="both"/>
        <w:rPr>
          <w:rFonts w:ascii="Aptos Serif" w:hAnsi="Aptos Serif" w:cs="Aptos Serif"/>
          <w:sz w:val="22"/>
          <w:szCs w:val="22"/>
        </w:rPr>
      </w:pPr>
      <w:r>
        <w:rPr>
          <w:rFonts w:ascii="Aptos Serif" w:hAnsi="Aptos Serif" w:cs="Aptos Serif"/>
          <w:sz w:val="22"/>
          <w:szCs w:val="22"/>
        </w:rPr>
        <w:t xml:space="preserve">Dopiero w sprawie </w:t>
      </w:r>
      <w:r w:rsidRPr="00EA77F6">
        <w:rPr>
          <w:rFonts w:ascii="Aptos Serif" w:hAnsi="Aptos Serif" w:cs="Aptos Serif"/>
          <w:i/>
          <w:iCs/>
          <w:sz w:val="22"/>
          <w:szCs w:val="22"/>
          <w:u w:val="single"/>
        </w:rPr>
        <w:t>Schalk i Kopf przeciwko Austrii</w:t>
      </w:r>
      <w:r w:rsidRPr="00C355AC">
        <w:rPr>
          <w:rFonts w:ascii="Aptos Serif" w:hAnsi="Aptos Serif" w:cs="Aptos Serif"/>
          <w:sz w:val="22"/>
          <w:szCs w:val="22"/>
        </w:rPr>
        <w:t xml:space="preserve"> z 2010 r.</w:t>
      </w:r>
      <w:r>
        <w:rPr>
          <w:rFonts w:ascii="Aptos Serif" w:hAnsi="Aptos Serif" w:cs="Aptos Serif"/>
          <w:sz w:val="22"/>
          <w:szCs w:val="22"/>
        </w:rPr>
        <w:t xml:space="preserve"> </w:t>
      </w:r>
      <w:r w:rsidR="00937736">
        <w:rPr>
          <w:rFonts w:ascii="Aptos Serif" w:hAnsi="Aptos Serif" w:cs="Aptos Serif"/>
          <w:sz w:val="22"/>
          <w:szCs w:val="22"/>
        </w:rPr>
        <w:t>T</w:t>
      </w:r>
      <w:r w:rsidR="00937736" w:rsidRPr="00937736">
        <w:rPr>
          <w:rFonts w:ascii="Aptos Serif" w:hAnsi="Aptos Serif" w:cs="Aptos Serif"/>
          <w:sz w:val="22"/>
          <w:szCs w:val="22"/>
        </w:rPr>
        <w:t>rybunał po raz pierwszy wskazał, że partnerzy tej samej płci są zdolni do stworzenia trwałego i stabilnego związku tak jak pary osób różnych płci, a zatem znajdują się w podobnej do nich sytuacji. Prowadzi to do potrzeby prawnego uznania relacji partnerów i oznacza, że jako rodzina mogą być objęci szerszą ochroną wynikającą z art. 8</w:t>
      </w:r>
      <w:r w:rsidR="00690248">
        <w:rPr>
          <w:rFonts w:ascii="Aptos Serif" w:hAnsi="Aptos Serif" w:cs="Aptos Serif"/>
          <w:sz w:val="22"/>
          <w:szCs w:val="22"/>
        </w:rPr>
        <w:t xml:space="preserve"> Konwencji</w:t>
      </w:r>
      <w:r w:rsidR="00937736" w:rsidRPr="00937736">
        <w:rPr>
          <w:rFonts w:ascii="Aptos Serif" w:hAnsi="Aptos Serif" w:cs="Aptos Serif"/>
          <w:sz w:val="22"/>
          <w:szCs w:val="22"/>
        </w:rPr>
        <w:t xml:space="preserve">. Ponadto Trybunał wyraźnie zaznaczył, że </w:t>
      </w:r>
      <w:r w:rsidR="00393F34">
        <w:rPr>
          <w:rFonts w:ascii="Aptos Serif" w:hAnsi="Aptos Serif" w:cs="Aptos Serif"/>
          <w:sz w:val="22"/>
          <w:szCs w:val="22"/>
        </w:rPr>
        <w:br/>
      </w:r>
      <w:r w:rsidR="00937736" w:rsidRPr="00937736">
        <w:rPr>
          <w:rFonts w:ascii="Aptos Serif" w:hAnsi="Aptos Serif" w:cs="Aptos Serif"/>
          <w:sz w:val="22"/>
          <w:szCs w:val="22"/>
        </w:rPr>
        <w:t xml:space="preserve">w razie zapewnienia parom osób tej samej płci możliwości zawarcia związku formalnego, który jest alternatywą wobec małżeństwa, państwo strona Konwencji korzysta z pewnego określonego marginesu swobody, zarówno jeśli chodzi o charakter prawny związku, jak </w:t>
      </w:r>
      <w:r w:rsidR="00393F34">
        <w:rPr>
          <w:rFonts w:ascii="Aptos Serif" w:hAnsi="Aptos Serif" w:cs="Aptos Serif"/>
          <w:sz w:val="22"/>
          <w:szCs w:val="22"/>
        </w:rPr>
        <w:br/>
      </w:r>
      <w:r w:rsidR="00937736" w:rsidRPr="00937736">
        <w:rPr>
          <w:rFonts w:ascii="Aptos Serif" w:hAnsi="Aptos Serif" w:cs="Aptos Serif"/>
          <w:sz w:val="22"/>
          <w:szCs w:val="22"/>
        </w:rPr>
        <w:t xml:space="preserve">i określenie katalogu praw i obowiązków przysługującym partnerom. Europejski Trybunał Praw Człowieka nie </w:t>
      </w:r>
      <w:r w:rsidR="003F049F" w:rsidRPr="00937736">
        <w:rPr>
          <w:rFonts w:ascii="Aptos Serif" w:hAnsi="Aptos Serif" w:cs="Aptos Serif"/>
          <w:sz w:val="22"/>
          <w:szCs w:val="22"/>
        </w:rPr>
        <w:t>wskazał,</w:t>
      </w:r>
      <w:r w:rsidR="00937736" w:rsidRPr="00937736">
        <w:rPr>
          <w:rFonts w:ascii="Aptos Serif" w:hAnsi="Aptos Serif" w:cs="Aptos Serif"/>
          <w:sz w:val="22"/>
          <w:szCs w:val="22"/>
        </w:rPr>
        <w:t xml:space="preserve"> jednakże czy brak jakiejkolwiek prawnej formy uznania relacji między osobami tej samej płci narusza Konwencję. </w:t>
      </w:r>
    </w:p>
    <w:p w14:paraId="1FA9F107" w14:textId="77777777" w:rsidR="00EA77F6" w:rsidRDefault="00E87B11" w:rsidP="004B2A0B">
      <w:pPr>
        <w:spacing w:line="276" w:lineRule="auto"/>
        <w:jc w:val="both"/>
        <w:rPr>
          <w:rFonts w:ascii="Aptos Serif" w:hAnsi="Aptos Serif" w:cs="Aptos Serif"/>
          <w:sz w:val="22"/>
          <w:szCs w:val="22"/>
        </w:rPr>
      </w:pPr>
      <w:r>
        <w:rPr>
          <w:rFonts w:ascii="Aptos Serif" w:hAnsi="Aptos Serif" w:cs="Aptos Serif"/>
          <w:sz w:val="22"/>
          <w:szCs w:val="22"/>
        </w:rPr>
        <w:t xml:space="preserve">Następnym istotnym problemem osób ze społeczności LGBT+ był dostęp </w:t>
      </w:r>
      <w:r w:rsidRPr="00E87B11">
        <w:rPr>
          <w:rFonts w:ascii="Aptos Serif" w:hAnsi="Aptos Serif" w:cs="Aptos Serif"/>
          <w:sz w:val="22"/>
          <w:szCs w:val="22"/>
        </w:rPr>
        <w:t xml:space="preserve">do innych form </w:t>
      </w:r>
      <w:r>
        <w:rPr>
          <w:rFonts w:ascii="Aptos Serif" w:hAnsi="Aptos Serif" w:cs="Aptos Serif"/>
          <w:sz w:val="22"/>
          <w:szCs w:val="22"/>
        </w:rPr>
        <w:t xml:space="preserve">prawnego </w:t>
      </w:r>
      <w:r w:rsidRPr="00E87B11">
        <w:rPr>
          <w:rFonts w:ascii="Aptos Serif" w:hAnsi="Aptos Serif" w:cs="Aptos Serif"/>
          <w:sz w:val="22"/>
          <w:szCs w:val="22"/>
        </w:rPr>
        <w:t>uznania</w:t>
      </w:r>
      <w:r>
        <w:rPr>
          <w:rFonts w:ascii="Aptos Serif" w:hAnsi="Aptos Serif" w:cs="Aptos Serif"/>
          <w:sz w:val="22"/>
          <w:szCs w:val="22"/>
        </w:rPr>
        <w:t xml:space="preserve"> związku</w:t>
      </w:r>
      <w:r w:rsidRPr="00E87B11">
        <w:rPr>
          <w:rFonts w:ascii="Aptos Serif" w:hAnsi="Aptos Serif" w:cs="Aptos Serif"/>
          <w:sz w:val="22"/>
          <w:szCs w:val="22"/>
        </w:rPr>
        <w:t xml:space="preserve"> niż małżeństwo</w:t>
      </w:r>
      <w:r>
        <w:rPr>
          <w:rFonts w:ascii="Aptos Serif" w:hAnsi="Aptos Serif" w:cs="Aptos Serif"/>
          <w:sz w:val="22"/>
          <w:szCs w:val="22"/>
        </w:rPr>
        <w:t xml:space="preserve">. </w:t>
      </w:r>
      <w:r w:rsidRPr="00E87B11">
        <w:rPr>
          <w:rFonts w:ascii="Aptos Serif" w:hAnsi="Aptos Serif" w:cs="Aptos Serif"/>
          <w:sz w:val="22"/>
          <w:szCs w:val="22"/>
        </w:rPr>
        <w:t xml:space="preserve">W sprawie </w:t>
      </w:r>
      <w:r w:rsidRPr="00EA77F6">
        <w:rPr>
          <w:rFonts w:ascii="Aptos Serif" w:hAnsi="Aptos Serif" w:cs="Aptos Serif"/>
          <w:i/>
          <w:iCs/>
          <w:sz w:val="22"/>
          <w:szCs w:val="22"/>
          <w:u w:val="single"/>
        </w:rPr>
        <w:t xml:space="preserve">Vallianatos i </w:t>
      </w:r>
      <w:r w:rsidR="00EA77F6">
        <w:rPr>
          <w:rFonts w:ascii="Aptos Serif" w:hAnsi="Aptos Serif" w:cs="Aptos Serif"/>
          <w:i/>
          <w:iCs/>
          <w:sz w:val="22"/>
          <w:szCs w:val="22"/>
          <w:u w:val="single"/>
        </w:rPr>
        <w:t>I</w:t>
      </w:r>
      <w:r w:rsidRPr="00EA77F6">
        <w:rPr>
          <w:rFonts w:ascii="Aptos Serif" w:hAnsi="Aptos Serif" w:cs="Aptos Serif"/>
          <w:i/>
          <w:iCs/>
          <w:sz w:val="22"/>
          <w:szCs w:val="22"/>
          <w:u w:val="single"/>
        </w:rPr>
        <w:t>nni przeciwko Grecji</w:t>
      </w:r>
      <w:r w:rsidRPr="00EA77F6">
        <w:rPr>
          <w:rFonts w:ascii="Aptos Serif" w:hAnsi="Aptos Serif" w:cs="Aptos Serif"/>
          <w:sz w:val="22"/>
          <w:szCs w:val="22"/>
          <w:u w:val="single"/>
        </w:rPr>
        <w:t xml:space="preserve"> </w:t>
      </w:r>
      <w:r w:rsidRPr="00E87B11">
        <w:rPr>
          <w:rFonts w:ascii="Aptos Serif" w:hAnsi="Aptos Serif" w:cs="Aptos Serif"/>
          <w:sz w:val="22"/>
          <w:szCs w:val="22"/>
        </w:rPr>
        <w:t>z 2013 r. Trybunał uznał wówczas wykluczenie par jednopłciowych z możliwości zawarcia związku partnerskiego za nieuzasadnione.</w:t>
      </w:r>
      <w:r>
        <w:rPr>
          <w:rFonts w:ascii="Aptos Serif" w:hAnsi="Aptos Serif" w:cs="Aptos Serif"/>
          <w:sz w:val="22"/>
          <w:szCs w:val="22"/>
        </w:rPr>
        <w:t xml:space="preserve"> </w:t>
      </w:r>
      <w:r w:rsidRPr="00E87B11">
        <w:rPr>
          <w:rFonts w:ascii="Aptos Serif" w:hAnsi="Aptos Serif" w:cs="Aptos Serif"/>
          <w:sz w:val="22"/>
          <w:szCs w:val="22"/>
        </w:rPr>
        <w:t>Podkreślił</w:t>
      </w:r>
      <w:r>
        <w:rPr>
          <w:rFonts w:ascii="Aptos Serif" w:hAnsi="Aptos Serif" w:cs="Aptos Serif"/>
          <w:sz w:val="22"/>
          <w:szCs w:val="22"/>
        </w:rPr>
        <w:t xml:space="preserve"> również, </w:t>
      </w:r>
      <w:r w:rsidRPr="00E87B11">
        <w:rPr>
          <w:rFonts w:ascii="Aptos Serif" w:hAnsi="Aptos Serif" w:cs="Aptos Serif"/>
          <w:sz w:val="22"/>
          <w:szCs w:val="22"/>
        </w:rPr>
        <w:t>że „oficjalnie uznana alternatywa dla małżeństwa ma wewnętrzną wartość dla skarżących, niezależnie od skutków prawnych” (§ 81).</w:t>
      </w:r>
      <w:r>
        <w:rPr>
          <w:rFonts w:ascii="Aptos Serif" w:hAnsi="Aptos Serif" w:cs="Aptos Serif"/>
          <w:sz w:val="22"/>
          <w:szCs w:val="22"/>
        </w:rPr>
        <w:t xml:space="preserve"> </w:t>
      </w:r>
    </w:p>
    <w:p w14:paraId="61950A5A" w14:textId="7011A418" w:rsidR="007248B0" w:rsidRDefault="00B527F4" w:rsidP="004B2A0B">
      <w:pPr>
        <w:spacing w:line="276" w:lineRule="auto"/>
        <w:jc w:val="both"/>
        <w:rPr>
          <w:rFonts w:ascii="Aptos Serif" w:hAnsi="Aptos Serif" w:cs="Aptos Serif"/>
          <w:sz w:val="22"/>
          <w:szCs w:val="22"/>
        </w:rPr>
      </w:pPr>
      <w:r w:rsidRPr="00B527F4">
        <w:rPr>
          <w:rFonts w:ascii="Aptos Serif" w:hAnsi="Aptos Serif" w:cs="Aptos Serif"/>
          <w:sz w:val="22"/>
          <w:szCs w:val="22"/>
        </w:rPr>
        <w:t xml:space="preserve">Za przełomowy w kontekście związków osób tej samej płci powinien zostać uznany wyrok </w:t>
      </w:r>
      <w:r w:rsidR="00665E14">
        <w:rPr>
          <w:rFonts w:ascii="Aptos Serif" w:hAnsi="Aptos Serif" w:cs="Aptos Serif"/>
          <w:sz w:val="22"/>
          <w:szCs w:val="22"/>
        </w:rPr>
        <w:br/>
      </w:r>
      <w:r w:rsidRPr="00B527F4">
        <w:rPr>
          <w:rFonts w:ascii="Aptos Serif" w:hAnsi="Aptos Serif" w:cs="Aptos Serif"/>
          <w:sz w:val="22"/>
          <w:szCs w:val="22"/>
        </w:rPr>
        <w:t>w spraw</w:t>
      </w:r>
      <w:r>
        <w:rPr>
          <w:rFonts w:ascii="Aptos Serif" w:hAnsi="Aptos Serif" w:cs="Aptos Serif"/>
          <w:sz w:val="22"/>
          <w:szCs w:val="22"/>
        </w:rPr>
        <w:t>ie</w:t>
      </w:r>
      <w:r w:rsidRPr="00B527F4">
        <w:rPr>
          <w:rFonts w:ascii="Aptos Serif" w:hAnsi="Aptos Serif" w:cs="Aptos Serif"/>
          <w:sz w:val="22"/>
          <w:szCs w:val="22"/>
        </w:rPr>
        <w:t xml:space="preserve"> </w:t>
      </w:r>
      <w:r w:rsidRPr="00EA77F6">
        <w:rPr>
          <w:rFonts w:ascii="Aptos Serif" w:hAnsi="Aptos Serif" w:cs="Aptos Serif"/>
          <w:i/>
          <w:iCs/>
          <w:sz w:val="22"/>
          <w:szCs w:val="22"/>
          <w:u w:val="single"/>
        </w:rPr>
        <w:t>Oliari i Inni przeciwko Włochom</w:t>
      </w:r>
      <w:r w:rsidR="00EA77F6">
        <w:rPr>
          <w:rFonts w:ascii="Aptos Serif" w:hAnsi="Aptos Serif" w:cs="Aptos Serif"/>
          <w:i/>
          <w:iCs/>
          <w:sz w:val="22"/>
          <w:szCs w:val="22"/>
          <w:u w:val="single"/>
        </w:rPr>
        <w:t xml:space="preserve"> </w:t>
      </w:r>
      <w:r w:rsidR="00EA77F6" w:rsidRPr="00EA77F6">
        <w:rPr>
          <w:rFonts w:ascii="Aptos Serif" w:hAnsi="Aptos Serif" w:cs="Aptos Serif"/>
          <w:sz w:val="22"/>
          <w:szCs w:val="22"/>
        </w:rPr>
        <w:t>z 2015 r.</w:t>
      </w:r>
      <w:r w:rsidRPr="00EA77F6">
        <w:rPr>
          <w:rFonts w:ascii="Aptos Serif" w:hAnsi="Aptos Serif" w:cs="Aptos Serif"/>
          <w:sz w:val="22"/>
          <w:szCs w:val="22"/>
        </w:rPr>
        <w:t>,</w:t>
      </w:r>
      <w:r w:rsidRPr="00B527F4">
        <w:rPr>
          <w:rFonts w:ascii="Aptos Serif" w:hAnsi="Aptos Serif" w:cs="Aptos Serif"/>
          <w:sz w:val="22"/>
          <w:szCs w:val="22"/>
        </w:rPr>
        <w:t xml:space="preserve"> </w:t>
      </w:r>
      <w:r>
        <w:rPr>
          <w:rFonts w:ascii="Aptos Serif" w:hAnsi="Aptos Serif" w:cs="Aptos Serif"/>
          <w:sz w:val="22"/>
          <w:szCs w:val="22"/>
        </w:rPr>
        <w:t xml:space="preserve">w której </w:t>
      </w:r>
      <w:r w:rsidR="005A4331">
        <w:rPr>
          <w:rFonts w:ascii="Aptos Serif" w:hAnsi="Aptos Serif" w:cs="Aptos Serif"/>
          <w:sz w:val="22"/>
          <w:szCs w:val="22"/>
        </w:rPr>
        <w:t>S</w:t>
      </w:r>
      <w:r w:rsidRPr="00B527F4">
        <w:rPr>
          <w:rFonts w:ascii="Aptos Serif" w:hAnsi="Aptos Serif" w:cs="Aptos Serif"/>
          <w:sz w:val="22"/>
          <w:szCs w:val="22"/>
        </w:rPr>
        <w:t>karżący deklarowali zamiar wejścia w związek małżeński i zwrócili się do organów włoskich o wydanie odpowiednich dokumentów. Te odrzuciły wnioski, powołując się na brzmienie włoskich przepisów kodeksu cywilnego, uznającego, że do zawarcia małżeństwa konieczna jest odmienność płci nupturientów.</w:t>
      </w:r>
      <w:r w:rsidRPr="00B527F4">
        <w:t xml:space="preserve"> </w:t>
      </w:r>
      <w:r w:rsidRPr="00B527F4">
        <w:rPr>
          <w:rFonts w:ascii="Aptos Serif" w:hAnsi="Aptos Serif" w:cs="Aptos Serif"/>
          <w:sz w:val="22"/>
          <w:szCs w:val="22"/>
        </w:rPr>
        <w:t>Trybunał potwierdził swoje dotychczasowe stanowisko, uznając, że związki osób tej samej płci wymagają prawnego uznania i ochrony, gdyż są w równym stopniu zdolne do wchodzenia w stabilne relacje, jak pary płci przeciwnej</w:t>
      </w:r>
      <w:r>
        <w:rPr>
          <w:rFonts w:ascii="Aptos Serif" w:hAnsi="Aptos Serif" w:cs="Aptos Serif"/>
          <w:sz w:val="22"/>
          <w:szCs w:val="22"/>
        </w:rPr>
        <w:t xml:space="preserve"> oraz </w:t>
      </w:r>
      <w:r w:rsidRPr="00B527F4">
        <w:rPr>
          <w:rFonts w:ascii="Aptos Serif" w:hAnsi="Aptos Serif" w:cs="Aptos Serif"/>
          <w:sz w:val="22"/>
          <w:szCs w:val="22"/>
        </w:rPr>
        <w:t>uznał, że zmiana prawa poprzez zapewnienie związkom partnerskim pewnej formy prawnego uznania pozwoliłaby odpowiedzieć na istniejące zapotrzebowanie społeczne</w:t>
      </w:r>
      <w:r>
        <w:rPr>
          <w:rFonts w:ascii="Aptos Serif" w:hAnsi="Aptos Serif" w:cs="Aptos Serif"/>
          <w:sz w:val="22"/>
          <w:szCs w:val="22"/>
        </w:rPr>
        <w:t xml:space="preserve">. Do momentu wydania wyroku </w:t>
      </w:r>
      <w:r w:rsidRPr="00045576">
        <w:rPr>
          <w:rFonts w:ascii="Aptos Serif" w:hAnsi="Aptos Serif" w:cs="Aptos Serif"/>
          <w:i/>
          <w:iCs/>
          <w:sz w:val="22"/>
          <w:szCs w:val="22"/>
        </w:rPr>
        <w:t>Fedotova i Inni przeciwko Rosji</w:t>
      </w:r>
      <w:r w:rsidR="00045576" w:rsidRPr="00045576">
        <w:rPr>
          <w:rFonts w:ascii="Aptos Serif" w:hAnsi="Aptos Serif" w:cs="Aptos Serif"/>
          <w:sz w:val="22"/>
          <w:szCs w:val="22"/>
        </w:rPr>
        <w:t xml:space="preserve"> </w:t>
      </w:r>
      <w:r w:rsidR="00045576">
        <w:rPr>
          <w:rFonts w:ascii="Aptos Serif" w:hAnsi="Aptos Serif" w:cs="Aptos Serif"/>
          <w:sz w:val="22"/>
          <w:szCs w:val="22"/>
        </w:rPr>
        <w:t>k</w:t>
      </w:r>
      <w:r w:rsidR="00045576" w:rsidRPr="00045576">
        <w:rPr>
          <w:rFonts w:ascii="Aptos Serif" w:hAnsi="Aptos Serif" w:cs="Aptos Serif"/>
          <w:sz w:val="22"/>
          <w:szCs w:val="22"/>
        </w:rPr>
        <w:t xml:space="preserve">westia, czy inne </w:t>
      </w:r>
      <w:r w:rsidR="00045576">
        <w:rPr>
          <w:rFonts w:ascii="Aptos Serif" w:hAnsi="Aptos Serif" w:cs="Aptos Serif"/>
          <w:sz w:val="22"/>
          <w:szCs w:val="22"/>
        </w:rPr>
        <w:t xml:space="preserve">państwa-strony </w:t>
      </w:r>
      <w:r w:rsidR="00045576" w:rsidRPr="00045576">
        <w:rPr>
          <w:rFonts w:ascii="Aptos Serif" w:hAnsi="Aptos Serif" w:cs="Aptos Serif"/>
          <w:sz w:val="22"/>
          <w:szCs w:val="22"/>
        </w:rPr>
        <w:t>były również zobowiązane do prawnego uznania</w:t>
      </w:r>
      <w:r w:rsidR="00045576">
        <w:rPr>
          <w:rFonts w:ascii="Aptos Serif" w:hAnsi="Aptos Serif" w:cs="Aptos Serif"/>
          <w:sz w:val="22"/>
          <w:szCs w:val="22"/>
        </w:rPr>
        <w:t xml:space="preserve"> związków osób tej samej płci</w:t>
      </w:r>
      <w:r w:rsidR="00045576" w:rsidRPr="00045576">
        <w:rPr>
          <w:rFonts w:ascii="Aptos Serif" w:hAnsi="Aptos Serif" w:cs="Aptos Serif"/>
          <w:sz w:val="22"/>
          <w:szCs w:val="22"/>
        </w:rPr>
        <w:t>, pozosta</w:t>
      </w:r>
      <w:r w:rsidR="007248B0">
        <w:rPr>
          <w:rFonts w:ascii="Aptos Serif" w:hAnsi="Aptos Serif" w:cs="Aptos Serif"/>
          <w:sz w:val="22"/>
          <w:szCs w:val="22"/>
        </w:rPr>
        <w:t>wa</w:t>
      </w:r>
      <w:r w:rsidR="00045576" w:rsidRPr="00045576">
        <w:rPr>
          <w:rFonts w:ascii="Aptos Serif" w:hAnsi="Aptos Serif" w:cs="Aptos Serif"/>
          <w:sz w:val="22"/>
          <w:szCs w:val="22"/>
        </w:rPr>
        <w:t>ła otwarta.</w:t>
      </w:r>
      <w:r w:rsidR="00045576">
        <w:rPr>
          <w:rFonts w:ascii="Aptos Serif" w:hAnsi="Aptos Serif" w:cs="Aptos Serif"/>
          <w:sz w:val="22"/>
          <w:szCs w:val="22"/>
        </w:rPr>
        <w:t xml:space="preserve"> </w:t>
      </w:r>
    </w:p>
    <w:p w14:paraId="5EBEB984" w14:textId="47420512" w:rsidR="00D01B95" w:rsidRDefault="00FF4651" w:rsidP="004B2A0B">
      <w:pPr>
        <w:spacing w:line="276" w:lineRule="auto"/>
        <w:jc w:val="both"/>
        <w:rPr>
          <w:rFonts w:ascii="Aptos Serif" w:hAnsi="Aptos Serif" w:cs="Aptos Serif"/>
          <w:sz w:val="22"/>
          <w:szCs w:val="22"/>
        </w:rPr>
      </w:pPr>
      <w:r w:rsidRPr="00FF4651">
        <w:rPr>
          <w:rFonts w:ascii="Aptos Serif" w:hAnsi="Aptos Serif" w:cs="Aptos Serif"/>
          <w:sz w:val="22"/>
          <w:szCs w:val="22"/>
        </w:rPr>
        <w:t xml:space="preserve">Wyrok w sprawach połączonych </w:t>
      </w:r>
      <w:r w:rsidRPr="003F049F">
        <w:rPr>
          <w:rFonts w:ascii="Aptos Serif" w:hAnsi="Aptos Serif" w:cs="Aptos Serif"/>
          <w:i/>
          <w:iCs/>
          <w:sz w:val="22"/>
          <w:szCs w:val="22"/>
          <w:u w:val="single"/>
        </w:rPr>
        <w:t>Fedotova i Inni przeciwko Rosji</w:t>
      </w:r>
      <w:r>
        <w:rPr>
          <w:rFonts w:ascii="Aptos Serif" w:hAnsi="Aptos Serif" w:cs="Aptos Serif"/>
          <w:i/>
          <w:iCs/>
          <w:sz w:val="22"/>
          <w:szCs w:val="22"/>
        </w:rPr>
        <w:t xml:space="preserve"> </w:t>
      </w:r>
      <w:r w:rsidRPr="00FF4651">
        <w:rPr>
          <w:rFonts w:ascii="Aptos Serif" w:hAnsi="Aptos Serif" w:cs="Aptos Serif"/>
          <w:sz w:val="22"/>
          <w:szCs w:val="22"/>
        </w:rPr>
        <w:t>z 2023 r</w:t>
      </w:r>
      <w:r>
        <w:rPr>
          <w:rFonts w:ascii="Aptos Serif" w:hAnsi="Aptos Serif" w:cs="Aptos Serif"/>
          <w:i/>
          <w:iCs/>
          <w:sz w:val="22"/>
          <w:szCs w:val="22"/>
        </w:rPr>
        <w:t>.</w:t>
      </w:r>
      <w:r w:rsidRPr="00FF4651">
        <w:rPr>
          <w:rFonts w:ascii="Aptos Serif" w:hAnsi="Aptos Serif" w:cs="Aptos Serif"/>
          <w:sz w:val="22"/>
          <w:szCs w:val="22"/>
        </w:rPr>
        <w:t xml:space="preserve">, jest podsumowaniem ewolucji, jaką przeszła interpretacja art. 8 </w:t>
      </w:r>
      <w:r w:rsidR="00EA77F6">
        <w:rPr>
          <w:rFonts w:ascii="Aptos Serif" w:hAnsi="Aptos Serif" w:cs="Aptos Serif"/>
          <w:sz w:val="22"/>
          <w:szCs w:val="22"/>
        </w:rPr>
        <w:t xml:space="preserve">Konwencji </w:t>
      </w:r>
      <w:r w:rsidRPr="00FF4651">
        <w:rPr>
          <w:rFonts w:ascii="Aptos Serif" w:hAnsi="Aptos Serif" w:cs="Aptos Serif"/>
          <w:sz w:val="22"/>
          <w:szCs w:val="22"/>
        </w:rPr>
        <w:t xml:space="preserve">w kontekście standardu ochrony związków osób tej samej płci. Do momentu wydania wyroku kwestią </w:t>
      </w:r>
      <w:r w:rsidRPr="00FF4651">
        <w:rPr>
          <w:rFonts w:ascii="Aptos Serif" w:hAnsi="Aptos Serif" w:cs="Aptos Serif"/>
          <w:sz w:val="22"/>
          <w:szCs w:val="22"/>
        </w:rPr>
        <w:lastRenderedPageBreak/>
        <w:t xml:space="preserve">niejednoznaczną pozostawało, czy pozytywny obowiązek zapewnienia jakiejkolwiek prawnej formy uznania relacji między osobami tej samej płci spoczywa na państwach stronach, </w:t>
      </w:r>
      <w:r w:rsidR="00393F34">
        <w:rPr>
          <w:rFonts w:ascii="Aptos Serif" w:hAnsi="Aptos Serif" w:cs="Aptos Serif"/>
          <w:sz w:val="22"/>
          <w:szCs w:val="22"/>
        </w:rPr>
        <w:br/>
      </w:r>
      <w:r w:rsidRPr="00FF4651">
        <w:rPr>
          <w:rFonts w:ascii="Aptos Serif" w:hAnsi="Aptos Serif" w:cs="Aptos Serif"/>
          <w:sz w:val="22"/>
          <w:szCs w:val="22"/>
        </w:rPr>
        <w:t xml:space="preserve">w których występują okoliczności podobne do wyroku w </w:t>
      </w:r>
      <w:r>
        <w:rPr>
          <w:rFonts w:ascii="Aptos Serif" w:hAnsi="Aptos Serif" w:cs="Aptos Serif"/>
          <w:sz w:val="22"/>
          <w:szCs w:val="22"/>
        </w:rPr>
        <w:t xml:space="preserve">sprawie </w:t>
      </w:r>
      <w:r w:rsidRPr="00FF4651">
        <w:rPr>
          <w:rFonts w:ascii="Aptos Serif" w:hAnsi="Aptos Serif" w:cs="Aptos Serif"/>
          <w:i/>
          <w:iCs/>
          <w:sz w:val="22"/>
          <w:szCs w:val="22"/>
        </w:rPr>
        <w:t>Oliari i Inni przeciwko Włochom</w:t>
      </w:r>
      <w:r w:rsidRPr="00FF4651">
        <w:rPr>
          <w:rFonts w:ascii="Aptos Serif" w:hAnsi="Aptos Serif" w:cs="Aptos Serif"/>
          <w:sz w:val="22"/>
          <w:szCs w:val="22"/>
        </w:rPr>
        <w:t>, czy też nie. Wyrok w spraw</w:t>
      </w:r>
      <w:r>
        <w:rPr>
          <w:rFonts w:ascii="Aptos Serif" w:hAnsi="Aptos Serif" w:cs="Aptos Serif"/>
          <w:sz w:val="22"/>
          <w:szCs w:val="22"/>
        </w:rPr>
        <w:t xml:space="preserve">ie </w:t>
      </w:r>
      <w:r w:rsidRPr="001E4B8A">
        <w:rPr>
          <w:rFonts w:ascii="Aptos Serif" w:hAnsi="Aptos Serif" w:cs="Aptos Serif"/>
          <w:i/>
          <w:iCs/>
          <w:sz w:val="22"/>
          <w:szCs w:val="22"/>
        </w:rPr>
        <w:t>Fedotova i Inni przeciwko Rosji</w:t>
      </w:r>
      <w:r w:rsidRPr="00FF4651">
        <w:rPr>
          <w:rFonts w:ascii="Aptos Serif" w:hAnsi="Aptos Serif" w:cs="Aptos Serif"/>
          <w:sz w:val="22"/>
          <w:szCs w:val="22"/>
        </w:rPr>
        <w:t>, jest przełomowy, gdyż rozwiewa te wątpliwości.</w:t>
      </w:r>
      <w:r>
        <w:rPr>
          <w:rFonts w:ascii="Aptos Serif" w:hAnsi="Aptos Serif" w:cs="Aptos Serif"/>
          <w:sz w:val="22"/>
          <w:szCs w:val="22"/>
        </w:rPr>
        <w:t xml:space="preserve"> </w:t>
      </w:r>
      <w:r w:rsidR="007248B0">
        <w:rPr>
          <w:rFonts w:ascii="Aptos Serif" w:hAnsi="Aptos Serif" w:cs="Aptos Serif"/>
          <w:sz w:val="22"/>
          <w:szCs w:val="22"/>
        </w:rPr>
        <w:t xml:space="preserve">W </w:t>
      </w:r>
      <w:r>
        <w:rPr>
          <w:rFonts w:ascii="Aptos Serif" w:hAnsi="Aptos Serif" w:cs="Aptos Serif"/>
          <w:sz w:val="22"/>
          <w:szCs w:val="22"/>
        </w:rPr>
        <w:t xml:space="preserve">tej </w:t>
      </w:r>
      <w:r w:rsidR="007248B0">
        <w:rPr>
          <w:rFonts w:ascii="Aptos Serif" w:hAnsi="Aptos Serif" w:cs="Aptos Serif"/>
          <w:sz w:val="22"/>
          <w:szCs w:val="22"/>
        </w:rPr>
        <w:t xml:space="preserve">sprawie </w:t>
      </w:r>
      <w:r w:rsidR="005A4331">
        <w:rPr>
          <w:rFonts w:ascii="Aptos Serif" w:hAnsi="Aptos Serif" w:cs="Aptos Serif"/>
          <w:sz w:val="22"/>
          <w:szCs w:val="22"/>
        </w:rPr>
        <w:t>S</w:t>
      </w:r>
      <w:r w:rsidR="007248B0">
        <w:rPr>
          <w:rFonts w:ascii="Aptos Serif" w:hAnsi="Aptos Serif" w:cs="Aptos Serif"/>
          <w:sz w:val="22"/>
          <w:szCs w:val="22"/>
        </w:rPr>
        <w:t xml:space="preserve">karżący podnieśli, że </w:t>
      </w:r>
      <w:r w:rsidR="007248B0" w:rsidRPr="007248B0">
        <w:rPr>
          <w:rFonts w:ascii="Aptos Serif" w:hAnsi="Aptos Serif" w:cs="Aptos Serif"/>
          <w:sz w:val="22"/>
          <w:szCs w:val="22"/>
        </w:rPr>
        <w:t xml:space="preserve">brak prawnego uznania łączących partnerów relacji </w:t>
      </w:r>
      <w:r w:rsidR="007248B0">
        <w:rPr>
          <w:rFonts w:ascii="Aptos Serif" w:hAnsi="Aptos Serif" w:cs="Aptos Serif"/>
          <w:sz w:val="22"/>
          <w:szCs w:val="22"/>
        </w:rPr>
        <w:t xml:space="preserve">w prawie rosyjskim </w:t>
      </w:r>
      <w:r w:rsidR="007248B0" w:rsidRPr="007248B0">
        <w:rPr>
          <w:rFonts w:ascii="Aptos Serif" w:hAnsi="Aptos Serif" w:cs="Aptos Serif"/>
          <w:sz w:val="22"/>
          <w:szCs w:val="22"/>
        </w:rPr>
        <w:t>uderza w prawo do poszanowania ich życia rodzinnego, a sami partnerzy mają utrudniony dostęp do programów mieszkaniowych oraz finansowych.</w:t>
      </w:r>
      <w:r w:rsidR="00665E14">
        <w:rPr>
          <w:rFonts w:ascii="Aptos Serif" w:hAnsi="Aptos Serif" w:cs="Aptos Serif"/>
          <w:sz w:val="22"/>
          <w:szCs w:val="22"/>
        </w:rPr>
        <w:t xml:space="preserve"> </w:t>
      </w:r>
      <w:r w:rsidR="007248B0" w:rsidRPr="007248B0">
        <w:rPr>
          <w:rFonts w:ascii="Aptos Serif" w:hAnsi="Aptos Serif" w:cs="Aptos Serif"/>
          <w:sz w:val="22"/>
          <w:szCs w:val="22"/>
        </w:rPr>
        <w:t xml:space="preserve">Ponadto brak jakiejkolwiek formy prawnej utrudnia partnerom wizyty </w:t>
      </w:r>
      <w:r w:rsidR="00393F34">
        <w:rPr>
          <w:rFonts w:ascii="Aptos Serif" w:hAnsi="Aptos Serif" w:cs="Aptos Serif"/>
          <w:sz w:val="22"/>
          <w:szCs w:val="22"/>
        </w:rPr>
        <w:br/>
      </w:r>
      <w:r w:rsidR="007248B0" w:rsidRPr="007248B0">
        <w:rPr>
          <w:rFonts w:ascii="Aptos Serif" w:hAnsi="Aptos Serif" w:cs="Aptos Serif"/>
          <w:sz w:val="22"/>
          <w:szCs w:val="22"/>
        </w:rPr>
        <w:t>w placówkach zdrowia, odmowę składania zeznań przeciwko partnerowi w postępowaniu karnym czy kwestie dziedziczenia.</w:t>
      </w:r>
      <w:r w:rsidR="007248B0">
        <w:rPr>
          <w:rFonts w:ascii="Aptos Serif" w:hAnsi="Aptos Serif" w:cs="Aptos Serif"/>
          <w:sz w:val="22"/>
          <w:szCs w:val="22"/>
        </w:rPr>
        <w:t xml:space="preserve"> </w:t>
      </w:r>
      <w:r w:rsidR="00D01B95">
        <w:rPr>
          <w:rFonts w:ascii="Aptos Serif" w:hAnsi="Aptos Serif" w:cs="Aptos Serif"/>
          <w:sz w:val="22"/>
          <w:szCs w:val="22"/>
        </w:rPr>
        <w:t xml:space="preserve">Trybunał uznał wówczas, </w:t>
      </w:r>
      <w:r w:rsidR="00D01B95" w:rsidRPr="00D01B95">
        <w:rPr>
          <w:rFonts w:ascii="Aptos Serif" w:hAnsi="Aptos Serif" w:cs="Aptos Serif"/>
          <w:sz w:val="22"/>
          <w:szCs w:val="22"/>
        </w:rPr>
        <w:t xml:space="preserve">że zgodnie z pozytywnym obowiązkiem wynikającym z art. 8 </w:t>
      </w:r>
      <w:r w:rsidR="00D01B95">
        <w:rPr>
          <w:rFonts w:ascii="Aptos Serif" w:hAnsi="Aptos Serif" w:cs="Aptos Serif"/>
          <w:sz w:val="22"/>
          <w:szCs w:val="22"/>
        </w:rPr>
        <w:t>Konwencji</w:t>
      </w:r>
      <w:r w:rsidR="00D01B95" w:rsidRPr="00D01B95">
        <w:rPr>
          <w:rFonts w:ascii="Aptos Serif" w:hAnsi="Aptos Serif" w:cs="Aptos Serif"/>
          <w:sz w:val="22"/>
          <w:szCs w:val="22"/>
        </w:rPr>
        <w:t xml:space="preserve">, jej państwa strony są zobowiązane do zapewnienia ram prawnych umożliwiających parom tej samej płci odpowiednie uznanie </w:t>
      </w:r>
      <w:r w:rsidR="00393F34">
        <w:rPr>
          <w:rFonts w:ascii="Aptos Serif" w:hAnsi="Aptos Serif" w:cs="Aptos Serif"/>
          <w:sz w:val="22"/>
          <w:szCs w:val="22"/>
        </w:rPr>
        <w:br/>
      </w:r>
      <w:r w:rsidR="00D01B95" w:rsidRPr="00D01B95">
        <w:rPr>
          <w:rFonts w:ascii="Aptos Serif" w:hAnsi="Aptos Serif" w:cs="Aptos Serif"/>
          <w:sz w:val="22"/>
          <w:szCs w:val="22"/>
        </w:rPr>
        <w:t xml:space="preserve">i ochronę ich związków. Taka interpretacja art. 8 </w:t>
      </w:r>
      <w:r w:rsidR="00EA77F6">
        <w:rPr>
          <w:rFonts w:ascii="Aptos Serif" w:hAnsi="Aptos Serif" w:cs="Aptos Serif"/>
          <w:sz w:val="22"/>
          <w:szCs w:val="22"/>
        </w:rPr>
        <w:t xml:space="preserve">Konwencji </w:t>
      </w:r>
      <w:r w:rsidR="00D01B95" w:rsidRPr="00D01B95">
        <w:rPr>
          <w:rFonts w:ascii="Aptos Serif" w:hAnsi="Aptos Serif" w:cs="Aptos Serif"/>
          <w:sz w:val="22"/>
          <w:szCs w:val="22"/>
        </w:rPr>
        <w:t xml:space="preserve">stanowi bowiem skuteczną formę ochrony życia prywatnego i rodzinnego osób homoseksualnych i jest zgodna </w:t>
      </w:r>
      <w:r w:rsidR="00393F34">
        <w:rPr>
          <w:rFonts w:ascii="Aptos Serif" w:hAnsi="Aptos Serif" w:cs="Aptos Serif"/>
          <w:sz w:val="22"/>
          <w:szCs w:val="22"/>
        </w:rPr>
        <w:br/>
      </w:r>
      <w:r w:rsidR="00D01B95" w:rsidRPr="00D01B95">
        <w:rPr>
          <w:rFonts w:ascii="Aptos Serif" w:hAnsi="Aptos Serif" w:cs="Aptos Serif"/>
          <w:sz w:val="22"/>
          <w:szCs w:val="22"/>
        </w:rPr>
        <w:t>z wartościami społeczeństwa demokratycznego, jakimi są pluralizm, tolerancja i otwartość.</w:t>
      </w:r>
      <w:r w:rsidR="00D01B95">
        <w:rPr>
          <w:rFonts w:ascii="Aptos Serif" w:hAnsi="Aptos Serif" w:cs="Aptos Serif"/>
          <w:sz w:val="22"/>
          <w:szCs w:val="22"/>
        </w:rPr>
        <w:t xml:space="preserve"> </w:t>
      </w:r>
      <w:r w:rsidR="00D01B95" w:rsidRPr="00D01B95">
        <w:rPr>
          <w:rFonts w:ascii="Aptos Serif" w:hAnsi="Aptos Serif" w:cs="Aptos Serif"/>
          <w:sz w:val="22"/>
          <w:szCs w:val="22"/>
        </w:rPr>
        <w:t xml:space="preserve">Trybunał nie zmienił przy tym swojego ugruntowanego podejścia w kontekście marginesu oceny, jaką mają państwa w zapewnieniu prawnego uznania związków osób tej samej płci. Margines oceny </w:t>
      </w:r>
      <w:r w:rsidR="003F049F" w:rsidRPr="00D01B95">
        <w:rPr>
          <w:rFonts w:ascii="Aptos Serif" w:hAnsi="Aptos Serif" w:cs="Aptos Serif"/>
          <w:sz w:val="22"/>
          <w:szCs w:val="22"/>
        </w:rPr>
        <w:t>jest,</w:t>
      </w:r>
      <w:r w:rsidR="00D01B95" w:rsidRPr="00D01B95">
        <w:rPr>
          <w:rFonts w:ascii="Aptos Serif" w:hAnsi="Aptos Serif" w:cs="Aptos Serif"/>
          <w:sz w:val="22"/>
          <w:szCs w:val="22"/>
        </w:rPr>
        <w:t xml:space="preserve"> jednakże ograniczony tym, by forma prawnego uznania nie była iluzoryczna, lecz gwarantowała praktyczne poszanowanie praw osób homoseksualnych. Osoby te posiadają bowiem podstawowe potrzeby, a pary jednopłciowe znajdują się </w:t>
      </w:r>
      <w:r w:rsidR="00393F34">
        <w:rPr>
          <w:rFonts w:ascii="Aptos Serif" w:hAnsi="Aptos Serif" w:cs="Aptos Serif"/>
          <w:sz w:val="22"/>
          <w:szCs w:val="22"/>
        </w:rPr>
        <w:br/>
      </w:r>
      <w:r w:rsidR="00D01B95" w:rsidRPr="00D01B95">
        <w:rPr>
          <w:rFonts w:ascii="Aptos Serif" w:hAnsi="Aptos Serif" w:cs="Aptos Serif"/>
          <w:sz w:val="22"/>
          <w:szCs w:val="22"/>
        </w:rPr>
        <w:t xml:space="preserve">w podobnej sytuacji jak pary różnopłciowe, jeśli chodzi o potrzebę formalnego uznania </w:t>
      </w:r>
      <w:r w:rsidR="00393F34">
        <w:rPr>
          <w:rFonts w:ascii="Aptos Serif" w:hAnsi="Aptos Serif" w:cs="Aptos Serif"/>
          <w:sz w:val="22"/>
          <w:szCs w:val="22"/>
        </w:rPr>
        <w:br/>
      </w:r>
      <w:r w:rsidR="00D01B95" w:rsidRPr="00D01B95">
        <w:rPr>
          <w:rFonts w:ascii="Aptos Serif" w:hAnsi="Aptos Serif" w:cs="Aptos Serif"/>
          <w:sz w:val="22"/>
          <w:szCs w:val="22"/>
        </w:rPr>
        <w:t>i ochrony ich związku</w:t>
      </w:r>
      <w:r w:rsidR="00D01B95">
        <w:rPr>
          <w:rFonts w:ascii="Aptos Serif" w:hAnsi="Aptos Serif" w:cs="Aptos Serif"/>
          <w:sz w:val="22"/>
          <w:szCs w:val="22"/>
        </w:rPr>
        <w:t>.</w:t>
      </w:r>
      <w:r w:rsidR="00D01B95">
        <w:rPr>
          <w:rStyle w:val="Odwoanieprzypisudolnego"/>
          <w:rFonts w:ascii="Aptos Serif" w:hAnsi="Aptos Serif" w:cs="Aptos Serif"/>
          <w:sz w:val="22"/>
          <w:szCs w:val="22"/>
        </w:rPr>
        <w:footnoteReference w:id="4"/>
      </w:r>
    </w:p>
    <w:p w14:paraId="10BB279D" w14:textId="77777777" w:rsidR="0010374C" w:rsidRPr="009040AA" w:rsidRDefault="0010374C" w:rsidP="004B2A0B">
      <w:pPr>
        <w:spacing w:line="276" w:lineRule="auto"/>
        <w:jc w:val="both"/>
        <w:rPr>
          <w:rFonts w:ascii="Aptos Serif" w:hAnsi="Aptos Serif" w:cs="Aptos Serif"/>
          <w:sz w:val="22"/>
          <w:szCs w:val="22"/>
          <w:u w:val="single"/>
        </w:rPr>
      </w:pPr>
    </w:p>
    <w:p w14:paraId="73402CF9" w14:textId="77666D8B" w:rsidR="00C21841" w:rsidRPr="009040AA" w:rsidRDefault="0048439D" w:rsidP="0037175F">
      <w:pPr>
        <w:spacing w:line="276" w:lineRule="auto"/>
        <w:jc w:val="center"/>
        <w:rPr>
          <w:rFonts w:ascii="Aptos Serif" w:hAnsi="Aptos Serif" w:cs="Aptos Serif"/>
          <w:b/>
          <w:bCs/>
          <w:color w:val="CC9900"/>
          <w:sz w:val="22"/>
          <w:szCs w:val="22"/>
          <w:u w:val="single"/>
        </w:rPr>
      </w:pPr>
      <w:r w:rsidRPr="009040AA">
        <w:rPr>
          <w:rFonts w:ascii="Aptos Serif" w:hAnsi="Aptos Serif" w:cs="Aptos Serif"/>
          <w:b/>
          <w:bCs/>
          <w:color w:val="CC9900"/>
          <w:sz w:val="22"/>
          <w:szCs w:val="22"/>
          <w:u w:val="single"/>
        </w:rPr>
        <w:t>Wpływ wyroków ETPC na prawo krajowe</w:t>
      </w:r>
      <w:r w:rsidR="0010374C" w:rsidRPr="009040AA">
        <w:rPr>
          <w:rFonts w:ascii="Aptos Serif" w:hAnsi="Aptos Serif" w:cs="Aptos Serif"/>
          <w:b/>
          <w:bCs/>
          <w:color w:val="CC9900"/>
          <w:sz w:val="22"/>
          <w:szCs w:val="22"/>
          <w:u w:val="single"/>
        </w:rPr>
        <w:t xml:space="preserve"> w zakresie ochrony praw osób ze społeczności LGBT+</w:t>
      </w:r>
    </w:p>
    <w:p w14:paraId="2A937E71" w14:textId="178ED712" w:rsidR="0037175F" w:rsidRDefault="0048439D" w:rsidP="0037175F">
      <w:pPr>
        <w:spacing w:line="276" w:lineRule="auto"/>
        <w:jc w:val="both"/>
        <w:rPr>
          <w:rFonts w:ascii="Aptos Serif" w:hAnsi="Aptos Serif" w:cs="Aptos Serif"/>
          <w:sz w:val="22"/>
          <w:szCs w:val="22"/>
        </w:rPr>
      </w:pPr>
      <w:r>
        <w:rPr>
          <w:rFonts w:ascii="Aptos Serif" w:hAnsi="Aptos Serif" w:cs="Aptos Serif"/>
          <w:sz w:val="22"/>
          <w:szCs w:val="22"/>
        </w:rPr>
        <w:t>W</w:t>
      </w:r>
      <w:r w:rsidR="008568C4" w:rsidRPr="008568C4">
        <w:rPr>
          <w:rFonts w:ascii="Aptos Serif" w:hAnsi="Aptos Serif" w:cs="Aptos Serif"/>
          <w:sz w:val="22"/>
          <w:szCs w:val="22"/>
        </w:rPr>
        <w:t xml:space="preserve">krótce po wydaniu wyroku w sprawie </w:t>
      </w:r>
      <w:r w:rsidR="008568C4" w:rsidRPr="00B50A78">
        <w:rPr>
          <w:rFonts w:ascii="Aptos Serif" w:hAnsi="Aptos Serif" w:cs="Aptos Serif"/>
          <w:i/>
          <w:iCs/>
          <w:sz w:val="22"/>
          <w:szCs w:val="22"/>
        </w:rPr>
        <w:t>Vallianatos</w:t>
      </w:r>
      <w:r w:rsidR="008568C4" w:rsidRPr="008568C4">
        <w:rPr>
          <w:rFonts w:ascii="Aptos Serif" w:hAnsi="Aptos Serif" w:cs="Aptos Serif"/>
          <w:sz w:val="22"/>
          <w:szCs w:val="22"/>
        </w:rPr>
        <w:t xml:space="preserve">, </w:t>
      </w:r>
      <w:r w:rsidR="008568C4">
        <w:rPr>
          <w:rFonts w:ascii="Aptos Serif" w:hAnsi="Aptos Serif" w:cs="Aptos Serif"/>
          <w:sz w:val="22"/>
          <w:szCs w:val="22"/>
        </w:rPr>
        <w:t xml:space="preserve">greckie ustawodawstwo </w:t>
      </w:r>
      <w:r w:rsidR="008568C4" w:rsidRPr="008568C4">
        <w:rPr>
          <w:rFonts w:ascii="Aptos Serif" w:hAnsi="Aptos Serif" w:cs="Aptos Serif"/>
          <w:sz w:val="22"/>
          <w:szCs w:val="22"/>
        </w:rPr>
        <w:t>rozszerzył</w:t>
      </w:r>
      <w:r w:rsidR="008568C4">
        <w:rPr>
          <w:rFonts w:ascii="Aptos Serif" w:hAnsi="Aptos Serif" w:cs="Aptos Serif"/>
          <w:sz w:val="22"/>
          <w:szCs w:val="22"/>
        </w:rPr>
        <w:t>o</w:t>
      </w:r>
      <w:r w:rsidR="008568C4" w:rsidRPr="008568C4">
        <w:rPr>
          <w:rFonts w:ascii="Aptos Serif" w:hAnsi="Aptos Serif" w:cs="Aptos Serif"/>
          <w:sz w:val="22"/>
          <w:szCs w:val="22"/>
        </w:rPr>
        <w:t xml:space="preserve"> system związków partnerskich na pary tej samej płci. Podobny ruch wykonał</w:t>
      </w:r>
      <w:r>
        <w:rPr>
          <w:rFonts w:ascii="Aptos Serif" w:hAnsi="Aptos Serif" w:cs="Aptos Serif"/>
          <w:sz w:val="22"/>
          <w:szCs w:val="22"/>
        </w:rPr>
        <w:t>o</w:t>
      </w:r>
      <w:r w:rsidR="008568C4" w:rsidRPr="008568C4">
        <w:rPr>
          <w:rFonts w:ascii="Aptos Serif" w:hAnsi="Aptos Serif" w:cs="Aptos Serif"/>
          <w:sz w:val="22"/>
          <w:szCs w:val="22"/>
        </w:rPr>
        <w:t xml:space="preserve"> włoski</w:t>
      </w:r>
      <w:r>
        <w:rPr>
          <w:rFonts w:ascii="Aptos Serif" w:hAnsi="Aptos Serif" w:cs="Aptos Serif"/>
          <w:sz w:val="22"/>
          <w:szCs w:val="22"/>
        </w:rPr>
        <w:t>e</w:t>
      </w:r>
      <w:r w:rsidR="008568C4" w:rsidRPr="008568C4">
        <w:rPr>
          <w:rFonts w:ascii="Aptos Serif" w:hAnsi="Aptos Serif" w:cs="Aptos Serif"/>
          <w:sz w:val="22"/>
          <w:szCs w:val="22"/>
        </w:rPr>
        <w:t xml:space="preserve"> ustawodaw</w:t>
      </w:r>
      <w:r>
        <w:rPr>
          <w:rFonts w:ascii="Aptos Serif" w:hAnsi="Aptos Serif" w:cs="Aptos Serif"/>
          <w:sz w:val="22"/>
          <w:szCs w:val="22"/>
        </w:rPr>
        <w:t>stwo po wyroku w sprawie</w:t>
      </w:r>
      <w:r w:rsidR="008568C4" w:rsidRPr="008568C4">
        <w:rPr>
          <w:rFonts w:ascii="Aptos Serif" w:hAnsi="Aptos Serif" w:cs="Aptos Serif"/>
          <w:sz w:val="22"/>
          <w:szCs w:val="22"/>
        </w:rPr>
        <w:t xml:space="preserve"> </w:t>
      </w:r>
      <w:r w:rsidR="008568C4" w:rsidRPr="00B50A78">
        <w:rPr>
          <w:rFonts w:ascii="Aptos Serif" w:hAnsi="Aptos Serif" w:cs="Aptos Serif"/>
          <w:i/>
          <w:iCs/>
          <w:sz w:val="22"/>
          <w:szCs w:val="22"/>
        </w:rPr>
        <w:t>Oliari</w:t>
      </w:r>
      <w:r w:rsidR="008568C4" w:rsidRPr="008568C4">
        <w:rPr>
          <w:rFonts w:ascii="Aptos Serif" w:hAnsi="Aptos Serif" w:cs="Aptos Serif"/>
          <w:sz w:val="22"/>
          <w:szCs w:val="22"/>
        </w:rPr>
        <w:t>. Niecały rok później pary tej samej płci we Włoszech mogły zawierać związki partnerskie</w:t>
      </w:r>
      <w:r w:rsidR="00505A2A">
        <w:rPr>
          <w:rFonts w:ascii="Aptos Serif" w:hAnsi="Aptos Serif" w:cs="Aptos Serif"/>
          <w:sz w:val="22"/>
          <w:szCs w:val="22"/>
        </w:rPr>
        <w:t xml:space="preserve">. </w:t>
      </w:r>
      <w:r w:rsidR="008568C4" w:rsidRPr="008568C4">
        <w:rPr>
          <w:rFonts w:ascii="Aptos Serif" w:hAnsi="Aptos Serif" w:cs="Aptos Serif"/>
          <w:sz w:val="22"/>
          <w:szCs w:val="22"/>
        </w:rPr>
        <w:t>W Ukrainie rząd wprowadził system związków partnerskich otwarty dla par tej samej płci, choć nie jest jasne, kiedy zostanie on przyjęty</w:t>
      </w:r>
      <w:r>
        <w:rPr>
          <w:rFonts w:ascii="Aptos Serif" w:hAnsi="Aptos Serif" w:cs="Aptos Serif"/>
          <w:sz w:val="22"/>
          <w:szCs w:val="22"/>
        </w:rPr>
        <w:t>.</w:t>
      </w:r>
      <w:r w:rsidR="007C7FF8">
        <w:rPr>
          <w:rFonts w:ascii="Aptos Serif" w:hAnsi="Aptos Serif" w:cs="Aptos Serif"/>
          <w:sz w:val="22"/>
          <w:szCs w:val="22"/>
        </w:rPr>
        <w:t xml:space="preserve"> </w:t>
      </w:r>
      <w:r w:rsidR="008568C4" w:rsidRPr="008568C4">
        <w:rPr>
          <w:rFonts w:ascii="Aptos Serif" w:hAnsi="Aptos Serif" w:cs="Aptos Serif"/>
          <w:sz w:val="22"/>
          <w:szCs w:val="22"/>
        </w:rPr>
        <w:t xml:space="preserve">Taka inicjatywa była już w toku, gdy </w:t>
      </w:r>
      <w:r w:rsidR="001E4B8A">
        <w:rPr>
          <w:rFonts w:ascii="Aptos Serif" w:hAnsi="Aptos Serif" w:cs="Aptos Serif"/>
          <w:sz w:val="22"/>
          <w:szCs w:val="22"/>
        </w:rPr>
        <w:t xml:space="preserve">Trybunał </w:t>
      </w:r>
      <w:r w:rsidR="008568C4" w:rsidRPr="008568C4">
        <w:rPr>
          <w:rFonts w:ascii="Aptos Serif" w:hAnsi="Aptos Serif" w:cs="Aptos Serif"/>
          <w:sz w:val="22"/>
          <w:szCs w:val="22"/>
        </w:rPr>
        <w:t xml:space="preserve">wydał wyrok w sprawie </w:t>
      </w:r>
      <w:r w:rsidR="008568C4" w:rsidRPr="0048439D">
        <w:rPr>
          <w:rFonts w:ascii="Aptos Serif" w:hAnsi="Aptos Serif" w:cs="Aptos Serif"/>
          <w:i/>
          <w:iCs/>
          <w:sz w:val="22"/>
          <w:szCs w:val="22"/>
        </w:rPr>
        <w:t>Majmulachin i Markiw</w:t>
      </w:r>
      <w:r w:rsidR="008568C4" w:rsidRPr="008568C4">
        <w:rPr>
          <w:rFonts w:ascii="Aptos Serif" w:hAnsi="Aptos Serif" w:cs="Aptos Serif"/>
          <w:sz w:val="22"/>
          <w:szCs w:val="22"/>
        </w:rPr>
        <w:t>.</w:t>
      </w:r>
      <w:r>
        <w:rPr>
          <w:rFonts w:ascii="Aptos Serif" w:hAnsi="Aptos Serif" w:cs="Aptos Serif"/>
          <w:sz w:val="22"/>
          <w:szCs w:val="22"/>
        </w:rPr>
        <w:t xml:space="preserve"> </w:t>
      </w:r>
      <w:r w:rsidR="008568C4" w:rsidRPr="008568C4">
        <w:rPr>
          <w:rFonts w:ascii="Aptos Serif" w:hAnsi="Aptos Serif" w:cs="Aptos Serif"/>
          <w:sz w:val="22"/>
          <w:szCs w:val="22"/>
        </w:rPr>
        <w:t xml:space="preserve">To, czy wyroki ETPC mogły pomóc w </w:t>
      </w:r>
      <w:r w:rsidR="00041FE4">
        <w:rPr>
          <w:rFonts w:ascii="Aptos Serif" w:hAnsi="Aptos Serif" w:cs="Aptos Serif"/>
          <w:sz w:val="22"/>
          <w:szCs w:val="22"/>
        </w:rPr>
        <w:t>rozwoju</w:t>
      </w:r>
      <w:r w:rsidR="008568C4" w:rsidRPr="008568C4">
        <w:rPr>
          <w:rFonts w:ascii="Aptos Serif" w:hAnsi="Aptos Serif" w:cs="Aptos Serif"/>
          <w:sz w:val="22"/>
          <w:szCs w:val="22"/>
        </w:rPr>
        <w:t xml:space="preserve"> takiego ustawodawstwa, ostatecznie nadając status prawny parom tej samej płci, zależy od gotowości rządów krajowych do poparcia takich zmian. </w:t>
      </w:r>
      <w:r w:rsidRPr="0048439D">
        <w:rPr>
          <w:rFonts w:ascii="Aptos Serif" w:hAnsi="Aptos Serif" w:cs="Aptos Serif"/>
          <w:sz w:val="22"/>
          <w:szCs w:val="22"/>
        </w:rPr>
        <w:t xml:space="preserve">Głównym powodem bezczynności niektórych </w:t>
      </w:r>
      <w:r w:rsidR="000D6C25">
        <w:rPr>
          <w:rFonts w:ascii="Aptos Serif" w:hAnsi="Aptos Serif" w:cs="Aptos Serif"/>
          <w:sz w:val="22"/>
          <w:szCs w:val="22"/>
        </w:rPr>
        <w:t>p</w:t>
      </w:r>
      <w:r w:rsidRPr="0048439D">
        <w:rPr>
          <w:rFonts w:ascii="Aptos Serif" w:hAnsi="Aptos Serif" w:cs="Aptos Serif"/>
          <w:sz w:val="22"/>
          <w:szCs w:val="22"/>
        </w:rPr>
        <w:t>aństw w kwestii legalizacji związków osób tej samej płci jest raczej ogólny problem ETPC: brak skutecznego mechanizmu, który wymagałby od państw wdrożenia jego wyroków.</w:t>
      </w:r>
      <w:r w:rsidR="00270C5B">
        <w:rPr>
          <w:rStyle w:val="Odwoanieprzypisudolnego"/>
          <w:rFonts w:ascii="Aptos Serif" w:hAnsi="Aptos Serif" w:cs="Aptos Serif"/>
          <w:sz w:val="22"/>
          <w:szCs w:val="22"/>
        </w:rPr>
        <w:footnoteReference w:id="5"/>
      </w:r>
      <w:r w:rsidRPr="0048439D">
        <w:rPr>
          <w:rFonts w:ascii="Aptos Serif" w:hAnsi="Aptos Serif" w:cs="Aptos Serif"/>
          <w:sz w:val="22"/>
          <w:szCs w:val="22"/>
        </w:rPr>
        <w:t xml:space="preserve"> W</w:t>
      </w:r>
      <w:r w:rsidR="00CB13B7">
        <w:rPr>
          <w:rFonts w:ascii="Aptos Serif" w:hAnsi="Aptos Serif" w:cs="Aptos Serif"/>
          <w:sz w:val="22"/>
          <w:szCs w:val="22"/>
        </w:rPr>
        <w:t xml:space="preserve"> przeciwieństwie do T</w:t>
      </w:r>
      <w:r w:rsidR="004561AD">
        <w:rPr>
          <w:rFonts w:ascii="Aptos Serif" w:hAnsi="Aptos Serif" w:cs="Aptos Serif"/>
          <w:sz w:val="22"/>
          <w:szCs w:val="22"/>
        </w:rPr>
        <w:t>rybunału Sprawiedliwości Unii Europejskiej</w:t>
      </w:r>
      <w:r w:rsidR="00CB13B7">
        <w:rPr>
          <w:rFonts w:ascii="Aptos Serif" w:hAnsi="Aptos Serif" w:cs="Aptos Serif"/>
          <w:sz w:val="22"/>
          <w:szCs w:val="22"/>
        </w:rPr>
        <w:t xml:space="preserve">, </w:t>
      </w:r>
      <w:r w:rsidR="004561AD">
        <w:rPr>
          <w:rFonts w:ascii="Aptos Serif" w:hAnsi="Aptos Serif" w:cs="Aptos Serif"/>
          <w:sz w:val="22"/>
          <w:szCs w:val="22"/>
        </w:rPr>
        <w:t xml:space="preserve">ETPC </w:t>
      </w:r>
      <w:r w:rsidR="00CB13B7">
        <w:rPr>
          <w:rFonts w:ascii="Aptos Serif" w:hAnsi="Aptos Serif" w:cs="Aptos Serif"/>
          <w:sz w:val="22"/>
          <w:szCs w:val="22"/>
        </w:rPr>
        <w:t xml:space="preserve">nie dysponuje mechanizmem nakładania grzywien na państwa za niewłaściwe lub wybiórcze wdrażanie </w:t>
      </w:r>
      <w:r w:rsidR="004561AD">
        <w:rPr>
          <w:rFonts w:ascii="Aptos Serif" w:hAnsi="Aptos Serif" w:cs="Aptos Serif"/>
          <w:sz w:val="22"/>
          <w:szCs w:val="22"/>
        </w:rPr>
        <w:t xml:space="preserve">jego </w:t>
      </w:r>
      <w:r w:rsidR="00CB13B7">
        <w:rPr>
          <w:rFonts w:ascii="Aptos Serif" w:hAnsi="Aptos Serif" w:cs="Aptos Serif"/>
          <w:sz w:val="22"/>
          <w:szCs w:val="22"/>
        </w:rPr>
        <w:t>wyroków</w:t>
      </w:r>
      <w:r w:rsidR="004561AD">
        <w:rPr>
          <w:rFonts w:ascii="Aptos Serif" w:hAnsi="Aptos Serif" w:cs="Aptos Serif"/>
          <w:sz w:val="22"/>
          <w:szCs w:val="22"/>
        </w:rPr>
        <w:t xml:space="preserve"> do prawa krajowego. </w:t>
      </w:r>
    </w:p>
    <w:p w14:paraId="382BF699" w14:textId="77777777" w:rsidR="004561AD" w:rsidRDefault="004561AD" w:rsidP="0037175F">
      <w:pPr>
        <w:spacing w:line="276" w:lineRule="auto"/>
        <w:jc w:val="both"/>
        <w:rPr>
          <w:rFonts w:ascii="Aptos Serif" w:hAnsi="Aptos Serif" w:cs="Aptos Serif"/>
          <w:sz w:val="22"/>
          <w:szCs w:val="22"/>
        </w:rPr>
      </w:pPr>
    </w:p>
    <w:p w14:paraId="5CB68046" w14:textId="05179BB2" w:rsidR="00C21841" w:rsidRPr="009040AA" w:rsidRDefault="0010374C" w:rsidP="0037175F">
      <w:pPr>
        <w:spacing w:line="276" w:lineRule="auto"/>
        <w:jc w:val="center"/>
        <w:rPr>
          <w:rFonts w:ascii="Aptos Serif" w:hAnsi="Aptos Serif" w:cs="Aptos Serif"/>
          <w:b/>
          <w:bCs/>
          <w:color w:val="196B24" w:themeColor="accent3"/>
          <w:sz w:val="22"/>
          <w:szCs w:val="22"/>
          <w:u w:val="single"/>
        </w:rPr>
      </w:pPr>
      <w:r w:rsidRPr="009040AA">
        <w:rPr>
          <w:rFonts w:ascii="Aptos Serif" w:hAnsi="Aptos Serif" w:cs="Aptos Serif"/>
          <w:b/>
          <w:bCs/>
          <w:color w:val="196B24" w:themeColor="accent3"/>
          <w:sz w:val="22"/>
          <w:szCs w:val="22"/>
          <w:u w:val="single"/>
        </w:rPr>
        <w:t>Margines uznania</w:t>
      </w:r>
    </w:p>
    <w:p w14:paraId="126EEB9E" w14:textId="3CAF2FAE" w:rsidR="0048439D" w:rsidRDefault="006740DD" w:rsidP="004B2A0B">
      <w:pPr>
        <w:spacing w:line="276" w:lineRule="auto"/>
        <w:jc w:val="both"/>
        <w:rPr>
          <w:rFonts w:ascii="Aptos Serif" w:hAnsi="Aptos Serif" w:cs="Aptos Serif"/>
          <w:sz w:val="22"/>
          <w:szCs w:val="22"/>
        </w:rPr>
      </w:pPr>
      <w:r w:rsidRPr="006740DD">
        <w:rPr>
          <w:rFonts w:ascii="Aptos Serif" w:hAnsi="Aptos Serif" w:cs="Aptos Serif"/>
          <w:sz w:val="22"/>
          <w:szCs w:val="22"/>
        </w:rPr>
        <w:t xml:space="preserve">Trybunał </w:t>
      </w:r>
      <w:r>
        <w:rPr>
          <w:rFonts w:ascii="Aptos Serif" w:hAnsi="Aptos Serif" w:cs="Aptos Serif"/>
          <w:sz w:val="22"/>
          <w:szCs w:val="22"/>
        </w:rPr>
        <w:t xml:space="preserve">na przestrzeni lat </w:t>
      </w:r>
      <w:r w:rsidRPr="006740DD">
        <w:rPr>
          <w:rFonts w:ascii="Aptos Serif" w:hAnsi="Aptos Serif" w:cs="Aptos Serif"/>
          <w:sz w:val="22"/>
          <w:szCs w:val="22"/>
        </w:rPr>
        <w:t xml:space="preserve">rozwinął doktrynę </w:t>
      </w:r>
      <w:r w:rsidRPr="006740DD">
        <w:rPr>
          <w:rFonts w:ascii="Aptos Serif" w:hAnsi="Aptos Serif" w:cs="Aptos Serif"/>
          <w:b/>
          <w:bCs/>
          <w:sz w:val="22"/>
          <w:szCs w:val="22"/>
        </w:rPr>
        <w:t>marginesu uznania</w:t>
      </w:r>
      <w:r w:rsidRPr="006740DD">
        <w:rPr>
          <w:rFonts w:ascii="Aptos Serif" w:hAnsi="Aptos Serif" w:cs="Aptos Serif"/>
          <w:sz w:val="22"/>
          <w:szCs w:val="22"/>
        </w:rPr>
        <w:t>, który przysługuje władzom krajowym w zakresie wypełniania zobowiązań wynikających z Konwencji. Doktryna ta odgrywa znaczącą rolę w orzecznictwie dyskryminacyjnym, jest bowiem jednym z elementów determinujących intensywność analizy testu proporcjonalności.</w:t>
      </w:r>
      <w:r>
        <w:rPr>
          <w:rFonts w:ascii="Aptos Serif" w:hAnsi="Aptos Serif" w:cs="Aptos Serif"/>
          <w:sz w:val="22"/>
          <w:szCs w:val="22"/>
        </w:rPr>
        <w:t xml:space="preserve"> </w:t>
      </w:r>
      <w:r w:rsidRPr="006740DD">
        <w:rPr>
          <w:rFonts w:ascii="Aptos Serif" w:hAnsi="Aptos Serif" w:cs="Aptos Serif"/>
          <w:sz w:val="22"/>
          <w:szCs w:val="22"/>
        </w:rPr>
        <w:t>Jeżeli w danej sprawie, zdaniem Trybunału, państwu przysługuje wąski margines swobody, „bardzo ważne powody” będą wymagane na uzasadnienie różnego traktowania, a analiza uzasadnienia będzie drobiazgowa i skrupulatna. Uzasadnienie rządu zostanie odrzucone, jeżeli nie będzie on w stanie udowodnić, iż cel, któremu miało służyć rozróżnienie, nie mógłby zostać osiągnięty za pomocą innych środków.</w:t>
      </w:r>
      <w:r>
        <w:rPr>
          <w:rFonts w:ascii="Aptos Serif" w:hAnsi="Aptos Serif" w:cs="Aptos Serif"/>
          <w:sz w:val="22"/>
          <w:szCs w:val="22"/>
        </w:rPr>
        <w:t xml:space="preserve"> </w:t>
      </w:r>
      <w:r w:rsidRPr="006740DD">
        <w:rPr>
          <w:rFonts w:ascii="Aptos Serif" w:hAnsi="Aptos Serif" w:cs="Aptos Serif"/>
          <w:sz w:val="22"/>
          <w:szCs w:val="22"/>
        </w:rPr>
        <w:t xml:space="preserve">W praktyce Trybunał najczęściej ma do czynienia z licznymi przypadkami pośrednimi, a sam margines uznania nie jest niezmienny i przeważnie wraz z ewolucją prawa i obyczajów ulega stopniowemu zawężeniu. Wiele jednak zależy od okoliczności, charakteru naruszonego prawa i ciężaru gatunkowego naruszenia, co szczególnie widać na przykładzie orzecznictwa dotyczącego osób homoseksualnych </w:t>
      </w:r>
      <w:r w:rsidR="00393F34">
        <w:rPr>
          <w:rFonts w:ascii="Aptos Serif" w:hAnsi="Aptos Serif" w:cs="Aptos Serif"/>
          <w:sz w:val="22"/>
          <w:szCs w:val="22"/>
        </w:rPr>
        <w:br/>
      </w:r>
      <w:r w:rsidRPr="006740DD">
        <w:rPr>
          <w:rFonts w:ascii="Aptos Serif" w:hAnsi="Aptos Serif" w:cs="Aptos Serif"/>
          <w:sz w:val="22"/>
          <w:szCs w:val="22"/>
        </w:rPr>
        <w:t>i transseksualnych. Na przykład Trybunał uznaje wolność wypowiedzi i wolność zgromadzania się osób homoseksualnych za szczególnie ważne dla prawidłowego funkcjonowania demokracji.</w:t>
      </w:r>
      <w:r>
        <w:rPr>
          <w:rFonts w:ascii="Aptos Serif" w:hAnsi="Aptos Serif" w:cs="Aptos Serif"/>
          <w:sz w:val="22"/>
          <w:szCs w:val="22"/>
        </w:rPr>
        <w:t xml:space="preserve"> </w:t>
      </w:r>
      <w:r w:rsidRPr="006740DD">
        <w:rPr>
          <w:rFonts w:ascii="Aptos Serif" w:hAnsi="Aptos Serif" w:cs="Aptos Serif"/>
          <w:sz w:val="22"/>
          <w:szCs w:val="22"/>
        </w:rPr>
        <w:t xml:space="preserve">Z kolei, jeśli w grę wchodzi prawo do poszanowania życia rodzinnego, ochrona konwencyjna będzie </w:t>
      </w:r>
      <w:r w:rsidR="00F548AA" w:rsidRPr="006740DD">
        <w:rPr>
          <w:rFonts w:ascii="Aptos Serif" w:hAnsi="Aptos Serif" w:cs="Aptos Serif"/>
          <w:sz w:val="22"/>
          <w:szCs w:val="22"/>
        </w:rPr>
        <w:t>silniejsza</w:t>
      </w:r>
      <w:r w:rsidRPr="006740DD">
        <w:rPr>
          <w:rFonts w:ascii="Aptos Serif" w:hAnsi="Aptos Serif" w:cs="Aptos Serif"/>
          <w:sz w:val="22"/>
          <w:szCs w:val="22"/>
        </w:rPr>
        <w:t xml:space="preserve"> niż w przypadku prawa do prywatności.</w:t>
      </w:r>
    </w:p>
    <w:p w14:paraId="0458ED72" w14:textId="77777777" w:rsidR="005D7AFF" w:rsidRPr="009040AA" w:rsidRDefault="005D7AFF" w:rsidP="00437A70">
      <w:pPr>
        <w:spacing w:line="276" w:lineRule="auto"/>
        <w:jc w:val="center"/>
        <w:rPr>
          <w:rFonts w:ascii="Aptos Serif" w:hAnsi="Aptos Serif" w:cs="Aptos Serif"/>
          <w:sz w:val="22"/>
          <w:szCs w:val="22"/>
          <w:u w:val="single"/>
        </w:rPr>
      </w:pPr>
    </w:p>
    <w:p w14:paraId="721D4413" w14:textId="64BFB0EB" w:rsidR="007E4477" w:rsidRPr="0037175F" w:rsidRDefault="00437A70" w:rsidP="0037175F">
      <w:pPr>
        <w:spacing w:line="276" w:lineRule="auto"/>
        <w:jc w:val="center"/>
        <w:rPr>
          <w:rFonts w:ascii="Aptos Serif" w:hAnsi="Aptos Serif" w:cs="Aptos Serif"/>
          <w:b/>
          <w:bCs/>
          <w:color w:val="215E99" w:themeColor="text2" w:themeTint="BF"/>
          <w:sz w:val="22"/>
          <w:szCs w:val="22"/>
          <w:u w:val="single"/>
        </w:rPr>
      </w:pPr>
      <w:r w:rsidRPr="009040AA">
        <w:rPr>
          <w:rFonts w:ascii="Aptos Serif" w:hAnsi="Aptos Serif" w:cs="Aptos Serif"/>
          <w:b/>
          <w:bCs/>
          <w:color w:val="215E99" w:themeColor="text2" w:themeTint="BF"/>
          <w:sz w:val="22"/>
          <w:szCs w:val="22"/>
          <w:u w:val="single"/>
        </w:rPr>
        <w:t>Orzecznictwo ETPC w sprawach osób ze społeczności LGBT+ w sprawach polskich</w:t>
      </w:r>
    </w:p>
    <w:p w14:paraId="2156D66B" w14:textId="77777777" w:rsidR="009626D6" w:rsidRPr="00B524E1" w:rsidRDefault="009626D6" w:rsidP="009626D6">
      <w:pPr>
        <w:spacing w:after="0" w:line="276" w:lineRule="auto"/>
        <w:jc w:val="center"/>
        <w:rPr>
          <w:rFonts w:ascii="Aptos Serif" w:hAnsi="Aptos Serif" w:cs="Aptos Serif"/>
          <w:b/>
          <w:bCs/>
          <w:sz w:val="22"/>
          <w:szCs w:val="22"/>
        </w:rPr>
      </w:pPr>
      <w:r w:rsidRPr="00B524E1">
        <w:rPr>
          <w:rFonts w:ascii="Aptos Serif" w:hAnsi="Aptos Serif" w:cs="Aptos Serif"/>
          <w:b/>
          <w:bCs/>
          <w:sz w:val="22"/>
          <w:szCs w:val="22"/>
        </w:rPr>
        <w:t>Bączkowski i inni przeciwko Polsce</w:t>
      </w:r>
    </w:p>
    <w:p w14:paraId="1B6C7AB9" w14:textId="77777777" w:rsidR="009626D6" w:rsidRPr="00B524E1" w:rsidRDefault="009626D6" w:rsidP="009626D6">
      <w:pPr>
        <w:spacing w:line="276" w:lineRule="auto"/>
        <w:jc w:val="center"/>
        <w:rPr>
          <w:rFonts w:ascii="Aptos Serif" w:hAnsi="Aptos Serif" w:cs="Aptos Serif"/>
          <w:sz w:val="22"/>
          <w:szCs w:val="22"/>
        </w:rPr>
      </w:pPr>
      <w:r w:rsidRPr="00B524E1">
        <w:rPr>
          <w:rFonts w:ascii="Aptos Serif" w:hAnsi="Aptos Serif" w:cs="Aptos Serif"/>
          <w:sz w:val="22"/>
          <w:szCs w:val="22"/>
        </w:rPr>
        <w:t>(</w:t>
      </w:r>
      <w:r w:rsidRPr="00B524E1">
        <w:rPr>
          <w:rFonts w:ascii="Aptos Serif" w:hAnsi="Aptos Serif" w:cs="Aptos Serif"/>
          <w:i/>
          <w:iCs/>
          <w:sz w:val="22"/>
          <w:szCs w:val="22"/>
        </w:rPr>
        <w:t xml:space="preserve">skarga nr 1543/06, wyrok z dnia </w:t>
      </w:r>
      <w:r w:rsidRPr="00B524E1">
        <w:rPr>
          <w:rFonts w:ascii="Aptos Serif" w:hAnsi="Aptos Serif" w:cs="Aptos Serif"/>
          <w:sz w:val="22"/>
          <w:szCs w:val="22"/>
        </w:rPr>
        <w:t>3 maja 2007 r.)</w:t>
      </w:r>
    </w:p>
    <w:p w14:paraId="2BACD95C" w14:textId="27C503CC" w:rsidR="009626D6" w:rsidRPr="009040AA" w:rsidRDefault="009626D6" w:rsidP="009626D6">
      <w:pPr>
        <w:spacing w:after="0" w:line="276" w:lineRule="auto"/>
        <w:jc w:val="both"/>
        <w:rPr>
          <w:rFonts w:ascii="Aptos Serif" w:hAnsi="Aptos Serif" w:cs="Aptos Serif"/>
          <w:sz w:val="22"/>
          <w:szCs w:val="22"/>
        </w:rPr>
      </w:pPr>
      <w:r w:rsidRPr="009040AA">
        <w:rPr>
          <w:rFonts w:ascii="Aptos Serif" w:hAnsi="Aptos Serif" w:cs="Aptos Serif"/>
          <w:sz w:val="22"/>
          <w:szCs w:val="22"/>
        </w:rPr>
        <w:t xml:space="preserve">Skarżącymi </w:t>
      </w:r>
      <w:r w:rsidR="00690248">
        <w:rPr>
          <w:rFonts w:ascii="Aptos Serif" w:hAnsi="Aptos Serif" w:cs="Aptos Serif"/>
          <w:sz w:val="22"/>
          <w:szCs w:val="22"/>
        </w:rPr>
        <w:t>była</w:t>
      </w:r>
      <w:r w:rsidRPr="009040AA">
        <w:rPr>
          <w:rFonts w:ascii="Aptos Serif" w:hAnsi="Aptos Serif" w:cs="Aptos Serif"/>
          <w:sz w:val="22"/>
          <w:szCs w:val="22"/>
        </w:rPr>
        <w:t xml:space="preserve"> Fundacja Równości i pięciu jej członków. Prowadzą oni kampanię na rzecz praw osób homoseksualnych. W 2005 roku władze lokalne odmówiły im zgody na zorganizowanie marszu ulicami Warszawy w celu podniesienia świadomości społecznej na temat dyskryminacji mniejszości, kobiet i osób niepełnosprawnych. Ostatecznie marsz i tak się odbył. Skarżący zarzucili, że ich prawo do pokojowych zgromadzeń zostało naruszone przez sposób, w jaki władze krajowe zastosowały odpowiednie przepisy prawa krajowego </w:t>
      </w:r>
      <w:r w:rsidR="00393F34">
        <w:rPr>
          <w:rFonts w:ascii="Aptos Serif" w:hAnsi="Aptos Serif" w:cs="Aptos Serif"/>
          <w:sz w:val="22"/>
          <w:szCs w:val="22"/>
        </w:rPr>
        <w:br/>
      </w:r>
      <w:r w:rsidRPr="009040AA">
        <w:rPr>
          <w:rFonts w:ascii="Aptos Serif" w:hAnsi="Aptos Serif" w:cs="Aptos Serif"/>
          <w:sz w:val="22"/>
          <w:szCs w:val="22"/>
        </w:rPr>
        <w:t>w ich sprawie. Skarżący zarzucili również, że nie mieli do dyspozycji żadnej procedury, która pozwoliłaby im uzyskać ostateczną decyzję przed datą planowanych demonstracji. Ponadto zarzucili, że zostali potraktowani w sposób dyskryminujący, ponieważ odmówiono im pozwolenia na zorganizowanie niektórych demonstracji, podczas gdy inni organizatorzy otrzymali pozwolenie.</w:t>
      </w:r>
    </w:p>
    <w:p w14:paraId="211B6335" w14:textId="4C2F7DEE" w:rsidR="009626D6" w:rsidRDefault="009626D6" w:rsidP="009626D6">
      <w:pPr>
        <w:spacing w:after="0" w:line="276" w:lineRule="auto"/>
        <w:jc w:val="both"/>
        <w:rPr>
          <w:rFonts w:ascii="Aptos Serif" w:hAnsi="Aptos Serif" w:cs="Aptos Serif"/>
          <w:sz w:val="22"/>
          <w:szCs w:val="22"/>
        </w:rPr>
      </w:pPr>
      <w:r w:rsidRPr="009040AA">
        <w:rPr>
          <w:rFonts w:ascii="Aptos Serif" w:hAnsi="Aptos Serif" w:cs="Aptos Serif"/>
          <w:sz w:val="22"/>
          <w:szCs w:val="22"/>
        </w:rPr>
        <w:t xml:space="preserve">Trybunał uznał, że doszło do naruszenia Artykułu 11 (wolność zgromadzeń), Artykułu 13 (prawo do skutecznego środka odwoławczego) w związku z Artykułem 11 oraz Artykułu 14 (zakaz dyskryminacji) w związku z Artykułem 11 Konwencji. Trybunał zauważył </w:t>
      </w:r>
      <w:r w:rsidR="00393F34">
        <w:rPr>
          <w:rFonts w:ascii="Aptos Serif" w:hAnsi="Aptos Serif" w:cs="Aptos Serif"/>
          <w:sz w:val="22"/>
          <w:szCs w:val="22"/>
        </w:rPr>
        <w:br/>
      </w:r>
      <w:r w:rsidRPr="009040AA">
        <w:rPr>
          <w:rFonts w:ascii="Aptos Serif" w:hAnsi="Aptos Serif" w:cs="Aptos Serif"/>
          <w:sz w:val="22"/>
          <w:szCs w:val="22"/>
        </w:rPr>
        <w:t xml:space="preserve">w szczególności, że chociaż prawdą było, że marsz ostatecznie się odbył, </w:t>
      </w:r>
      <w:r w:rsidR="005A4331">
        <w:rPr>
          <w:rFonts w:ascii="Aptos Serif" w:hAnsi="Aptos Serif" w:cs="Aptos Serif"/>
          <w:sz w:val="22"/>
          <w:szCs w:val="22"/>
        </w:rPr>
        <w:t>S</w:t>
      </w:r>
      <w:r w:rsidRPr="009040AA">
        <w:rPr>
          <w:rFonts w:ascii="Aptos Serif" w:hAnsi="Aptos Serif" w:cs="Aptos Serif"/>
          <w:sz w:val="22"/>
          <w:szCs w:val="22"/>
        </w:rPr>
        <w:t xml:space="preserve">karżący podjęli ryzyko, ponieważ nie został on wówczas oficjalnie zatwierdzony. Ponadto </w:t>
      </w:r>
      <w:r w:rsidR="005A4331">
        <w:rPr>
          <w:rFonts w:ascii="Aptos Serif" w:hAnsi="Aptos Serif" w:cs="Aptos Serif"/>
          <w:sz w:val="22"/>
          <w:szCs w:val="22"/>
        </w:rPr>
        <w:t>S</w:t>
      </w:r>
      <w:r w:rsidRPr="009040AA">
        <w:rPr>
          <w:rFonts w:ascii="Aptos Serif" w:hAnsi="Aptos Serif" w:cs="Aptos Serif"/>
          <w:sz w:val="22"/>
          <w:szCs w:val="22"/>
        </w:rPr>
        <w:t xml:space="preserve">karżący mieli jedynie dostępne środki odwoławcze </w:t>
      </w:r>
      <w:r w:rsidRPr="00690248">
        <w:rPr>
          <w:rFonts w:ascii="Aptos Serif" w:hAnsi="Aptos Serif" w:cs="Aptos Serif"/>
          <w:i/>
          <w:iCs/>
          <w:sz w:val="22"/>
          <w:szCs w:val="22"/>
        </w:rPr>
        <w:t>post hoc</w:t>
      </w:r>
      <w:r w:rsidRPr="009040AA">
        <w:rPr>
          <w:rFonts w:ascii="Aptos Serif" w:hAnsi="Aptos Serif" w:cs="Aptos Serif"/>
          <w:sz w:val="22"/>
          <w:szCs w:val="22"/>
        </w:rPr>
        <w:t xml:space="preserve"> w odniesieniu do decyzji odmawiających zgody na to wydarzenie. Wreszcie, można było racjonalnie przypuszczać, że prawdziwym powodem odmowy był sprzeciw władz lokalnych wobec homoseksualności.</w:t>
      </w:r>
    </w:p>
    <w:p w14:paraId="32B9EA1B" w14:textId="77777777" w:rsidR="009626D6" w:rsidRDefault="009626D6" w:rsidP="009626D6">
      <w:pPr>
        <w:spacing w:line="276" w:lineRule="auto"/>
        <w:rPr>
          <w:rFonts w:ascii="Aptos Serif" w:hAnsi="Aptos Serif" w:cs="Aptos Serif"/>
          <w:b/>
          <w:bCs/>
          <w:sz w:val="22"/>
          <w:szCs w:val="22"/>
          <w:u w:val="single"/>
        </w:rPr>
      </w:pPr>
    </w:p>
    <w:p w14:paraId="13D043AD" w14:textId="77777777" w:rsidR="009626D6" w:rsidRPr="00437A70" w:rsidRDefault="009626D6" w:rsidP="009626D6">
      <w:pPr>
        <w:spacing w:after="0" w:line="276" w:lineRule="auto"/>
        <w:jc w:val="center"/>
        <w:rPr>
          <w:rFonts w:ascii="Aptos Serif" w:hAnsi="Aptos Serif" w:cs="Aptos Serif"/>
          <w:b/>
          <w:bCs/>
          <w:sz w:val="22"/>
          <w:szCs w:val="22"/>
        </w:rPr>
      </w:pPr>
      <w:r w:rsidRPr="00437A70">
        <w:rPr>
          <w:rFonts w:ascii="Aptos Serif" w:hAnsi="Aptos Serif" w:cs="Aptos Serif"/>
          <w:b/>
          <w:bCs/>
          <w:sz w:val="22"/>
          <w:szCs w:val="22"/>
        </w:rPr>
        <w:t>Kozak przeciwko Polsce</w:t>
      </w:r>
    </w:p>
    <w:p w14:paraId="37C0EE7C" w14:textId="77777777" w:rsidR="009626D6" w:rsidRPr="00437A70" w:rsidRDefault="009626D6" w:rsidP="009626D6">
      <w:pPr>
        <w:spacing w:line="276" w:lineRule="auto"/>
        <w:jc w:val="center"/>
        <w:rPr>
          <w:rFonts w:ascii="Aptos Serif" w:hAnsi="Aptos Serif" w:cs="Aptos Serif"/>
          <w:sz w:val="22"/>
          <w:szCs w:val="22"/>
        </w:rPr>
      </w:pPr>
      <w:r>
        <w:rPr>
          <w:rFonts w:ascii="Aptos Serif" w:hAnsi="Aptos Serif" w:cs="Aptos Serif"/>
          <w:sz w:val="22"/>
          <w:szCs w:val="22"/>
        </w:rPr>
        <w:t>(s</w:t>
      </w:r>
      <w:r w:rsidRPr="00B524E1">
        <w:rPr>
          <w:rFonts w:ascii="Aptos Serif" w:hAnsi="Aptos Serif" w:cs="Aptos Serif"/>
          <w:i/>
          <w:iCs/>
          <w:sz w:val="22"/>
          <w:szCs w:val="22"/>
        </w:rPr>
        <w:t>karga nr 13102/02</w:t>
      </w:r>
      <w:r>
        <w:rPr>
          <w:rFonts w:ascii="Aptos Serif" w:hAnsi="Aptos Serif" w:cs="Aptos Serif"/>
          <w:i/>
          <w:iCs/>
          <w:sz w:val="22"/>
          <w:szCs w:val="22"/>
        </w:rPr>
        <w:t xml:space="preserve">, wyrok z dnia </w:t>
      </w:r>
      <w:r w:rsidRPr="00437A70">
        <w:rPr>
          <w:rFonts w:ascii="Aptos Serif" w:hAnsi="Aptos Serif" w:cs="Aptos Serif"/>
          <w:sz w:val="22"/>
          <w:szCs w:val="22"/>
        </w:rPr>
        <w:t>2 marca 2010 r.</w:t>
      </w:r>
      <w:r>
        <w:rPr>
          <w:rFonts w:ascii="Aptos Serif" w:hAnsi="Aptos Serif" w:cs="Aptos Serif"/>
          <w:sz w:val="22"/>
          <w:szCs w:val="22"/>
        </w:rPr>
        <w:t>)</w:t>
      </w:r>
    </w:p>
    <w:p w14:paraId="7F89CC15" w14:textId="3F31D729" w:rsidR="009626D6" w:rsidRPr="00437A70" w:rsidRDefault="009626D6" w:rsidP="009626D6">
      <w:pPr>
        <w:spacing w:after="0" w:line="276" w:lineRule="auto"/>
        <w:jc w:val="both"/>
        <w:rPr>
          <w:rFonts w:ascii="Aptos Serif" w:hAnsi="Aptos Serif" w:cs="Aptos Serif"/>
          <w:sz w:val="22"/>
          <w:szCs w:val="22"/>
        </w:rPr>
      </w:pPr>
      <w:r w:rsidRPr="00437A70">
        <w:rPr>
          <w:rFonts w:ascii="Aptos Serif" w:hAnsi="Aptos Serif" w:cs="Aptos Serif"/>
          <w:sz w:val="22"/>
          <w:szCs w:val="22"/>
        </w:rPr>
        <w:t xml:space="preserve">Po śmierci swojego homoseksualnego partnera </w:t>
      </w:r>
      <w:r w:rsidR="005A4331">
        <w:rPr>
          <w:rFonts w:ascii="Aptos Serif" w:hAnsi="Aptos Serif" w:cs="Aptos Serif"/>
          <w:sz w:val="22"/>
          <w:szCs w:val="22"/>
        </w:rPr>
        <w:t>S</w:t>
      </w:r>
      <w:r w:rsidRPr="00437A70">
        <w:rPr>
          <w:rFonts w:ascii="Aptos Serif" w:hAnsi="Aptos Serif" w:cs="Aptos Serif"/>
          <w:sz w:val="22"/>
          <w:szCs w:val="22"/>
        </w:rPr>
        <w:t xml:space="preserve">karżący wszczął postępowanie przeciwko gminie, twierdząc, że jest uprawniony do wstąpienia w stosunek najmu mieszkania komunalnego, które </w:t>
      </w:r>
      <w:r w:rsidR="001F3127">
        <w:rPr>
          <w:rFonts w:ascii="Aptos Serif" w:hAnsi="Aptos Serif" w:cs="Aptos Serif"/>
          <w:sz w:val="22"/>
          <w:szCs w:val="22"/>
        </w:rPr>
        <w:t xml:space="preserve">należało do </w:t>
      </w:r>
      <w:r w:rsidRPr="00437A70">
        <w:rPr>
          <w:rFonts w:ascii="Aptos Serif" w:hAnsi="Aptos Serif" w:cs="Aptos Serif"/>
          <w:sz w:val="22"/>
          <w:szCs w:val="22"/>
        </w:rPr>
        <w:t xml:space="preserve">jego partnera. Oddalając powództwo, polskie sądy stwierdziły, że </w:t>
      </w:r>
      <w:r w:rsidR="005A4331">
        <w:rPr>
          <w:rFonts w:ascii="Aptos Serif" w:hAnsi="Aptos Serif" w:cs="Aptos Serif"/>
          <w:sz w:val="22"/>
          <w:szCs w:val="22"/>
        </w:rPr>
        <w:t>S</w:t>
      </w:r>
      <w:r w:rsidRPr="00437A70">
        <w:rPr>
          <w:rFonts w:ascii="Aptos Serif" w:hAnsi="Aptos Serif" w:cs="Aptos Serif"/>
          <w:sz w:val="22"/>
          <w:szCs w:val="22"/>
        </w:rPr>
        <w:t>karżący wyprowadził się z mieszkania i zaprzestał płacenia czynszu przed śmiercią swojego partnera, a w każdym razie faktyczny związek małżeński, który był warunkiem wstępnym dziedziczenia najmu mieszkania komunalnego, mógł istnieć tylko między osobami przeciwnej płci.</w:t>
      </w:r>
    </w:p>
    <w:p w14:paraId="00266D46" w14:textId="49F467CF" w:rsidR="00A054EB" w:rsidRDefault="009626D6" w:rsidP="004D2F50">
      <w:pPr>
        <w:spacing w:line="276" w:lineRule="auto"/>
        <w:jc w:val="both"/>
        <w:rPr>
          <w:rFonts w:ascii="Aptos Serif" w:hAnsi="Aptos Serif" w:cs="Aptos Serif"/>
          <w:sz w:val="22"/>
          <w:szCs w:val="22"/>
        </w:rPr>
      </w:pPr>
      <w:r w:rsidRPr="00437A70">
        <w:rPr>
          <w:rFonts w:ascii="Aptos Serif" w:hAnsi="Aptos Serif" w:cs="Aptos Serif"/>
          <w:sz w:val="22"/>
          <w:szCs w:val="22"/>
        </w:rPr>
        <w:t xml:space="preserve">Trybunał orzekł, że doszło do naruszenia Artykułu 14 (zakaz dyskryminacji) w związku </w:t>
      </w:r>
      <w:r w:rsidR="00393F34">
        <w:rPr>
          <w:rFonts w:ascii="Aptos Serif" w:hAnsi="Aptos Serif" w:cs="Aptos Serif"/>
          <w:sz w:val="22"/>
          <w:szCs w:val="22"/>
        </w:rPr>
        <w:br/>
      </w:r>
      <w:r w:rsidRPr="00437A70">
        <w:rPr>
          <w:rFonts w:ascii="Aptos Serif" w:hAnsi="Aptos Serif" w:cs="Aptos Serif"/>
          <w:sz w:val="22"/>
          <w:szCs w:val="22"/>
        </w:rPr>
        <w:t xml:space="preserve">z Artykułem 8 (prawo do poszanowania </w:t>
      </w:r>
      <w:r w:rsidR="009200F9">
        <w:rPr>
          <w:rFonts w:ascii="Aptos Serif" w:hAnsi="Aptos Serif" w:cs="Aptos Serif"/>
          <w:sz w:val="22"/>
          <w:szCs w:val="22"/>
        </w:rPr>
        <w:t xml:space="preserve">życia prywatnego </w:t>
      </w:r>
      <w:r w:rsidRPr="00437A70">
        <w:rPr>
          <w:rFonts w:ascii="Aptos Serif" w:hAnsi="Aptos Serif" w:cs="Aptos Serif"/>
          <w:sz w:val="22"/>
          <w:szCs w:val="22"/>
        </w:rPr>
        <w:t xml:space="preserve">) Konwencji. Pomimo znaczenia uzasadnionego celu realizowanego w sprawie </w:t>
      </w:r>
      <w:r w:rsidR="005A4331">
        <w:rPr>
          <w:rFonts w:ascii="Aptos Serif" w:hAnsi="Aptos Serif" w:cs="Aptos Serif"/>
          <w:sz w:val="22"/>
          <w:szCs w:val="22"/>
        </w:rPr>
        <w:t>S</w:t>
      </w:r>
      <w:r w:rsidRPr="00437A70">
        <w:rPr>
          <w:rFonts w:ascii="Aptos Serif" w:hAnsi="Aptos Serif" w:cs="Aptos Serif"/>
          <w:sz w:val="22"/>
          <w:szCs w:val="22"/>
        </w:rPr>
        <w:t>karżące</w:t>
      </w:r>
      <w:r w:rsidR="001F3127">
        <w:rPr>
          <w:rFonts w:ascii="Aptos Serif" w:hAnsi="Aptos Serif" w:cs="Aptos Serif"/>
          <w:sz w:val="22"/>
          <w:szCs w:val="22"/>
        </w:rPr>
        <w:t>go</w:t>
      </w:r>
      <w:r w:rsidRPr="00437A70">
        <w:rPr>
          <w:rFonts w:ascii="Aptos Serif" w:hAnsi="Aptos Serif" w:cs="Aptos Serif"/>
          <w:sz w:val="22"/>
          <w:szCs w:val="22"/>
        </w:rPr>
        <w:t>, a mianowicie ochrony tradycyjnych rodzin, przy wyborze środków ochrony tego celu państwo musiało wziąć pod uwagę rozwój i zmiany w społeczeństwie, w tym fakt, że nie istniał tylko jeden sposób lub jeden wybór w sferze prowadzenia i życia rodzinnego i prywatnego. Biorąc pod uwagę wąski margines oceny państwa w przypadkach odmiennego traktowania ze względu na orientację seksualną, ogólne wykluczenie osób żyjących w związku homoseksualnym z dziedziczenia najmu nie mogło być uznane za dopuszczalne.</w:t>
      </w:r>
      <w:r>
        <w:rPr>
          <w:rFonts w:ascii="Aptos Serif" w:hAnsi="Aptos Serif" w:cs="Aptos Serif"/>
          <w:sz w:val="22"/>
          <w:szCs w:val="22"/>
        </w:rPr>
        <w:t xml:space="preserve"> Ponadto, </w:t>
      </w:r>
      <w:r w:rsidRPr="00EC5CFB">
        <w:rPr>
          <w:rFonts w:ascii="Aptos Serif" w:hAnsi="Aptos Serif" w:cs="Aptos Serif"/>
          <w:sz w:val="22"/>
          <w:szCs w:val="22"/>
        </w:rPr>
        <w:t xml:space="preserve">podkreślono, że orientacja seksualna jako jedna z najbardziej intymnych części życia prywatnego jest chroniona przez art. </w:t>
      </w:r>
      <w:r w:rsidR="009200F9">
        <w:rPr>
          <w:rFonts w:ascii="Aptos Serif" w:hAnsi="Aptos Serif" w:cs="Aptos Serif"/>
          <w:sz w:val="22"/>
          <w:szCs w:val="22"/>
        </w:rPr>
        <w:br/>
      </w:r>
      <w:r w:rsidRPr="00EC5CFB">
        <w:rPr>
          <w:rFonts w:ascii="Aptos Serif" w:hAnsi="Aptos Serif" w:cs="Aptos Serif"/>
          <w:sz w:val="22"/>
          <w:szCs w:val="22"/>
        </w:rPr>
        <w:t xml:space="preserve">8 Konwencji. Ponadto </w:t>
      </w:r>
      <w:r w:rsidR="004561AD">
        <w:rPr>
          <w:rFonts w:ascii="Aptos Serif" w:hAnsi="Aptos Serif" w:cs="Aptos Serif"/>
          <w:sz w:val="22"/>
          <w:szCs w:val="22"/>
        </w:rPr>
        <w:t>–</w:t>
      </w:r>
      <w:r w:rsidRPr="00EC5CFB">
        <w:rPr>
          <w:rFonts w:ascii="Aptos Serif" w:hAnsi="Aptos Serif" w:cs="Aptos Serif"/>
          <w:sz w:val="22"/>
          <w:szCs w:val="22"/>
        </w:rPr>
        <w:t xml:space="preserve"> zdaniem Trybunału </w:t>
      </w:r>
      <w:r w:rsidR="004561AD">
        <w:rPr>
          <w:rFonts w:ascii="Aptos Serif" w:hAnsi="Aptos Serif" w:cs="Aptos Serif"/>
          <w:sz w:val="22"/>
          <w:szCs w:val="22"/>
        </w:rPr>
        <w:t>–</w:t>
      </w:r>
      <w:r w:rsidRPr="00EC5CFB">
        <w:rPr>
          <w:rFonts w:ascii="Aptos Serif" w:hAnsi="Aptos Serif" w:cs="Aptos Serif"/>
          <w:sz w:val="22"/>
          <w:szCs w:val="22"/>
        </w:rPr>
        <w:t xml:space="preserve"> art. 14 Konwencji, obejmujący także orientację seksualną, chroni osoby pozostające w podobnym położeniu przed odmiennym traktowaniem, stosowanym bez obiektywnego i racjonalnego uzasadnienia. Trybunał zaznaczył, że podnoszona przez sądy polskie w sprawie będącej przedmiotem jego osądu ochrona rodziny w tradycyjnym sensie jest ważnym powodem mogącym uzasadniać różnice w traktowaniu, ale do tego celu państwo może zmierzać różnorodnymi środkami. Oznacza to, że państwo musi brać pod uwagę zmiany w postrzeganiu niektórych kwestii społecznych, łącznie z tym, że istnieje wybór w sferze sposobu realizacji życia prywatnego i rodzinnego. </w:t>
      </w:r>
      <w:r w:rsidR="009200F9">
        <w:rPr>
          <w:rFonts w:ascii="Aptos Serif" w:hAnsi="Aptos Serif" w:cs="Aptos Serif"/>
          <w:sz w:val="22"/>
          <w:szCs w:val="22"/>
        </w:rPr>
        <w:br/>
        <w:t>|</w:t>
      </w:r>
      <w:r w:rsidRPr="00EC5CFB">
        <w:rPr>
          <w:rFonts w:ascii="Aptos Serif" w:hAnsi="Aptos Serif" w:cs="Aptos Serif"/>
          <w:sz w:val="22"/>
          <w:szCs w:val="22"/>
        </w:rPr>
        <w:t>W konsekwencji Trybunał uznał, że uniemożliwienie osobom pozostającym w relacjach homoseksualnych wstąpienia w stosunek najmu nie jest konieczne do ochrony rodziny (</w:t>
      </w:r>
      <w:r w:rsidRPr="00EC5CFB">
        <w:rPr>
          <w:rFonts w:ascii="Aptos Serif" w:hAnsi="Aptos Serif" w:cs="Aptos Serif"/>
          <w:i/>
          <w:iCs/>
          <w:sz w:val="22"/>
          <w:szCs w:val="22"/>
        </w:rPr>
        <w:t>S. Karner przeciwko Austrii S.D. Burden przeciwko Wielkiej Brytanii</w:t>
      </w:r>
      <w:r w:rsidRPr="00EC5CFB">
        <w:rPr>
          <w:rFonts w:ascii="Aptos Serif" w:hAnsi="Aptos Serif" w:cs="Aptos Serif"/>
          <w:sz w:val="22"/>
          <w:szCs w:val="22"/>
        </w:rPr>
        <w:t>).</w:t>
      </w:r>
    </w:p>
    <w:p w14:paraId="00E60F12" w14:textId="77777777" w:rsidR="004D2F50" w:rsidRPr="004D2F50" w:rsidRDefault="004D2F50" w:rsidP="004D2F50">
      <w:pPr>
        <w:spacing w:line="276" w:lineRule="auto"/>
        <w:jc w:val="both"/>
        <w:rPr>
          <w:rFonts w:ascii="Aptos Serif" w:hAnsi="Aptos Serif" w:cs="Aptos Serif"/>
          <w:sz w:val="22"/>
          <w:szCs w:val="22"/>
        </w:rPr>
      </w:pPr>
    </w:p>
    <w:p w14:paraId="07C5E043" w14:textId="77777777" w:rsidR="009626D6" w:rsidRDefault="009626D6" w:rsidP="009626D6">
      <w:pPr>
        <w:spacing w:after="0" w:line="276" w:lineRule="auto"/>
        <w:jc w:val="center"/>
        <w:rPr>
          <w:rFonts w:ascii="Aptos Serif" w:hAnsi="Aptos Serif" w:cs="Aptos Serif"/>
          <w:b/>
          <w:bCs/>
          <w:sz w:val="22"/>
          <w:szCs w:val="22"/>
        </w:rPr>
      </w:pPr>
      <w:r w:rsidRPr="00437A70">
        <w:rPr>
          <w:rFonts w:ascii="Aptos Serif" w:hAnsi="Aptos Serif" w:cs="Aptos Serif"/>
          <w:b/>
          <w:bCs/>
          <w:sz w:val="22"/>
          <w:szCs w:val="22"/>
        </w:rPr>
        <w:t>X. przeciwko Polsce</w:t>
      </w:r>
    </w:p>
    <w:p w14:paraId="4D392B14" w14:textId="77777777" w:rsidR="009626D6" w:rsidRPr="007E4477" w:rsidRDefault="009626D6" w:rsidP="009626D6">
      <w:pPr>
        <w:spacing w:line="276" w:lineRule="auto"/>
        <w:jc w:val="center"/>
        <w:rPr>
          <w:rFonts w:ascii="Aptos Serif" w:hAnsi="Aptos Serif" w:cs="Aptos Serif"/>
          <w:sz w:val="22"/>
          <w:szCs w:val="22"/>
        </w:rPr>
      </w:pPr>
      <w:r w:rsidRPr="007E4477">
        <w:rPr>
          <w:rFonts w:ascii="Aptos Serif" w:hAnsi="Aptos Serif" w:cs="Aptos Serif"/>
          <w:sz w:val="22"/>
          <w:szCs w:val="22"/>
        </w:rPr>
        <w:t>(skarga nr 20741/10, wyrok z dnia 16 września 2021 r.)</w:t>
      </w:r>
    </w:p>
    <w:p w14:paraId="253675B5" w14:textId="38B83F5B" w:rsidR="009626D6" w:rsidRPr="00437A70" w:rsidRDefault="009626D6" w:rsidP="009626D6">
      <w:pPr>
        <w:spacing w:after="0" w:line="276" w:lineRule="auto"/>
        <w:jc w:val="both"/>
        <w:rPr>
          <w:rFonts w:ascii="Aptos Serif" w:hAnsi="Aptos Serif" w:cs="Aptos Serif"/>
          <w:sz w:val="22"/>
          <w:szCs w:val="22"/>
        </w:rPr>
      </w:pPr>
      <w:r w:rsidRPr="00437A70">
        <w:rPr>
          <w:rFonts w:ascii="Aptos Serif" w:hAnsi="Aptos Serif" w:cs="Aptos Serif"/>
          <w:sz w:val="22"/>
          <w:szCs w:val="22"/>
        </w:rPr>
        <w:t xml:space="preserve">Sprawa dotyczyła postępowania wszczętego przez </w:t>
      </w:r>
      <w:r w:rsidR="005A4331">
        <w:rPr>
          <w:rFonts w:ascii="Aptos Serif" w:hAnsi="Aptos Serif" w:cs="Aptos Serif"/>
          <w:sz w:val="22"/>
          <w:szCs w:val="22"/>
        </w:rPr>
        <w:t>S</w:t>
      </w:r>
      <w:r w:rsidRPr="00437A70">
        <w:rPr>
          <w:rFonts w:ascii="Aptos Serif" w:hAnsi="Aptos Serif" w:cs="Aptos Serif"/>
          <w:sz w:val="22"/>
          <w:szCs w:val="22"/>
        </w:rPr>
        <w:t>karżącą w celu zakwestionowania odebrania jej najmłodszego dziecka spod jej opieki po tym, jak jej były mąż uzyskał zmianę ustaleń dotyczących opieki nad dzieckiem orzeczonych w wyroku rozwodowym. Skarżąca twierdziła, że sądy działały na jego korzyść ze względu na jej związek z inną kobietą. Zarzuciła w szczególności, że polskie sądy odmówiły przyznania jej opieki nad dzieckiem ze względu na jej orientację seksualną.</w:t>
      </w:r>
    </w:p>
    <w:p w14:paraId="354E799F" w14:textId="106C55CE" w:rsidR="009626D6" w:rsidRDefault="009626D6" w:rsidP="00C43E40">
      <w:pPr>
        <w:spacing w:line="276" w:lineRule="auto"/>
        <w:jc w:val="both"/>
        <w:rPr>
          <w:rFonts w:ascii="Aptos Serif" w:hAnsi="Aptos Serif" w:cs="Aptos Serif"/>
          <w:sz w:val="22"/>
          <w:szCs w:val="22"/>
        </w:rPr>
      </w:pPr>
      <w:r w:rsidRPr="007E4477">
        <w:rPr>
          <w:rFonts w:ascii="Aptos Serif" w:hAnsi="Aptos Serif" w:cs="Aptos Serif"/>
          <w:sz w:val="22"/>
          <w:szCs w:val="22"/>
        </w:rPr>
        <w:t xml:space="preserve">Trybunał zauważył, że zarówno </w:t>
      </w:r>
      <w:r w:rsidR="005A4331">
        <w:rPr>
          <w:rFonts w:ascii="Aptos Serif" w:hAnsi="Aptos Serif" w:cs="Aptos Serif"/>
          <w:sz w:val="22"/>
          <w:szCs w:val="22"/>
        </w:rPr>
        <w:t>S</w:t>
      </w:r>
      <w:r w:rsidRPr="007E4477">
        <w:rPr>
          <w:rFonts w:ascii="Aptos Serif" w:hAnsi="Aptos Serif" w:cs="Aptos Serif"/>
          <w:sz w:val="22"/>
          <w:szCs w:val="22"/>
        </w:rPr>
        <w:t xml:space="preserve">karżąca, jak i jej były mąż zostali uznani za posiadających podobne zdolności i cechy rodzicielskie. Trybunał przypomniał, że w odniesieniu do życia </w:t>
      </w:r>
      <w:r w:rsidRPr="007E4477">
        <w:rPr>
          <w:rFonts w:ascii="Aptos Serif" w:hAnsi="Aptos Serif" w:cs="Aptos Serif"/>
          <w:sz w:val="22"/>
          <w:szCs w:val="22"/>
        </w:rPr>
        <w:lastRenderedPageBreak/>
        <w:t xml:space="preserve">rodzinnego dziecka istnieje szeroki konsensus, że we wszystkich decyzjach, dotyczących dzieci, ich najlepszy interes ma pierwszorzędne znaczenie. W przedmiotowej sprawie Trybunał nie uznał, by podstawy, na których oparły się sądy krajowe, były odpowiednie dla osiągnięcia deklarowanego celu ochrony najlepiej pojętego interesu </w:t>
      </w:r>
      <w:r w:rsidR="00623A46">
        <w:rPr>
          <w:rFonts w:ascii="Aptos Serif" w:hAnsi="Aptos Serif" w:cs="Aptos Serif"/>
          <w:sz w:val="22"/>
          <w:szCs w:val="22"/>
        </w:rPr>
        <w:t>dziecka</w:t>
      </w:r>
      <w:r w:rsidR="0098249F">
        <w:rPr>
          <w:rFonts w:ascii="Aptos Serif" w:hAnsi="Aptos Serif" w:cs="Aptos Serif"/>
          <w:sz w:val="22"/>
          <w:szCs w:val="22"/>
        </w:rPr>
        <w:t>.</w:t>
      </w:r>
      <w:r w:rsidRPr="007E4477">
        <w:rPr>
          <w:rFonts w:ascii="Aptos Serif" w:hAnsi="Aptos Serif" w:cs="Aptos Serif"/>
          <w:sz w:val="22"/>
          <w:szCs w:val="22"/>
        </w:rPr>
        <w:t xml:space="preserve"> Trybunał zauważył, że w ostatnim postępowaniu sądy odmówiły zmiany status quo w odniesieniu do opieki nad </w:t>
      </w:r>
      <w:r w:rsidR="00623A46">
        <w:rPr>
          <w:rFonts w:ascii="Aptos Serif" w:hAnsi="Aptos Serif" w:cs="Aptos Serif"/>
          <w:sz w:val="22"/>
          <w:szCs w:val="22"/>
        </w:rPr>
        <w:t>dzieckiem</w:t>
      </w:r>
      <w:r w:rsidRPr="007E4477">
        <w:rPr>
          <w:rFonts w:ascii="Aptos Serif" w:hAnsi="Aptos Serif" w:cs="Aptos Serif"/>
          <w:sz w:val="22"/>
          <w:szCs w:val="22"/>
        </w:rPr>
        <w:t xml:space="preserve">, opierając się na dwóch głównych argumentach, jako istotnych czynnikach przy ocenie najlepszego interesu dziecka: korzyściach wynikających ze wspólnego zamieszkiwania przez całe rodzeństwo oraz znaczeniu „męskiego wzoru do naśladowania” w wychowaniu chłopca. Trybunał uznał, że dyskryminujące odniesienie do znaczenia męskiego wzoru do naśladowania w wychowaniu chłopca, było decydującym czynnikiem w oddaleniu wniosku </w:t>
      </w:r>
      <w:r w:rsidR="005A4331">
        <w:rPr>
          <w:rFonts w:ascii="Aptos Serif" w:hAnsi="Aptos Serif" w:cs="Aptos Serif"/>
          <w:sz w:val="22"/>
          <w:szCs w:val="22"/>
        </w:rPr>
        <w:t>S</w:t>
      </w:r>
      <w:r w:rsidRPr="007E4477">
        <w:rPr>
          <w:rFonts w:ascii="Aptos Serif" w:hAnsi="Aptos Serif" w:cs="Aptos Serif"/>
          <w:sz w:val="22"/>
          <w:szCs w:val="22"/>
        </w:rPr>
        <w:t xml:space="preserve">karżącej o przyznanie jej opieki nad </w:t>
      </w:r>
      <w:r w:rsidR="00623A46">
        <w:rPr>
          <w:rFonts w:ascii="Aptos Serif" w:hAnsi="Aptos Serif" w:cs="Aptos Serif"/>
          <w:sz w:val="22"/>
          <w:szCs w:val="22"/>
        </w:rPr>
        <w:t>dzieckiem.</w:t>
      </w:r>
      <w:r w:rsidRPr="007E4477">
        <w:rPr>
          <w:rFonts w:ascii="Aptos Serif" w:hAnsi="Aptos Serif" w:cs="Aptos Serif"/>
          <w:sz w:val="22"/>
          <w:szCs w:val="22"/>
        </w:rPr>
        <w:t xml:space="preserve"> Względy te przeważały nad innymi argumentami: młodym wiekiem </w:t>
      </w:r>
      <w:r w:rsidR="00623A46">
        <w:rPr>
          <w:rFonts w:ascii="Aptos Serif" w:hAnsi="Aptos Serif" w:cs="Aptos Serif"/>
          <w:sz w:val="22"/>
          <w:szCs w:val="22"/>
        </w:rPr>
        <w:t>dziecka</w:t>
      </w:r>
      <w:r w:rsidRPr="007E4477">
        <w:rPr>
          <w:rFonts w:ascii="Aptos Serif" w:hAnsi="Aptos Serif" w:cs="Aptos Serif"/>
          <w:sz w:val="22"/>
          <w:szCs w:val="22"/>
        </w:rPr>
        <w:t xml:space="preserve">, silną więzią ze </w:t>
      </w:r>
      <w:r w:rsidR="005A4331">
        <w:rPr>
          <w:rFonts w:ascii="Aptos Serif" w:hAnsi="Aptos Serif" w:cs="Aptos Serif"/>
          <w:sz w:val="22"/>
          <w:szCs w:val="22"/>
        </w:rPr>
        <w:t>S</w:t>
      </w:r>
      <w:r w:rsidRPr="007E4477">
        <w:rPr>
          <w:rFonts w:ascii="Aptos Serif" w:hAnsi="Aptos Serif" w:cs="Aptos Serif"/>
          <w:sz w:val="22"/>
          <w:szCs w:val="22"/>
        </w:rPr>
        <w:t xml:space="preserve">karżącą i dobrym samopoczuciem podczas zamieszkiwania z matką, oświadczeniem ojca, że </w:t>
      </w:r>
      <w:r w:rsidR="00623A46">
        <w:rPr>
          <w:rFonts w:ascii="Aptos Serif" w:hAnsi="Aptos Serif" w:cs="Aptos Serif"/>
          <w:sz w:val="22"/>
          <w:szCs w:val="22"/>
        </w:rPr>
        <w:t>dziecko</w:t>
      </w:r>
      <w:r w:rsidRPr="007E4477">
        <w:rPr>
          <w:rFonts w:ascii="Aptos Serif" w:hAnsi="Aptos Serif" w:cs="Aptos Serif"/>
          <w:sz w:val="22"/>
          <w:szCs w:val="22"/>
        </w:rPr>
        <w:t xml:space="preserve"> powi</w:t>
      </w:r>
      <w:r w:rsidR="00623A46">
        <w:rPr>
          <w:rFonts w:ascii="Aptos Serif" w:hAnsi="Aptos Serif" w:cs="Aptos Serif"/>
          <w:sz w:val="22"/>
          <w:szCs w:val="22"/>
        </w:rPr>
        <w:t>nno</w:t>
      </w:r>
      <w:r w:rsidRPr="007E4477">
        <w:rPr>
          <w:rFonts w:ascii="Aptos Serif" w:hAnsi="Aptos Serif" w:cs="Aptos Serif"/>
          <w:sz w:val="22"/>
          <w:szCs w:val="22"/>
        </w:rPr>
        <w:t xml:space="preserve"> pozostać z matką.</w:t>
      </w:r>
      <w:r>
        <w:rPr>
          <w:rFonts w:ascii="Aptos Serif" w:hAnsi="Aptos Serif" w:cs="Aptos Serif"/>
          <w:sz w:val="22"/>
          <w:szCs w:val="22"/>
        </w:rPr>
        <w:t xml:space="preserve"> </w:t>
      </w:r>
      <w:r w:rsidRPr="007E4477">
        <w:rPr>
          <w:rFonts w:ascii="Aptos Serif" w:hAnsi="Aptos Serif" w:cs="Aptos Serif"/>
          <w:sz w:val="22"/>
          <w:szCs w:val="22"/>
        </w:rPr>
        <w:t xml:space="preserve">Trybunał uznał, że odmawiając przyznania </w:t>
      </w:r>
      <w:r w:rsidR="005A4331">
        <w:rPr>
          <w:rFonts w:ascii="Aptos Serif" w:hAnsi="Aptos Serif" w:cs="Aptos Serif"/>
          <w:sz w:val="22"/>
          <w:szCs w:val="22"/>
        </w:rPr>
        <w:t>S</w:t>
      </w:r>
      <w:r w:rsidRPr="007E4477">
        <w:rPr>
          <w:rFonts w:ascii="Aptos Serif" w:hAnsi="Aptos Serif" w:cs="Aptos Serif"/>
          <w:sz w:val="22"/>
          <w:szCs w:val="22"/>
        </w:rPr>
        <w:t xml:space="preserve">karżącej pełni praw rodzicielskich i prawa do opieki w stosunku do </w:t>
      </w:r>
      <w:r w:rsidR="00623A46">
        <w:rPr>
          <w:rFonts w:ascii="Aptos Serif" w:hAnsi="Aptos Serif" w:cs="Aptos Serif"/>
          <w:sz w:val="22"/>
          <w:szCs w:val="22"/>
        </w:rPr>
        <w:t>dziecka</w:t>
      </w:r>
      <w:r w:rsidRPr="007E4477">
        <w:rPr>
          <w:rFonts w:ascii="Aptos Serif" w:hAnsi="Aptos Serif" w:cs="Aptos Serif"/>
          <w:sz w:val="22"/>
          <w:szCs w:val="22"/>
        </w:rPr>
        <w:t xml:space="preserve">, władze krajowe dokonały rozróżnienia opartego wyłącznie lub zdecydowanie na względach dotyczących jej orientacji seksualnej. W związku z powyższym Trybunał stwierdził, że doszło do naruszenia art. 14 </w:t>
      </w:r>
      <w:r w:rsidR="00393F34">
        <w:rPr>
          <w:rFonts w:ascii="Aptos Serif" w:hAnsi="Aptos Serif" w:cs="Aptos Serif"/>
          <w:sz w:val="22"/>
          <w:szCs w:val="22"/>
        </w:rPr>
        <w:br/>
      </w:r>
      <w:r w:rsidRPr="007E4477">
        <w:rPr>
          <w:rFonts w:ascii="Aptos Serif" w:hAnsi="Aptos Serif" w:cs="Aptos Serif"/>
          <w:sz w:val="22"/>
          <w:szCs w:val="22"/>
        </w:rPr>
        <w:t xml:space="preserve">w związku z art. 8 Konwencji i zasądził na rzecz </w:t>
      </w:r>
      <w:r w:rsidR="005A4331">
        <w:rPr>
          <w:rFonts w:ascii="Aptos Serif" w:hAnsi="Aptos Serif" w:cs="Aptos Serif"/>
          <w:sz w:val="22"/>
          <w:szCs w:val="22"/>
        </w:rPr>
        <w:t>S</w:t>
      </w:r>
      <w:r w:rsidRPr="007E4477">
        <w:rPr>
          <w:rFonts w:ascii="Aptos Serif" w:hAnsi="Aptos Serif" w:cs="Aptos Serif"/>
          <w:sz w:val="22"/>
          <w:szCs w:val="22"/>
        </w:rPr>
        <w:t xml:space="preserve">karżącej kwotę 10.000 euro tytułem słusznego zadośćuczynienia. </w:t>
      </w:r>
    </w:p>
    <w:p w14:paraId="0C5D499E" w14:textId="77777777" w:rsidR="00C43E40" w:rsidRDefault="00C43E40" w:rsidP="009626D6">
      <w:pPr>
        <w:spacing w:after="0" w:line="276" w:lineRule="auto"/>
        <w:jc w:val="both"/>
        <w:rPr>
          <w:rFonts w:ascii="Aptos Serif" w:hAnsi="Aptos Serif" w:cs="Aptos Serif"/>
          <w:sz w:val="22"/>
          <w:szCs w:val="22"/>
        </w:rPr>
      </w:pPr>
    </w:p>
    <w:p w14:paraId="3B0EFDA5" w14:textId="77777777" w:rsidR="00C43E40" w:rsidRPr="00C43E40" w:rsidRDefault="00C43E40" w:rsidP="00C43E40">
      <w:pPr>
        <w:spacing w:after="0" w:line="276" w:lineRule="auto"/>
        <w:jc w:val="center"/>
        <w:rPr>
          <w:rFonts w:ascii="Aptos Serif" w:hAnsi="Aptos Serif" w:cs="Aptos Serif"/>
          <w:b/>
          <w:bCs/>
          <w:sz w:val="22"/>
          <w:szCs w:val="22"/>
        </w:rPr>
      </w:pPr>
      <w:r w:rsidRPr="00C43E40">
        <w:rPr>
          <w:rFonts w:ascii="Aptos Serif" w:hAnsi="Aptos Serif" w:cs="Aptos Serif"/>
          <w:b/>
          <w:bCs/>
          <w:sz w:val="22"/>
          <w:szCs w:val="22"/>
        </w:rPr>
        <w:t>Y. przeciwko Polsce</w:t>
      </w:r>
    </w:p>
    <w:p w14:paraId="492587CB" w14:textId="77777777" w:rsidR="00C43E40" w:rsidRPr="00C43E40" w:rsidRDefault="00C43E40" w:rsidP="00C43E40">
      <w:pPr>
        <w:spacing w:line="276" w:lineRule="auto"/>
        <w:jc w:val="center"/>
        <w:rPr>
          <w:rFonts w:ascii="Aptos Serif" w:hAnsi="Aptos Serif" w:cs="Aptos Serif"/>
          <w:i/>
          <w:iCs/>
          <w:sz w:val="22"/>
          <w:szCs w:val="22"/>
        </w:rPr>
      </w:pPr>
      <w:r w:rsidRPr="00C43E40">
        <w:rPr>
          <w:rFonts w:ascii="Aptos Serif" w:hAnsi="Aptos Serif" w:cs="Aptos Serif"/>
          <w:i/>
          <w:iCs/>
          <w:sz w:val="22"/>
          <w:szCs w:val="22"/>
        </w:rPr>
        <w:t>(skarga nr 74131/14, wyrok z dnia 17 lutego 2022 r.)</w:t>
      </w:r>
    </w:p>
    <w:p w14:paraId="3FD76351" w14:textId="1F9C1D1F" w:rsidR="00C43E40" w:rsidRDefault="00C43E40" w:rsidP="00C43E40">
      <w:pPr>
        <w:spacing w:after="0" w:line="276" w:lineRule="auto"/>
        <w:jc w:val="both"/>
        <w:rPr>
          <w:rFonts w:ascii="Aptos Serif" w:hAnsi="Aptos Serif" w:cs="Aptos Serif"/>
          <w:sz w:val="22"/>
          <w:szCs w:val="22"/>
        </w:rPr>
      </w:pPr>
      <w:r>
        <w:rPr>
          <w:rFonts w:ascii="Aptos Serif" w:hAnsi="Aptos Serif" w:cs="Aptos Serif"/>
          <w:sz w:val="22"/>
          <w:szCs w:val="22"/>
        </w:rPr>
        <w:t xml:space="preserve">Sprawa </w:t>
      </w:r>
      <w:r w:rsidRPr="00C43E40">
        <w:rPr>
          <w:rFonts w:ascii="Aptos Serif" w:hAnsi="Aptos Serif" w:cs="Aptos Serif"/>
          <w:sz w:val="22"/>
          <w:szCs w:val="22"/>
        </w:rPr>
        <w:t>dotyczyła osoby trans</w:t>
      </w:r>
      <w:r w:rsidR="00623A46">
        <w:rPr>
          <w:rFonts w:ascii="Aptos Serif" w:hAnsi="Aptos Serif" w:cs="Aptos Serif"/>
          <w:sz w:val="22"/>
          <w:szCs w:val="22"/>
        </w:rPr>
        <w:t>płciowej</w:t>
      </w:r>
      <w:r w:rsidRPr="00C43E40">
        <w:rPr>
          <w:rFonts w:ascii="Aptos Serif" w:hAnsi="Aptos Serif" w:cs="Aptos Serif"/>
          <w:sz w:val="22"/>
          <w:szCs w:val="22"/>
        </w:rPr>
        <w:t xml:space="preserve"> po korekcie płci z żeńskiej na męską, która uzyskała prawne uznanie płci. Skarżący podniósł zarzut naruszenia art. 8 Konwencji (prawo do poszanowania życia prywatnego i rodzinnego), wskazując na naruszenie jego prawa do prywatności z uwagi na fakt, że jego akt urodzenia nadal wskazywał płeć przypisaną przy urodzeniu oraz art. 14 Konwencji (zakaz dyskryminacji) z uwagi na to, że był dyskryminowany. </w:t>
      </w:r>
    </w:p>
    <w:p w14:paraId="66F40920" w14:textId="78911332" w:rsidR="00C43E40" w:rsidRDefault="00C43E40" w:rsidP="00C43E40">
      <w:pPr>
        <w:spacing w:line="276" w:lineRule="auto"/>
        <w:jc w:val="both"/>
        <w:rPr>
          <w:rFonts w:ascii="Aptos Serif" w:hAnsi="Aptos Serif" w:cs="Aptos Serif"/>
          <w:sz w:val="22"/>
          <w:szCs w:val="22"/>
        </w:rPr>
      </w:pPr>
      <w:r w:rsidRPr="00C43E40">
        <w:rPr>
          <w:rFonts w:ascii="Aptos Serif" w:hAnsi="Aptos Serif" w:cs="Aptos Serif"/>
          <w:sz w:val="22"/>
          <w:szCs w:val="22"/>
        </w:rPr>
        <w:t xml:space="preserve">Trybunał uznał, że </w:t>
      </w:r>
      <w:r w:rsidR="005A4331">
        <w:rPr>
          <w:rFonts w:ascii="Aptos Serif" w:hAnsi="Aptos Serif" w:cs="Aptos Serif"/>
          <w:sz w:val="22"/>
          <w:szCs w:val="22"/>
        </w:rPr>
        <w:t>S</w:t>
      </w:r>
      <w:r w:rsidRPr="00C43E40">
        <w:rPr>
          <w:rFonts w:ascii="Aptos Serif" w:hAnsi="Aptos Serif" w:cs="Aptos Serif"/>
          <w:sz w:val="22"/>
          <w:szCs w:val="22"/>
        </w:rPr>
        <w:t xml:space="preserve">karżący nie wykazał, że poniósł jakiekolwiek wystarczająco poważne negatywne konsekwencje lub trudności wynikające z faktu, że płeć przypisana przy urodzeniu jest nadal widoczna w formie adnotacji na jego akcie urodzenia. Trybunał stwierdził, że </w:t>
      </w:r>
      <w:r w:rsidR="005A4331">
        <w:rPr>
          <w:rFonts w:ascii="Aptos Serif" w:hAnsi="Aptos Serif" w:cs="Aptos Serif"/>
          <w:sz w:val="22"/>
          <w:szCs w:val="22"/>
        </w:rPr>
        <w:t>S</w:t>
      </w:r>
      <w:r w:rsidRPr="00C43E40">
        <w:rPr>
          <w:rFonts w:ascii="Aptos Serif" w:hAnsi="Aptos Serif" w:cs="Aptos Serif"/>
          <w:sz w:val="22"/>
          <w:szCs w:val="22"/>
        </w:rPr>
        <w:t xml:space="preserve">karżący nie podał żadnych szczegółów, w jakim stopniu został dotknięty tą sytuacją. Trybunał ponadto zauważył, że skarga </w:t>
      </w:r>
      <w:r w:rsidR="005A4331">
        <w:rPr>
          <w:rFonts w:ascii="Aptos Serif" w:hAnsi="Aptos Serif" w:cs="Aptos Serif"/>
          <w:sz w:val="22"/>
          <w:szCs w:val="22"/>
        </w:rPr>
        <w:t>S</w:t>
      </w:r>
      <w:r w:rsidRPr="00C43E40">
        <w:rPr>
          <w:rFonts w:ascii="Aptos Serif" w:hAnsi="Aptos Serif" w:cs="Aptos Serif"/>
          <w:sz w:val="22"/>
          <w:szCs w:val="22"/>
        </w:rPr>
        <w:t>karżącego na podstawie art. 14 Konwencji dotyczyła jego niemożności uzyskania nowego aktu urodzenia bez jakichkolwiek informacji o zmianie płci. Skarżący porównał swoją sytuację z sytuacją dzieci adoptowanych, którym wydaje się nowy akt urodzenia w przypadku pełnej adopcji. Zdaniem Trybunału sytuacje te nie są wystarczająco podobne, aby można je było ze sobą porównywać. Z uwagi na powyższe</w:t>
      </w:r>
      <w:r>
        <w:rPr>
          <w:rFonts w:ascii="Aptos Serif" w:hAnsi="Aptos Serif" w:cs="Aptos Serif"/>
          <w:sz w:val="22"/>
          <w:szCs w:val="22"/>
        </w:rPr>
        <w:t>,</w:t>
      </w:r>
      <w:r w:rsidRPr="00C43E40">
        <w:rPr>
          <w:rFonts w:ascii="Aptos Serif" w:hAnsi="Aptos Serif" w:cs="Aptos Serif"/>
          <w:sz w:val="22"/>
          <w:szCs w:val="22"/>
        </w:rPr>
        <w:t xml:space="preserve"> Trybunał uznał, że nie doszło do naruszenia artykułu 8 i 14 Konwencji.</w:t>
      </w:r>
    </w:p>
    <w:p w14:paraId="6583AE62" w14:textId="77777777" w:rsidR="009626D6" w:rsidRDefault="009626D6" w:rsidP="009626D6">
      <w:pPr>
        <w:spacing w:line="276" w:lineRule="auto"/>
        <w:rPr>
          <w:rFonts w:ascii="Aptos Serif" w:hAnsi="Aptos Serif" w:cs="Aptos Serif"/>
          <w:b/>
          <w:bCs/>
          <w:sz w:val="22"/>
          <w:szCs w:val="22"/>
          <w:u w:val="single"/>
        </w:rPr>
      </w:pPr>
    </w:p>
    <w:p w14:paraId="01C28AA1" w14:textId="08EC73A5" w:rsidR="00EC5CFB" w:rsidRDefault="00437A70" w:rsidP="007E4477">
      <w:pPr>
        <w:spacing w:after="0" w:line="276" w:lineRule="auto"/>
        <w:jc w:val="center"/>
        <w:rPr>
          <w:rFonts w:ascii="Aptos Serif" w:hAnsi="Aptos Serif" w:cs="Aptos Serif"/>
          <w:b/>
          <w:bCs/>
          <w:sz w:val="22"/>
          <w:szCs w:val="22"/>
        </w:rPr>
      </w:pPr>
      <w:r w:rsidRPr="00437A70">
        <w:rPr>
          <w:rFonts w:ascii="Aptos Serif" w:hAnsi="Aptos Serif" w:cs="Aptos Serif"/>
          <w:b/>
          <w:bCs/>
          <w:sz w:val="22"/>
          <w:szCs w:val="22"/>
        </w:rPr>
        <w:t>Przybyszewska i inni przeciwko Polsce</w:t>
      </w:r>
    </w:p>
    <w:p w14:paraId="7E4CEEC7" w14:textId="51F3F628" w:rsidR="00437A70" w:rsidRPr="00EC5CFB" w:rsidRDefault="00151E39" w:rsidP="007E4477">
      <w:pPr>
        <w:spacing w:line="276" w:lineRule="auto"/>
        <w:jc w:val="center"/>
        <w:rPr>
          <w:rFonts w:ascii="Aptos Serif" w:hAnsi="Aptos Serif" w:cs="Aptos Serif"/>
          <w:b/>
          <w:bCs/>
          <w:sz w:val="22"/>
          <w:szCs w:val="22"/>
        </w:rPr>
      </w:pPr>
      <w:r>
        <w:rPr>
          <w:rFonts w:ascii="Aptos Serif" w:hAnsi="Aptos Serif" w:cs="Aptos Serif"/>
          <w:sz w:val="22"/>
          <w:szCs w:val="22"/>
        </w:rPr>
        <w:t>(</w:t>
      </w:r>
      <w:r w:rsidR="00EC5CFB" w:rsidRPr="00EC5CFB">
        <w:rPr>
          <w:rFonts w:ascii="Aptos Serif" w:hAnsi="Aptos Serif" w:cs="Aptos Serif"/>
          <w:sz w:val="22"/>
          <w:szCs w:val="22"/>
        </w:rPr>
        <w:t>skarga nr 11454/17</w:t>
      </w:r>
      <w:r w:rsidR="007E4477">
        <w:rPr>
          <w:rFonts w:ascii="Aptos Serif" w:hAnsi="Aptos Serif" w:cs="Aptos Serif"/>
          <w:sz w:val="22"/>
          <w:szCs w:val="22"/>
        </w:rPr>
        <w:t>,</w:t>
      </w:r>
      <w:r w:rsidR="00EC5CFB">
        <w:rPr>
          <w:rFonts w:ascii="Aptos Serif" w:hAnsi="Aptos Serif" w:cs="Aptos Serif"/>
          <w:sz w:val="22"/>
          <w:szCs w:val="22"/>
        </w:rPr>
        <w:t xml:space="preserve"> wyrok z </w:t>
      </w:r>
      <w:r w:rsidR="007E4477">
        <w:rPr>
          <w:rFonts w:ascii="Aptos Serif" w:hAnsi="Aptos Serif" w:cs="Aptos Serif"/>
          <w:sz w:val="22"/>
          <w:szCs w:val="22"/>
        </w:rPr>
        <w:t xml:space="preserve">dnia </w:t>
      </w:r>
      <w:r w:rsidR="00437A70" w:rsidRPr="00EC5CFB">
        <w:rPr>
          <w:rFonts w:ascii="Aptos Serif" w:hAnsi="Aptos Serif" w:cs="Aptos Serif"/>
          <w:sz w:val="22"/>
          <w:szCs w:val="22"/>
        </w:rPr>
        <w:t>12</w:t>
      </w:r>
      <w:r w:rsidR="00437A70" w:rsidRPr="00437A70">
        <w:rPr>
          <w:rFonts w:ascii="Aptos Serif" w:hAnsi="Aptos Serif" w:cs="Aptos Serif"/>
          <w:sz w:val="22"/>
          <w:szCs w:val="22"/>
        </w:rPr>
        <w:t xml:space="preserve"> grudnia 2023 r.</w:t>
      </w:r>
      <w:r>
        <w:rPr>
          <w:rFonts w:ascii="Aptos Serif" w:hAnsi="Aptos Serif" w:cs="Aptos Serif"/>
          <w:sz w:val="22"/>
          <w:szCs w:val="22"/>
        </w:rPr>
        <w:t>)</w:t>
      </w:r>
    </w:p>
    <w:p w14:paraId="68714E30" w14:textId="54959E5C" w:rsidR="00437A70" w:rsidRPr="00437A70" w:rsidRDefault="00437A70" w:rsidP="00437A70">
      <w:pPr>
        <w:spacing w:after="0" w:line="276" w:lineRule="auto"/>
        <w:jc w:val="both"/>
        <w:rPr>
          <w:rFonts w:ascii="Aptos Serif" w:hAnsi="Aptos Serif" w:cs="Aptos Serif"/>
          <w:sz w:val="22"/>
          <w:szCs w:val="22"/>
        </w:rPr>
      </w:pPr>
      <w:r w:rsidRPr="00437A70">
        <w:rPr>
          <w:rFonts w:ascii="Aptos Serif" w:hAnsi="Aptos Serif" w:cs="Aptos Serif"/>
          <w:sz w:val="22"/>
          <w:szCs w:val="22"/>
        </w:rPr>
        <w:lastRenderedPageBreak/>
        <w:t xml:space="preserve">Skarżący </w:t>
      </w:r>
      <w:r w:rsidR="009040AA">
        <w:rPr>
          <w:rFonts w:ascii="Aptos Serif" w:hAnsi="Aptos Serif" w:cs="Aptos Serif"/>
          <w:sz w:val="22"/>
          <w:szCs w:val="22"/>
        </w:rPr>
        <w:t>–</w:t>
      </w:r>
      <w:r w:rsidRPr="00437A70">
        <w:rPr>
          <w:rFonts w:ascii="Aptos Serif" w:hAnsi="Aptos Serif" w:cs="Aptos Serif"/>
          <w:sz w:val="22"/>
          <w:szCs w:val="22"/>
        </w:rPr>
        <w:t xml:space="preserve"> pięć par tej samej płci pozostających w stałych związkach i mieszkających </w:t>
      </w:r>
      <w:r w:rsidR="00393F34">
        <w:rPr>
          <w:rFonts w:ascii="Aptos Serif" w:hAnsi="Aptos Serif" w:cs="Aptos Serif"/>
          <w:sz w:val="22"/>
          <w:szCs w:val="22"/>
        </w:rPr>
        <w:br/>
      </w:r>
      <w:r w:rsidRPr="00437A70">
        <w:rPr>
          <w:rFonts w:ascii="Aptos Serif" w:hAnsi="Aptos Serif" w:cs="Aptos Serif"/>
          <w:sz w:val="22"/>
          <w:szCs w:val="22"/>
        </w:rPr>
        <w:t xml:space="preserve">w Polsce </w:t>
      </w:r>
      <w:r w:rsidR="009040AA">
        <w:rPr>
          <w:rFonts w:ascii="Aptos Serif" w:hAnsi="Aptos Serif" w:cs="Aptos Serif"/>
          <w:sz w:val="22"/>
          <w:szCs w:val="22"/>
        </w:rPr>
        <w:t>–</w:t>
      </w:r>
      <w:r w:rsidRPr="00437A70">
        <w:rPr>
          <w:rFonts w:ascii="Aptos Serif" w:hAnsi="Aptos Serif" w:cs="Aptos Serif"/>
          <w:sz w:val="22"/>
          <w:szCs w:val="22"/>
        </w:rPr>
        <w:t xml:space="preserve"> zarzucali brak jakiejkolwiek formy prawnego uznania i ochrony dostępnej dla par tej samej płci w Polsce. Argumentowali, że zdecydowana większość państw członkowskich Rady Europy oferuje parom tej samej płci prawo do zawarcia małżeństwa lub zarejestrowanego związku partnerskiego i twierdzili, że znajdują się w niekorzystnej sytuacji ze względu na brak odpowiedniego uznania ich związków </w:t>
      </w:r>
      <w:r w:rsidR="009040AA">
        <w:rPr>
          <w:rFonts w:ascii="Aptos Serif" w:hAnsi="Aptos Serif" w:cs="Aptos Serif"/>
          <w:sz w:val="22"/>
          <w:szCs w:val="22"/>
        </w:rPr>
        <w:t>–</w:t>
      </w:r>
      <w:r w:rsidRPr="00437A70">
        <w:rPr>
          <w:rFonts w:ascii="Aptos Serif" w:hAnsi="Aptos Serif" w:cs="Aptos Serif"/>
          <w:sz w:val="22"/>
          <w:szCs w:val="22"/>
        </w:rPr>
        <w:t xml:space="preserve"> na przykład w dziedzinie podatków, praw socjalnych i prawa rodzinnego.</w:t>
      </w:r>
    </w:p>
    <w:p w14:paraId="5C632F80" w14:textId="501EC01D" w:rsidR="00EC5CFB" w:rsidRPr="00EC5CFB" w:rsidRDefault="00EC5CFB" w:rsidP="00697D1C">
      <w:pPr>
        <w:spacing w:after="0" w:line="276" w:lineRule="auto"/>
        <w:jc w:val="both"/>
        <w:rPr>
          <w:rFonts w:ascii="Aptos Serif" w:hAnsi="Aptos Serif" w:cs="Aptos Serif"/>
          <w:sz w:val="22"/>
          <w:szCs w:val="22"/>
        </w:rPr>
      </w:pPr>
      <w:r w:rsidRPr="00EC5CFB">
        <w:rPr>
          <w:rFonts w:ascii="Aptos Serif" w:hAnsi="Aptos Serif" w:cs="Aptos Serif"/>
          <w:sz w:val="22"/>
          <w:szCs w:val="22"/>
        </w:rPr>
        <w:t xml:space="preserve">Powołując dotychczasowe orzecznictwo, Trybunał zauważył, że art. 8 Konwencji nakłada na państwa członkowskie wymóg zapewnienia prawnego uznania i ochrony par osób tej samej płci poprzez wprowadzenie „szczególnych ram prawnych”. Państwa mają szerszy margines oceny przy określaniu dokładnego charakteru systemu prawnego, który ma być dostępny dla par tej samej płci, jednakże, istotne jest, aby ochrona przyznana przez państwa członkowskie parom tej samej płci była odpowiednia. Mając to na uwadze Trybunał uznał, że </w:t>
      </w:r>
      <w:r w:rsidR="00393F34">
        <w:rPr>
          <w:rFonts w:ascii="Aptos Serif" w:hAnsi="Aptos Serif" w:cs="Aptos Serif"/>
          <w:sz w:val="22"/>
          <w:szCs w:val="22"/>
        </w:rPr>
        <w:br/>
      </w:r>
      <w:r w:rsidRPr="00EC5CFB">
        <w:rPr>
          <w:rFonts w:ascii="Aptos Serif" w:hAnsi="Aptos Serif" w:cs="Aptos Serif"/>
          <w:sz w:val="22"/>
          <w:szCs w:val="22"/>
        </w:rPr>
        <w:t xml:space="preserve">w okolicznościach niniejszej sprawy Polska nie zachowała </w:t>
      </w:r>
      <w:r w:rsidR="00F548AA" w:rsidRPr="00EC5CFB">
        <w:rPr>
          <w:rFonts w:ascii="Aptos Serif" w:hAnsi="Aptos Serif" w:cs="Aptos Serif"/>
          <w:sz w:val="22"/>
          <w:szCs w:val="22"/>
        </w:rPr>
        <w:t>właściwej równowagi</w:t>
      </w:r>
      <w:r w:rsidRPr="00EC5CFB">
        <w:rPr>
          <w:rFonts w:ascii="Aptos Serif" w:hAnsi="Aptos Serif" w:cs="Aptos Serif"/>
          <w:sz w:val="22"/>
          <w:szCs w:val="22"/>
        </w:rPr>
        <w:t xml:space="preserve"> między nadrzędnymi interesami narodowymi, a interesami wskazanymi przez </w:t>
      </w:r>
      <w:r w:rsidR="005A4331">
        <w:rPr>
          <w:rFonts w:ascii="Aptos Serif" w:hAnsi="Aptos Serif" w:cs="Aptos Serif"/>
          <w:sz w:val="22"/>
          <w:szCs w:val="22"/>
        </w:rPr>
        <w:t>S</w:t>
      </w:r>
      <w:r w:rsidRPr="00EC5CFB">
        <w:rPr>
          <w:rFonts w:ascii="Aptos Serif" w:hAnsi="Aptos Serif" w:cs="Aptos Serif"/>
          <w:sz w:val="22"/>
          <w:szCs w:val="22"/>
        </w:rPr>
        <w:t xml:space="preserve">karżących. Uznając skargi za dopuszczalne Trybunał stwierdził, że państwo polskie przekroczyło swój margines oceny i nie spełniło pozytywnego obowiązku zapewnienia </w:t>
      </w:r>
      <w:r w:rsidR="005A4331">
        <w:rPr>
          <w:rFonts w:ascii="Aptos Serif" w:hAnsi="Aptos Serif" w:cs="Aptos Serif"/>
          <w:sz w:val="22"/>
          <w:szCs w:val="22"/>
        </w:rPr>
        <w:t>S</w:t>
      </w:r>
      <w:r w:rsidRPr="00EC5CFB">
        <w:rPr>
          <w:rFonts w:ascii="Aptos Serif" w:hAnsi="Aptos Serif" w:cs="Aptos Serif"/>
          <w:sz w:val="22"/>
          <w:szCs w:val="22"/>
        </w:rPr>
        <w:t>karżącym określony</w:t>
      </w:r>
      <w:r w:rsidR="00055BDD">
        <w:rPr>
          <w:rFonts w:ascii="Aptos Serif" w:hAnsi="Aptos Serif" w:cs="Aptos Serif"/>
          <w:sz w:val="22"/>
          <w:szCs w:val="22"/>
        </w:rPr>
        <w:t>ch</w:t>
      </w:r>
      <w:r w:rsidRPr="00EC5CFB">
        <w:rPr>
          <w:rFonts w:ascii="Aptos Serif" w:hAnsi="Aptos Serif" w:cs="Aptos Serif"/>
          <w:sz w:val="22"/>
          <w:szCs w:val="22"/>
        </w:rPr>
        <w:t xml:space="preserve"> ram prawnych przewidujących uznanie i ochronę związków osób tej samej płci, co też stanowiło naruszenie prawa </w:t>
      </w:r>
      <w:r w:rsidR="005A4331">
        <w:rPr>
          <w:rFonts w:ascii="Aptos Serif" w:hAnsi="Aptos Serif" w:cs="Aptos Serif"/>
          <w:sz w:val="22"/>
          <w:szCs w:val="22"/>
        </w:rPr>
        <w:t>S</w:t>
      </w:r>
      <w:r w:rsidRPr="00EC5CFB">
        <w:rPr>
          <w:rFonts w:ascii="Aptos Serif" w:hAnsi="Aptos Serif" w:cs="Aptos Serif"/>
          <w:sz w:val="22"/>
          <w:szCs w:val="22"/>
        </w:rPr>
        <w:t xml:space="preserve">karżących do poszanowania ich życia prywatnego i rodzinnego. Podkreślił, że w obliczu braku oficjalnego uznania i pomimo pewnych pozytywnych zmian </w:t>
      </w:r>
      <w:r w:rsidR="00393F34">
        <w:rPr>
          <w:rFonts w:ascii="Aptos Serif" w:hAnsi="Aptos Serif" w:cs="Aptos Serif"/>
          <w:sz w:val="22"/>
          <w:szCs w:val="22"/>
        </w:rPr>
        <w:br/>
      </w:r>
      <w:r w:rsidRPr="00EC5CFB">
        <w:rPr>
          <w:rFonts w:ascii="Aptos Serif" w:hAnsi="Aptos Serif" w:cs="Aptos Serif"/>
          <w:sz w:val="22"/>
          <w:szCs w:val="22"/>
        </w:rPr>
        <w:t xml:space="preserve">w orzecznictwie w tej dziedzinie, partnerzy tej samej płci nie byli bowiem w stanie regulować podstawowych aspektów swojego życia, np. dotyczących własności, alimentów, opodatkowania i dziedziczenia, jako oficjalnie uznana para. Polskie ramy prawne zastosowane wobec </w:t>
      </w:r>
      <w:r w:rsidR="005A4331">
        <w:rPr>
          <w:rFonts w:ascii="Aptos Serif" w:hAnsi="Aptos Serif" w:cs="Aptos Serif"/>
          <w:sz w:val="22"/>
          <w:szCs w:val="22"/>
        </w:rPr>
        <w:t>S</w:t>
      </w:r>
      <w:r w:rsidRPr="00EC5CFB">
        <w:rPr>
          <w:rFonts w:ascii="Aptos Serif" w:hAnsi="Aptos Serif" w:cs="Aptos Serif"/>
          <w:sz w:val="22"/>
          <w:szCs w:val="22"/>
        </w:rPr>
        <w:t xml:space="preserve">karżących, nie mogły być uznane za zapewniające podstawowe potrzeby uznania i ochrony osób tej samej płci będących w stabilnym i stałym związku. Trybunał podkreślił również, że tradycje, stereotypy i dominujące postawy społeczne </w:t>
      </w:r>
      <w:r w:rsidR="00393F34">
        <w:rPr>
          <w:rFonts w:ascii="Aptos Serif" w:hAnsi="Aptos Serif" w:cs="Aptos Serif"/>
          <w:sz w:val="22"/>
          <w:szCs w:val="22"/>
        </w:rPr>
        <w:br/>
      </w:r>
      <w:r w:rsidRPr="00EC5CFB">
        <w:rPr>
          <w:rFonts w:ascii="Aptos Serif" w:hAnsi="Aptos Serif" w:cs="Aptos Serif"/>
          <w:sz w:val="22"/>
          <w:szCs w:val="22"/>
        </w:rPr>
        <w:t>w danym kraju nie mogą same w sobie stanowić wystarczającego uzasadnienia dla odmiennego traktowania ze względu na orientację seksualną.</w:t>
      </w:r>
    </w:p>
    <w:p w14:paraId="1D6F0F48" w14:textId="1E76C088" w:rsidR="002729EA" w:rsidRDefault="00EC5CFB" w:rsidP="009626D6">
      <w:pPr>
        <w:spacing w:line="276" w:lineRule="auto"/>
        <w:jc w:val="both"/>
        <w:rPr>
          <w:rFonts w:ascii="Aptos Serif" w:hAnsi="Aptos Serif" w:cs="Aptos Serif"/>
          <w:sz w:val="22"/>
          <w:szCs w:val="22"/>
        </w:rPr>
      </w:pPr>
      <w:r w:rsidRPr="00EC5CFB">
        <w:rPr>
          <w:rFonts w:ascii="Aptos Serif" w:hAnsi="Aptos Serif" w:cs="Aptos Serif"/>
          <w:sz w:val="22"/>
          <w:szCs w:val="22"/>
        </w:rPr>
        <w:t>W świetle argumentów przedstawionych przez strony, uwag interwenientów oraz wobec okoliczności spraw, analizowanych indywidualnie pod kątem ugruntowanego orzecznictwa Trybunału i stwierdzonego naruszenia art. 8 Konwencji, Trybunał uznał,</w:t>
      </w:r>
      <w:r>
        <w:rPr>
          <w:rFonts w:ascii="Aptos Serif" w:hAnsi="Aptos Serif" w:cs="Aptos Serif"/>
          <w:sz w:val="22"/>
          <w:szCs w:val="22"/>
        </w:rPr>
        <w:t xml:space="preserve"> </w:t>
      </w:r>
      <w:r w:rsidRPr="00EC5CFB">
        <w:rPr>
          <w:rFonts w:ascii="Aptos Serif" w:hAnsi="Aptos Serif" w:cs="Aptos Serif"/>
          <w:sz w:val="22"/>
          <w:szCs w:val="22"/>
        </w:rPr>
        <w:t xml:space="preserve">że samo stwierdzenie naruszenia stanowi wystarczające słuszne zadośćuczynienie za wszelkie szkody niemajątkowe poniesione przez </w:t>
      </w:r>
      <w:r w:rsidR="005A4331">
        <w:rPr>
          <w:rFonts w:ascii="Aptos Serif" w:hAnsi="Aptos Serif" w:cs="Aptos Serif"/>
          <w:sz w:val="22"/>
          <w:szCs w:val="22"/>
        </w:rPr>
        <w:t>S</w:t>
      </w:r>
      <w:r w:rsidRPr="00EC5CFB">
        <w:rPr>
          <w:rFonts w:ascii="Aptos Serif" w:hAnsi="Aptos Serif" w:cs="Aptos Serif"/>
          <w:sz w:val="22"/>
          <w:szCs w:val="22"/>
        </w:rPr>
        <w:t>karżących.</w:t>
      </w:r>
    </w:p>
    <w:p w14:paraId="5551A63B" w14:textId="77777777" w:rsidR="004D2F50" w:rsidRDefault="004D2F50" w:rsidP="004D2F50">
      <w:pPr>
        <w:spacing w:after="0" w:line="276" w:lineRule="auto"/>
        <w:jc w:val="both"/>
        <w:rPr>
          <w:rFonts w:ascii="Aptos Serif" w:hAnsi="Aptos Serif" w:cs="Aptos Serif"/>
          <w:sz w:val="22"/>
          <w:szCs w:val="22"/>
        </w:rPr>
      </w:pPr>
    </w:p>
    <w:p w14:paraId="4EC811DB" w14:textId="77777777" w:rsidR="004D2F50" w:rsidRPr="008F637E" w:rsidRDefault="004D2F50" w:rsidP="004D2F50">
      <w:pPr>
        <w:spacing w:after="0" w:line="276" w:lineRule="auto"/>
        <w:jc w:val="center"/>
        <w:rPr>
          <w:rFonts w:ascii="Aptos Serif" w:hAnsi="Aptos Serif" w:cs="Aptos Serif"/>
          <w:b/>
          <w:bCs/>
          <w:sz w:val="22"/>
          <w:szCs w:val="22"/>
        </w:rPr>
      </w:pPr>
      <w:r w:rsidRPr="00055BDD">
        <w:rPr>
          <w:rFonts w:ascii="Aptos Serif" w:hAnsi="Aptos Serif" w:cs="Aptos Serif"/>
          <w:b/>
          <w:bCs/>
          <w:sz w:val="22"/>
          <w:szCs w:val="22"/>
        </w:rPr>
        <w:t>W.W. przeciwko Polsce</w:t>
      </w:r>
      <w:r w:rsidRPr="008F637E">
        <w:rPr>
          <w:rFonts w:ascii="Aptos Serif" w:hAnsi="Aptos Serif" w:cs="Aptos Serif"/>
          <w:b/>
          <w:bCs/>
          <w:sz w:val="22"/>
          <w:szCs w:val="22"/>
        </w:rPr>
        <w:t xml:space="preserve"> </w:t>
      </w:r>
    </w:p>
    <w:p w14:paraId="6C61DB9E" w14:textId="77777777" w:rsidR="004D2F50" w:rsidRPr="004D2F50" w:rsidRDefault="004D2F50" w:rsidP="004D2F50">
      <w:pPr>
        <w:spacing w:after="0" w:line="276" w:lineRule="auto"/>
        <w:jc w:val="center"/>
        <w:rPr>
          <w:rFonts w:ascii="Aptos Serif" w:hAnsi="Aptos Serif" w:cs="Aptos Serif"/>
          <w:i/>
          <w:iCs/>
          <w:sz w:val="22"/>
          <w:szCs w:val="22"/>
        </w:rPr>
      </w:pPr>
      <w:r w:rsidRPr="004D2F50">
        <w:rPr>
          <w:rFonts w:ascii="Aptos Serif" w:hAnsi="Aptos Serif" w:cs="Aptos Serif"/>
          <w:i/>
          <w:iCs/>
          <w:sz w:val="22"/>
          <w:szCs w:val="22"/>
        </w:rPr>
        <w:t>(skarga nr 31842/20, wyrok z dnia 11 lipca 2024 r.)</w:t>
      </w:r>
    </w:p>
    <w:p w14:paraId="01332D2B" w14:textId="77777777" w:rsidR="004D2F50" w:rsidRDefault="004D2F50" w:rsidP="004D2F50">
      <w:pPr>
        <w:spacing w:after="0" w:line="276" w:lineRule="auto"/>
        <w:jc w:val="both"/>
        <w:rPr>
          <w:rFonts w:ascii="Aptos Serif" w:hAnsi="Aptos Serif" w:cs="Aptos Serif"/>
          <w:sz w:val="22"/>
          <w:szCs w:val="22"/>
        </w:rPr>
      </w:pPr>
    </w:p>
    <w:p w14:paraId="40A4BAA9" w14:textId="59313A91" w:rsidR="00C43E40" w:rsidRDefault="004D2F50" w:rsidP="00C43E40">
      <w:pPr>
        <w:spacing w:after="0" w:line="276" w:lineRule="auto"/>
        <w:jc w:val="both"/>
        <w:rPr>
          <w:rFonts w:ascii="Aptos Serif" w:hAnsi="Aptos Serif" w:cs="Aptos Serif"/>
          <w:sz w:val="22"/>
          <w:szCs w:val="22"/>
        </w:rPr>
      </w:pPr>
      <w:r>
        <w:rPr>
          <w:rFonts w:ascii="Aptos Serif" w:hAnsi="Aptos Serif" w:cs="Aptos Serif"/>
          <w:sz w:val="22"/>
          <w:szCs w:val="22"/>
        </w:rPr>
        <w:t>S</w:t>
      </w:r>
      <w:r w:rsidRPr="004D2F50">
        <w:rPr>
          <w:rFonts w:ascii="Aptos Serif" w:hAnsi="Aptos Serif" w:cs="Aptos Serif"/>
          <w:sz w:val="22"/>
          <w:szCs w:val="22"/>
        </w:rPr>
        <w:t xml:space="preserve">karga dotyczyła zarzutu naruszenia art. 8 Konwencji ze względu na naruszenie prawa do poszanowania życia prywatnego i rodzinnego w stosunku do pozbawionej wolności osoby transseksualnej, a w szczególności odmowy zezwolenia </w:t>
      </w:r>
      <w:r w:rsidR="005A4331">
        <w:rPr>
          <w:rFonts w:ascii="Aptos Serif" w:hAnsi="Aptos Serif" w:cs="Aptos Serif"/>
          <w:sz w:val="22"/>
          <w:szCs w:val="22"/>
        </w:rPr>
        <w:t>S</w:t>
      </w:r>
      <w:r w:rsidRPr="004D2F50">
        <w:rPr>
          <w:rFonts w:ascii="Aptos Serif" w:hAnsi="Aptos Serif" w:cs="Aptos Serif"/>
          <w:sz w:val="22"/>
          <w:szCs w:val="22"/>
        </w:rPr>
        <w:t xml:space="preserve">karżącej na kontynuowanie terapii hormonalnej w zakładzie karnym. W sprawie tej Rząd złożył wstępne zastrzeżenia, w których stwierdził, że </w:t>
      </w:r>
      <w:r w:rsidR="005A4331">
        <w:rPr>
          <w:rFonts w:ascii="Aptos Serif" w:hAnsi="Aptos Serif" w:cs="Aptos Serif"/>
          <w:sz w:val="22"/>
          <w:szCs w:val="22"/>
        </w:rPr>
        <w:t>S</w:t>
      </w:r>
      <w:r w:rsidRPr="004D2F50">
        <w:rPr>
          <w:rFonts w:ascii="Aptos Serif" w:hAnsi="Aptos Serif" w:cs="Aptos Serif"/>
          <w:sz w:val="22"/>
          <w:szCs w:val="22"/>
        </w:rPr>
        <w:t xml:space="preserve">karżącej nie można uznać za ofiarę zarzucanych naruszeń i że nie wyczerpała ona krajowych środków odwoławczych. </w:t>
      </w:r>
    </w:p>
    <w:p w14:paraId="23588C56" w14:textId="63268996" w:rsidR="004D2F50" w:rsidRPr="00C80F39" w:rsidRDefault="004D2F50" w:rsidP="004D2F50">
      <w:pPr>
        <w:spacing w:line="276" w:lineRule="auto"/>
        <w:jc w:val="both"/>
        <w:rPr>
          <w:rFonts w:ascii="Aptos Serif" w:hAnsi="Aptos Serif" w:cs="Aptos Serif"/>
          <w:sz w:val="22"/>
          <w:szCs w:val="22"/>
        </w:rPr>
      </w:pPr>
      <w:r w:rsidRPr="004D2F50">
        <w:rPr>
          <w:rFonts w:ascii="Aptos Serif" w:hAnsi="Aptos Serif" w:cs="Aptos Serif"/>
          <w:sz w:val="22"/>
          <w:szCs w:val="22"/>
        </w:rPr>
        <w:lastRenderedPageBreak/>
        <w:t xml:space="preserve">Trybunał oddalił zastrzeżenia Rządu i uznał skargę za dopuszczalną stwierdzając, że </w:t>
      </w:r>
      <w:r w:rsidR="005A4331">
        <w:rPr>
          <w:rFonts w:ascii="Aptos Serif" w:hAnsi="Aptos Serif" w:cs="Aptos Serif"/>
          <w:sz w:val="22"/>
          <w:szCs w:val="22"/>
        </w:rPr>
        <w:t>S</w:t>
      </w:r>
      <w:r w:rsidRPr="004D2F50">
        <w:rPr>
          <w:rFonts w:ascii="Aptos Serif" w:hAnsi="Aptos Serif" w:cs="Aptos Serif"/>
          <w:sz w:val="22"/>
          <w:szCs w:val="22"/>
        </w:rPr>
        <w:t xml:space="preserve">karżąca niewątpliwie poniosła szkodę o charakterze niemajątkowym z powodu naruszenia art. 8 Konwencji i w związku z tym </w:t>
      </w:r>
      <w:r w:rsidR="00055BDD">
        <w:rPr>
          <w:rFonts w:ascii="Aptos Serif" w:hAnsi="Aptos Serif" w:cs="Aptos Serif"/>
          <w:sz w:val="22"/>
          <w:szCs w:val="22"/>
        </w:rPr>
        <w:t xml:space="preserve">zasądził </w:t>
      </w:r>
      <w:r w:rsidRPr="004D2F50">
        <w:rPr>
          <w:rFonts w:ascii="Aptos Serif" w:hAnsi="Aptos Serif" w:cs="Aptos Serif"/>
          <w:sz w:val="22"/>
          <w:szCs w:val="22"/>
        </w:rPr>
        <w:t xml:space="preserve">na jej rzecz zadośćuczynienie w wysokości </w:t>
      </w:r>
      <w:r w:rsidR="00393F34">
        <w:rPr>
          <w:rFonts w:ascii="Aptos Serif" w:hAnsi="Aptos Serif" w:cs="Aptos Serif"/>
          <w:sz w:val="22"/>
          <w:szCs w:val="22"/>
        </w:rPr>
        <w:br/>
      </w:r>
      <w:r w:rsidRPr="004D2F50">
        <w:rPr>
          <w:rFonts w:ascii="Aptos Serif" w:hAnsi="Aptos Serif" w:cs="Aptos Serif"/>
          <w:sz w:val="22"/>
          <w:szCs w:val="22"/>
        </w:rPr>
        <w:t xml:space="preserve">8 000 euro oraz 2 153 euro tytułem poniesionych kosztów i wydatków. </w:t>
      </w:r>
    </w:p>
    <w:p w14:paraId="6E939EAE" w14:textId="77777777" w:rsidR="009626D6" w:rsidRDefault="009626D6" w:rsidP="004D2F50">
      <w:pPr>
        <w:spacing w:after="0" w:line="276" w:lineRule="auto"/>
        <w:jc w:val="both"/>
        <w:rPr>
          <w:rFonts w:ascii="Aptos Serif" w:hAnsi="Aptos Serif" w:cs="Aptos Serif"/>
          <w:sz w:val="22"/>
          <w:szCs w:val="22"/>
        </w:rPr>
      </w:pPr>
    </w:p>
    <w:p w14:paraId="191698F7" w14:textId="77777777" w:rsidR="009626D6" w:rsidRDefault="009626D6" w:rsidP="009626D6">
      <w:pPr>
        <w:spacing w:after="0" w:line="276" w:lineRule="auto"/>
        <w:jc w:val="center"/>
        <w:rPr>
          <w:rFonts w:ascii="Aptos Serif" w:hAnsi="Aptos Serif" w:cs="Aptos Serif"/>
          <w:b/>
          <w:bCs/>
          <w:sz w:val="22"/>
          <w:szCs w:val="22"/>
        </w:rPr>
      </w:pPr>
      <w:r w:rsidRPr="00725E71">
        <w:rPr>
          <w:rFonts w:ascii="Aptos Serif" w:hAnsi="Aptos Serif" w:cs="Aptos Serif"/>
          <w:b/>
          <w:bCs/>
          <w:sz w:val="22"/>
          <w:szCs w:val="22"/>
        </w:rPr>
        <w:t>Decyzja w sprawie Grochulski przeciwko Polsce</w:t>
      </w:r>
    </w:p>
    <w:p w14:paraId="12F70CA8" w14:textId="77777777" w:rsidR="009626D6" w:rsidRDefault="009626D6" w:rsidP="009626D6">
      <w:pPr>
        <w:spacing w:line="276" w:lineRule="auto"/>
        <w:jc w:val="center"/>
        <w:rPr>
          <w:rFonts w:ascii="Aptos Serif" w:hAnsi="Aptos Serif" w:cs="Aptos Serif"/>
          <w:i/>
          <w:iCs/>
          <w:sz w:val="22"/>
          <w:szCs w:val="22"/>
        </w:rPr>
      </w:pPr>
      <w:r w:rsidRPr="00725E71">
        <w:rPr>
          <w:rFonts w:ascii="Aptos Serif" w:hAnsi="Aptos Serif" w:cs="Aptos Serif"/>
          <w:i/>
          <w:iCs/>
          <w:sz w:val="22"/>
          <w:szCs w:val="22"/>
        </w:rPr>
        <w:t>(skarga nr 131/15</w:t>
      </w:r>
      <w:r>
        <w:rPr>
          <w:rFonts w:ascii="Aptos Serif" w:hAnsi="Aptos Serif" w:cs="Aptos Serif"/>
          <w:i/>
          <w:iCs/>
          <w:sz w:val="22"/>
          <w:szCs w:val="22"/>
        </w:rPr>
        <w:t>, decyzja z dnia 5 września 2024 r.)</w:t>
      </w:r>
    </w:p>
    <w:p w14:paraId="04CF204B" w14:textId="263C097B" w:rsidR="009626D6" w:rsidRDefault="009626D6" w:rsidP="009626D6">
      <w:pPr>
        <w:spacing w:line="276" w:lineRule="auto"/>
        <w:jc w:val="both"/>
        <w:rPr>
          <w:rFonts w:ascii="Aptos Serif" w:hAnsi="Aptos Serif" w:cs="Aptos Serif"/>
          <w:sz w:val="22"/>
          <w:szCs w:val="22"/>
        </w:rPr>
      </w:pPr>
      <w:r w:rsidRPr="00725E71">
        <w:rPr>
          <w:rFonts w:ascii="Aptos Serif" w:hAnsi="Aptos Serif" w:cs="Aptos Serif"/>
          <w:sz w:val="22"/>
          <w:szCs w:val="22"/>
        </w:rPr>
        <w:t xml:space="preserve">Skarga dotyczyła zarzutu naruszenia art. 8 i 14 Konwencji z uwagi na odmowę ubezpieczenia </w:t>
      </w:r>
      <w:r w:rsidR="005A4331">
        <w:rPr>
          <w:rFonts w:ascii="Aptos Serif" w:hAnsi="Aptos Serif" w:cs="Aptos Serif"/>
          <w:sz w:val="22"/>
          <w:szCs w:val="22"/>
        </w:rPr>
        <w:t>S</w:t>
      </w:r>
      <w:r w:rsidRPr="00725E71">
        <w:rPr>
          <w:rFonts w:ascii="Aptos Serif" w:hAnsi="Aptos Serif" w:cs="Aptos Serif"/>
          <w:sz w:val="22"/>
          <w:szCs w:val="22"/>
        </w:rPr>
        <w:t xml:space="preserve">karżącego w ramach rodzinnego wariantu polisy na życie wraz z partnerem tej samej płci </w:t>
      </w:r>
      <w:r w:rsidR="00393F34">
        <w:rPr>
          <w:rFonts w:ascii="Aptos Serif" w:hAnsi="Aptos Serif" w:cs="Aptos Serif"/>
          <w:sz w:val="22"/>
          <w:szCs w:val="22"/>
        </w:rPr>
        <w:br/>
      </w:r>
      <w:r w:rsidRPr="00725E71">
        <w:rPr>
          <w:rFonts w:ascii="Aptos Serif" w:hAnsi="Aptos Serif" w:cs="Aptos Serif"/>
          <w:sz w:val="22"/>
          <w:szCs w:val="22"/>
        </w:rPr>
        <w:t xml:space="preserve">i nieuznanie przez sądy powszechne takiej decyzji towarzystwa ubezpieczeń za naruszenie dóbr osobistych </w:t>
      </w:r>
      <w:r w:rsidR="005A4331">
        <w:rPr>
          <w:rFonts w:ascii="Aptos Serif" w:hAnsi="Aptos Serif" w:cs="Aptos Serif"/>
          <w:sz w:val="22"/>
          <w:szCs w:val="22"/>
        </w:rPr>
        <w:t>S</w:t>
      </w:r>
      <w:r w:rsidRPr="00725E71">
        <w:rPr>
          <w:rFonts w:ascii="Aptos Serif" w:hAnsi="Aptos Serif" w:cs="Aptos Serif"/>
          <w:sz w:val="22"/>
          <w:szCs w:val="22"/>
        </w:rPr>
        <w:t xml:space="preserve">karżącego. Wobec zawarcia ugody między stronami w niniejszej sprawie, przyznania </w:t>
      </w:r>
      <w:r w:rsidR="005A4331">
        <w:rPr>
          <w:rFonts w:ascii="Aptos Serif" w:hAnsi="Aptos Serif" w:cs="Aptos Serif"/>
          <w:sz w:val="22"/>
          <w:szCs w:val="22"/>
        </w:rPr>
        <w:t>S</w:t>
      </w:r>
      <w:r w:rsidRPr="00725E71">
        <w:rPr>
          <w:rFonts w:ascii="Aptos Serif" w:hAnsi="Aptos Serif" w:cs="Aptos Serif"/>
          <w:sz w:val="22"/>
          <w:szCs w:val="22"/>
        </w:rPr>
        <w:t>karżącemu zadośćuczynienia w wysokości 3 500 euro, Trybunał postanowił skreślić skargę z listy rozpatrywanych spraw.</w:t>
      </w:r>
    </w:p>
    <w:p w14:paraId="4A78481E" w14:textId="77777777" w:rsidR="00B524E1" w:rsidRDefault="00B524E1" w:rsidP="009040AA">
      <w:pPr>
        <w:spacing w:after="0" w:line="276" w:lineRule="auto"/>
        <w:jc w:val="both"/>
        <w:rPr>
          <w:rFonts w:ascii="Aptos Serif" w:hAnsi="Aptos Serif" w:cs="Aptos Serif"/>
          <w:b/>
          <w:bCs/>
          <w:sz w:val="22"/>
          <w:szCs w:val="22"/>
        </w:rPr>
      </w:pPr>
    </w:p>
    <w:p w14:paraId="1D542A91" w14:textId="1F6BDA9A" w:rsidR="009040AA" w:rsidRPr="00801258" w:rsidRDefault="00801258" w:rsidP="00801258">
      <w:pPr>
        <w:spacing w:after="0" w:line="276" w:lineRule="auto"/>
        <w:jc w:val="center"/>
        <w:rPr>
          <w:rFonts w:ascii="Aptos Serif" w:hAnsi="Aptos Serif" w:cs="Aptos Serif"/>
          <w:b/>
          <w:bCs/>
          <w:sz w:val="22"/>
          <w:szCs w:val="22"/>
        </w:rPr>
      </w:pPr>
      <w:r w:rsidRPr="00801258">
        <w:rPr>
          <w:rFonts w:ascii="Aptos Serif" w:hAnsi="Aptos Serif" w:cs="Aptos Serif"/>
          <w:b/>
          <w:bCs/>
          <w:sz w:val="22"/>
          <w:szCs w:val="22"/>
        </w:rPr>
        <w:t>Formela i Inni przeciwko Polsce</w:t>
      </w:r>
    </w:p>
    <w:p w14:paraId="76B38687" w14:textId="12E612CC" w:rsidR="00801258" w:rsidRPr="00725E71" w:rsidRDefault="00801258" w:rsidP="00801258">
      <w:pPr>
        <w:spacing w:line="276" w:lineRule="auto"/>
        <w:jc w:val="center"/>
        <w:rPr>
          <w:rFonts w:ascii="Aptos Serif" w:hAnsi="Aptos Serif" w:cs="Aptos Serif"/>
          <w:i/>
          <w:iCs/>
          <w:sz w:val="22"/>
          <w:szCs w:val="22"/>
        </w:rPr>
      </w:pPr>
      <w:r w:rsidRPr="00725E71">
        <w:rPr>
          <w:rFonts w:ascii="Aptos Serif" w:hAnsi="Aptos Serif" w:cs="Aptos Serif"/>
          <w:i/>
          <w:iCs/>
          <w:sz w:val="22"/>
          <w:szCs w:val="22"/>
        </w:rPr>
        <w:t>(skarga nr 58828/12, wyrok z dnia 19 września 2024 r.)</w:t>
      </w:r>
    </w:p>
    <w:p w14:paraId="61798274" w14:textId="3AB36DB2" w:rsidR="00C655C7" w:rsidRDefault="00801258" w:rsidP="00C655C7">
      <w:pPr>
        <w:spacing w:after="0" w:line="276" w:lineRule="auto"/>
        <w:jc w:val="both"/>
        <w:rPr>
          <w:rFonts w:ascii="Aptos Serif" w:hAnsi="Aptos Serif" w:cs="Aptos Serif"/>
          <w:sz w:val="22"/>
          <w:szCs w:val="22"/>
        </w:rPr>
      </w:pPr>
      <w:r>
        <w:rPr>
          <w:rFonts w:ascii="Aptos Serif" w:hAnsi="Aptos Serif" w:cs="Aptos Serif"/>
          <w:sz w:val="22"/>
          <w:szCs w:val="22"/>
        </w:rPr>
        <w:t>Wszystkie s</w:t>
      </w:r>
      <w:r w:rsidRPr="00801258">
        <w:rPr>
          <w:rFonts w:ascii="Aptos Serif" w:hAnsi="Aptos Serif" w:cs="Aptos Serif"/>
          <w:sz w:val="22"/>
          <w:szCs w:val="22"/>
        </w:rPr>
        <w:t xml:space="preserve">kargi dotyczyły zarzutu naruszenia art. 8 Konwencji o ochronie praw człowieka </w:t>
      </w:r>
      <w:r w:rsidR="00393F34">
        <w:rPr>
          <w:rFonts w:ascii="Aptos Serif" w:hAnsi="Aptos Serif" w:cs="Aptos Serif"/>
          <w:sz w:val="22"/>
          <w:szCs w:val="22"/>
        </w:rPr>
        <w:br/>
      </w:r>
      <w:r w:rsidRPr="00801258">
        <w:rPr>
          <w:rFonts w:ascii="Aptos Serif" w:hAnsi="Aptos Serif" w:cs="Aptos Serif"/>
          <w:sz w:val="22"/>
          <w:szCs w:val="22"/>
        </w:rPr>
        <w:t xml:space="preserve">i podstawowych wolności ze względu na naruszenie prawa do poszanowania życia rodzinnego i prywatnego. Wszystkie skargi dotyczyły naruszenia art. 8 i art. 14 w zw. </w:t>
      </w:r>
      <w:r w:rsidR="00055BDD">
        <w:rPr>
          <w:rFonts w:ascii="Aptos Serif" w:hAnsi="Aptos Serif" w:cs="Aptos Serif"/>
          <w:sz w:val="22"/>
          <w:szCs w:val="22"/>
        </w:rPr>
        <w:t>z</w:t>
      </w:r>
      <w:r w:rsidRPr="00801258">
        <w:rPr>
          <w:rFonts w:ascii="Aptos Serif" w:hAnsi="Aptos Serif" w:cs="Aptos Serif"/>
          <w:sz w:val="22"/>
          <w:szCs w:val="22"/>
        </w:rPr>
        <w:t xml:space="preserve"> art. 8 Konwencji o ochronie praw człowieka i podstawowych wolności (dalej: Konwencja), ze względu na naruszenie prawa do poszanowania życia rodzinnego i prywatnego osób tej samej płci pozostających w związku oraz dyskryminacji ze względu na orientację seksualną. Skarżące podniosły w swoich skargach szerokie spektrum spraw z zakresu prawa podatkowego, stanu cywilnego, zabezpieczenia zdrowotnego i ubezpieczeń społecznych wynikających z braku krajowego unormowania ram prawnych dla par tej samej płci. </w:t>
      </w:r>
    </w:p>
    <w:p w14:paraId="394A772B" w14:textId="64DA1890" w:rsidR="00801258" w:rsidRDefault="00801258" w:rsidP="00801258">
      <w:pPr>
        <w:spacing w:line="276" w:lineRule="auto"/>
        <w:jc w:val="both"/>
        <w:rPr>
          <w:rFonts w:ascii="Aptos Serif" w:hAnsi="Aptos Serif" w:cs="Aptos Serif"/>
          <w:sz w:val="22"/>
          <w:szCs w:val="22"/>
        </w:rPr>
      </w:pPr>
      <w:r w:rsidRPr="00801258">
        <w:rPr>
          <w:rFonts w:ascii="Aptos Serif" w:hAnsi="Aptos Serif" w:cs="Aptos Serif"/>
          <w:sz w:val="22"/>
          <w:szCs w:val="22"/>
        </w:rPr>
        <w:t>Trybunał w świetle wszystkich materiałów będących w jego posiadaniu, swojego orzecznictwa oraz w zakresie, w jakim kwestie będące przedmiotem skargi leżą w jego kompetencjach, uznał, że doszło do naruszenia art. 8 Konwencj</w:t>
      </w:r>
      <w:r>
        <w:rPr>
          <w:rFonts w:ascii="Aptos Serif" w:hAnsi="Aptos Serif" w:cs="Aptos Serif"/>
          <w:sz w:val="22"/>
          <w:szCs w:val="22"/>
        </w:rPr>
        <w:t>i</w:t>
      </w:r>
      <w:r w:rsidRPr="00801258">
        <w:rPr>
          <w:rFonts w:ascii="Aptos Serif" w:hAnsi="Aptos Serif" w:cs="Aptos Serif"/>
          <w:sz w:val="22"/>
          <w:szCs w:val="22"/>
        </w:rPr>
        <w:t xml:space="preserve">. ETPC orzekł, że Polska przekroczyła swój margines swobody i nie wypełniła swojego pozytywnego obowiązku zapewnienia, aby </w:t>
      </w:r>
      <w:r w:rsidR="005A4331">
        <w:rPr>
          <w:rFonts w:ascii="Aptos Serif" w:hAnsi="Aptos Serif" w:cs="Aptos Serif"/>
          <w:sz w:val="22"/>
          <w:szCs w:val="22"/>
        </w:rPr>
        <w:t>S</w:t>
      </w:r>
      <w:r w:rsidRPr="00801258">
        <w:rPr>
          <w:rFonts w:ascii="Aptos Serif" w:hAnsi="Aptos Serif" w:cs="Aptos Serif"/>
          <w:sz w:val="22"/>
          <w:szCs w:val="22"/>
        </w:rPr>
        <w:t>karżące dysponowały konkretnymi ramami prawnymi zapewniającymi uznanie i ochronę ich związków.</w:t>
      </w:r>
    </w:p>
    <w:p w14:paraId="3CA09015" w14:textId="77777777" w:rsidR="002729EA" w:rsidRPr="00801258" w:rsidRDefault="002729EA" w:rsidP="00801258">
      <w:pPr>
        <w:spacing w:line="276" w:lineRule="auto"/>
        <w:jc w:val="both"/>
        <w:rPr>
          <w:rFonts w:ascii="Aptos Serif" w:hAnsi="Aptos Serif" w:cs="Aptos Serif"/>
          <w:b/>
          <w:bCs/>
          <w:sz w:val="22"/>
          <w:szCs w:val="22"/>
        </w:rPr>
      </w:pPr>
    </w:p>
    <w:p w14:paraId="484A3199" w14:textId="789E285E" w:rsidR="00801258" w:rsidRPr="00801258" w:rsidRDefault="00801258" w:rsidP="00801258">
      <w:pPr>
        <w:spacing w:after="0" w:line="276" w:lineRule="auto"/>
        <w:jc w:val="center"/>
        <w:rPr>
          <w:rFonts w:ascii="Aptos Serif" w:hAnsi="Aptos Serif" w:cs="Aptos Serif"/>
          <w:b/>
          <w:bCs/>
          <w:sz w:val="22"/>
          <w:szCs w:val="22"/>
        </w:rPr>
      </w:pPr>
      <w:r w:rsidRPr="00801258">
        <w:rPr>
          <w:rFonts w:ascii="Aptos Serif" w:hAnsi="Aptos Serif" w:cs="Aptos Serif"/>
          <w:b/>
          <w:bCs/>
          <w:sz w:val="22"/>
          <w:szCs w:val="22"/>
        </w:rPr>
        <w:t>Szypuła i Inni przeciwko Polsce</w:t>
      </w:r>
    </w:p>
    <w:p w14:paraId="48F913B8" w14:textId="59A35995" w:rsidR="00801258" w:rsidRPr="00725E71" w:rsidRDefault="00801258" w:rsidP="00801258">
      <w:pPr>
        <w:spacing w:line="276" w:lineRule="auto"/>
        <w:jc w:val="center"/>
        <w:rPr>
          <w:rFonts w:ascii="Aptos Serif" w:hAnsi="Aptos Serif" w:cs="Aptos Serif"/>
          <w:i/>
          <w:iCs/>
          <w:sz w:val="22"/>
          <w:szCs w:val="22"/>
        </w:rPr>
      </w:pPr>
      <w:r w:rsidRPr="00725E71">
        <w:rPr>
          <w:rFonts w:ascii="Aptos Serif" w:hAnsi="Aptos Serif" w:cs="Aptos Serif"/>
          <w:i/>
          <w:iCs/>
          <w:sz w:val="22"/>
          <w:szCs w:val="22"/>
        </w:rPr>
        <w:t>(skarga nr 78030/14, wyrok z dnia 27 lutego 2025 r.)</w:t>
      </w:r>
    </w:p>
    <w:p w14:paraId="6A67975B" w14:textId="254CD002" w:rsidR="00C655C7" w:rsidRDefault="00801258" w:rsidP="00C655C7">
      <w:pPr>
        <w:spacing w:after="0" w:line="276" w:lineRule="auto"/>
        <w:jc w:val="both"/>
        <w:rPr>
          <w:rFonts w:ascii="Aptos Serif" w:hAnsi="Aptos Serif" w:cs="Aptos Serif"/>
          <w:sz w:val="22"/>
          <w:szCs w:val="22"/>
        </w:rPr>
      </w:pPr>
      <w:r w:rsidRPr="00801258">
        <w:rPr>
          <w:rFonts w:ascii="Aptos Serif" w:hAnsi="Aptos Serif" w:cs="Aptos Serif"/>
          <w:sz w:val="22"/>
          <w:szCs w:val="22"/>
        </w:rPr>
        <w:t xml:space="preserve">Mając na uwadze podobny przedmiot skarg, Trybunał rozpoznał łącznie sprawę ze skargi: </w:t>
      </w:r>
      <w:r w:rsidR="003171F8">
        <w:rPr>
          <w:rFonts w:ascii="Aptos Serif" w:hAnsi="Aptos Serif" w:cs="Aptos Serif"/>
          <w:sz w:val="22"/>
          <w:szCs w:val="22"/>
        </w:rPr>
        <w:br/>
      </w:r>
      <w:r w:rsidRPr="00801258">
        <w:rPr>
          <w:rFonts w:ascii="Aptos Serif" w:hAnsi="Aptos Serif" w:cs="Aptos Serif"/>
          <w:sz w:val="22"/>
          <w:szCs w:val="22"/>
        </w:rPr>
        <w:t xml:space="preserve">p. Urbanika i Alonso Rodrigueza przeciwko Polsce (skarga nr 23669/16). Obie skargi dotyczyły zarzutu naruszenia art. 8, 12 i 14 Konwencji w związku z art. </w:t>
      </w:r>
      <w:r w:rsidR="00F548AA" w:rsidRPr="00801258">
        <w:rPr>
          <w:rFonts w:ascii="Aptos Serif" w:hAnsi="Aptos Serif" w:cs="Aptos Serif"/>
          <w:sz w:val="22"/>
          <w:szCs w:val="22"/>
        </w:rPr>
        <w:t>8</w:t>
      </w:r>
      <w:r w:rsidR="00F548AA">
        <w:rPr>
          <w:rFonts w:ascii="Aptos Serif" w:hAnsi="Aptos Serif" w:cs="Aptos Serif"/>
          <w:sz w:val="22"/>
          <w:szCs w:val="22"/>
        </w:rPr>
        <w:t xml:space="preserve">, </w:t>
      </w:r>
      <w:r w:rsidR="00F548AA" w:rsidRPr="00801258">
        <w:rPr>
          <w:rFonts w:ascii="Aptos Serif" w:hAnsi="Aptos Serif" w:cs="Aptos Serif"/>
          <w:sz w:val="22"/>
          <w:szCs w:val="22"/>
        </w:rPr>
        <w:t>w</w:t>
      </w:r>
      <w:r w:rsidRPr="00801258">
        <w:rPr>
          <w:rFonts w:ascii="Aptos Serif" w:hAnsi="Aptos Serif" w:cs="Aptos Serif"/>
          <w:sz w:val="22"/>
          <w:szCs w:val="22"/>
        </w:rPr>
        <w:t xml:space="preserve"> związku </w:t>
      </w:r>
      <w:r w:rsidR="00393F34">
        <w:rPr>
          <w:rFonts w:ascii="Aptos Serif" w:hAnsi="Aptos Serif" w:cs="Aptos Serif"/>
          <w:sz w:val="22"/>
          <w:szCs w:val="22"/>
        </w:rPr>
        <w:br/>
      </w:r>
      <w:r w:rsidRPr="00801258">
        <w:rPr>
          <w:rFonts w:ascii="Aptos Serif" w:hAnsi="Aptos Serif" w:cs="Aptos Serif"/>
          <w:sz w:val="22"/>
          <w:szCs w:val="22"/>
        </w:rPr>
        <w:t xml:space="preserve">z odmową wydania </w:t>
      </w:r>
      <w:r w:rsidR="005A4331">
        <w:rPr>
          <w:rFonts w:ascii="Aptos Serif" w:hAnsi="Aptos Serif" w:cs="Aptos Serif"/>
          <w:sz w:val="22"/>
          <w:szCs w:val="22"/>
        </w:rPr>
        <w:t>S</w:t>
      </w:r>
      <w:r w:rsidRPr="00801258">
        <w:rPr>
          <w:rFonts w:ascii="Aptos Serif" w:hAnsi="Aptos Serif" w:cs="Aptos Serif"/>
          <w:sz w:val="22"/>
          <w:szCs w:val="22"/>
        </w:rPr>
        <w:t xml:space="preserve">karżącym zaświadczeń stwierdzających brak okoliczności wyłączających zawarcie związku małżeńskiego za granicą. Rząd wniósł wstępne zastrzeżenie dotyczące tego, że </w:t>
      </w:r>
      <w:r w:rsidR="005A4331">
        <w:rPr>
          <w:rFonts w:ascii="Aptos Serif" w:hAnsi="Aptos Serif" w:cs="Aptos Serif"/>
          <w:sz w:val="22"/>
          <w:szCs w:val="22"/>
        </w:rPr>
        <w:t>S</w:t>
      </w:r>
      <w:r w:rsidRPr="00801258">
        <w:rPr>
          <w:rFonts w:ascii="Aptos Serif" w:hAnsi="Aptos Serif" w:cs="Aptos Serif"/>
          <w:sz w:val="22"/>
          <w:szCs w:val="22"/>
        </w:rPr>
        <w:t xml:space="preserve">karżący nie ponieśli żadnej znaczącej szkody, ponieważ </w:t>
      </w:r>
      <w:r w:rsidRPr="00801258">
        <w:rPr>
          <w:rFonts w:ascii="Aptos Serif" w:hAnsi="Aptos Serif" w:cs="Aptos Serif"/>
          <w:sz w:val="22"/>
          <w:szCs w:val="22"/>
        </w:rPr>
        <w:lastRenderedPageBreak/>
        <w:t xml:space="preserve">nadal żyli razem w swoich związkach i nie ponieśli żadnej szkody z powodu decyzji krajowych. </w:t>
      </w:r>
    </w:p>
    <w:p w14:paraId="286B1F20" w14:textId="0C3F85F8" w:rsidR="00801258" w:rsidRDefault="00801258" w:rsidP="00801258">
      <w:pPr>
        <w:spacing w:line="276" w:lineRule="auto"/>
        <w:jc w:val="both"/>
        <w:rPr>
          <w:rFonts w:ascii="Aptos Serif" w:hAnsi="Aptos Serif" w:cs="Aptos Serif"/>
          <w:sz w:val="22"/>
          <w:szCs w:val="22"/>
        </w:rPr>
      </w:pPr>
      <w:r w:rsidRPr="00801258">
        <w:rPr>
          <w:rFonts w:ascii="Aptos Serif" w:hAnsi="Aptos Serif" w:cs="Aptos Serif"/>
          <w:sz w:val="22"/>
          <w:szCs w:val="22"/>
        </w:rPr>
        <w:t xml:space="preserve">Trybunał stwierdził, że nie zapewniając </w:t>
      </w:r>
      <w:r w:rsidR="005A4331">
        <w:rPr>
          <w:rFonts w:ascii="Aptos Serif" w:hAnsi="Aptos Serif" w:cs="Aptos Serif"/>
          <w:sz w:val="22"/>
          <w:szCs w:val="22"/>
        </w:rPr>
        <w:t>S</w:t>
      </w:r>
      <w:r w:rsidRPr="00801258">
        <w:rPr>
          <w:rFonts w:ascii="Aptos Serif" w:hAnsi="Aptos Serif" w:cs="Aptos Serif"/>
          <w:sz w:val="22"/>
          <w:szCs w:val="22"/>
        </w:rPr>
        <w:t xml:space="preserve">karżącym konkretnych ram prawnych przewidujących uznanie i ochronę, władze polskie pozostawiły ich w próżni prawnej i nie zapewniły podstawowych potrzeb w zakresie uznania i ochrony par osób tej samej płci pozostających w stabilnym i zaangażowanym związku. Stwierdził również, że żadna </w:t>
      </w:r>
      <w:r w:rsidR="00393F34">
        <w:rPr>
          <w:rFonts w:ascii="Aptos Serif" w:hAnsi="Aptos Serif" w:cs="Aptos Serif"/>
          <w:sz w:val="22"/>
          <w:szCs w:val="22"/>
        </w:rPr>
        <w:br/>
      </w:r>
      <w:r w:rsidRPr="00801258">
        <w:rPr>
          <w:rFonts w:ascii="Aptos Serif" w:hAnsi="Aptos Serif" w:cs="Aptos Serif"/>
          <w:sz w:val="22"/>
          <w:szCs w:val="22"/>
        </w:rPr>
        <w:t xml:space="preserve">z przesłanek interesu publicznego przedstawionych przez Rząd nie przeważa nad interesem </w:t>
      </w:r>
      <w:r w:rsidR="005A4331">
        <w:rPr>
          <w:rFonts w:ascii="Aptos Serif" w:hAnsi="Aptos Serif" w:cs="Aptos Serif"/>
          <w:sz w:val="22"/>
          <w:szCs w:val="22"/>
        </w:rPr>
        <w:t>S</w:t>
      </w:r>
      <w:r w:rsidRPr="00801258">
        <w:rPr>
          <w:rFonts w:ascii="Aptos Serif" w:hAnsi="Aptos Serif" w:cs="Aptos Serif"/>
          <w:sz w:val="22"/>
          <w:szCs w:val="22"/>
        </w:rPr>
        <w:t xml:space="preserve">karżących w odpowiednim uznaniu i ochronie prawnej ich związków. ETPC dodał, że państwa członkowskie mają szerszy margines oceny przy określaniu dokładnego charakteru systemu prawnego, który ma być dostępny dla par tej samej płci. Zwrócił uwagę, że ważne jest jednak, aby ochrona przyznana przez państwa parom tej samej płci była odpowiednia. Trybunał stwierdził ponadto, że pozwane państwo przekroczyło swój margines oceny i nie wywiązało się ze swojego pozytywnego obowiązku zapewnienia </w:t>
      </w:r>
      <w:r w:rsidR="005A4331">
        <w:rPr>
          <w:rFonts w:ascii="Aptos Serif" w:hAnsi="Aptos Serif" w:cs="Aptos Serif"/>
          <w:sz w:val="22"/>
          <w:szCs w:val="22"/>
        </w:rPr>
        <w:t>S</w:t>
      </w:r>
      <w:r w:rsidRPr="00801258">
        <w:rPr>
          <w:rFonts w:ascii="Aptos Serif" w:hAnsi="Aptos Serif" w:cs="Aptos Serif"/>
          <w:sz w:val="22"/>
          <w:szCs w:val="22"/>
        </w:rPr>
        <w:t xml:space="preserve">karżącym konkretnych ram prawnych przewidujących uznanie i ochronę ich związków jednopłciowych. Stanowiło to, zdaniem Trybunału, naruszenie prawa </w:t>
      </w:r>
      <w:r w:rsidR="005A4331">
        <w:rPr>
          <w:rFonts w:ascii="Aptos Serif" w:hAnsi="Aptos Serif" w:cs="Aptos Serif"/>
          <w:sz w:val="22"/>
          <w:szCs w:val="22"/>
        </w:rPr>
        <w:t>S</w:t>
      </w:r>
      <w:r w:rsidRPr="00801258">
        <w:rPr>
          <w:rFonts w:ascii="Aptos Serif" w:hAnsi="Aptos Serif" w:cs="Aptos Serif"/>
          <w:sz w:val="22"/>
          <w:szCs w:val="22"/>
        </w:rPr>
        <w:t xml:space="preserve">karżących do poszanowania ich życia prywatnego </w:t>
      </w:r>
      <w:r w:rsidR="00393F34">
        <w:rPr>
          <w:rFonts w:ascii="Aptos Serif" w:hAnsi="Aptos Serif" w:cs="Aptos Serif"/>
          <w:sz w:val="22"/>
          <w:szCs w:val="22"/>
        </w:rPr>
        <w:br/>
      </w:r>
      <w:r w:rsidRPr="00801258">
        <w:rPr>
          <w:rFonts w:ascii="Aptos Serif" w:hAnsi="Aptos Serif" w:cs="Aptos Serif"/>
          <w:sz w:val="22"/>
          <w:szCs w:val="22"/>
        </w:rPr>
        <w:t xml:space="preserve">i rodzinnego. Trybunał orzekając w przedmiotowych sprawach opierał się na swoim ugruntowanym w tym zakresie orzecznictwie, m.in. w sprawach przeciwko Polsce: </w:t>
      </w:r>
      <w:r w:rsidRPr="00C655C7">
        <w:rPr>
          <w:rFonts w:ascii="Aptos Serif" w:hAnsi="Aptos Serif" w:cs="Aptos Serif"/>
          <w:i/>
          <w:iCs/>
          <w:sz w:val="22"/>
          <w:szCs w:val="22"/>
        </w:rPr>
        <w:t>Przybyszewska i Inni przeciwko Polsce, skarga nr 11454/17</w:t>
      </w:r>
      <w:r w:rsidRPr="00C655C7">
        <w:rPr>
          <w:rFonts w:ascii="Aptos Serif" w:hAnsi="Aptos Serif" w:cs="Aptos Serif"/>
          <w:sz w:val="22"/>
          <w:szCs w:val="22"/>
        </w:rPr>
        <w:t xml:space="preserve"> i</w:t>
      </w:r>
      <w:r w:rsidRPr="00C655C7">
        <w:rPr>
          <w:rFonts w:ascii="Aptos Serif" w:hAnsi="Aptos Serif" w:cs="Aptos Serif"/>
          <w:i/>
          <w:iCs/>
          <w:sz w:val="22"/>
          <w:szCs w:val="22"/>
        </w:rPr>
        <w:t xml:space="preserve"> Formela i Inni przeciwko Polsce, skarga nr 58828/12</w:t>
      </w:r>
      <w:r w:rsidRPr="00801258">
        <w:rPr>
          <w:rFonts w:ascii="Aptos Serif" w:hAnsi="Aptos Serif" w:cs="Aptos Serif"/>
          <w:sz w:val="22"/>
          <w:szCs w:val="22"/>
        </w:rPr>
        <w:t xml:space="preserve">. Trybunał uznał, że nie ma potrzeby rozpoznawania pozostałych zarzutów </w:t>
      </w:r>
      <w:r w:rsidR="005A4331">
        <w:rPr>
          <w:rFonts w:ascii="Aptos Serif" w:hAnsi="Aptos Serif" w:cs="Aptos Serif"/>
          <w:sz w:val="22"/>
          <w:szCs w:val="22"/>
        </w:rPr>
        <w:t>S</w:t>
      </w:r>
      <w:r w:rsidRPr="00801258">
        <w:rPr>
          <w:rFonts w:ascii="Aptos Serif" w:hAnsi="Aptos Serif" w:cs="Aptos Serif"/>
          <w:sz w:val="22"/>
          <w:szCs w:val="22"/>
        </w:rPr>
        <w:t xml:space="preserve">karżących (art. 8, 12 i 14 w związku z art. 8 Konwencji). </w:t>
      </w:r>
      <w:r w:rsidR="00F548AA" w:rsidRPr="00801258">
        <w:rPr>
          <w:rFonts w:ascii="Aptos Serif" w:hAnsi="Aptos Serif" w:cs="Aptos Serif"/>
          <w:sz w:val="22"/>
          <w:szCs w:val="22"/>
        </w:rPr>
        <w:t>Odnośnie do</w:t>
      </w:r>
      <w:r w:rsidRPr="00801258">
        <w:rPr>
          <w:rFonts w:ascii="Aptos Serif" w:hAnsi="Aptos Serif" w:cs="Aptos Serif"/>
          <w:sz w:val="22"/>
          <w:szCs w:val="22"/>
        </w:rPr>
        <w:t xml:space="preserve"> zadośćuczynienia, ETPC stwierdził, że stwierdzenie naruszenia samo w sobie stanowi wystarczające zadośćuczynienie za wszelkie szkody niemajątkowe poniesione przez </w:t>
      </w:r>
      <w:r w:rsidR="005A4331">
        <w:rPr>
          <w:rFonts w:ascii="Aptos Serif" w:hAnsi="Aptos Serif" w:cs="Aptos Serif"/>
          <w:sz w:val="22"/>
          <w:szCs w:val="22"/>
        </w:rPr>
        <w:t>S</w:t>
      </w:r>
      <w:r w:rsidRPr="00801258">
        <w:rPr>
          <w:rFonts w:ascii="Aptos Serif" w:hAnsi="Aptos Serif" w:cs="Aptos Serif"/>
          <w:sz w:val="22"/>
          <w:szCs w:val="22"/>
        </w:rPr>
        <w:t xml:space="preserve">karżących i oddalił roszczenia </w:t>
      </w:r>
      <w:r w:rsidR="005A4331">
        <w:rPr>
          <w:rFonts w:ascii="Aptos Serif" w:hAnsi="Aptos Serif" w:cs="Aptos Serif"/>
          <w:sz w:val="22"/>
          <w:szCs w:val="22"/>
        </w:rPr>
        <w:t>S</w:t>
      </w:r>
      <w:r w:rsidRPr="00801258">
        <w:rPr>
          <w:rFonts w:ascii="Aptos Serif" w:hAnsi="Aptos Serif" w:cs="Aptos Serif"/>
          <w:sz w:val="22"/>
          <w:szCs w:val="22"/>
        </w:rPr>
        <w:t>karżących o słuszne zadośćuczynienie.</w:t>
      </w:r>
    </w:p>
    <w:p w14:paraId="6C6E6A9E" w14:textId="77777777" w:rsidR="00C43E40" w:rsidRPr="003F58DA" w:rsidRDefault="00C43E40" w:rsidP="00C43E40">
      <w:pPr>
        <w:spacing w:line="276" w:lineRule="auto"/>
        <w:jc w:val="center"/>
        <w:rPr>
          <w:rFonts w:ascii="Aptos Serif" w:hAnsi="Aptos Serif" w:cs="Aptos Serif"/>
          <w:b/>
          <w:bCs/>
          <w:color w:val="002060"/>
          <w:sz w:val="22"/>
          <w:szCs w:val="22"/>
        </w:rPr>
      </w:pPr>
    </w:p>
    <w:p w14:paraId="354C87BC" w14:textId="624A1481" w:rsidR="00725E71" w:rsidRPr="003F58DA" w:rsidRDefault="004561AD" w:rsidP="00C9295F">
      <w:pPr>
        <w:spacing w:line="276" w:lineRule="auto"/>
        <w:jc w:val="center"/>
        <w:rPr>
          <w:rFonts w:ascii="Aptos Serif" w:hAnsi="Aptos Serif" w:cs="Aptos Serif"/>
          <w:b/>
          <w:bCs/>
          <w:color w:val="7030A0"/>
          <w:sz w:val="22"/>
          <w:szCs w:val="22"/>
          <w:u w:val="single"/>
        </w:rPr>
      </w:pPr>
      <w:r w:rsidRPr="003F58DA">
        <w:rPr>
          <w:rFonts w:ascii="Aptos Serif" w:hAnsi="Aptos Serif" w:cs="Aptos Serif"/>
          <w:b/>
          <w:bCs/>
          <w:color w:val="7030A0"/>
          <w:sz w:val="22"/>
          <w:szCs w:val="22"/>
          <w:u w:val="single"/>
        </w:rPr>
        <w:t>Podsumowanie</w:t>
      </w:r>
    </w:p>
    <w:p w14:paraId="3C1963B1" w14:textId="548AEC3C" w:rsidR="00416B1A" w:rsidRDefault="004561AD" w:rsidP="00416B1A">
      <w:pPr>
        <w:spacing w:line="276" w:lineRule="auto"/>
        <w:jc w:val="both"/>
        <w:rPr>
          <w:rFonts w:ascii="Aptos Serif" w:hAnsi="Aptos Serif" w:cs="Aptos Serif"/>
          <w:sz w:val="22"/>
          <w:szCs w:val="22"/>
        </w:rPr>
      </w:pPr>
      <w:r>
        <w:rPr>
          <w:rFonts w:ascii="Aptos Serif" w:hAnsi="Aptos Serif" w:cs="Aptos Serif"/>
          <w:sz w:val="22"/>
          <w:szCs w:val="22"/>
        </w:rPr>
        <w:t xml:space="preserve">Analiza dotychczasowych orzeczeń pokazuje, że państwa </w:t>
      </w:r>
      <w:r w:rsidR="004A40CE">
        <w:rPr>
          <w:rFonts w:ascii="Aptos Serif" w:hAnsi="Aptos Serif" w:cs="Aptos Serif"/>
          <w:sz w:val="22"/>
          <w:szCs w:val="22"/>
        </w:rPr>
        <w:t xml:space="preserve">sukcesywnie dostosowują przepisy </w:t>
      </w:r>
      <w:r>
        <w:rPr>
          <w:rFonts w:ascii="Aptos Serif" w:hAnsi="Aptos Serif" w:cs="Aptos Serif"/>
          <w:sz w:val="22"/>
          <w:szCs w:val="22"/>
        </w:rPr>
        <w:t>prawa krajowego do standardów europejskich, zwłaszcza w zakresie uznawania związków jednopłciowych, ochrony przed mową nienawiści czy równego dostępu do instytucji publicznych</w:t>
      </w:r>
      <w:r w:rsidR="00C9295F">
        <w:rPr>
          <w:rFonts w:ascii="Aptos Serif" w:hAnsi="Aptos Serif" w:cs="Aptos Serif"/>
          <w:sz w:val="22"/>
          <w:szCs w:val="22"/>
        </w:rPr>
        <w:t xml:space="preserve">. Jednocześnie istniejące luki prawne i przypadki systemowej dyskryminacji wskazują na potrzebę dalszej ewolucji orzecznictwa oraz zwiększenia skuteczności wdrażania wyroków Trybunału na poziomie krajowym. W obliczu zmieniającego się krajobrazu prawnego </w:t>
      </w:r>
      <w:r w:rsidR="00027245">
        <w:rPr>
          <w:rFonts w:ascii="Aptos Serif" w:hAnsi="Aptos Serif" w:cs="Aptos Serif"/>
          <w:sz w:val="22"/>
          <w:szCs w:val="22"/>
        </w:rPr>
        <w:t>w</w:t>
      </w:r>
      <w:r w:rsidR="00C9295F">
        <w:rPr>
          <w:rFonts w:ascii="Aptos Serif" w:hAnsi="Aptos Serif" w:cs="Aptos Serif"/>
          <w:sz w:val="22"/>
          <w:szCs w:val="22"/>
        </w:rPr>
        <w:t xml:space="preserve"> Europie i rosnącej świadomości społecznej, przyszłe decyzje Trybunału mogą mieć kluczowe znaczenie dla dalszego umacniania praw osób LGBT+. Przestrzeganie standardów wynikających z Europejskiej Konwencji Praw Człowieka pozostaje nie tylko zobowiązaniem prawnym, ale także wyznacznikiem demokratycznych wartości </w:t>
      </w:r>
      <w:r w:rsidR="00F548AA">
        <w:rPr>
          <w:rFonts w:ascii="Aptos Serif" w:hAnsi="Aptos Serif" w:cs="Aptos Serif"/>
          <w:sz w:val="22"/>
          <w:szCs w:val="22"/>
        </w:rPr>
        <w:t>i wrodzonej</w:t>
      </w:r>
      <w:r w:rsidR="00C9295F">
        <w:rPr>
          <w:rFonts w:ascii="Aptos Serif" w:hAnsi="Aptos Serif" w:cs="Aptos Serif"/>
          <w:sz w:val="22"/>
          <w:szCs w:val="22"/>
        </w:rPr>
        <w:t xml:space="preserve"> godności ludzkiej. </w:t>
      </w:r>
    </w:p>
    <w:p w14:paraId="75189F5F" w14:textId="77777777" w:rsidR="009C1996" w:rsidRDefault="009C1996" w:rsidP="00416B1A">
      <w:pPr>
        <w:spacing w:line="276" w:lineRule="auto"/>
        <w:jc w:val="both"/>
        <w:rPr>
          <w:rFonts w:ascii="Aptos Serif" w:hAnsi="Aptos Serif" w:cs="Aptos Serif"/>
          <w:sz w:val="22"/>
          <w:szCs w:val="22"/>
        </w:rPr>
      </w:pPr>
    </w:p>
    <w:p w14:paraId="3BBB97AD" w14:textId="77777777" w:rsidR="009C1996" w:rsidRDefault="009C1996" w:rsidP="00416B1A">
      <w:pPr>
        <w:spacing w:line="276" w:lineRule="auto"/>
        <w:jc w:val="both"/>
        <w:rPr>
          <w:rFonts w:ascii="Aptos Serif" w:hAnsi="Aptos Serif" w:cs="Aptos Serif"/>
          <w:sz w:val="22"/>
          <w:szCs w:val="22"/>
        </w:rPr>
      </w:pPr>
    </w:p>
    <w:p w14:paraId="4706D2E1" w14:textId="6A44E67F" w:rsidR="009C1996" w:rsidRDefault="009C1996" w:rsidP="00416B1A">
      <w:pPr>
        <w:spacing w:line="276" w:lineRule="auto"/>
        <w:jc w:val="both"/>
        <w:rPr>
          <w:rFonts w:ascii="Aptos Serif" w:hAnsi="Aptos Serif" w:cs="Aptos Serif"/>
          <w:sz w:val="22"/>
          <w:szCs w:val="22"/>
        </w:rPr>
      </w:pPr>
      <w:r>
        <w:rPr>
          <w:rFonts w:ascii="Aptos Serif" w:hAnsi="Aptos Serif" w:cs="Aptos Serif"/>
          <w:sz w:val="22"/>
          <w:szCs w:val="22"/>
        </w:rPr>
        <w:t>Sporządziła: Aleksandra Dybała</w:t>
      </w:r>
    </w:p>
    <w:p w14:paraId="18AA6007" w14:textId="2C71A17E" w:rsidR="008250AB" w:rsidRDefault="008A0C54" w:rsidP="00416B1A">
      <w:pPr>
        <w:spacing w:line="276" w:lineRule="auto"/>
        <w:jc w:val="both"/>
        <w:rPr>
          <w:rFonts w:ascii="Aptos Serif" w:hAnsi="Aptos Serif" w:cs="Aptos Serif"/>
          <w:sz w:val="22"/>
          <w:szCs w:val="22"/>
        </w:rPr>
      </w:pPr>
      <w:r>
        <w:rPr>
          <w:rFonts w:ascii="Aptos Serif" w:hAnsi="Aptos Serif" w:cs="Aptos Serif"/>
          <w:sz w:val="22"/>
          <w:szCs w:val="22"/>
        </w:rPr>
        <w:t>Sprawdził i poprawił</w:t>
      </w:r>
      <w:r w:rsidR="008250AB">
        <w:rPr>
          <w:rFonts w:ascii="Aptos Serif" w:hAnsi="Aptos Serif" w:cs="Aptos Serif"/>
          <w:sz w:val="22"/>
          <w:szCs w:val="22"/>
        </w:rPr>
        <w:t>: Paweł Szponar.</w:t>
      </w:r>
    </w:p>
    <w:p w14:paraId="6337BCC7" w14:textId="77777777" w:rsidR="00913145" w:rsidRDefault="00913145" w:rsidP="00416B1A">
      <w:pPr>
        <w:spacing w:line="276" w:lineRule="auto"/>
        <w:jc w:val="both"/>
        <w:rPr>
          <w:rFonts w:ascii="Aptos Serif" w:hAnsi="Aptos Serif" w:cs="Aptos Serif"/>
          <w:sz w:val="22"/>
          <w:szCs w:val="22"/>
        </w:rPr>
      </w:pPr>
    </w:p>
    <w:p w14:paraId="24D066AA" w14:textId="77777777" w:rsidR="00913145" w:rsidRDefault="00913145" w:rsidP="00416B1A">
      <w:pPr>
        <w:spacing w:line="276" w:lineRule="auto"/>
        <w:jc w:val="both"/>
        <w:rPr>
          <w:rFonts w:ascii="Aptos Serif" w:hAnsi="Aptos Serif" w:cs="Aptos Serif"/>
          <w:sz w:val="22"/>
          <w:szCs w:val="22"/>
        </w:rPr>
      </w:pPr>
    </w:p>
    <w:p w14:paraId="037E5135" w14:textId="77777777" w:rsidR="00913145" w:rsidRDefault="00913145" w:rsidP="00913145">
      <w:pPr>
        <w:spacing w:line="276" w:lineRule="auto"/>
        <w:jc w:val="right"/>
        <w:rPr>
          <w:rFonts w:ascii="Aptos Serif" w:hAnsi="Aptos Serif" w:cs="Aptos Serif"/>
          <w:sz w:val="22"/>
          <w:szCs w:val="22"/>
        </w:rPr>
      </w:pPr>
    </w:p>
    <w:p w14:paraId="7339EABD" w14:textId="77777777" w:rsidR="00913145" w:rsidRDefault="00913145" w:rsidP="00913145">
      <w:pPr>
        <w:spacing w:line="276" w:lineRule="auto"/>
        <w:jc w:val="right"/>
        <w:rPr>
          <w:rFonts w:ascii="Aptos Serif" w:hAnsi="Aptos Serif" w:cs="Aptos Serif"/>
          <w:sz w:val="22"/>
          <w:szCs w:val="22"/>
        </w:rPr>
      </w:pPr>
    </w:p>
    <w:p w14:paraId="68BD54E1" w14:textId="3C763F97" w:rsidR="00913145" w:rsidRPr="00C80F39" w:rsidRDefault="00913145" w:rsidP="00913145">
      <w:pPr>
        <w:spacing w:line="276" w:lineRule="auto"/>
        <w:jc w:val="right"/>
        <w:rPr>
          <w:rFonts w:ascii="Aptos Serif" w:hAnsi="Aptos Serif" w:cs="Aptos Serif"/>
          <w:sz w:val="22"/>
          <w:szCs w:val="22"/>
        </w:rPr>
      </w:pPr>
    </w:p>
    <w:sectPr w:rsidR="00913145" w:rsidRPr="00C80F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2EC7F" w14:textId="77777777" w:rsidR="008045BC" w:rsidRDefault="008045BC" w:rsidP="00F91FE4">
      <w:pPr>
        <w:spacing w:after="0" w:line="240" w:lineRule="auto"/>
      </w:pPr>
      <w:r>
        <w:separator/>
      </w:r>
    </w:p>
  </w:endnote>
  <w:endnote w:type="continuationSeparator" w:id="0">
    <w:p w14:paraId="4BF36509" w14:textId="77777777" w:rsidR="008045BC" w:rsidRDefault="008045BC" w:rsidP="00F91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19EA8" w14:textId="77777777" w:rsidR="008045BC" w:rsidRDefault="008045BC" w:rsidP="00F91FE4">
      <w:pPr>
        <w:spacing w:after="0" w:line="240" w:lineRule="auto"/>
      </w:pPr>
      <w:r>
        <w:separator/>
      </w:r>
    </w:p>
  </w:footnote>
  <w:footnote w:type="continuationSeparator" w:id="0">
    <w:p w14:paraId="43C77461" w14:textId="77777777" w:rsidR="008045BC" w:rsidRDefault="008045BC" w:rsidP="00F91FE4">
      <w:pPr>
        <w:spacing w:after="0" w:line="240" w:lineRule="auto"/>
      </w:pPr>
      <w:r>
        <w:continuationSeparator/>
      </w:r>
    </w:p>
  </w:footnote>
  <w:footnote w:id="1">
    <w:p w14:paraId="07C7BEC1" w14:textId="3974BCF9" w:rsidR="00F91FE4" w:rsidRPr="00F91FE4" w:rsidRDefault="00F91FE4" w:rsidP="00F91FE4">
      <w:pPr>
        <w:pStyle w:val="Tekstprzypisudolnego"/>
        <w:jc w:val="both"/>
        <w:rPr>
          <w:rFonts w:ascii="Aptos Serif" w:hAnsi="Aptos Serif" w:cs="Aptos Serif"/>
        </w:rPr>
      </w:pPr>
      <w:r w:rsidRPr="00F91FE4">
        <w:rPr>
          <w:rStyle w:val="Odwoanieprzypisudolnego"/>
          <w:rFonts w:ascii="Aptos Serif" w:hAnsi="Aptos Serif" w:cs="Aptos Serif"/>
          <w:sz w:val="18"/>
          <w:szCs w:val="18"/>
        </w:rPr>
        <w:footnoteRef/>
      </w:r>
      <w:r w:rsidRPr="00F91FE4">
        <w:rPr>
          <w:rFonts w:ascii="Aptos Serif" w:hAnsi="Aptos Serif" w:cs="Aptos Serif"/>
          <w:sz w:val="18"/>
          <w:szCs w:val="18"/>
        </w:rPr>
        <w:t xml:space="preserve"> zob. szerzej P. Pogodzińska, Orientacja seksualna w orzecznictwie Trybunałów europejskich, [w:] Śmieszek (red.), Przeciwdziałanie dyskryminacji z powodu orientacji seksualnej, Warszawa 2006, s. 114 i nast.)</w:t>
      </w:r>
    </w:p>
  </w:footnote>
  <w:footnote w:id="2">
    <w:p w14:paraId="3C155C8D" w14:textId="54BD9C75" w:rsidR="00F229B5" w:rsidRPr="00F229B5" w:rsidRDefault="00F229B5" w:rsidP="00F229B5">
      <w:pPr>
        <w:pStyle w:val="Tekstprzypisudolnego"/>
        <w:jc w:val="both"/>
        <w:rPr>
          <w:rFonts w:ascii="Aptos Serif" w:hAnsi="Aptos Serif" w:cs="Aptos Serif"/>
          <w:sz w:val="18"/>
          <w:szCs w:val="18"/>
        </w:rPr>
      </w:pPr>
      <w:r w:rsidRPr="00F229B5">
        <w:rPr>
          <w:rStyle w:val="Odwoanieprzypisudolnego"/>
          <w:rFonts w:ascii="Aptos Serif" w:hAnsi="Aptos Serif" w:cs="Aptos Serif"/>
          <w:sz w:val="18"/>
          <w:szCs w:val="18"/>
        </w:rPr>
        <w:footnoteRef/>
      </w:r>
      <w:r w:rsidRPr="00F229B5">
        <w:rPr>
          <w:rFonts w:ascii="Aptos Serif" w:hAnsi="Aptos Serif" w:cs="Aptos Serif"/>
          <w:sz w:val="18"/>
          <w:szCs w:val="18"/>
        </w:rPr>
        <w:t xml:space="preserve"> Ł. Starzewski „Wyroki ETPC ws. związków jednopłciowych. Rzecznik pyta Prezesa Rady Ministrów o ich wykonanie”</w:t>
      </w:r>
      <w:r>
        <w:rPr>
          <w:rFonts w:ascii="Aptos Serif" w:hAnsi="Aptos Serif" w:cs="Aptos Serif"/>
          <w:sz w:val="18"/>
          <w:szCs w:val="18"/>
        </w:rPr>
        <w:t xml:space="preserve"> 2024 </w:t>
      </w:r>
      <w:r w:rsidR="00D158F8">
        <w:rPr>
          <w:rFonts w:ascii="Aptos Serif" w:hAnsi="Aptos Serif" w:cs="Aptos Serif"/>
          <w:sz w:val="18"/>
          <w:szCs w:val="18"/>
        </w:rPr>
        <w:t>r.</w:t>
      </w:r>
    </w:p>
    <w:p w14:paraId="322FCF7A" w14:textId="1A8C6411" w:rsidR="00F229B5" w:rsidRDefault="00F229B5">
      <w:pPr>
        <w:pStyle w:val="Tekstprzypisudolnego"/>
      </w:pPr>
    </w:p>
  </w:footnote>
  <w:footnote w:id="3">
    <w:p w14:paraId="0E10A822" w14:textId="66EE0B20" w:rsidR="00D01B95" w:rsidRDefault="00D01B95">
      <w:pPr>
        <w:pStyle w:val="Tekstprzypisudolnego"/>
      </w:pPr>
      <w:r>
        <w:rPr>
          <w:rStyle w:val="Odwoanieprzypisudolnego"/>
        </w:rPr>
        <w:footnoteRef/>
      </w:r>
      <w:r w:rsidRPr="008A0C54">
        <w:rPr>
          <w:lang w:val="en-US"/>
        </w:rPr>
        <w:t xml:space="preserve"> </w:t>
      </w:r>
      <w:r w:rsidRPr="008A0C54">
        <w:rPr>
          <w:rFonts w:ascii="Aptos Serif" w:hAnsi="Aptos Serif" w:cs="Aptos Serif"/>
          <w:sz w:val="18"/>
          <w:szCs w:val="18"/>
          <w:lang w:val="en-US"/>
        </w:rPr>
        <w:t xml:space="preserve">Carlos Santaló Goris „The European Court of Human Rights: Advancing Legal Recognition of Same-Sex Couples across Europe?” </w:t>
      </w:r>
      <w:r w:rsidRPr="00D01B95">
        <w:rPr>
          <w:rFonts w:ascii="Aptos Serif" w:hAnsi="Aptos Serif" w:cs="Aptos Serif"/>
          <w:sz w:val="18"/>
          <w:szCs w:val="18"/>
        </w:rPr>
        <w:t>2024 r.</w:t>
      </w:r>
      <w:r w:rsidRPr="00D01B95">
        <w:rPr>
          <w:sz w:val="18"/>
          <w:szCs w:val="18"/>
        </w:rPr>
        <w:t xml:space="preserve"> </w:t>
      </w:r>
    </w:p>
  </w:footnote>
  <w:footnote w:id="4">
    <w:p w14:paraId="03235C06" w14:textId="55C19A5D" w:rsidR="00D01B95" w:rsidRPr="008A0C54" w:rsidRDefault="00D01B95" w:rsidP="001C78BB">
      <w:pPr>
        <w:pStyle w:val="Tekstprzypisudolnego"/>
        <w:jc w:val="both"/>
        <w:rPr>
          <w:sz w:val="18"/>
          <w:szCs w:val="18"/>
          <w:lang w:val="en-US"/>
        </w:rPr>
      </w:pPr>
      <w:r>
        <w:rPr>
          <w:rStyle w:val="Odwoanieprzypisudolnego"/>
        </w:rPr>
        <w:footnoteRef/>
      </w:r>
      <w:r>
        <w:t xml:space="preserve"> </w:t>
      </w:r>
      <w:r w:rsidRPr="00D01B95">
        <w:rPr>
          <w:rFonts w:ascii="Aptos Serif" w:hAnsi="Aptos Serif" w:cs="Aptos Serif"/>
          <w:sz w:val="18"/>
          <w:szCs w:val="18"/>
        </w:rPr>
        <w:t xml:space="preserve">Wąsik Mateusz „Wyrok Wielkiej Izby w sprawie Fedotova i inni przeciwko Rosji a podwyższony standard ochrony dla związków osób tej samej płci.” </w:t>
      </w:r>
      <w:r w:rsidRPr="008A0C54">
        <w:rPr>
          <w:rFonts w:ascii="Aptos Serif" w:hAnsi="Aptos Serif" w:cs="Aptos Serif"/>
          <w:sz w:val="18"/>
          <w:szCs w:val="18"/>
          <w:lang w:val="en-US"/>
        </w:rPr>
        <w:t>2023 r.</w:t>
      </w:r>
      <w:r w:rsidRPr="008A0C54">
        <w:rPr>
          <w:sz w:val="18"/>
          <w:szCs w:val="18"/>
          <w:lang w:val="en-US"/>
        </w:rPr>
        <w:t xml:space="preserve"> </w:t>
      </w:r>
    </w:p>
  </w:footnote>
  <w:footnote w:id="5">
    <w:p w14:paraId="504B0398" w14:textId="0A37B996" w:rsidR="00270C5B" w:rsidRDefault="00270C5B" w:rsidP="001C78BB">
      <w:pPr>
        <w:pStyle w:val="Tekstprzypisudolnego"/>
        <w:jc w:val="both"/>
      </w:pPr>
      <w:r>
        <w:rPr>
          <w:rStyle w:val="Odwoanieprzypisudolnego"/>
        </w:rPr>
        <w:footnoteRef/>
      </w:r>
      <w:r w:rsidRPr="008A0C54">
        <w:rPr>
          <w:lang w:val="en-US"/>
        </w:rPr>
        <w:t xml:space="preserve"> </w:t>
      </w:r>
      <w:r w:rsidRPr="008A0C54">
        <w:rPr>
          <w:rFonts w:ascii="Aptos Serif" w:hAnsi="Aptos Serif" w:cs="Aptos Serif"/>
          <w:sz w:val="18"/>
          <w:szCs w:val="18"/>
          <w:lang w:val="en-US"/>
        </w:rPr>
        <w:t xml:space="preserve">Carlos Santaló Goris „The European Court of Human Rights: Advancing Legal Recognition of Same-Sex Couples across Europe?” </w:t>
      </w:r>
      <w:r w:rsidRPr="00270C5B">
        <w:rPr>
          <w:rFonts w:ascii="Aptos Serif" w:hAnsi="Aptos Serif" w:cs="Aptos Serif"/>
          <w:sz w:val="18"/>
          <w:szCs w:val="18"/>
        </w:rPr>
        <w:t>2024 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FE4"/>
    <w:rsid w:val="00027245"/>
    <w:rsid w:val="000331DB"/>
    <w:rsid w:val="00041FE4"/>
    <w:rsid w:val="00045576"/>
    <w:rsid w:val="00055BDD"/>
    <w:rsid w:val="000D6C25"/>
    <w:rsid w:val="001011AC"/>
    <w:rsid w:val="00101AA6"/>
    <w:rsid w:val="001026A0"/>
    <w:rsid w:val="0010374C"/>
    <w:rsid w:val="001164C8"/>
    <w:rsid w:val="00134D0C"/>
    <w:rsid w:val="00151E39"/>
    <w:rsid w:val="00152A24"/>
    <w:rsid w:val="00152A3A"/>
    <w:rsid w:val="001532F8"/>
    <w:rsid w:val="001B4119"/>
    <w:rsid w:val="001B7543"/>
    <w:rsid w:val="001C78BB"/>
    <w:rsid w:val="001E4B8A"/>
    <w:rsid w:val="001F3127"/>
    <w:rsid w:val="00213588"/>
    <w:rsid w:val="00251211"/>
    <w:rsid w:val="0025199C"/>
    <w:rsid w:val="00270C5B"/>
    <w:rsid w:val="002729EA"/>
    <w:rsid w:val="002B56FD"/>
    <w:rsid w:val="002C3A7C"/>
    <w:rsid w:val="002D3CB2"/>
    <w:rsid w:val="002D73FF"/>
    <w:rsid w:val="00300238"/>
    <w:rsid w:val="003171F8"/>
    <w:rsid w:val="0032494A"/>
    <w:rsid w:val="0037175F"/>
    <w:rsid w:val="00393F34"/>
    <w:rsid w:val="003B1C5F"/>
    <w:rsid w:val="003F049F"/>
    <w:rsid w:val="003F58DA"/>
    <w:rsid w:val="00416B1A"/>
    <w:rsid w:val="00437A70"/>
    <w:rsid w:val="00441ADA"/>
    <w:rsid w:val="00451A96"/>
    <w:rsid w:val="004561AD"/>
    <w:rsid w:val="0048439D"/>
    <w:rsid w:val="004A40CE"/>
    <w:rsid w:val="004B2A0B"/>
    <w:rsid w:val="004D2F50"/>
    <w:rsid w:val="00505A2A"/>
    <w:rsid w:val="00514C03"/>
    <w:rsid w:val="005618BD"/>
    <w:rsid w:val="00563DC2"/>
    <w:rsid w:val="00574149"/>
    <w:rsid w:val="005A4331"/>
    <w:rsid w:val="005B6032"/>
    <w:rsid w:val="005C35C6"/>
    <w:rsid w:val="005D7AFF"/>
    <w:rsid w:val="00615362"/>
    <w:rsid w:val="00623A46"/>
    <w:rsid w:val="00665E14"/>
    <w:rsid w:val="006740DD"/>
    <w:rsid w:val="006743DB"/>
    <w:rsid w:val="00690248"/>
    <w:rsid w:val="00697D1C"/>
    <w:rsid w:val="006D2232"/>
    <w:rsid w:val="007248B0"/>
    <w:rsid w:val="00725E71"/>
    <w:rsid w:val="00731EB9"/>
    <w:rsid w:val="0074417A"/>
    <w:rsid w:val="007C7FF8"/>
    <w:rsid w:val="007E4477"/>
    <w:rsid w:val="00801258"/>
    <w:rsid w:val="008045BC"/>
    <w:rsid w:val="008250AB"/>
    <w:rsid w:val="008271CD"/>
    <w:rsid w:val="008568C4"/>
    <w:rsid w:val="008A0478"/>
    <w:rsid w:val="008A0C54"/>
    <w:rsid w:val="008F637E"/>
    <w:rsid w:val="009040AA"/>
    <w:rsid w:val="00913145"/>
    <w:rsid w:val="00913521"/>
    <w:rsid w:val="009200F9"/>
    <w:rsid w:val="00937736"/>
    <w:rsid w:val="009626D6"/>
    <w:rsid w:val="0098249F"/>
    <w:rsid w:val="009C1996"/>
    <w:rsid w:val="009C5EA3"/>
    <w:rsid w:val="00A054EB"/>
    <w:rsid w:val="00A75220"/>
    <w:rsid w:val="00AE0498"/>
    <w:rsid w:val="00B50A78"/>
    <w:rsid w:val="00B524E1"/>
    <w:rsid w:val="00B527F4"/>
    <w:rsid w:val="00B55B39"/>
    <w:rsid w:val="00B7464B"/>
    <w:rsid w:val="00B93332"/>
    <w:rsid w:val="00BD04AC"/>
    <w:rsid w:val="00BD3860"/>
    <w:rsid w:val="00BF1075"/>
    <w:rsid w:val="00BF2CC9"/>
    <w:rsid w:val="00C21841"/>
    <w:rsid w:val="00C355AC"/>
    <w:rsid w:val="00C370A4"/>
    <w:rsid w:val="00C43E40"/>
    <w:rsid w:val="00C655C7"/>
    <w:rsid w:val="00C74AA3"/>
    <w:rsid w:val="00C80F39"/>
    <w:rsid w:val="00C9295F"/>
    <w:rsid w:val="00CB13B7"/>
    <w:rsid w:val="00D01B95"/>
    <w:rsid w:val="00D158F8"/>
    <w:rsid w:val="00D3783E"/>
    <w:rsid w:val="00D96979"/>
    <w:rsid w:val="00DB7422"/>
    <w:rsid w:val="00DC1D23"/>
    <w:rsid w:val="00E02635"/>
    <w:rsid w:val="00E36312"/>
    <w:rsid w:val="00E37566"/>
    <w:rsid w:val="00E432EF"/>
    <w:rsid w:val="00E52D3B"/>
    <w:rsid w:val="00E87B11"/>
    <w:rsid w:val="00EA77F6"/>
    <w:rsid w:val="00EC5CFB"/>
    <w:rsid w:val="00F229B5"/>
    <w:rsid w:val="00F309A7"/>
    <w:rsid w:val="00F333CE"/>
    <w:rsid w:val="00F523EE"/>
    <w:rsid w:val="00F548AA"/>
    <w:rsid w:val="00F91FE4"/>
    <w:rsid w:val="00FD415F"/>
    <w:rsid w:val="00FE64CA"/>
    <w:rsid w:val="00FF4651"/>
    <w:rsid w:val="00FF6D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599AE"/>
  <w15:chartTrackingRefBased/>
  <w15:docId w15:val="{70AFC806-8989-4893-B0FE-ECA46155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91F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91F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91FE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91FE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91FE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91FE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91FE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91FE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91FE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91FE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91FE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91FE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91FE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91FE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91FE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91FE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91FE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91FE4"/>
    <w:rPr>
      <w:rFonts w:eastAsiaTheme="majorEastAsia" w:cstheme="majorBidi"/>
      <w:color w:val="272727" w:themeColor="text1" w:themeTint="D8"/>
    </w:rPr>
  </w:style>
  <w:style w:type="paragraph" w:styleId="Tytu">
    <w:name w:val="Title"/>
    <w:basedOn w:val="Normalny"/>
    <w:next w:val="Normalny"/>
    <w:link w:val="TytuZnak"/>
    <w:uiPriority w:val="10"/>
    <w:qFormat/>
    <w:rsid w:val="00F91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91FE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91FE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91FE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91FE4"/>
    <w:pPr>
      <w:spacing w:before="160"/>
      <w:jc w:val="center"/>
    </w:pPr>
    <w:rPr>
      <w:i/>
      <w:iCs/>
      <w:color w:val="404040" w:themeColor="text1" w:themeTint="BF"/>
    </w:rPr>
  </w:style>
  <w:style w:type="character" w:customStyle="1" w:styleId="CytatZnak">
    <w:name w:val="Cytat Znak"/>
    <w:basedOn w:val="Domylnaczcionkaakapitu"/>
    <w:link w:val="Cytat"/>
    <w:uiPriority w:val="29"/>
    <w:rsid w:val="00F91FE4"/>
    <w:rPr>
      <w:i/>
      <w:iCs/>
      <w:color w:val="404040" w:themeColor="text1" w:themeTint="BF"/>
    </w:rPr>
  </w:style>
  <w:style w:type="paragraph" w:styleId="Akapitzlist">
    <w:name w:val="List Paragraph"/>
    <w:basedOn w:val="Normalny"/>
    <w:uiPriority w:val="34"/>
    <w:qFormat/>
    <w:rsid w:val="00F91FE4"/>
    <w:pPr>
      <w:ind w:left="720"/>
      <w:contextualSpacing/>
    </w:pPr>
  </w:style>
  <w:style w:type="character" w:styleId="Wyrnienieintensywne">
    <w:name w:val="Intense Emphasis"/>
    <w:basedOn w:val="Domylnaczcionkaakapitu"/>
    <w:uiPriority w:val="21"/>
    <w:qFormat/>
    <w:rsid w:val="00F91FE4"/>
    <w:rPr>
      <w:i/>
      <w:iCs/>
      <w:color w:val="0F4761" w:themeColor="accent1" w:themeShade="BF"/>
    </w:rPr>
  </w:style>
  <w:style w:type="paragraph" w:styleId="Cytatintensywny">
    <w:name w:val="Intense Quote"/>
    <w:basedOn w:val="Normalny"/>
    <w:next w:val="Normalny"/>
    <w:link w:val="CytatintensywnyZnak"/>
    <w:uiPriority w:val="30"/>
    <w:qFormat/>
    <w:rsid w:val="00F91F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91FE4"/>
    <w:rPr>
      <w:i/>
      <w:iCs/>
      <w:color w:val="0F4761" w:themeColor="accent1" w:themeShade="BF"/>
    </w:rPr>
  </w:style>
  <w:style w:type="character" w:styleId="Odwoanieintensywne">
    <w:name w:val="Intense Reference"/>
    <w:basedOn w:val="Domylnaczcionkaakapitu"/>
    <w:uiPriority w:val="32"/>
    <w:qFormat/>
    <w:rsid w:val="00F91FE4"/>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F91FE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91FE4"/>
    <w:rPr>
      <w:sz w:val="20"/>
      <w:szCs w:val="20"/>
    </w:rPr>
  </w:style>
  <w:style w:type="character" w:styleId="Odwoanieprzypisudolnego">
    <w:name w:val="footnote reference"/>
    <w:basedOn w:val="Domylnaczcionkaakapitu"/>
    <w:uiPriority w:val="99"/>
    <w:semiHidden/>
    <w:unhideWhenUsed/>
    <w:rsid w:val="00F91F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01554">
      <w:bodyDiv w:val="1"/>
      <w:marLeft w:val="0"/>
      <w:marRight w:val="0"/>
      <w:marTop w:val="0"/>
      <w:marBottom w:val="0"/>
      <w:divBdr>
        <w:top w:val="none" w:sz="0" w:space="0" w:color="auto"/>
        <w:left w:val="none" w:sz="0" w:space="0" w:color="auto"/>
        <w:bottom w:val="none" w:sz="0" w:space="0" w:color="auto"/>
        <w:right w:val="none" w:sz="0" w:space="0" w:color="auto"/>
      </w:divBdr>
    </w:div>
    <w:div w:id="1400445792">
      <w:bodyDiv w:val="1"/>
      <w:marLeft w:val="0"/>
      <w:marRight w:val="0"/>
      <w:marTop w:val="0"/>
      <w:marBottom w:val="0"/>
      <w:divBdr>
        <w:top w:val="none" w:sz="0" w:space="0" w:color="auto"/>
        <w:left w:val="none" w:sz="0" w:space="0" w:color="auto"/>
        <w:bottom w:val="none" w:sz="0" w:space="0" w:color="auto"/>
        <w:right w:val="none" w:sz="0" w:space="0" w:color="auto"/>
      </w:divBdr>
    </w:div>
    <w:div w:id="1405496368">
      <w:bodyDiv w:val="1"/>
      <w:marLeft w:val="0"/>
      <w:marRight w:val="0"/>
      <w:marTop w:val="0"/>
      <w:marBottom w:val="0"/>
      <w:divBdr>
        <w:top w:val="none" w:sz="0" w:space="0" w:color="auto"/>
        <w:left w:val="none" w:sz="0" w:space="0" w:color="auto"/>
        <w:bottom w:val="none" w:sz="0" w:space="0" w:color="auto"/>
        <w:right w:val="none" w:sz="0" w:space="0" w:color="auto"/>
      </w:divBdr>
    </w:div>
    <w:div w:id="207809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223</TotalTime>
  <Pages>1</Pages>
  <Words>4211</Words>
  <Characters>25267</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Dybała Aleksandra  (DWMPC)</dc:creator>
  <cp:keywords/>
  <dc:description/>
  <cp:lastModifiedBy>Szponar Paweł  (DWMPC)</cp:lastModifiedBy>
  <cp:revision>34</cp:revision>
  <dcterms:created xsi:type="dcterms:W3CDTF">2025-03-19T13:30:00Z</dcterms:created>
  <dcterms:modified xsi:type="dcterms:W3CDTF">2025-04-09T10:46:00Z</dcterms:modified>
</cp:coreProperties>
</file>