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A704BF" w:rsidRDefault="00B65C6A" w:rsidP="00A704B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704BF">
        <w:rPr>
          <w:rFonts w:asciiTheme="minorHAnsi" w:hAnsiTheme="minorHAnsi" w:cstheme="minorHAnsi"/>
          <w:sz w:val="24"/>
          <w:szCs w:val="24"/>
        </w:rPr>
        <w:t xml:space="preserve">Warszawa, </w:t>
      </w:r>
      <w:r w:rsidR="00A704BF" w:rsidRPr="00A704BF">
        <w:rPr>
          <w:rFonts w:asciiTheme="minorHAnsi" w:hAnsiTheme="minorHAnsi" w:cstheme="minorHAnsi"/>
          <w:sz w:val="24"/>
          <w:szCs w:val="24"/>
        </w:rPr>
        <w:t>25</w:t>
      </w:r>
      <w:r w:rsidR="001D479F" w:rsidRPr="00A704BF">
        <w:rPr>
          <w:rFonts w:asciiTheme="minorHAnsi" w:hAnsiTheme="minorHAnsi" w:cstheme="minorHAnsi"/>
          <w:sz w:val="24"/>
          <w:szCs w:val="24"/>
        </w:rPr>
        <w:t xml:space="preserve"> </w:t>
      </w:r>
      <w:r w:rsidR="00CD16BD" w:rsidRPr="00A704BF">
        <w:rPr>
          <w:rFonts w:asciiTheme="minorHAnsi" w:hAnsiTheme="minorHAnsi" w:cstheme="minorHAnsi"/>
          <w:sz w:val="24"/>
          <w:szCs w:val="24"/>
        </w:rPr>
        <w:t>kwietnia</w:t>
      </w:r>
      <w:r w:rsidR="00A40900" w:rsidRPr="00A704BF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A704BF">
        <w:rPr>
          <w:rFonts w:asciiTheme="minorHAnsi" w:hAnsiTheme="minorHAnsi" w:cstheme="minorHAnsi"/>
          <w:sz w:val="24"/>
          <w:szCs w:val="24"/>
        </w:rPr>
        <w:t>202</w:t>
      </w:r>
      <w:r w:rsidR="00A40900" w:rsidRPr="00A704BF">
        <w:rPr>
          <w:rFonts w:asciiTheme="minorHAnsi" w:hAnsiTheme="minorHAnsi" w:cstheme="minorHAnsi"/>
          <w:sz w:val="24"/>
          <w:szCs w:val="24"/>
        </w:rPr>
        <w:t>3</w:t>
      </w:r>
      <w:r w:rsidR="001D479F" w:rsidRPr="00A704BF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A704BF" w:rsidRDefault="00CD16BD" w:rsidP="00A704BF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704BF">
        <w:rPr>
          <w:rFonts w:asciiTheme="minorHAnsi" w:hAnsiTheme="minorHAnsi" w:cstheme="minorHAnsi"/>
          <w:sz w:val="24"/>
          <w:szCs w:val="24"/>
        </w:rPr>
        <w:t>DOOŚ-WDŚZOO.420.39.2022.PS.13</w:t>
      </w:r>
    </w:p>
    <w:p w:rsidR="002446E3" w:rsidRPr="00A704BF" w:rsidRDefault="002446E3" w:rsidP="00A704BF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2446E3" w:rsidRPr="00A704BF" w:rsidRDefault="002446E3" w:rsidP="00A704B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704BF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BF2702" w:rsidRPr="00A704BF" w:rsidRDefault="00BF2702" w:rsidP="00A704BF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704BF">
        <w:rPr>
          <w:rFonts w:asciiTheme="minorHAnsi" w:hAnsiTheme="minorHAnsi" w:cstheme="minorHAnsi"/>
          <w:color w:val="000000"/>
          <w:sz w:val="24"/>
          <w:szCs w:val="24"/>
        </w:rPr>
        <w:t>Gene</w:t>
      </w:r>
      <w:bookmarkStart w:id="0" w:name="_GoBack"/>
      <w:bookmarkEnd w:id="0"/>
      <w:r w:rsidRPr="00A704BF">
        <w:rPr>
          <w:rFonts w:asciiTheme="minorHAnsi" w:hAnsiTheme="minorHAnsi" w:cstheme="minorHAnsi"/>
          <w:color w:val="000000"/>
          <w:sz w:val="24"/>
          <w:szCs w:val="24"/>
        </w:rPr>
        <w:t xml:space="preserve">ralny Dyrektor Ochrony Środowiska, na podstawie art. 36 oraz art. 49 § 1 ustawy z dnia 14 czerwca 1960 r. </w:t>
      </w:r>
      <w:r w:rsidRPr="00A704BF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A704BF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A704BF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2000</w:t>
      </w:r>
      <w:r w:rsidR="00A40900" w:rsidRPr="00A704BF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A704BF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A704BF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A704BF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A704BF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A704BF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A704BF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A40900" w:rsidRPr="00A704B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A704BF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704BF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1029, ze zm.), dalej </w:t>
      </w:r>
      <w:proofErr w:type="spellStart"/>
      <w:r w:rsidRPr="00A704BF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A704BF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7B062C" w:rsidRPr="00A704BF">
        <w:rPr>
          <w:rFonts w:asciiTheme="minorHAnsi" w:hAnsiTheme="minorHAnsi" w:cstheme="minorHAnsi"/>
          <w:color w:val="000000"/>
          <w:sz w:val="24"/>
          <w:szCs w:val="24"/>
        </w:rPr>
        <w:t>, zawiadamia, że postępowanie zażaleniowe na postanowienie Regionalnego Dyrektora Ochrony Środowiska w Warszawie z dnia 27 lipca 2022 r., znak: WOOŚ-II.420.76.2021.DF.11, stwierdzające obowiązek przeprowadzenia oceny oddziaływania na środowisko dla przedsięwzięcia pod nazwą „Odbudowa lewostronnego obwałowania rzeki Narew w Ostrołęce wraz z budowlami związanymi z nim funkcjonalnie” i określające zakres raportu o oddziaływaniu</w:t>
      </w:r>
      <w:r w:rsidR="00473DDE" w:rsidRPr="00A704BF">
        <w:rPr>
          <w:rFonts w:asciiTheme="minorHAnsi" w:hAnsiTheme="minorHAnsi" w:cstheme="minorHAnsi"/>
          <w:color w:val="000000"/>
          <w:sz w:val="24"/>
          <w:szCs w:val="24"/>
        </w:rPr>
        <w:t xml:space="preserve"> przedsięwzięcia</w:t>
      </w:r>
      <w:r w:rsidR="007B062C" w:rsidRPr="00A704BF">
        <w:rPr>
          <w:rFonts w:asciiTheme="minorHAnsi" w:hAnsiTheme="minorHAnsi" w:cstheme="minorHAnsi"/>
          <w:color w:val="000000"/>
          <w:sz w:val="24"/>
          <w:szCs w:val="24"/>
        </w:rPr>
        <w:t xml:space="preserve"> na środowisko,</w:t>
      </w:r>
      <w:r w:rsidRPr="00A704BF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Przyczyną zwłoki jest </w:t>
      </w:r>
      <w:r w:rsidR="007B062C" w:rsidRPr="00A704BF">
        <w:rPr>
          <w:rFonts w:asciiTheme="minorHAnsi" w:hAnsiTheme="minorHAnsi" w:cstheme="minorHAnsi"/>
          <w:color w:val="000000"/>
          <w:sz w:val="24"/>
          <w:szCs w:val="24"/>
        </w:rPr>
        <w:t>skomplikowany charakter sprawy.</w:t>
      </w:r>
    </w:p>
    <w:p w:rsidR="00BF2702" w:rsidRPr="00A704BF" w:rsidRDefault="00BF2702" w:rsidP="00A704B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704BF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CD16BD" w:rsidRPr="00A704BF">
        <w:rPr>
          <w:rFonts w:asciiTheme="minorHAnsi" w:hAnsiTheme="minorHAnsi" w:cstheme="minorHAnsi"/>
          <w:color w:val="000000"/>
          <w:sz w:val="24"/>
          <w:szCs w:val="24"/>
        </w:rPr>
        <w:t>30 czerwca</w:t>
      </w:r>
      <w:r w:rsidRPr="00A704BF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7710E5" w:rsidRPr="00A704BF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A704BF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</w:t>
      </w:r>
      <w:r w:rsidRPr="00A704BF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A704BF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:rsidR="00BF2702" w:rsidRPr="00A704BF" w:rsidRDefault="00BF2702" w:rsidP="00A704B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BF2702" w:rsidRPr="00A704BF" w:rsidRDefault="00BF2702" w:rsidP="00A704B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704BF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A704BF">
        <w:rPr>
          <w:rFonts w:asciiTheme="minorHAnsi" w:hAnsiTheme="minorHAnsi" w:cstheme="minorHAnsi"/>
          <w:sz w:val="24"/>
          <w:szCs w:val="24"/>
        </w:rPr>
        <w:t>26.04.2023 r.</w:t>
      </w:r>
      <w:r w:rsidRPr="00A704BF">
        <w:rPr>
          <w:rFonts w:asciiTheme="minorHAnsi" w:hAnsiTheme="minorHAnsi" w:cstheme="minorHAnsi"/>
          <w:sz w:val="24"/>
          <w:szCs w:val="24"/>
        </w:rPr>
        <w:t xml:space="preserve"> do </w:t>
      </w:r>
      <w:r w:rsidR="00A704BF">
        <w:rPr>
          <w:rFonts w:asciiTheme="minorHAnsi" w:hAnsiTheme="minorHAnsi" w:cstheme="minorHAnsi"/>
          <w:sz w:val="24"/>
          <w:szCs w:val="24"/>
        </w:rPr>
        <w:t>11.05.2023 r.</w:t>
      </w:r>
    </w:p>
    <w:p w:rsidR="00BF2702" w:rsidRPr="00A704BF" w:rsidRDefault="00BF2702" w:rsidP="00A704B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704BF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A40900" w:rsidRPr="00A704BF" w:rsidRDefault="00A40900" w:rsidP="00A704BF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BF2702" w:rsidRPr="00A704BF" w:rsidRDefault="00BF2702" w:rsidP="00A704BF">
      <w:pPr>
        <w:pStyle w:val="Bezodstpw1"/>
        <w:spacing w:after="60"/>
        <w:rPr>
          <w:rFonts w:asciiTheme="minorHAnsi" w:hAnsiTheme="minorHAnsi" w:cstheme="minorHAnsi"/>
        </w:rPr>
      </w:pPr>
      <w:r w:rsidRPr="00A704BF">
        <w:rPr>
          <w:rFonts w:asciiTheme="minorHAnsi" w:hAnsiTheme="minorHAnsi" w:cstheme="minorHAnsi"/>
        </w:rPr>
        <w:t xml:space="preserve">Art. 36 </w:t>
      </w:r>
      <w:r w:rsidRPr="00A704BF">
        <w:rPr>
          <w:rFonts w:asciiTheme="minorHAnsi" w:hAnsiTheme="minorHAnsi" w:cstheme="minorHAnsi"/>
          <w:iCs/>
        </w:rPr>
        <w:t>k.p.a.</w:t>
      </w:r>
      <w:r w:rsidRPr="00A704BF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A704BF">
        <w:rPr>
          <w:rFonts w:asciiTheme="minorHAnsi" w:hAnsiTheme="minorHAnsi" w:cstheme="minorHAnsi"/>
        </w:rPr>
        <w:t xml:space="preserve"> </w:t>
      </w:r>
      <w:r w:rsidRPr="00A704BF">
        <w:rPr>
          <w:rFonts w:asciiTheme="minorHAnsi" w:hAnsiTheme="minorHAnsi" w:cstheme="minorHAnsi"/>
        </w:rPr>
        <w:t>1). Ten sam obowiązek ciąży na organie administracji publicznej również w przypadku zwłoki w</w:t>
      </w:r>
      <w:r w:rsidR="00A40900" w:rsidRPr="00A704BF">
        <w:rPr>
          <w:rFonts w:asciiTheme="minorHAnsi" w:hAnsiTheme="minorHAnsi" w:cstheme="minorHAnsi"/>
        </w:rPr>
        <w:t> </w:t>
      </w:r>
      <w:r w:rsidRPr="00A704BF">
        <w:rPr>
          <w:rFonts w:asciiTheme="minorHAnsi" w:hAnsiTheme="minorHAnsi" w:cstheme="minorHAnsi"/>
        </w:rPr>
        <w:t>załatwieniu sprawy z przyczyn niezależnych od organu (§ 2).</w:t>
      </w:r>
    </w:p>
    <w:p w:rsidR="00BF2702" w:rsidRPr="00A704BF" w:rsidRDefault="00BF2702" w:rsidP="00A704BF">
      <w:pPr>
        <w:pStyle w:val="Bezodstpw1"/>
        <w:spacing w:after="60"/>
        <w:rPr>
          <w:rFonts w:asciiTheme="minorHAnsi" w:hAnsiTheme="minorHAnsi" w:cstheme="minorHAnsi"/>
        </w:rPr>
      </w:pPr>
      <w:r w:rsidRPr="00A704BF">
        <w:rPr>
          <w:rFonts w:asciiTheme="minorHAnsi" w:hAnsiTheme="minorHAnsi" w:cstheme="minorHAnsi"/>
        </w:rPr>
        <w:t xml:space="preserve">Art. 37 § 1 </w:t>
      </w:r>
      <w:r w:rsidRPr="00A704BF">
        <w:rPr>
          <w:rFonts w:asciiTheme="minorHAnsi" w:hAnsiTheme="minorHAnsi" w:cstheme="minorHAnsi"/>
          <w:iCs/>
        </w:rPr>
        <w:t>k.p.a.</w:t>
      </w:r>
      <w:r w:rsidRPr="00A704BF">
        <w:rPr>
          <w:rFonts w:asciiTheme="minorHAnsi" w:hAnsiTheme="minorHAnsi" w:cstheme="minorHAnsi"/>
        </w:rPr>
        <w:t xml:space="preserve"> Stronie służy prawo do wniesienia ponaglenia, jeżeli: 1) nie załatwiono sprawy w terminie określonym w</w:t>
      </w:r>
      <w:r w:rsidR="00A40900" w:rsidRPr="00A704BF">
        <w:rPr>
          <w:rFonts w:asciiTheme="minorHAnsi" w:hAnsiTheme="minorHAnsi" w:cstheme="minorHAnsi"/>
        </w:rPr>
        <w:t> </w:t>
      </w:r>
      <w:r w:rsidRPr="00A704BF">
        <w:rPr>
          <w:rFonts w:asciiTheme="minorHAnsi" w:hAnsiTheme="minorHAnsi" w:cstheme="minorHAnsi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:rsidR="00BF2702" w:rsidRPr="00A704BF" w:rsidRDefault="00BF2702" w:rsidP="00A704BF">
      <w:pPr>
        <w:pStyle w:val="Bezodstpw1"/>
        <w:spacing w:after="60"/>
        <w:rPr>
          <w:rFonts w:asciiTheme="minorHAnsi" w:hAnsiTheme="minorHAnsi" w:cstheme="minorHAnsi"/>
        </w:rPr>
      </w:pPr>
      <w:r w:rsidRPr="00A704BF">
        <w:rPr>
          <w:rFonts w:asciiTheme="minorHAnsi" w:hAnsiTheme="minorHAnsi" w:cstheme="minorHAnsi"/>
        </w:rPr>
        <w:t xml:space="preserve">Art. 49 § 1 </w:t>
      </w:r>
      <w:r w:rsidRPr="00A704BF">
        <w:rPr>
          <w:rFonts w:asciiTheme="minorHAnsi" w:hAnsiTheme="minorHAnsi" w:cstheme="minorHAnsi"/>
          <w:iCs/>
        </w:rPr>
        <w:t>k.p.a.</w:t>
      </w:r>
      <w:r w:rsidRPr="00A704BF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A704BF">
        <w:rPr>
          <w:rFonts w:asciiTheme="minorHAnsi" w:hAnsiTheme="minorHAnsi" w:cstheme="minorHAnsi"/>
        </w:rPr>
        <w:t xml:space="preserve"> </w:t>
      </w:r>
      <w:r w:rsidRPr="00A704BF">
        <w:rPr>
          <w:rFonts w:asciiTheme="minorHAnsi" w:hAnsiTheme="minorHAnsi" w:cstheme="minorHAnsi"/>
        </w:rPr>
        <w:t xml:space="preserve">danej </w:t>
      </w:r>
      <w:r w:rsidRPr="00A704BF">
        <w:rPr>
          <w:rFonts w:asciiTheme="minorHAnsi" w:hAnsiTheme="minorHAnsi" w:cstheme="minorHAnsi"/>
        </w:rPr>
        <w:lastRenderedPageBreak/>
        <w:t>miejscowości lub przez udostępnienie pisma w Biuletynie Informacji Publicznej na stronie podmiotowej właściwego organu administracji publicznej.</w:t>
      </w:r>
    </w:p>
    <w:p w:rsidR="00985B8F" w:rsidRPr="00A704BF" w:rsidRDefault="00BF2702" w:rsidP="00A704BF">
      <w:pPr>
        <w:pStyle w:val="Bezodstpw1"/>
        <w:spacing w:after="60"/>
        <w:rPr>
          <w:rFonts w:asciiTheme="minorHAnsi" w:hAnsiTheme="minorHAnsi" w:cstheme="minorHAnsi"/>
        </w:rPr>
      </w:pPr>
      <w:r w:rsidRPr="00A704BF">
        <w:rPr>
          <w:rFonts w:asciiTheme="minorHAnsi" w:hAnsiTheme="minorHAnsi" w:cstheme="minorHAnsi"/>
        </w:rPr>
        <w:t xml:space="preserve">Art. 74 ust. 3 </w:t>
      </w:r>
      <w:proofErr w:type="spellStart"/>
      <w:r w:rsidRPr="00A704BF">
        <w:rPr>
          <w:rFonts w:asciiTheme="minorHAnsi" w:hAnsiTheme="minorHAnsi" w:cstheme="minorHAnsi"/>
          <w:iCs/>
        </w:rPr>
        <w:t>u.o.o.ś</w:t>
      </w:r>
      <w:proofErr w:type="spellEnd"/>
      <w:r w:rsidRPr="00A704BF">
        <w:rPr>
          <w:rFonts w:asciiTheme="minorHAnsi" w:hAnsiTheme="minorHAnsi" w:cstheme="minorHAnsi"/>
          <w:iCs/>
        </w:rPr>
        <w:t>.</w:t>
      </w:r>
      <w:r w:rsidRPr="00A704BF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A704BF" w:rsidSect="00726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E4" w:rsidRDefault="00770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704B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704B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E4" w:rsidRDefault="0077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E4" w:rsidRDefault="00770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704BF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7704E4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:rsidR="00A3212B" w:rsidRPr="007704E4" w:rsidRDefault="00A704B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D479F"/>
    <w:rsid w:val="002446E3"/>
    <w:rsid w:val="003A4832"/>
    <w:rsid w:val="00473DDE"/>
    <w:rsid w:val="004F5C94"/>
    <w:rsid w:val="00617ABD"/>
    <w:rsid w:val="006568C0"/>
    <w:rsid w:val="006663A9"/>
    <w:rsid w:val="00726E38"/>
    <w:rsid w:val="007704E4"/>
    <w:rsid w:val="007710E5"/>
    <w:rsid w:val="007B062C"/>
    <w:rsid w:val="0084152D"/>
    <w:rsid w:val="0085442F"/>
    <w:rsid w:val="008E6C33"/>
    <w:rsid w:val="00A40900"/>
    <w:rsid w:val="00A704BF"/>
    <w:rsid w:val="00B05EE2"/>
    <w:rsid w:val="00B64572"/>
    <w:rsid w:val="00B65C6A"/>
    <w:rsid w:val="00B92515"/>
    <w:rsid w:val="00BF2702"/>
    <w:rsid w:val="00C60237"/>
    <w:rsid w:val="00CD16BD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05A4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F375-1530-4152-B796-226FDC43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Szymańska</cp:lastModifiedBy>
  <cp:revision>2</cp:revision>
  <cp:lastPrinted>2010-12-24T09:23:00Z</cp:lastPrinted>
  <dcterms:created xsi:type="dcterms:W3CDTF">2023-04-26T09:10:00Z</dcterms:created>
  <dcterms:modified xsi:type="dcterms:W3CDTF">2023-04-26T09:10:00Z</dcterms:modified>
</cp:coreProperties>
</file>