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B902" w14:textId="347D0A67" w:rsidR="00CA4969" w:rsidRPr="00A55B58" w:rsidRDefault="00CA4969" w:rsidP="00A55B58">
      <w:pPr>
        <w:pStyle w:val="Nagwek1"/>
        <w:spacing w:before="0"/>
        <w:jc w:val="center"/>
      </w:pPr>
      <w:r w:rsidRPr="00A55B58">
        <w:t>Najczęściej zadawane pytania</w:t>
      </w:r>
    </w:p>
    <w:p w14:paraId="220A4870" w14:textId="77777777" w:rsidR="00A55B58" w:rsidRPr="00A55B58" w:rsidRDefault="00A55B58" w:rsidP="00A55B58">
      <w:pPr>
        <w:spacing w:after="0" w:line="240" w:lineRule="auto"/>
        <w:rPr>
          <w:sz w:val="21"/>
          <w:szCs w:val="21"/>
        </w:rPr>
      </w:pPr>
    </w:p>
    <w:p w14:paraId="07E3777F" w14:textId="61E0FFB5" w:rsidR="00DA3AD1" w:rsidRPr="00691A43" w:rsidRDefault="00D33684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</w:rPr>
      </w:pPr>
      <w:r w:rsidRPr="00691A43">
        <w:rPr>
          <w:b/>
          <w:bCs/>
        </w:rPr>
        <w:t>W jakiej formie należy przekazać sprawozdanie?</w:t>
      </w:r>
    </w:p>
    <w:p w14:paraId="302765D7" w14:textId="0E57B561" w:rsidR="00DA3AD1" w:rsidRPr="00691A43" w:rsidRDefault="00D33684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t xml:space="preserve">- Ustawodawca nie określił formy przekazania sprawozdania, ale PGW WP razem z GIOŚ udostępniają na swoich stronach internetowych arkusz, który ułatwi gminom proces </w:t>
      </w:r>
      <w:r w:rsidRPr="00691A43">
        <w:rPr>
          <w:color w:val="000000" w:themeColor="text1"/>
        </w:rPr>
        <w:t>sprawozdawczy. Arkusz ten zostanie rozesłany do gmin przez regionalne zarządy gospodarki wodnej w ramach usprawnienia corocznej sprawozdawczości.</w:t>
      </w:r>
    </w:p>
    <w:p w14:paraId="15C8D715" w14:textId="77777777" w:rsidR="001E5E76" w:rsidRPr="00691A43" w:rsidRDefault="001E5E76" w:rsidP="001E5E76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Komu należy przekazać wypełnioną ankietę?</w:t>
      </w:r>
    </w:p>
    <w:p w14:paraId="78D74519" w14:textId="0AAF77B6" w:rsidR="001E5E76" w:rsidRPr="00691A43" w:rsidRDefault="001E5E76" w:rsidP="001E5E76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color w:val="000000" w:themeColor="text1"/>
        </w:rPr>
        <w:t xml:space="preserve">- Wypełnioną ankietę </w:t>
      </w:r>
      <w:r w:rsidR="005036F1">
        <w:rPr>
          <w:color w:val="000000" w:themeColor="text1"/>
        </w:rPr>
        <w:t xml:space="preserve">w wersji elektronicznej </w:t>
      </w:r>
      <w:r w:rsidRPr="00691A43">
        <w:rPr>
          <w:color w:val="000000" w:themeColor="text1"/>
        </w:rPr>
        <w:t xml:space="preserve">należy przekazać właściwemu </w:t>
      </w:r>
      <w:r w:rsidRPr="00691A43">
        <w:rPr>
          <w:color w:val="000000" w:themeColor="text1"/>
          <w:u w:val="single"/>
        </w:rPr>
        <w:t>dyrektorowi regionalnego zarządu gospodarki wodnej</w:t>
      </w:r>
      <w:r w:rsidRPr="00691A43">
        <w:rPr>
          <w:color w:val="000000" w:themeColor="text1"/>
        </w:rPr>
        <w:t xml:space="preserve"> Państwowego Gospodarstwa Wodnego Wody Polskie oraz właściwemu wojewódzkiemu inspektorowi ochrony środowiska</w:t>
      </w:r>
      <w:r w:rsidR="005036F1">
        <w:rPr>
          <w:color w:val="000000" w:themeColor="text1"/>
        </w:rPr>
        <w:t>.</w:t>
      </w:r>
    </w:p>
    <w:p w14:paraId="60A5AE04" w14:textId="77777777" w:rsidR="001E5E76" w:rsidRPr="00691A43" w:rsidRDefault="001E5E76" w:rsidP="001E5E76">
      <w:pPr>
        <w:pStyle w:val="Akapitzlist"/>
        <w:numPr>
          <w:ilvl w:val="0"/>
          <w:numId w:val="1"/>
        </w:numPr>
        <w:spacing w:after="0" w:line="336" w:lineRule="auto"/>
        <w:rPr>
          <w:b/>
          <w:bCs/>
        </w:rPr>
      </w:pPr>
      <w:r w:rsidRPr="00691A43">
        <w:rPr>
          <w:b/>
          <w:bCs/>
        </w:rPr>
        <w:t>Do kiedy należy przekazać sprawozdanie?</w:t>
      </w:r>
    </w:p>
    <w:p w14:paraId="1798BB5A" w14:textId="6FFBD5E5" w:rsidR="001E5E76" w:rsidRPr="00691A43" w:rsidRDefault="001E5E76" w:rsidP="001E5E76">
      <w:pPr>
        <w:pStyle w:val="Akapitzlist"/>
        <w:spacing w:after="0" w:line="336" w:lineRule="auto"/>
        <w:rPr>
          <w:color w:val="000000" w:themeColor="text1"/>
        </w:rPr>
      </w:pPr>
      <w:r w:rsidRPr="00691A43">
        <w:t xml:space="preserve">- </w:t>
      </w:r>
      <w:r w:rsidRPr="00691A43">
        <w:rPr>
          <w:color w:val="000000" w:themeColor="text1"/>
        </w:rPr>
        <w:t>Sprawozdanie należy przekazać do 30 kwietnia każdego roku następującego po roku, za który sporządzane jest sprawozdanie.</w:t>
      </w:r>
    </w:p>
    <w:p w14:paraId="5E909C8E" w14:textId="5EEBD4A6" w:rsidR="00F2471E" w:rsidRPr="00691A43" w:rsidRDefault="00F2471E" w:rsidP="00F2471E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Jakiego obszaru dotyczyć ma jeden wiersz w tabeli?</w:t>
      </w:r>
    </w:p>
    <w:p w14:paraId="62242B30" w14:textId="10579BFC" w:rsidR="00F2471E" w:rsidRPr="00691A43" w:rsidRDefault="00F2471E" w:rsidP="00F2471E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 Jeden wiersz tabeli musi dotyczyć tylko danych dla jednej gminy. Jeżeli osoba wypełniająca tabelę sprawozdaje dane z kilku gmin, należy dane sprawozdawcze każdej gminy podać w osobnych wierszach.</w:t>
      </w:r>
    </w:p>
    <w:p w14:paraId="0EEFABF6" w14:textId="499F87D1" w:rsidR="00CA4969" w:rsidRPr="00691A43" w:rsidRDefault="008F385D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</w:rPr>
      </w:pPr>
      <w:r w:rsidRPr="00691A43">
        <w:rPr>
          <w:b/>
          <w:bCs/>
          <w:color w:val="000000" w:themeColor="text1"/>
        </w:rPr>
        <w:t>Jakich</w:t>
      </w:r>
      <w:r w:rsidR="00790DA7" w:rsidRPr="00691A43">
        <w:rPr>
          <w:b/>
          <w:bCs/>
          <w:color w:val="000000" w:themeColor="text1"/>
        </w:rPr>
        <w:t xml:space="preserve"> rodzajów</w:t>
      </w:r>
      <w:r w:rsidRPr="00691A43">
        <w:rPr>
          <w:b/>
          <w:bCs/>
          <w:color w:val="000000" w:themeColor="text1"/>
        </w:rPr>
        <w:t xml:space="preserve"> umów dotyczą </w:t>
      </w:r>
      <w:r w:rsidR="00160379" w:rsidRPr="00691A43">
        <w:rPr>
          <w:b/>
          <w:bCs/>
          <w:color w:val="000000" w:themeColor="text1"/>
        </w:rPr>
        <w:t xml:space="preserve">kolumny </w:t>
      </w:r>
      <w:r w:rsidR="00D33684" w:rsidRPr="00691A43">
        <w:rPr>
          <w:b/>
          <w:bCs/>
          <w:color w:val="000000" w:themeColor="text1"/>
        </w:rPr>
        <w:t>2</w:t>
      </w:r>
      <w:r w:rsidR="0016618C" w:rsidRPr="00691A43">
        <w:rPr>
          <w:b/>
          <w:bCs/>
          <w:color w:val="000000" w:themeColor="text1"/>
        </w:rPr>
        <w:t>3</w:t>
      </w:r>
      <w:r w:rsidR="00160379" w:rsidRPr="00691A43">
        <w:rPr>
          <w:b/>
          <w:bCs/>
        </w:rPr>
        <w:t xml:space="preserve"> i </w:t>
      </w:r>
      <w:r w:rsidR="00D33684" w:rsidRPr="00691A43">
        <w:rPr>
          <w:b/>
          <w:bCs/>
        </w:rPr>
        <w:t>2</w:t>
      </w:r>
      <w:r w:rsidR="0016618C" w:rsidRPr="00691A43">
        <w:rPr>
          <w:b/>
          <w:bCs/>
        </w:rPr>
        <w:t>4</w:t>
      </w:r>
      <w:r w:rsidR="00160379" w:rsidRPr="00691A43">
        <w:rPr>
          <w:b/>
          <w:bCs/>
        </w:rPr>
        <w:t>?</w:t>
      </w:r>
    </w:p>
    <w:p w14:paraId="13456D41" w14:textId="41ECD2EA" w:rsidR="00160379" w:rsidRPr="00691A43" w:rsidRDefault="00160379" w:rsidP="00C33862">
      <w:pPr>
        <w:pStyle w:val="Akapitzlist"/>
        <w:spacing w:after="0" w:line="336" w:lineRule="auto"/>
      </w:pPr>
      <w:r w:rsidRPr="00691A43">
        <w:t>- Kolumny te dotyczą umów gminnych i prywatnych</w:t>
      </w:r>
      <w:r w:rsidR="00B17664" w:rsidRPr="00691A43">
        <w:t xml:space="preserve"> (w tym pisemnych i ustnych).</w:t>
      </w:r>
    </w:p>
    <w:p w14:paraId="75E1DFD4" w14:textId="7766E612" w:rsidR="00FD2661" w:rsidRPr="00691A43" w:rsidRDefault="00FD2661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</w:rPr>
      </w:pPr>
      <w:r w:rsidRPr="00691A43">
        <w:rPr>
          <w:b/>
          <w:bCs/>
        </w:rPr>
        <w:t xml:space="preserve">Czy w sprawozdaniu należy wykazywać </w:t>
      </w:r>
      <w:r w:rsidR="00977686" w:rsidRPr="00691A43">
        <w:rPr>
          <w:b/>
          <w:bCs/>
        </w:rPr>
        <w:t>mobilne kontenery sanitarne, przenośne toalety oraz przenośne umywalki</w:t>
      </w:r>
      <w:r w:rsidRPr="00691A43">
        <w:rPr>
          <w:b/>
          <w:bCs/>
        </w:rPr>
        <w:t>?</w:t>
      </w:r>
    </w:p>
    <w:p w14:paraId="64FB0247" w14:textId="25546F0F" w:rsidR="00FD2661" w:rsidRPr="00691A43" w:rsidRDefault="00FD2661" w:rsidP="00C33862">
      <w:pPr>
        <w:pStyle w:val="Akapitzlist"/>
        <w:spacing w:after="0" w:line="336" w:lineRule="auto"/>
      </w:pPr>
      <w:r w:rsidRPr="00691A43">
        <w:t xml:space="preserve">- </w:t>
      </w:r>
      <w:r w:rsidR="00B87773" w:rsidRPr="00691A43">
        <w:t>Obiekty te</w:t>
      </w:r>
      <w:r w:rsidR="00977686" w:rsidRPr="00691A43">
        <w:t xml:space="preserve"> spełniają definicję zbiorników bezodpływowych</w:t>
      </w:r>
      <w:r w:rsidR="00EF21DB" w:rsidRPr="00691A43">
        <w:t>.</w:t>
      </w:r>
      <w:r w:rsidR="00660F24" w:rsidRPr="00691A43">
        <w:t xml:space="preserve"> Brak trwałego związania z gruntem oraz mobilność takich systemów nie może stanowić argumentu dla ich wyłączenia z systemu gospodarowania ściekami, określonego w ustawie z dnia 13 września 1996 r. o utrzymaniu czystości i porządku w gminach</w:t>
      </w:r>
      <w:r w:rsidR="00D63A40" w:rsidRPr="00691A43">
        <w:t xml:space="preserve"> (dalej: ucpg).</w:t>
      </w:r>
      <w:r w:rsidR="00B87773" w:rsidRPr="00691A43">
        <w:t xml:space="preserve"> Jednak w przypadku braku pełnych informacji o takich obiektach w odniesieniu rocznym powoduje, że </w:t>
      </w:r>
      <w:r w:rsidR="00B17664" w:rsidRPr="00691A43">
        <w:t>dopuszcza się ich nieujmowanie w sprawozdaniu</w:t>
      </w:r>
      <w:r w:rsidR="00B87773" w:rsidRPr="00691A43">
        <w:t>.</w:t>
      </w:r>
    </w:p>
    <w:p w14:paraId="3173DF3F" w14:textId="52363FCA" w:rsidR="00EF21DB" w:rsidRPr="00691A43" w:rsidRDefault="00EF21DB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</w:rPr>
      </w:pPr>
      <w:r w:rsidRPr="00691A43">
        <w:rPr>
          <w:b/>
          <w:bCs/>
        </w:rPr>
        <w:t>Jak rozumieć „liczbę właścicieli nieruchomości, od których odebrano nieczystości ciekłe”? Co w sytuacji, gdy właściciel ma kilka nieruchomości?</w:t>
      </w:r>
    </w:p>
    <w:p w14:paraId="7A741660" w14:textId="6327E4B3" w:rsidR="00EF21DB" w:rsidRPr="00691A43" w:rsidRDefault="00EF21DB" w:rsidP="00C33862">
      <w:pPr>
        <w:pStyle w:val="Akapitzlist"/>
        <w:spacing w:after="0" w:line="336" w:lineRule="auto"/>
      </w:pPr>
      <w:r w:rsidRPr="00691A43">
        <w:t xml:space="preserve">- </w:t>
      </w:r>
      <w:r w:rsidR="00790DA7" w:rsidRPr="00691A43">
        <w:t>Aby nie powstały niejasności</w:t>
      </w:r>
      <w:r w:rsidRPr="00691A43">
        <w:t xml:space="preserve">, w ankiecie wprowadzono </w:t>
      </w:r>
      <w:r w:rsidR="00790DA7" w:rsidRPr="00691A43">
        <w:t xml:space="preserve">tylko </w:t>
      </w:r>
      <w:r w:rsidRPr="00691A43">
        <w:t>pojęcie liczby nieruchomości</w:t>
      </w:r>
      <w:r w:rsidR="0016618C" w:rsidRPr="00691A43">
        <w:t>, z których odebrano nieczystości ciekłe</w:t>
      </w:r>
      <w:r w:rsidRPr="00691A43">
        <w:t>.</w:t>
      </w:r>
      <w:r w:rsidR="00035D1C" w:rsidRPr="00691A43">
        <w:t xml:space="preserve"> Sprawozdanie powinno obejmować wszystkie zamieszkałe zarówno na stałe, jak i czasowo (sezonowo) nieruchomości wyposażone w zbiorniki bezodpływowe lub przydomowe oczyszczalnie ścieków.</w:t>
      </w:r>
    </w:p>
    <w:p w14:paraId="4FA5228B" w14:textId="1AF99603" w:rsidR="00EF21DB" w:rsidRPr="00691A43" w:rsidRDefault="00EF21DB" w:rsidP="00C33862">
      <w:pPr>
        <w:pStyle w:val="Akapitzlist"/>
        <w:numPr>
          <w:ilvl w:val="0"/>
          <w:numId w:val="1"/>
        </w:numPr>
        <w:spacing w:after="0" w:line="336" w:lineRule="auto"/>
      </w:pPr>
      <w:r w:rsidRPr="00691A43">
        <w:rPr>
          <w:b/>
          <w:bCs/>
        </w:rPr>
        <w:t>Co z umowami ustnymi?</w:t>
      </w:r>
    </w:p>
    <w:p w14:paraId="3F19B6A6" w14:textId="5013227B" w:rsidR="00EF21DB" w:rsidRPr="00691A43" w:rsidRDefault="00EF21DB" w:rsidP="00C33862">
      <w:pPr>
        <w:pStyle w:val="Akapitzlist"/>
        <w:spacing w:after="0" w:line="336" w:lineRule="auto"/>
      </w:pPr>
      <w:r w:rsidRPr="00691A43">
        <w:rPr>
          <w:b/>
          <w:bCs/>
        </w:rPr>
        <w:t xml:space="preserve">- </w:t>
      </w:r>
      <w:r w:rsidRPr="00691A43">
        <w:t xml:space="preserve">Kodeks Cywilny dopuszcza stosowanie umów ustnych. W kwestii wywozu nieczystości nie ma tutaj wyjątku. Prawidłowa gospodarka wodno-ściekowa jest obowiązkiem własnym gminy. </w:t>
      </w:r>
      <w:r w:rsidRPr="00691A43">
        <w:lastRenderedPageBreak/>
        <w:t xml:space="preserve">Gmina w sprawozdaniu powinna starać się wykazać też umowy ustne, przy czym „funkcjonowanie” takiej umowy musi być potwierdzone posiadaniem przez właściciela (lub zarządcę) nieruchomości </w:t>
      </w:r>
      <w:r w:rsidR="00253310" w:rsidRPr="00691A43">
        <w:t>dowodów uiszczenia opłat za usługi w zakresie odbioru nieczystości ciekłych</w:t>
      </w:r>
      <w:r w:rsidRPr="00691A43">
        <w:t>.</w:t>
      </w:r>
      <w:r w:rsidR="00253310" w:rsidRPr="00691A43">
        <w:t xml:space="preserve"> Przez takie dowody należy rozumieć faktury i paragony fiskalne, jednak zgodnie z art. 6 ust. 1a ustawy ucpg rada gminy może określić</w:t>
      </w:r>
      <w:r w:rsidR="00EC33BD" w:rsidRPr="00691A43">
        <w:t xml:space="preserve"> </w:t>
      </w:r>
      <w:r w:rsidR="00B17664" w:rsidRPr="00691A43">
        <w:t>(</w:t>
      </w:r>
      <w:r w:rsidR="00EC33BD" w:rsidRPr="00691A43">
        <w:t>w drodze uchwały</w:t>
      </w:r>
      <w:r w:rsidR="00B17664" w:rsidRPr="00691A43">
        <w:t>)</w:t>
      </w:r>
      <w:r w:rsidR="00EC33BD" w:rsidRPr="00691A43">
        <w:t xml:space="preserve"> w zależności od lokalnych warunków, inne sposoby udokumentowania wykonania obowiązków, o których mowa w art. 5 ust. 1 pkt 3b.</w:t>
      </w:r>
    </w:p>
    <w:p w14:paraId="03EF7F0F" w14:textId="6F0ECC23" w:rsidR="00EF21DB" w:rsidRPr="00691A43" w:rsidRDefault="004D4AA0" w:rsidP="00C33862">
      <w:pPr>
        <w:pStyle w:val="Akapitzlist"/>
        <w:numPr>
          <w:ilvl w:val="0"/>
          <w:numId w:val="1"/>
        </w:numPr>
        <w:spacing w:after="0" w:line="336" w:lineRule="auto"/>
      </w:pPr>
      <w:r w:rsidRPr="00691A43">
        <w:rPr>
          <w:b/>
          <w:bCs/>
        </w:rPr>
        <w:t>Co w przypadku, gdy gmina przejmuje obowiązek opróżniania zbiorników bezodpływowych lub przydomowych oczyszczalni ścieków na podstawie</w:t>
      </w:r>
      <w:r w:rsidR="009140EC" w:rsidRPr="00691A43">
        <w:rPr>
          <w:b/>
          <w:bCs/>
        </w:rPr>
        <w:t xml:space="preserve"> art. 6a </w:t>
      </w:r>
      <w:r w:rsidR="00D63A40" w:rsidRPr="00691A43">
        <w:rPr>
          <w:b/>
          <w:bCs/>
        </w:rPr>
        <w:t>ucpg</w:t>
      </w:r>
      <w:r w:rsidR="009140EC" w:rsidRPr="00691A43">
        <w:rPr>
          <w:b/>
          <w:bCs/>
        </w:rPr>
        <w:t>?</w:t>
      </w:r>
    </w:p>
    <w:p w14:paraId="54B0AACE" w14:textId="7F6DD44F" w:rsidR="009140EC" w:rsidRPr="00691A43" w:rsidRDefault="009140EC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- </w:t>
      </w:r>
      <w:r w:rsidRPr="00691A43">
        <w:rPr>
          <w:color w:val="000000" w:themeColor="text1"/>
        </w:rPr>
        <w:t>W przypadku, gdy realizując działania na podstawie art. 6a, gmina nie zawarła umów z właścicielami, to ich nie wykaże. Gmina ma obowiązek wykazać wszystkie zbiorniki bezodpływowe</w:t>
      </w:r>
      <w:r w:rsidR="00256515" w:rsidRPr="00691A43">
        <w:rPr>
          <w:color w:val="000000" w:themeColor="text1"/>
        </w:rPr>
        <w:t xml:space="preserve"> </w:t>
      </w:r>
      <w:r w:rsidRPr="00691A43">
        <w:rPr>
          <w:color w:val="000000" w:themeColor="text1"/>
        </w:rPr>
        <w:t>i POŚ na swoim terenie</w:t>
      </w:r>
      <w:r w:rsidR="00256515" w:rsidRPr="00691A43">
        <w:rPr>
          <w:color w:val="000000" w:themeColor="text1"/>
        </w:rPr>
        <w:t>.</w:t>
      </w:r>
    </w:p>
    <w:p w14:paraId="42678F10" w14:textId="3474E585" w:rsidR="009140EC" w:rsidRPr="00691A43" w:rsidRDefault="009140EC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Czy należy określić ilu konkretnie zbiorników bezodpływowych dotyczy dana częstotliwość odbioru nieczystości ciekłych (np. nieruchomości zamieszkałe przez 1 osobę, tereny rekreacyjne)?</w:t>
      </w:r>
    </w:p>
    <w:p w14:paraId="2C4A9C48" w14:textId="30F30A2F" w:rsidR="009140EC" w:rsidRPr="00691A43" w:rsidRDefault="009140EC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 xml:space="preserve">- </w:t>
      </w:r>
      <w:r w:rsidR="003E493D" w:rsidRPr="00691A43">
        <w:rPr>
          <w:color w:val="000000" w:themeColor="text1"/>
        </w:rPr>
        <w:t xml:space="preserve">Nie. W sprawozdaniu </w:t>
      </w:r>
      <w:r w:rsidR="00280CF2" w:rsidRPr="00691A43">
        <w:rPr>
          <w:color w:val="000000" w:themeColor="text1"/>
        </w:rPr>
        <w:t>jest</w:t>
      </w:r>
      <w:r w:rsidR="003E493D" w:rsidRPr="00691A43">
        <w:rPr>
          <w:color w:val="000000" w:themeColor="text1"/>
        </w:rPr>
        <w:t xml:space="preserve"> tylko częstotliwość, która jest określona w regulaminie</w:t>
      </w:r>
      <w:r w:rsidR="00800823" w:rsidRPr="00691A43">
        <w:rPr>
          <w:color w:val="000000" w:themeColor="text1"/>
        </w:rPr>
        <w:t xml:space="preserve"> utrzymania czystości i porządku w gminie</w:t>
      </w:r>
      <w:r w:rsidR="003E493D" w:rsidRPr="00691A43">
        <w:rPr>
          <w:color w:val="000000" w:themeColor="text1"/>
        </w:rPr>
        <w:t>. Jeżeli warunki te nie są „jednorodne”, gmina będzie mogła przedstawić</w:t>
      </w:r>
      <w:r w:rsidR="00280CF2" w:rsidRPr="00691A43">
        <w:rPr>
          <w:color w:val="000000" w:themeColor="text1"/>
        </w:rPr>
        <w:t xml:space="preserve"> sytuację</w:t>
      </w:r>
      <w:r w:rsidR="003E493D" w:rsidRPr="00691A43">
        <w:rPr>
          <w:color w:val="000000" w:themeColor="text1"/>
        </w:rPr>
        <w:t xml:space="preserve"> opisowo.</w:t>
      </w:r>
    </w:p>
    <w:p w14:paraId="5F3AFB87" w14:textId="22B1E433" w:rsidR="00E86A00" w:rsidRPr="00691A43" w:rsidRDefault="00AF5EBA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Czy w zezwoleniu na opróżnianie zbiorników bezodpływowych należy wskazać wszystkie stacje zlewne, z których przedsiębiorca dostarczy zapewnienie o gotowości przyjmowania nieczystości ciekłych</w:t>
      </w:r>
      <w:r w:rsidR="00FF4838" w:rsidRPr="00691A43">
        <w:rPr>
          <w:b/>
          <w:bCs/>
          <w:color w:val="000000" w:themeColor="text1"/>
        </w:rPr>
        <w:t xml:space="preserve"> jako te, do których może on dostarczać nieczystości ciekłe?</w:t>
      </w:r>
    </w:p>
    <w:p w14:paraId="25923343" w14:textId="41E1BF0F" w:rsidR="00FF4838" w:rsidRPr="00691A43" w:rsidRDefault="00FF4838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- </w:t>
      </w:r>
      <w:r w:rsidRPr="00691A43">
        <w:rPr>
          <w:color w:val="000000" w:themeColor="text1"/>
        </w:rPr>
        <w:t xml:space="preserve">W sprawozdaniu należy wykazać tylko te stacje zlewne, które faktycznie przyjmowały nieczystości ciekłe. Stacje zlewne, które zadeklarowały gotowość do przyjęcia nieczystości, ale w roku sprawozdawczym ani razu ich nie odebrały, nie </w:t>
      </w:r>
      <w:r w:rsidR="00256515" w:rsidRPr="00691A43">
        <w:rPr>
          <w:color w:val="000000" w:themeColor="text1"/>
        </w:rPr>
        <w:t>są</w:t>
      </w:r>
      <w:r w:rsidRPr="00691A43">
        <w:rPr>
          <w:color w:val="000000" w:themeColor="text1"/>
        </w:rPr>
        <w:t xml:space="preserve"> wykazywane.</w:t>
      </w:r>
    </w:p>
    <w:p w14:paraId="176236DB" w14:textId="2B894F55" w:rsidR="008255B4" w:rsidRPr="00691A43" w:rsidRDefault="00865EDE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Ile razy w ciągu roku należy opróżniać zbiornik bezodpływowy?</w:t>
      </w:r>
    </w:p>
    <w:p w14:paraId="5C8B90E8" w14:textId="568F4D1F" w:rsidR="006759F9" w:rsidRPr="00691A43" w:rsidRDefault="00865EDE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- </w:t>
      </w:r>
      <w:r w:rsidRPr="00691A43">
        <w:rPr>
          <w:color w:val="000000" w:themeColor="text1"/>
        </w:rPr>
        <w:t>Częstotliwość odbioru wszystkich nieczystości ciekłych od właścicieli nieruchomości ustala rada gminy</w:t>
      </w:r>
      <w:r w:rsidR="00214BDB" w:rsidRPr="00691A43">
        <w:rPr>
          <w:color w:val="000000" w:themeColor="text1"/>
        </w:rPr>
        <w:t xml:space="preserve">. </w:t>
      </w:r>
      <w:r w:rsidRPr="00691A43">
        <w:rPr>
          <w:color w:val="000000" w:themeColor="text1"/>
        </w:rPr>
        <w:t>Właściciel nieruchomości powinien pozbywać się nieczystości ciekłych niezwłocznie po lub tuż przez zapełnieniem się urządzenia przeznaczonego do gromadzenia nieczystości ciekłych.</w:t>
      </w:r>
      <w:r w:rsidR="00214BDB" w:rsidRPr="00691A43">
        <w:rPr>
          <w:color w:val="000000" w:themeColor="text1"/>
        </w:rPr>
        <w:t xml:space="preserve"> </w:t>
      </w:r>
    </w:p>
    <w:p w14:paraId="1F976129" w14:textId="408AF922" w:rsidR="003A2E4F" w:rsidRPr="00691A43" w:rsidRDefault="003A2E4F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Czy wymaganą liczbę mieszkańców nieruchomości należy podać na 31 grudnia </w:t>
      </w:r>
      <w:r w:rsidR="00256515" w:rsidRPr="00691A43">
        <w:rPr>
          <w:b/>
          <w:bCs/>
          <w:color w:val="000000" w:themeColor="text1"/>
        </w:rPr>
        <w:t>w</w:t>
      </w:r>
      <w:r w:rsidRPr="00691A43">
        <w:rPr>
          <w:b/>
          <w:bCs/>
          <w:color w:val="000000" w:themeColor="text1"/>
        </w:rPr>
        <w:t xml:space="preserve"> roku, za który obowiązuje sprawozdanie?</w:t>
      </w:r>
    </w:p>
    <w:p w14:paraId="21A58B08" w14:textId="6E4E3F73" w:rsidR="003A2E4F" w:rsidRPr="00691A43" w:rsidRDefault="003A2E4F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 Tak, liczba ta powinna być wykazana według stanu na 31 grudnia danego roku.</w:t>
      </w:r>
    </w:p>
    <w:p w14:paraId="4F8281AF" w14:textId="79DE7EA9" w:rsidR="00220C9C" w:rsidRPr="00691A43" w:rsidRDefault="00220C9C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Czym są „nieczystości ciekłe”?</w:t>
      </w:r>
    </w:p>
    <w:p w14:paraId="7ADD20F7" w14:textId="1D80C745" w:rsidR="006759F9" w:rsidRPr="00691A43" w:rsidRDefault="00220C9C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 xml:space="preserve">- Są to ścieki gromadzone przejściowo w zbiornikach bezodpływowych lub </w:t>
      </w:r>
      <w:r w:rsidR="00256515" w:rsidRPr="00691A43">
        <w:rPr>
          <w:color w:val="000000" w:themeColor="text1"/>
        </w:rPr>
        <w:t>osady z osadników</w:t>
      </w:r>
      <w:r w:rsidRPr="00691A43">
        <w:rPr>
          <w:color w:val="000000" w:themeColor="text1"/>
        </w:rPr>
        <w:t xml:space="preserve"> w instalacjach przydomowych oczyszczalni ścieków.</w:t>
      </w:r>
    </w:p>
    <w:p w14:paraId="35514DCE" w14:textId="53E806C7" w:rsidR="006759F9" w:rsidRPr="00691A43" w:rsidRDefault="006759F9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Ile razy w ciągu roku należy opróżniać nieczystości ciekłe z osadników przydomowych oczyszczalni ścieków?</w:t>
      </w:r>
    </w:p>
    <w:p w14:paraId="34B01648" w14:textId="1F2FF77F" w:rsidR="00F25D40" w:rsidRPr="00691A43" w:rsidRDefault="006759F9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lastRenderedPageBreak/>
        <w:t xml:space="preserve">- </w:t>
      </w:r>
      <w:r w:rsidRPr="00691A43">
        <w:rPr>
          <w:color w:val="000000" w:themeColor="text1"/>
        </w:rPr>
        <w:t xml:space="preserve">Częstotliwość opróżniania przydomowych oczyszczalni ścieków powinna </w:t>
      </w:r>
      <w:r w:rsidR="00A127D0" w:rsidRPr="00691A43">
        <w:rPr>
          <w:color w:val="000000" w:themeColor="text1"/>
        </w:rPr>
        <w:t>być adekwatna do</w:t>
      </w:r>
      <w:r w:rsidRPr="00691A43">
        <w:rPr>
          <w:color w:val="000000" w:themeColor="text1"/>
        </w:rPr>
        <w:t xml:space="preserve"> liczb</w:t>
      </w:r>
      <w:r w:rsidR="00A127D0" w:rsidRPr="00691A43">
        <w:rPr>
          <w:color w:val="000000" w:themeColor="text1"/>
        </w:rPr>
        <w:t>y</w:t>
      </w:r>
      <w:r w:rsidRPr="00691A43">
        <w:rPr>
          <w:color w:val="000000" w:themeColor="text1"/>
        </w:rPr>
        <w:t xml:space="preserve"> osób zamieszkujących na nieruchomości i korzystających z takiego zbiornika</w:t>
      </w:r>
      <w:r w:rsidR="00503F5E" w:rsidRPr="00691A43">
        <w:rPr>
          <w:color w:val="000000" w:themeColor="text1"/>
        </w:rPr>
        <w:t>. Jest też zależna od wielu innych czynników, takich jak wielkość oczyszczalni, rodzaj oczyszczalni. Taka czynność powinna być wykonywana zgodnie z informacjami zawartymi w dokumentacji dołączonej do urządzenia</w:t>
      </w:r>
      <w:r w:rsidRPr="00691A43">
        <w:rPr>
          <w:color w:val="000000" w:themeColor="text1"/>
        </w:rPr>
        <w:t>.</w:t>
      </w:r>
    </w:p>
    <w:p w14:paraId="3A59C664" w14:textId="0AE18B0B" w:rsidR="003A250F" w:rsidRPr="00691A43" w:rsidRDefault="003A250F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Czy właściciel nieruchomości niezamieszkałej, ale wyposażonej w zbiornik bezodpływowy, musi podpisać umowę usługi wywozu nieczystości ciekłych?</w:t>
      </w:r>
    </w:p>
    <w:p w14:paraId="2CEB1702" w14:textId="47CD29A6" w:rsidR="00652CE3" w:rsidRPr="00691A43" w:rsidRDefault="003A250F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- </w:t>
      </w:r>
      <w:r w:rsidRPr="00691A43">
        <w:rPr>
          <w:color w:val="000000" w:themeColor="text1"/>
        </w:rPr>
        <w:t>Nie</w:t>
      </w:r>
      <w:r w:rsidR="001E5E76" w:rsidRPr="00691A43">
        <w:rPr>
          <w:color w:val="000000" w:themeColor="text1"/>
        </w:rPr>
        <w:t>.</w:t>
      </w:r>
      <w:r w:rsidRPr="00691A43">
        <w:rPr>
          <w:color w:val="000000" w:themeColor="text1"/>
        </w:rPr>
        <w:t xml:space="preserve"> </w:t>
      </w:r>
      <w:r w:rsidR="001E5E76" w:rsidRPr="00691A43">
        <w:rPr>
          <w:color w:val="000000" w:themeColor="text1"/>
        </w:rPr>
        <w:t>W</w:t>
      </w:r>
      <w:r w:rsidRPr="00691A43">
        <w:rPr>
          <w:color w:val="000000" w:themeColor="text1"/>
        </w:rPr>
        <w:t xml:space="preserve">łaściciele, którzy nie </w:t>
      </w:r>
      <w:r w:rsidR="00B17664" w:rsidRPr="00691A43">
        <w:rPr>
          <w:color w:val="000000" w:themeColor="text1"/>
        </w:rPr>
        <w:t>produkują</w:t>
      </w:r>
      <w:r w:rsidRPr="00691A43">
        <w:rPr>
          <w:color w:val="000000" w:themeColor="text1"/>
        </w:rPr>
        <w:t xml:space="preserve"> nieczystości ciekłych</w:t>
      </w:r>
      <w:r w:rsidR="001E5E76" w:rsidRPr="00691A43">
        <w:rPr>
          <w:color w:val="000000" w:themeColor="text1"/>
        </w:rPr>
        <w:t>,</w:t>
      </w:r>
      <w:r w:rsidRPr="00691A43">
        <w:rPr>
          <w:color w:val="000000" w:themeColor="text1"/>
        </w:rPr>
        <w:t xml:space="preserve"> nie muszą podpisywać umów.</w:t>
      </w:r>
      <w:r w:rsidR="00256515" w:rsidRPr="00691A43">
        <w:rPr>
          <w:color w:val="000000" w:themeColor="text1"/>
        </w:rPr>
        <w:t xml:space="preserve"> Obowiązkiem gminy jest posiadanie informacji, czy dana nieruchomość rzeczywiście nie generuje ścieków (weryfikacja umów na wywóz odpadów, stan licznika głównego wody w przypadku podpięcia nieruchomości do sieci wodociągowej, itp.).</w:t>
      </w:r>
      <w:r w:rsidR="0016618C" w:rsidRPr="00691A43">
        <w:rPr>
          <w:color w:val="000000" w:themeColor="text1"/>
        </w:rPr>
        <w:t xml:space="preserve"> </w:t>
      </w:r>
    </w:p>
    <w:p w14:paraId="76A1500A" w14:textId="11A133C3" w:rsidR="00E97842" w:rsidRPr="00691A43" w:rsidRDefault="0016618C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Co w przypadku, gdy nastąpiła w danym roku zmiana regulaminu </w:t>
      </w:r>
      <w:r w:rsidR="00E97842" w:rsidRPr="00691A43">
        <w:rPr>
          <w:b/>
          <w:bCs/>
          <w:color w:val="000000" w:themeColor="text1"/>
        </w:rPr>
        <w:t>utrzymania czystości i porządku na terenie gminy?</w:t>
      </w:r>
      <w:r w:rsidR="00E97842" w:rsidRPr="00691A43">
        <w:rPr>
          <w:color w:val="000000" w:themeColor="text1"/>
        </w:rPr>
        <w:t xml:space="preserve"> </w:t>
      </w:r>
      <w:r w:rsidR="00E97842" w:rsidRPr="00691A43">
        <w:rPr>
          <w:b/>
          <w:bCs/>
          <w:color w:val="000000" w:themeColor="text1"/>
        </w:rPr>
        <w:t>W jaki sposób należy podać częstotliwość opróżniania zbiornika bezodpływowego lub osadnika w instalacji przydomowej oczyszczalni ścieków?</w:t>
      </w:r>
    </w:p>
    <w:p w14:paraId="4CE36794" w14:textId="106F87F6" w:rsidR="00E97842" w:rsidRPr="00691A43" w:rsidRDefault="00E97842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 W takiej sytuacji należy przedstawić w sposób opisowy taki przypadek i podać obie informacje.</w:t>
      </w:r>
    </w:p>
    <w:p w14:paraId="3C1217FD" w14:textId="70464B5C" w:rsidR="003E2F85" w:rsidRPr="00691A43" w:rsidRDefault="003E2F85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W jaki sposób uzupełnić tabelkę sprawozdawczą w części dot. kontroli?</w:t>
      </w:r>
    </w:p>
    <w:p w14:paraId="6C23B7E0" w14:textId="4511CC8A" w:rsidR="003E2F85" w:rsidRPr="00691A43" w:rsidRDefault="003E2F85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 Jeżeli jednocześnie kontrolowana jest liczba posiadania um</w:t>
      </w:r>
      <w:r w:rsidR="0092076E" w:rsidRPr="00691A43">
        <w:rPr>
          <w:color w:val="000000" w:themeColor="text1"/>
        </w:rPr>
        <w:t>ów</w:t>
      </w:r>
      <w:r w:rsidRPr="00691A43">
        <w:rPr>
          <w:color w:val="000000" w:themeColor="text1"/>
        </w:rPr>
        <w:t xml:space="preserve"> i liczba dowodów uiszczenia opłat, to należy w kolumnie 35 wpisać „1” i w kolumnie 36 również „1”.</w:t>
      </w:r>
      <w:r w:rsidR="0092076E" w:rsidRPr="00691A43">
        <w:rPr>
          <w:color w:val="000000" w:themeColor="text1"/>
        </w:rPr>
        <w:t xml:space="preserve"> Wartości te traktujemy rozłącznie</w:t>
      </w:r>
      <w:r w:rsidR="00B17664" w:rsidRPr="00691A43">
        <w:rPr>
          <w:color w:val="000000" w:themeColor="text1"/>
        </w:rPr>
        <w:t>, a zatem są to 2 kontrole, chociaż wykonane w tym samym czasie.</w:t>
      </w:r>
    </w:p>
    <w:p w14:paraId="2E83CA87" w14:textId="5666E30D" w:rsidR="00A867C6" w:rsidRPr="00691A43" w:rsidRDefault="00A867C6" w:rsidP="00C33862">
      <w:pPr>
        <w:pStyle w:val="Akapitzlist"/>
        <w:numPr>
          <w:ilvl w:val="0"/>
          <w:numId w:val="1"/>
        </w:numPr>
        <w:spacing w:after="0" w:line="336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W jaki sposób kontrolować właścicieli działek letniskowych, na których mieszczą się toalety kompostujące?</w:t>
      </w:r>
    </w:p>
    <w:p w14:paraId="5C465F81" w14:textId="11A03587" w:rsidR="003163DF" w:rsidRPr="00691A43" w:rsidRDefault="00A867C6" w:rsidP="00C33862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 Toaleta kompostująca (sucha) również podlega kontroli. Taką toaletę również należy opróżniać za pośrednictwem firm asenizacyjnych. Na dowód wykonania tego obowiązku należy przedstawić umowę oraz dowody uiszczenia opłat za usługi.</w:t>
      </w:r>
    </w:p>
    <w:p w14:paraId="68A1C6B5" w14:textId="046C5690" w:rsidR="003163DF" w:rsidRPr="00691A43" w:rsidRDefault="00444A5A" w:rsidP="00C33862">
      <w:pPr>
        <w:pStyle w:val="Akapitzlist"/>
        <w:numPr>
          <w:ilvl w:val="0"/>
          <w:numId w:val="1"/>
        </w:numPr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>Co w sytuacji, gdy jeden zbiornik bezodpływowy obsługuje dwa budynki mieszkalne?</w:t>
      </w:r>
    </w:p>
    <w:p w14:paraId="7047E3D2" w14:textId="06D3F77F" w:rsidR="000A7B9F" w:rsidRPr="00691A43" w:rsidRDefault="00033831" w:rsidP="00B17664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 xml:space="preserve">- </w:t>
      </w:r>
      <w:r w:rsidR="003B707B" w:rsidRPr="00691A43">
        <w:rPr>
          <w:color w:val="000000" w:themeColor="text1"/>
        </w:rPr>
        <w:t>Jeżeli te budynki znajdują się na dwóch różnych działkach, to traktujemy je osobno (dwie nieruchomości). Jeśli kilka budynków znajduje się na terenie jednej działki i są obsługiwane przez jeden zbiornik bezodpływowy, to traktujemy to jako jedną nieruchomość.</w:t>
      </w:r>
    </w:p>
    <w:p w14:paraId="3B9B98A5" w14:textId="67995B6F" w:rsidR="000F764E" w:rsidRPr="00691A43" w:rsidRDefault="000F764E" w:rsidP="000F764E">
      <w:pPr>
        <w:pStyle w:val="Akapitzlist"/>
        <w:numPr>
          <w:ilvl w:val="0"/>
          <w:numId w:val="1"/>
        </w:numPr>
        <w:spacing w:after="0" w:line="336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>W jaki sposób należy podać ilość wody pobranej przez użytkowników nieruchomości niepodłączonych do sieci kanalizacyjnej</w:t>
      </w:r>
      <w:r w:rsidR="006A795C" w:rsidRPr="00691A43">
        <w:rPr>
          <w:b/>
          <w:bCs/>
          <w:color w:val="000000" w:themeColor="text1"/>
        </w:rPr>
        <w:t>?</w:t>
      </w:r>
      <w:r w:rsidRPr="00691A43">
        <w:rPr>
          <w:b/>
          <w:bCs/>
          <w:color w:val="000000" w:themeColor="text1"/>
        </w:rPr>
        <w:t xml:space="preserve"> </w:t>
      </w:r>
      <w:r w:rsidR="00691A43" w:rsidRPr="00691A43">
        <w:rPr>
          <w:b/>
          <w:bCs/>
          <w:color w:val="000000" w:themeColor="text1"/>
        </w:rPr>
        <w:t xml:space="preserve">Co </w:t>
      </w:r>
      <w:r w:rsidRPr="00691A43">
        <w:rPr>
          <w:b/>
          <w:bCs/>
          <w:color w:val="000000" w:themeColor="text1"/>
        </w:rPr>
        <w:t>w przypadku poboru wody ze studni?</w:t>
      </w:r>
    </w:p>
    <w:p w14:paraId="1D022E87" w14:textId="641235DF" w:rsidR="000F764E" w:rsidRPr="00691A43" w:rsidRDefault="000F764E" w:rsidP="000F764E">
      <w:pPr>
        <w:pStyle w:val="Akapitzlist"/>
        <w:spacing w:after="0" w:line="336" w:lineRule="auto"/>
        <w:rPr>
          <w:color w:val="000000" w:themeColor="text1"/>
        </w:rPr>
      </w:pPr>
      <w:r w:rsidRPr="00691A43">
        <w:rPr>
          <w:color w:val="000000" w:themeColor="text1"/>
        </w:rPr>
        <w:t>-</w:t>
      </w:r>
      <w:r w:rsidR="00691A43">
        <w:rPr>
          <w:color w:val="000000" w:themeColor="text1"/>
        </w:rPr>
        <w:t xml:space="preserve"> </w:t>
      </w:r>
      <w:r w:rsidR="006A795C" w:rsidRPr="00691A43">
        <w:rPr>
          <w:color w:val="000000" w:themeColor="text1"/>
        </w:rPr>
        <w:t>Należy dane odczytać z wodomierza, a w przypadku poboru wody ze studni</w:t>
      </w:r>
      <w:r w:rsidRPr="00691A43">
        <w:rPr>
          <w:color w:val="000000" w:themeColor="text1"/>
        </w:rPr>
        <w:t>, zgodnie z Rozporządzeniem Ministra Infrastruktury w sprawie określenia przeciętnych norm zużycia wody, należy przyjąć zużycie 3</w:t>
      </w:r>
      <w:r w:rsidR="00691A43" w:rsidRPr="00691A43">
        <w:rPr>
          <w:color w:val="000000" w:themeColor="text1"/>
        </w:rPr>
        <w:t>6</w:t>
      </w:r>
      <w:r w:rsidRPr="00691A43">
        <w:rPr>
          <w:color w:val="000000" w:themeColor="text1"/>
        </w:rPr>
        <w:t xml:space="preserve"> m</w:t>
      </w:r>
      <w:r w:rsidRPr="00691A43">
        <w:rPr>
          <w:color w:val="000000" w:themeColor="text1"/>
          <w:vertAlign w:val="superscript"/>
        </w:rPr>
        <w:t>3</w:t>
      </w:r>
      <w:r w:rsidRPr="00691A43">
        <w:rPr>
          <w:color w:val="000000" w:themeColor="text1"/>
        </w:rPr>
        <w:t xml:space="preserve"> wody na </w:t>
      </w:r>
      <w:r w:rsidR="00691A43" w:rsidRPr="00691A43">
        <w:rPr>
          <w:color w:val="000000" w:themeColor="text1"/>
        </w:rPr>
        <w:t>rok</w:t>
      </w:r>
      <w:r w:rsidRPr="00691A43">
        <w:rPr>
          <w:color w:val="000000" w:themeColor="text1"/>
        </w:rPr>
        <w:t xml:space="preserve"> na jednego mieszkańca</w:t>
      </w:r>
      <w:r w:rsidR="006A795C" w:rsidRPr="00691A43">
        <w:rPr>
          <w:color w:val="000000" w:themeColor="text1"/>
        </w:rPr>
        <w:t xml:space="preserve"> (w tym wypadku pomocnicze będą dane z kolumn 12 i 13)</w:t>
      </w:r>
      <w:r w:rsidRPr="00691A43">
        <w:rPr>
          <w:color w:val="000000" w:themeColor="text1"/>
        </w:rPr>
        <w:t>.</w:t>
      </w:r>
      <w:r w:rsidR="00691A43" w:rsidRPr="00691A43">
        <w:rPr>
          <w:color w:val="000000" w:themeColor="text1"/>
        </w:rPr>
        <w:t xml:space="preserve"> Przedsiębiorstwa wodociągowo-kanalizacyjne wykonują obowiązki własne gminy, dlatego powinny dysponować takimi informacjami i przekazać je na żądanie gminy, na terenie której funkcjonują.</w:t>
      </w:r>
    </w:p>
    <w:p w14:paraId="4CE8E2FD" w14:textId="12A547A9" w:rsidR="00D91720" w:rsidRPr="00691A43" w:rsidRDefault="000F764E" w:rsidP="000F764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lastRenderedPageBreak/>
        <w:t xml:space="preserve">Czy obligatoryjne jest podanie danych w kolumnach </w:t>
      </w:r>
      <w:r w:rsidR="006A795C" w:rsidRPr="00691A43">
        <w:rPr>
          <w:b/>
          <w:bCs/>
          <w:color w:val="000000" w:themeColor="text1"/>
        </w:rPr>
        <w:t xml:space="preserve">12, 13, </w:t>
      </w:r>
      <w:r w:rsidRPr="00691A43">
        <w:rPr>
          <w:b/>
          <w:bCs/>
          <w:color w:val="000000" w:themeColor="text1"/>
        </w:rPr>
        <w:t>31 i 32?</w:t>
      </w:r>
    </w:p>
    <w:p w14:paraId="1F008CDB" w14:textId="4F49C2EB" w:rsidR="000F764E" w:rsidRPr="00691A43" w:rsidRDefault="000F764E" w:rsidP="000F764E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color w:val="000000" w:themeColor="text1"/>
        </w:rPr>
        <w:t>- Są to dane dodatkowe, ich wpisanie nie jest obligatoryjne</w:t>
      </w:r>
      <w:r w:rsidR="00536F9F" w:rsidRPr="00691A43">
        <w:rPr>
          <w:color w:val="000000" w:themeColor="text1"/>
        </w:rPr>
        <w:t>, jednakże są to dane publiczne wymagane przy innych sprawozdaniach, dla porządku zalecamy ich uwzględnienie. Każda gmina powinna posiadać takie informacje.</w:t>
      </w:r>
    </w:p>
    <w:p w14:paraId="29A44DDC" w14:textId="69D6E8E2" w:rsidR="00EC6D8E" w:rsidRPr="00691A43" w:rsidRDefault="00EC6D8E" w:rsidP="00EC6D8E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Jakiego rodzaju meldunku dotyczą dane w kol. 10 i 11?</w:t>
      </w:r>
    </w:p>
    <w:p w14:paraId="46A2235A" w14:textId="3B785CA3" w:rsidR="00EC6D8E" w:rsidRPr="00691A43" w:rsidRDefault="00EC6D8E" w:rsidP="00EC6D8E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color w:val="000000" w:themeColor="text1"/>
        </w:rPr>
        <w:t>- Dane t</w:t>
      </w:r>
      <w:r w:rsidR="005036F1">
        <w:rPr>
          <w:color w:val="000000" w:themeColor="text1"/>
        </w:rPr>
        <w:t>e</w:t>
      </w:r>
      <w:r w:rsidRPr="00691A43">
        <w:rPr>
          <w:color w:val="000000" w:themeColor="text1"/>
        </w:rPr>
        <w:t xml:space="preserve"> dotyczą meldunku stałego</w:t>
      </w:r>
      <w:r w:rsidR="00A60652" w:rsidRPr="00691A43">
        <w:rPr>
          <w:color w:val="000000" w:themeColor="text1"/>
        </w:rPr>
        <w:t xml:space="preserve"> oraz tymczasowego</w:t>
      </w:r>
      <w:r w:rsidRPr="00691A43">
        <w:rPr>
          <w:color w:val="000000" w:themeColor="text1"/>
        </w:rPr>
        <w:t>.</w:t>
      </w:r>
    </w:p>
    <w:p w14:paraId="2E8159A0" w14:textId="59FE6BAD" w:rsidR="001E5E76" w:rsidRPr="00691A43" w:rsidRDefault="00F56C7A" w:rsidP="00F56C7A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Kol. 20 – co oznacza „całkowita ilość ścieków powstających w całej gminie”? Chodzi o wszystkie ścieki (razem z wodami przypadkowymi) czy ścieki zafakturowane (sprzedane)?</w:t>
      </w:r>
      <w:r w:rsidR="00E50432" w:rsidRPr="00691A43">
        <w:rPr>
          <w:b/>
          <w:bCs/>
          <w:color w:val="000000" w:themeColor="text1"/>
        </w:rPr>
        <w:t xml:space="preserve"> Czy należy podawać te dane?</w:t>
      </w:r>
    </w:p>
    <w:p w14:paraId="0D607A1C" w14:textId="4676B03E" w:rsidR="00F56C7A" w:rsidRPr="00691A43" w:rsidRDefault="00F56C7A" w:rsidP="00F56C7A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color w:val="000000" w:themeColor="text1"/>
        </w:rPr>
        <w:t>- W tej kolumnie chodzi o ścieki z przydomowych oczyszczalni ścieków, szamb i kanalizacji, razem z wodami przypadkowymi.</w:t>
      </w:r>
      <w:r w:rsidR="00E50432" w:rsidRPr="00691A43">
        <w:rPr>
          <w:color w:val="000000" w:themeColor="text1"/>
        </w:rPr>
        <w:t xml:space="preserve"> Podanie tych danych jest wymagane Dyrektywą </w:t>
      </w:r>
      <w:r w:rsidR="00B17664" w:rsidRPr="00691A43">
        <w:rPr>
          <w:color w:val="000000" w:themeColor="text1"/>
        </w:rPr>
        <w:t xml:space="preserve">Rady </w:t>
      </w:r>
      <w:r w:rsidR="00E50432" w:rsidRPr="00691A43">
        <w:rPr>
          <w:color w:val="000000" w:themeColor="text1"/>
        </w:rPr>
        <w:t>91/271/EWG dotyczącej oczyszczania ścieków komunalnych</w:t>
      </w:r>
      <w:r w:rsidR="00B17664" w:rsidRPr="00691A43">
        <w:rPr>
          <w:color w:val="000000" w:themeColor="text1"/>
        </w:rPr>
        <w:t xml:space="preserve"> i wynika z obowiązku </w:t>
      </w:r>
      <w:r w:rsidR="00945998" w:rsidRPr="00691A43">
        <w:rPr>
          <w:color w:val="000000" w:themeColor="text1"/>
        </w:rPr>
        <w:t>udostępniania informacji o środowisku, które są informacjami znajdującymi się w posiadaniu władz publicznych lub informacjami przeznaczonymi dla władz publicznych (art. 8. Ustawy o udostępnianiu informacji o środowisku i jego ochronie, udziale społeczeństwa w ochronie środowiska oraz o ocenach oddziaływania na środowisko)</w:t>
      </w:r>
      <w:r w:rsidR="00E50432" w:rsidRPr="00691A43">
        <w:rPr>
          <w:color w:val="000000" w:themeColor="text1"/>
        </w:rPr>
        <w:t xml:space="preserve">. Dane te są </w:t>
      </w:r>
      <w:r w:rsidR="00B17664" w:rsidRPr="00691A43">
        <w:rPr>
          <w:color w:val="000000" w:themeColor="text1"/>
        </w:rPr>
        <w:t>również wymagane przez</w:t>
      </w:r>
      <w:r w:rsidR="00E50432" w:rsidRPr="00691A43">
        <w:rPr>
          <w:color w:val="000000" w:themeColor="text1"/>
        </w:rPr>
        <w:t xml:space="preserve"> Główny Urząd Statystyczny. </w:t>
      </w:r>
    </w:p>
    <w:p w14:paraId="1B7DF8C0" w14:textId="7C66B9D4" w:rsidR="007C3A1F" w:rsidRPr="00691A43" w:rsidRDefault="007C3A1F" w:rsidP="007C3A1F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>Kol. 23 – co w przypadku zawarcia aneksu do takiej umowy (np. doprecyzowującego adres właściciela, urządzenie gromadzące ścieki, warunki płatności)? Czy należy też uwzględnić aneksy?</w:t>
      </w:r>
    </w:p>
    <w:p w14:paraId="07FE01BD" w14:textId="2CEDAC4B" w:rsidR="007C3A1F" w:rsidRPr="00691A43" w:rsidRDefault="007C3A1F" w:rsidP="007C3A1F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- </w:t>
      </w:r>
      <w:r w:rsidRPr="00691A43">
        <w:rPr>
          <w:color w:val="000000" w:themeColor="text1"/>
        </w:rPr>
        <w:t>Nie, kolumna dotyczy tylko umów, aneksów nie wliczamy.</w:t>
      </w:r>
    </w:p>
    <w:p w14:paraId="2365792C" w14:textId="394506A2" w:rsidR="008F2B58" w:rsidRPr="00691A43" w:rsidRDefault="008F2B58" w:rsidP="008F2B58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</w:rPr>
      </w:pPr>
      <w:r w:rsidRPr="00691A43">
        <w:rPr>
          <w:b/>
          <w:bCs/>
          <w:color w:val="000000" w:themeColor="text1"/>
        </w:rPr>
        <w:t xml:space="preserve">Co w sytuacji, gdy w trakcie roku sprawozdawczego na nieruchomości nieskanalizowanej wyposażonej w zbiornik bezodpływowy zaczęto gromadzić nieczystości w osadniku w instalacji przydomowej oczyszczalni ścieków – jakie dane podawać w poszczególnych kolumnach na dzień 31.12.2023? </w:t>
      </w:r>
    </w:p>
    <w:p w14:paraId="5F827F4D" w14:textId="107CC7F2" w:rsidR="008F2B58" w:rsidRPr="00691A43" w:rsidRDefault="008F2B58" w:rsidP="008F2B58">
      <w:pPr>
        <w:pStyle w:val="Akapitzlist"/>
        <w:spacing w:after="0" w:line="360" w:lineRule="auto"/>
        <w:rPr>
          <w:color w:val="000000" w:themeColor="text1"/>
        </w:rPr>
      </w:pPr>
      <w:r w:rsidRPr="00691A43">
        <w:rPr>
          <w:color w:val="000000" w:themeColor="text1"/>
        </w:rPr>
        <w:t>- W takim wypadku należy podawać dane na 31.12.2023</w:t>
      </w:r>
      <w:r w:rsidR="00536F9F" w:rsidRPr="00691A43">
        <w:rPr>
          <w:color w:val="000000" w:themeColor="text1"/>
        </w:rPr>
        <w:t>, a więc z uwzględnieniem nowych przydomowych oczyszczalni ścieków i zbiorników bezodpływowych.</w:t>
      </w:r>
    </w:p>
    <w:sectPr w:rsidR="008F2B58" w:rsidRPr="0069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DD1"/>
    <w:multiLevelType w:val="hybridMultilevel"/>
    <w:tmpl w:val="46FE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79B"/>
    <w:multiLevelType w:val="hybridMultilevel"/>
    <w:tmpl w:val="9CE4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4ED"/>
    <w:multiLevelType w:val="hybridMultilevel"/>
    <w:tmpl w:val="685C0F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C7123E"/>
    <w:multiLevelType w:val="hybridMultilevel"/>
    <w:tmpl w:val="3634C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037"/>
    <w:multiLevelType w:val="hybridMultilevel"/>
    <w:tmpl w:val="9F82A9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1E0CA9"/>
    <w:multiLevelType w:val="hybridMultilevel"/>
    <w:tmpl w:val="C292FE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FB4E2D"/>
    <w:multiLevelType w:val="hybridMultilevel"/>
    <w:tmpl w:val="8FCADE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C47E59"/>
    <w:multiLevelType w:val="hybridMultilevel"/>
    <w:tmpl w:val="E6840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7BF6"/>
    <w:multiLevelType w:val="hybridMultilevel"/>
    <w:tmpl w:val="D1262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273D1"/>
    <w:multiLevelType w:val="hybridMultilevel"/>
    <w:tmpl w:val="E5EC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00EFA"/>
    <w:multiLevelType w:val="hybridMultilevel"/>
    <w:tmpl w:val="892E26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35805"/>
    <w:multiLevelType w:val="hybridMultilevel"/>
    <w:tmpl w:val="92566508"/>
    <w:lvl w:ilvl="0" w:tplc="F898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1064F"/>
    <w:multiLevelType w:val="hybridMultilevel"/>
    <w:tmpl w:val="8E862D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561A5D"/>
    <w:multiLevelType w:val="hybridMultilevel"/>
    <w:tmpl w:val="208884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B72CF0"/>
    <w:multiLevelType w:val="hybridMultilevel"/>
    <w:tmpl w:val="40BCE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5054075">
    <w:abstractNumId w:val="11"/>
  </w:num>
  <w:num w:numId="2" w16cid:durableId="1824925404">
    <w:abstractNumId w:val="12"/>
  </w:num>
  <w:num w:numId="3" w16cid:durableId="1512253826">
    <w:abstractNumId w:val="5"/>
  </w:num>
  <w:num w:numId="4" w16cid:durableId="1939562247">
    <w:abstractNumId w:val="7"/>
  </w:num>
  <w:num w:numId="5" w16cid:durableId="399451102">
    <w:abstractNumId w:val="6"/>
  </w:num>
  <w:num w:numId="6" w16cid:durableId="1394812386">
    <w:abstractNumId w:val="0"/>
  </w:num>
  <w:num w:numId="7" w16cid:durableId="1597054973">
    <w:abstractNumId w:val="10"/>
  </w:num>
  <w:num w:numId="8" w16cid:durableId="238296443">
    <w:abstractNumId w:val="3"/>
  </w:num>
  <w:num w:numId="9" w16cid:durableId="375128604">
    <w:abstractNumId w:val="2"/>
  </w:num>
  <w:num w:numId="10" w16cid:durableId="1781947882">
    <w:abstractNumId w:val="1"/>
  </w:num>
  <w:num w:numId="11" w16cid:durableId="973101028">
    <w:abstractNumId w:val="14"/>
  </w:num>
  <w:num w:numId="12" w16cid:durableId="1414157560">
    <w:abstractNumId w:val="9"/>
  </w:num>
  <w:num w:numId="13" w16cid:durableId="1893692894">
    <w:abstractNumId w:val="4"/>
  </w:num>
  <w:num w:numId="14" w16cid:durableId="1064328717">
    <w:abstractNumId w:val="8"/>
  </w:num>
  <w:num w:numId="15" w16cid:durableId="1821311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69"/>
    <w:rsid w:val="00033831"/>
    <w:rsid w:val="00035D1C"/>
    <w:rsid w:val="000740A6"/>
    <w:rsid w:val="000A7B9F"/>
    <w:rsid w:val="000E0F47"/>
    <w:rsid w:val="000F44F5"/>
    <w:rsid w:val="000F764E"/>
    <w:rsid w:val="00160379"/>
    <w:rsid w:val="0016618C"/>
    <w:rsid w:val="001E5E76"/>
    <w:rsid w:val="001F548D"/>
    <w:rsid w:val="00214BDB"/>
    <w:rsid w:val="00220C9C"/>
    <w:rsid w:val="00253310"/>
    <w:rsid w:val="00256515"/>
    <w:rsid w:val="00262685"/>
    <w:rsid w:val="00280CF2"/>
    <w:rsid w:val="00307383"/>
    <w:rsid w:val="003163DF"/>
    <w:rsid w:val="003A250F"/>
    <w:rsid w:val="003A2E4F"/>
    <w:rsid w:val="003B4B84"/>
    <w:rsid w:val="003B707B"/>
    <w:rsid w:val="003D5915"/>
    <w:rsid w:val="003E2F85"/>
    <w:rsid w:val="003E493D"/>
    <w:rsid w:val="0041737F"/>
    <w:rsid w:val="00444A5A"/>
    <w:rsid w:val="004D4AA0"/>
    <w:rsid w:val="005036F1"/>
    <w:rsid w:val="00503F5E"/>
    <w:rsid w:val="00536F9F"/>
    <w:rsid w:val="005E77F3"/>
    <w:rsid w:val="00630961"/>
    <w:rsid w:val="00652CE3"/>
    <w:rsid w:val="00660F24"/>
    <w:rsid w:val="006759F9"/>
    <w:rsid w:val="00691A43"/>
    <w:rsid w:val="00697ABF"/>
    <w:rsid w:val="006A795C"/>
    <w:rsid w:val="006D2B44"/>
    <w:rsid w:val="00790DA7"/>
    <w:rsid w:val="007C3A1F"/>
    <w:rsid w:val="007F6200"/>
    <w:rsid w:val="00800823"/>
    <w:rsid w:val="008255B4"/>
    <w:rsid w:val="00855165"/>
    <w:rsid w:val="00865EDE"/>
    <w:rsid w:val="00870FF2"/>
    <w:rsid w:val="008F2B58"/>
    <w:rsid w:val="008F385D"/>
    <w:rsid w:val="0090513C"/>
    <w:rsid w:val="009140EC"/>
    <w:rsid w:val="00917B2B"/>
    <w:rsid w:val="0092076E"/>
    <w:rsid w:val="009223A9"/>
    <w:rsid w:val="00945998"/>
    <w:rsid w:val="00976115"/>
    <w:rsid w:val="00977686"/>
    <w:rsid w:val="009E50EE"/>
    <w:rsid w:val="00A10BA6"/>
    <w:rsid w:val="00A127D0"/>
    <w:rsid w:val="00A55B58"/>
    <w:rsid w:val="00A60652"/>
    <w:rsid w:val="00A867C6"/>
    <w:rsid w:val="00AF5EBA"/>
    <w:rsid w:val="00B02278"/>
    <w:rsid w:val="00B10509"/>
    <w:rsid w:val="00B17664"/>
    <w:rsid w:val="00B87773"/>
    <w:rsid w:val="00C21FEC"/>
    <w:rsid w:val="00C33862"/>
    <w:rsid w:val="00C37F84"/>
    <w:rsid w:val="00C650AA"/>
    <w:rsid w:val="00CA4969"/>
    <w:rsid w:val="00CE05BD"/>
    <w:rsid w:val="00D33684"/>
    <w:rsid w:val="00D63A40"/>
    <w:rsid w:val="00D91720"/>
    <w:rsid w:val="00DA3AD1"/>
    <w:rsid w:val="00DA6F52"/>
    <w:rsid w:val="00E16239"/>
    <w:rsid w:val="00E21784"/>
    <w:rsid w:val="00E219DE"/>
    <w:rsid w:val="00E50432"/>
    <w:rsid w:val="00E86A00"/>
    <w:rsid w:val="00E97842"/>
    <w:rsid w:val="00EA0D26"/>
    <w:rsid w:val="00EB7AE8"/>
    <w:rsid w:val="00EB7DE6"/>
    <w:rsid w:val="00EC2663"/>
    <w:rsid w:val="00EC33BD"/>
    <w:rsid w:val="00EC6D8E"/>
    <w:rsid w:val="00EF21DB"/>
    <w:rsid w:val="00F2471E"/>
    <w:rsid w:val="00F25D40"/>
    <w:rsid w:val="00F56C7A"/>
    <w:rsid w:val="00FB16EE"/>
    <w:rsid w:val="00FD2661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D3C2"/>
  <w15:docId w15:val="{248C6A19-27D8-4D48-809B-F9076A5A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5B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A4969"/>
    <w:pPr>
      <w:ind w:left="720"/>
      <w:contextualSpacing/>
    </w:pPr>
  </w:style>
  <w:style w:type="paragraph" w:styleId="Poprawka">
    <w:name w:val="Revision"/>
    <w:hidden/>
    <w:uiPriority w:val="99"/>
    <w:semiHidden/>
    <w:rsid w:val="00C21F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FE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55B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8369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Monika Stach-Kalarus (RZGW Kraków)</cp:lastModifiedBy>
  <cp:revision>2</cp:revision>
  <cp:lastPrinted>2023-11-30T11:51:00Z</cp:lastPrinted>
  <dcterms:created xsi:type="dcterms:W3CDTF">2024-03-06T14:43:00Z</dcterms:created>
  <dcterms:modified xsi:type="dcterms:W3CDTF">2024-03-06T14:43:00Z</dcterms:modified>
</cp:coreProperties>
</file>