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BCDF8" w14:textId="13F1C1A2" w:rsidR="00AF4F38" w:rsidRPr="00FB51D8" w:rsidRDefault="00AF4F38" w:rsidP="00AF4F38">
      <w:pPr>
        <w:spacing w:before="120" w:after="120" w:line="240" w:lineRule="auto"/>
        <w:jc w:val="center"/>
        <w:rPr>
          <w:rFonts w:ascii="Arial" w:eastAsia="Calibri" w:hAnsi="Arial" w:cs="Arial"/>
          <w:b/>
          <w:kern w:val="0"/>
          <w:sz w:val="20"/>
          <w:szCs w:val="20"/>
          <w:u w:val="single"/>
          <w14:ligatures w14:val="none"/>
        </w:rPr>
      </w:pPr>
      <w:r w:rsidRPr="00FB51D8">
        <w:rPr>
          <w:rFonts w:ascii="Arial" w:eastAsia="Calibri" w:hAnsi="Arial" w:cs="Arial"/>
          <w:b/>
          <w:kern w:val="0"/>
          <w:sz w:val="20"/>
          <w:szCs w:val="20"/>
          <w:u w:val="single"/>
          <w14:ligatures w14:val="none"/>
        </w:rPr>
        <w:t xml:space="preserve">ZAŁĄCZNIK </w:t>
      </w:r>
    </w:p>
    <w:p w14:paraId="5B396B40" w14:textId="77777777" w:rsidR="00AF4F38" w:rsidRPr="00FB51D8" w:rsidRDefault="00AF4F38" w:rsidP="00AF4F38">
      <w:pPr>
        <w:keepNext/>
        <w:tabs>
          <w:tab w:val="left" w:pos="850"/>
        </w:tabs>
        <w:spacing w:after="0" w:line="240" w:lineRule="auto"/>
        <w:ind w:left="851" w:hanging="851"/>
        <w:jc w:val="center"/>
        <w:outlineLvl w:val="0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B51D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Wzór krajowego planu renowacji budynków</w:t>
      </w:r>
    </w:p>
    <w:p w14:paraId="44D44D04" w14:textId="3C9E1EBF" w:rsidR="00AF4F38" w:rsidRPr="00FB51D8" w:rsidRDefault="00AF4F38" w:rsidP="00AF4F38">
      <w:pPr>
        <w:keepNext/>
        <w:tabs>
          <w:tab w:val="left" w:pos="850"/>
        </w:tabs>
        <w:spacing w:after="60" w:line="240" w:lineRule="auto"/>
        <w:ind w:left="851" w:hanging="851"/>
        <w:jc w:val="center"/>
        <w:outlineLvl w:val="1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tbl>
      <w:tblPr>
        <w:tblStyle w:val="Tabela-Siatka1"/>
        <w:tblW w:w="10349" w:type="dxa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65"/>
        <w:gridCol w:w="4882"/>
        <w:gridCol w:w="3402"/>
      </w:tblGrid>
      <w:tr w:rsidR="00AF4F38" w:rsidRPr="00FB51D8" w14:paraId="2EFC4723" w14:textId="77777777" w:rsidTr="00AF4F38">
        <w:tc>
          <w:tcPr>
            <w:tcW w:w="2065" w:type="dxa"/>
            <w:shd w:val="clear" w:color="auto" w:fill="FFFFFF"/>
          </w:tcPr>
          <w:p w14:paraId="2A8A746B" w14:textId="1B2C1BC7" w:rsidR="00AF4F38" w:rsidRPr="00FB51D8" w:rsidRDefault="00AF4F38" w:rsidP="00AF4F38">
            <w:pPr>
              <w:spacing w:before="60" w:after="60" w:line="18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b/>
                <w:sz w:val="20"/>
                <w:szCs w:val="20"/>
              </w:rPr>
              <w:t>Art. 3 dyrektywy</w:t>
            </w:r>
          </w:p>
        </w:tc>
        <w:tc>
          <w:tcPr>
            <w:tcW w:w="4882" w:type="dxa"/>
            <w:shd w:val="clear" w:color="auto" w:fill="FFFFFF"/>
          </w:tcPr>
          <w:p w14:paraId="1CA0EBBD" w14:textId="77777777" w:rsidR="00AF4F38" w:rsidRPr="00FB51D8" w:rsidRDefault="00AF4F38" w:rsidP="00AF4F38">
            <w:pPr>
              <w:spacing w:before="60" w:after="60" w:line="18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b/>
                <w:sz w:val="20"/>
                <w:szCs w:val="20"/>
              </w:rPr>
              <w:t>Wskaźniki obowiązkowe</w:t>
            </w:r>
          </w:p>
        </w:tc>
        <w:tc>
          <w:tcPr>
            <w:tcW w:w="3402" w:type="dxa"/>
            <w:shd w:val="clear" w:color="auto" w:fill="FFFFFF"/>
          </w:tcPr>
          <w:p w14:paraId="64807458" w14:textId="0632676E" w:rsidR="00AF4F38" w:rsidRPr="00FB51D8" w:rsidRDefault="00AF4F38" w:rsidP="00AF4F38">
            <w:pPr>
              <w:spacing w:before="60" w:after="60" w:line="18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b/>
                <w:sz w:val="20"/>
                <w:szCs w:val="20"/>
              </w:rPr>
              <w:t>Wskaźniki opcjonalne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AF4F38" w:rsidRPr="00FB51D8" w14:paraId="57393335" w14:textId="77777777" w:rsidTr="00AF4F38">
        <w:tc>
          <w:tcPr>
            <w:tcW w:w="2065" w:type="dxa"/>
            <w:vMerge w:val="restart"/>
            <w:shd w:val="clear" w:color="auto" w:fill="FFFFFF"/>
          </w:tcPr>
          <w:p w14:paraId="1F41C429" w14:textId="77777777" w:rsidR="00AF4F38" w:rsidRPr="00FB51D8" w:rsidRDefault="00AF4F38" w:rsidP="00AF4F38">
            <w:pPr>
              <w:widowControl w:val="0"/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a) Przegląd krajowych zasobów budowlanych</w:t>
            </w:r>
          </w:p>
          <w:p w14:paraId="390F2672" w14:textId="77777777" w:rsidR="00AF4F38" w:rsidRPr="00FB51D8" w:rsidRDefault="00AF4F38" w:rsidP="00AF4F38">
            <w:pPr>
              <w:widowControl w:val="0"/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1542BD2E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Liczba budynków i całkowita powierzchnia użytkowa (m²):</w:t>
            </w:r>
          </w:p>
          <w:p w14:paraId="3C60586A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 (łącznie z budynkami publicznymi i lokalami socjalnymi)</w:t>
            </w:r>
          </w:p>
          <w:p w14:paraId="572CB804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klasy charakterystyki energetycznej</w:t>
            </w:r>
          </w:p>
          <w:p w14:paraId="699C65AA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o niemal zerowym zużyciu energii</w:t>
            </w:r>
          </w:p>
          <w:p w14:paraId="2FF52066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o najgorszej charakterystyce energetycznej (podać definicję)</w:t>
            </w:r>
          </w:p>
          <w:p w14:paraId="69E8A346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szacowany odsetek budynków objętych zwolnieniem na podstawie art. 9 ust. 6 lit. b) </w:t>
            </w:r>
          </w:p>
        </w:tc>
        <w:tc>
          <w:tcPr>
            <w:tcW w:w="3402" w:type="dxa"/>
            <w:shd w:val="clear" w:color="auto" w:fill="FFFFFF"/>
          </w:tcPr>
          <w:p w14:paraId="1CCC9371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Liczba budynków i całkowita powierzchnia użytkowa (m²):</w:t>
            </w:r>
          </w:p>
          <w:p w14:paraId="6F4115D0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wieku budynków</w:t>
            </w:r>
          </w:p>
          <w:p w14:paraId="2EEEBC82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wielkości budynków</w:t>
            </w:r>
          </w:p>
          <w:p w14:paraId="17C28917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 podziale na strefy klimatyczne</w:t>
            </w:r>
          </w:p>
          <w:p w14:paraId="1D12043C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rozbiórka (liczba i całkowita powierzchnia użytkowa (m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2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))</w:t>
            </w:r>
          </w:p>
        </w:tc>
      </w:tr>
      <w:tr w:rsidR="00AF4F38" w:rsidRPr="00FB51D8" w14:paraId="24FB080F" w14:textId="77777777" w:rsidTr="00AF4F38">
        <w:tc>
          <w:tcPr>
            <w:tcW w:w="2065" w:type="dxa"/>
            <w:vMerge/>
            <w:shd w:val="clear" w:color="auto" w:fill="FFFFFF"/>
          </w:tcPr>
          <w:p w14:paraId="486E680C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4E9A6E7F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Liczba świadectw charakterystyki energetycznej:</w:t>
            </w:r>
          </w:p>
          <w:p w14:paraId="158DEBAF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 (w tym budynków publicznych)</w:t>
            </w:r>
          </w:p>
          <w:p w14:paraId="0097617C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klasy charakterystyki energetycznej</w:t>
            </w:r>
          </w:p>
        </w:tc>
        <w:tc>
          <w:tcPr>
            <w:tcW w:w="3402" w:type="dxa"/>
            <w:shd w:val="clear" w:color="auto" w:fill="FFFFFF"/>
          </w:tcPr>
          <w:p w14:paraId="4A837B68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Liczba świadectw charakterystyki energetycznej:</w:t>
            </w:r>
          </w:p>
          <w:p w14:paraId="312228D0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okresu budowy</w:t>
            </w:r>
          </w:p>
          <w:p w14:paraId="06848550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3D13C15E" w14:textId="77777777" w:rsidTr="00AF4F38">
        <w:tc>
          <w:tcPr>
            <w:tcW w:w="2065" w:type="dxa"/>
            <w:vMerge/>
            <w:shd w:val="clear" w:color="auto" w:fill="FFFFFF"/>
          </w:tcPr>
          <w:p w14:paraId="4D70F18E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00EFA0B8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Roczne wskaźniki renowacji: liczba i całkowita powierzchnia użytkowa (m²)</w:t>
            </w:r>
          </w:p>
          <w:p w14:paraId="03F554F1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</w:t>
            </w:r>
          </w:p>
          <w:p w14:paraId="75C84776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do poziomu budynku o niemal zerowym zużyciu energii lub budynku 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bezemisyjnego</w:t>
            </w:r>
            <w:proofErr w:type="spellEnd"/>
          </w:p>
          <w:p w14:paraId="540EAA6A" w14:textId="5E6857FE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stopnia gruntowności renowacji (średnia ważona renowacji)</w:t>
            </w:r>
          </w:p>
          <w:p w14:paraId="51AC8577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publiczne</w:t>
            </w:r>
          </w:p>
        </w:tc>
        <w:tc>
          <w:tcPr>
            <w:tcW w:w="3402" w:type="dxa"/>
            <w:shd w:val="clear" w:color="auto" w:fill="FFFFFF"/>
          </w:tcPr>
          <w:p w14:paraId="628901B7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127F1C32" w14:textId="77777777" w:rsidTr="00AF4F38">
        <w:tc>
          <w:tcPr>
            <w:tcW w:w="2065" w:type="dxa"/>
            <w:vMerge/>
            <w:shd w:val="clear" w:color="auto" w:fill="FFFFFF"/>
          </w:tcPr>
          <w:p w14:paraId="39EDFE9A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7A4D3069" w14:textId="7777777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Zużycie energii pierwotnej i końcowej [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ktoe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>]:</w:t>
            </w:r>
          </w:p>
          <w:p w14:paraId="7E471D82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</w:t>
            </w:r>
          </w:p>
          <w:p w14:paraId="0943FDB0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zastosowania końcowego</w:t>
            </w:r>
          </w:p>
          <w:p w14:paraId="02D4E2F5" w14:textId="20F9E717" w:rsidR="00AF4F38" w:rsidRPr="00FB51D8" w:rsidRDefault="00AF4F38" w:rsidP="00AF4F38">
            <w:pPr>
              <w:spacing w:before="60" w:after="60" w:line="18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Oszczędność energii (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ktoe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>):</w:t>
            </w:r>
          </w:p>
          <w:p w14:paraId="3C137964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mieszkalne</w:t>
            </w:r>
          </w:p>
          <w:p w14:paraId="5224C77F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niemieszkalne</w:t>
            </w:r>
          </w:p>
          <w:p w14:paraId="68063FA1" w14:textId="77777777" w:rsidR="00AF4F38" w:rsidRPr="00FB51D8" w:rsidRDefault="00AF4F38" w:rsidP="00AF4F38">
            <w:pPr>
              <w:numPr>
                <w:ilvl w:val="0"/>
                <w:numId w:val="2"/>
              </w:numPr>
              <w:spacing w:before="60" w:after="60" w:line="18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publiczne</w:t>
            </w:r>
          </w:p>
          <w:p w14:paraId="52C4044A" w14:textId="77777777" w:rsidR="00AF4F38" w:rsidRPr="00FB51D8" w:rsidRDefault="00AF4F38" w:rsidP="00AF4F38">
            <w:pPr>
              <w:spacing w:before="60" w:after="60" w:line="180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E56DF0" w14:textId="11A2C94F" w:rsidR="00AF4F38" w:rsidRPr="00FB51D8" w:rsidRDefault="00AF4F38" w:rsidP="00AF4F38">
            <w:pPr>
              <w:spacing w:before="60" w:after="60" w:line="180" w:lineRule="auto"/>
              <w:ind w:left="8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Średnie zużycie energii pierwotnej w kWh/(m² 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. 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rok) dla budynków mieszkalnych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br/>
              <w:t xml:space="preserve">Udział energii odnawialnej w sektorze budowlanym (zainstalowane MWh lub wyprodukowane 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GWh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): </w:t>
            </w:r>
          </w:p>
          <w:p w14:paraId="30B76EF9" w14:textId="77777777" w:rsidR="00AF4F38" w:rsidRPr="00FB51D8" w:rsidRDefault="00AF4F38" w:rsidP="00AF4F38">
            <w:pPr>
              <w:widowControl w:val="0"/>
              <w:numPr>
                <w:ilvl w:val="1"/>
                <w:numId w:val="8"/>
              </w:numPr>
              <w:tabs>
                <w:tab w:val="left" w:pos="650"/>
              </w:tabs>
              <w:spacing w:before="60" w:after="60" w:line="1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do różnych zastosowań</w:t>
            </w:r>
          </w:p>
          <w:p w14:paraId="082917AF" w14:textId="164BBEE2" w:rsidR="00AF4F38" w:rsidRPr="00FB51D8" w:rsidRDefault="00AF4F38" w:rsidP="00AF4F38">
            <w:pPr>
              <w:spacing w:before="60" w:after="60" w:line="180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14:paraId="2B7E4428" w14:textId="77777777" w:rsidR="00AF4F38" w:rsidRPr="00FB51D8" w:rsidRDefault="00AF4F38" w:rsidP="00AF4F38">
            <w:pPr>
              <w:spacing w:before="60" w:after="60" w:line="204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Zmniejszenie kosztów energii (EUR) na gospodarstwo domowe (średnio)</w:t>
            </w:r>
          </w:p>
          <w:p w14:paraId="2609731F" w14:textId="77777777" w:rsidR="00AF4F38" w:rsidRPr="00FB51D8" w:rsidRDefault="00AF4F38" w:rsidP="00AF4F38">
            <w:pPr>
              <w:spacing w:before="60" w:after="60" w:line="204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9235C4" w14:textId="72E6B013" w:rsidR="00AF4F38" w:rsidRPr="00FB51D8" w:rsidRDefault="00AF4F38" w:rsidP="00AF4F38">
            <w:pPr>
              <w:spacing w:before="60" w:after="60" w:line="204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Zużycie energii pierwotnej  budynku w stosunku do najlepszych 15 % (próg istotnego wkładu) i najlepszych 30 % (próg „nie czyń poważnych szkód”) krajowych zasobów budowlanych zgodnie z rozporządzeniem delegowanym (UE) 2021/2139</w:t>
            </w:r>
          </w:p>
          <w:p w14:paraId="2B258150" w14:textId="77777777" w:rsidR="00AF4F38" w:rsidRPr="00FB51D8" w:rsidRDefault="00AF4F38" w:rsidP="00AF4F38">
            <w:pPr>
              <w:spacing w:before="60" w:after="60" w:line="204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DE9D1F" w14:textId="77777777" w:rsidR="00AF4F38" w:rsidRPr="00FB51D8" w:rsidRDefault="00AF4F38" w:rsidP="00AF4F38">
            <w:pPr>
              <w:spacing w:before="60" w:after="60" w:line="204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Udział systemu ogrzewania w sektorze budowlanym według rodzajów kotłów/systemów ogrzewania</w:t>
            </w:r>
          </w:p>
          <w:p w14:paraId="6F3E9DE7" w14:textId="77777777" w:rsidR="00AF4F38" w:rsidRPr="00FB51D8" w:rsidRDefault="00AF4F38" w:rsidP="00AF4F38">
            <w:pPr>
              <w:spacing w:before="60" w:after="60" w:line="204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Udział energii odnawialnej w sektorze budowlanym (zainstalowane MWh lub wyprodukowane 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GWh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>):</w:t>
            </w:r>
          </w:p>
          <w:p w14:paraId="503C997C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204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na miejscu</w:t>
            </w:r>
          </w:p>
          <w:p w14:paraId="3FD8F98C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204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poza terenem obiektu</w:t>
            </w:r>
          </w:p>
          <w:p w14:paraId="01EA3EFD" w14:textId="77777777" w:rsidR="00AF4F38" w:rsidRPr="00FB51D8" w:rsidRDefault="00AF4F38" w:rsidP="00AF4F38">
            <w:pPr>
              <w:spacing w:before="60" w:after="60" w:line="204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1752D084" w14:textId="77777777" w:rsidTr="00AF4F38">
        <w:tc>
          <w:tcPr>
            <w:tcW w:w="2065" w:type="dxa"/>
            <w:vMerge/>
            <w:shd w:val="clear" w:color="auto" w:fill="FFFFFF"/>
          </w:tcPr>
          <w:p w14:paraId="31696B0E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343CCE1B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Roczne operacyjne emisje gazów cieplarnianych (kg ekwiwalentu CO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/(m²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.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 rok):</w:t>
            </w:r>
          </w:p>
          <w:p w14:paraId="1BBBA95E" w14:textId="36AE5DD6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według rodzaju budynku </w:t>
            </w:r>
          </w:p>
          <w:p w14:paraId="095D4089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Roczne zmniejszenie operacyjnych emisji gazów cieplarnianych (kg ekwiwalentu CO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/(m²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.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rok):</w:t>
            </w:r>
          </w:p>
          <w:p w14:paraId="598182E3" w14:textId="5A52A645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według rodzaju budynku </w:t>
            </w:r>
          </w:p>
        </w:tc>
        <w:tc>
          <w:tcPr>
            <w:tcW w:w="3402" w:type="dxa"/>
            <w:shd w:val="clear" w:color="auto" w:fill="FFFFFF"/>
          </w:tcPr>
          <w:p w14:paraId="5887245E" w14:textId="77777777" w:rsidR="00AF4F38" w:rsidRPr="00FB51D8" w:rsidRDefault="00AF4F38" w:rsidP="00AF4F38">
            <w:pPr>
              <w:spacing w:before="60" w:after="60" w:line="204" w:lineRule="auto"/>
              <w:ind w:left="79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GWP w cyklu życia (kg ekwiwalentu CO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/m²) w nowych budynkach:</w:t>
            </w:r>
          </w:p>
          <w:p w14:paraId="538B052F" w14:textId="77777777" w:rsidR="00AF4F38" w:rsidRPr="00FB51D8" w:rsidRDefault="00AF4F38" w:rsidP="00AF4F38">
            <w:pPr>
              <w:numPr>
                <w:ilvl w:val="0"/>
                <w:numId w:val="1"/>
              </w:numPr>
              <w:spacing w:before="60" w:after="60" w:line="204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</w:t>
            </w:r>
            <w:r w:rsidRPr="00FB51D8">
              <w:rPr>
                <w:rFonts w:ascii="Arial" w:eastAsia="Calibri" w:hAnsi="Arial" w:cs="Arial"/>
                <w:sz w:val="20"/>
                <w:szCs w:val="20"/>
                <w:u w:val="single"/>
              </w:rPr>
              <w:t xml:space="preserve"> </w:t>
            </w:r>
          </w:p>
        </w:tc>
      </w:tr>
      <w:tr w:rsidR="00AF4F38" w:rsidRPr="00FB51D8" w14:paraId="65BBD7E6" w14:textId="77777777" w:rsidTr="00AF4F38">
        <w:tc>
          <w:tcPr>
            <w:tcW w:w="2065" w:type="dxa"/>
            <w:vMerge/>
            <w:shd w:val="clear" w:color="auto" w:fill="FFFFFF"/>
          </w:tcPr>
          <w:p w14:paraId="5F1615C4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6D4DFAC9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Bariery i niedoskonałości rynku (opis):</w:t>
            </w:r>
          </w:p>
          <w:p w14:paraId="639AD127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rozdział zachęt</w:t>
            </w:r>
          </w:p>
          <w:p w14:paraId="4556A0CE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potencjał sektora budowlanego i energetycznego</w:t>
            </w:r>
          </w:p>
          <w:p w14:paraId="2763DE4C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53CCD2" w14:textId="77777777" w:rsidR="00AF4F38" w:rsidRPr="00FB51D8" w:rsidRDefault="00AF4F38" w:rsidP="00AF4F38">
            <w:pPr>
              <w:widowControl w:val="0"/>
              <w:tabs>
                <w:tab w:val="left" w:pos="650"/>
              </w:tabs>
              <w:spacing w:before="60" w:after="60" w:line="19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2E56B81" w14:textId="77777777" w:rsidR="00AF4F38" w:rsidRPr="00FB51D8" w:rsidRDefault="00AF4F38" w:rsidP="00AF4F38">
            <w:pPr>
              <w:widowControl w:val="0"/>
              <w:tabs>
                <w:tab w:val="left" w:pos="650"/>
              </w:tabs>
              <w:spacing w:before="60" w:after="60" w:line="19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65A1E30" w14:textId="2FC18281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Ocena potencjału w sektorach budownictwa, efektywności energetycznej i energii odnawialnej</w:t>
            </w:r>
          </w:p>
        </w:tc>
        <w:tc>
          <w:tcPr>
            <w:tcW w:w="3402" w:type="dxa"/>
            <w:shd w:val="clear" w:color="auto" w:fill="FFFFFF"/>
          </w:tcPr>
          <w:p w14:paraId="0A44E79D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Bariery i niedoskonałości rynku (opis):</w:t>
            </w:r>
          </w:p>
          <w:p w14:paraId="10763327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administracyjne</w:t>
            </w:r>
          </w:p>
          <w:p w14:paraId="21950CBA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finansowe</w:t>
            </w:r>
          </w:p>
          <w:p w14:paraId="6E15FFD4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techniczne</w:t>
            </w:r>
          </w:p>
          <w:p w14:paraId="5D045410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brak wiedzy</w:t>
            </w:r>
          </w:p>
          <w:p w14:paraId="0A19C0F5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inne</w:t>
            </w:r>
          </w:p>
          <w:p w14:paraId="190C3400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Liczba:</w:t>
            </w:r>
          </w:p>
          <w:p w14:paraId="043391EF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przedsiębiorstw usług energetycznych</w:t>
            </w:r>
          </w:p>
          <w:p w14:paraId="49723E90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przedsiębiorstw budowlanych</w:t>
            </w:r>
          </w:p>
          <w:p w14:paraId="3ED6F1C1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architektów i inżynierów</w:t>
            </w:r>
          </w:p>
          <w:p w14:paraId="570551FA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wykwalifikowanych pracowników</w:t>
            </w:r>
          </w:p>
          <w:p w14:paraId="0226CDFF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punktów kompleksowej obsługi</w:t>
            </w:r>
          </w:p>
          <w:p w14:paraId="25B971E0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MŚP w sektorze budownictwa/renowacji</w:t>
            </w:r>
          </w:p>
          <w:p w14:paraId="565267BB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społeczności energetyczne działające w zakresie energii odnawialnej i obywatelskie inicjatywy na rzecz renowacji</w:t>
            </w:r>
          </w:p>
          <w:p w14:paraId="32625B1C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4E036A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Prognozy dotyczące siły roboczej w sektorze budowlanym:</w:t>
            </w:r>
          </w:p>
          <w:p w14:paraId="05E59C81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architekci/inżynierowie/wykwalifikowani pracownicy odchodzący na emeryturę</w:t>
            </w:r>
          </w:p>
          <w:p w14:paraId="54B1ADAC" w14:textId="77777777" w:rsidR="00AF4F38" w:rsidRPr="00FB51D8" w:rsidRDefault="00AF4F38" w:rsidP="00AF4F38">
            <w:pPr>
              <w:numPr>
                <w:ilvl w:val="0"/>
                <w:numId w:val="4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architekci/inżynierowie/wykwalifikowani pracownicy wchodzący na rynek pracy</w:t>
            </w:r>
          </w:p>
          <w:p w14:paraId="3F6081C8" w14:textId="77777777" w:rsidR="00AF4F38" w:rsidRPr="00FB51D8" w:rsidRDefault="00AF4F38" w:rsidP="00AF4F38">
            <w:pPr>
              <w:numPr>
                <w:ilvl w:val="0"/>
                <w:numId w:val="4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osoby młode w sektorze</w:t>
            </w:r>
          </w:p>
          <w:p w14:paraId="745FAC32" w14:textId="77777777" w:rsidR="00AF4F38" w:rsidRPr="00FB51D8" w:rsidRDefault="00AF4F38" w:rsidP="00AF4F38">
            <w:pPr>
              <w:numPr>
                <w:ilvl w:val="0"/>
                <w:numId w:val="4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kobiety w sektorze</w:t>
            </w:r>
          </w:p>
          <w:p w14:paraId="155DF280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02CE78C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Przegląd i prognoza zmian cen materiałów budowlanych oraz rozwoju sytuacji na rynku krajowym</w:t>
            </w:r>
          </w:p>
        </w:tc>
      </w:tr>
      <w:tr w:rsidR="00AF4F38" w:rsidRPr="00FB51D8" w14:paraId="5F12A274" w14:textId="77777777" w:rsidTr="00AF4F38">
        <w:tc>
          <w:tcPr>
            <w:tcW w:w="2065" w:type="dxa"/>
            <w:vMerge/>
            <w:shd w:val="clear" w:color="auto" w:fill="FFFFFF"/>
          </w:tcPr>
          <w:p w14:paraId="72567DED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7B29D219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Ubóstwo energetyczne (definicja):</w:t>
            </w:r>
          </w:p>
          <w:p w14:paraId="0E6E0398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odsetek osób dotkniętych ubóstwem energetycznym (w %)</w:t>
            </w:r>
          </w:p>
          <w:p w14:paraId="2D8C9119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część dochodu do dyspozycji gospodarstwa domowego wydawana na energię</w:t>
            </w:r>
          </w:p>
          <w:p w14:paraId="04A72C60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liczba ludności żyjącej w nieodpowiednich warunkach mieszkaniowych (np. przeciekający dach) lub w nieodpowiednim komforcie cieplnym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</w:tc>
        <w:tc>
          <w:tcPr>
            <w:tcW w:w="3402" w:type="dxa"/>
            <w:shd w:val="clear" w:color="auto" w:fill="FFFFFF"/>
          </w:tcPr>
          <w:p w14:paraId="1C5E0C82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17C1314B" w14:textId="77777777" w:rsidTr="00AF4F38">
        <w:tc>
          <w:tcPr>
            <w:tcW w:w="2065" w:type="dxa"/>
            <w:vMerge/>
            <w:shd w:val="clear" w:color="auto" w:fill="FFFFFF"/>
          </w:tcPr>
          <w:p w14:paraId="68EF2410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3947778B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Współczynniki energii pierwotnej:</w:t>
            </w:r>
          </w:p>
          <w:p w14:paraId="05C1E166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nośnika energii</w:t>
            </w:r>
          </w:p>
          <w:p w14:paraId="79F0A79F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współczynnik nieodnawialnej energii pierwotnej</w:t>
            </w:r>
          </w:p>
          <w:p w14:paraId="205B66FD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współczynnik odnawialnej energii pierwotnej</w:t>
            </w:r>
          </w:p>
          <w:p w14:paraId="6D8AC4DC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całkowity współczynnik energii pierwotnej</w:t>
            </w:r>
          </w:p>
          <w:p w14:paraId="7FAF1AAA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14:paraId="7B9ED794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793F20C3" w14:textId="77777777" w:rsidTr="00AF4F38">
        <w:tc>
          <w:tcPr>
            <w:tcW w:w="2065" w:type="dxa"/>
            <w:vMerge/>
            <w:shd w:val="clear" w:color="auto" w:fill="FFFFFF"/>
          </w:tcPr>
          <w:p w14:paraId="698CCCB5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59961A03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Definicja budynku o niemal zerowym zużyciu energii w przypadku nowych i istniejących budynków</w:t>
            </w:r>
          </w:p>
        </w:tc>
        <w:tc>
          <w:tcPr>
            <w:tcW w:w="3402" w:type="dxa"/>
            <w:shd w:val="clear" w:color="auto" w:fill="FFFFFF"/>
          </w:tcPr>
          <w:p w14:paraId="6E70D242" w14:textId="2DB855BF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Przegląd ram prawnych i administracyjnych</w:t>
            </w:r>
          </w:p>
        </w:tc>
      </w:tr>
      <w:tr w:rsidR="00AF4F38" w:rsidRPr="00FB51D8" w14:paraId="010D573F" w14:textId="77777777" w:rsidTr="00AF4F38">
        <w:tc>
          <w:tcPr>
            <w:tcW w:w="2065" w:type="dxa"/>
            <w:vMerge/>
            <w:shd w:val="clear" w:color="auto" w:fill="FFFFFF"/>
          </w:tcPr>
          <w:p w14:paraId="05D8E389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6C9DBAA3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Optymalne pod względem kosztów minimalne wymagania dotyczące charakterystyki energetycznej w przypadku nowych i istniejących budynków</w:t>
            </w:r>
          </w:p>
        </w:tc>
        <w:tc>
          <w:tcPr>
            <w:tcW w:w="3402" w:type="dxa"/>
            <w:shd w:val="clear" w:color="auto" w:fill="FFFFFF"/>
          </w:tcPr>
          <w:p w14:paraId="7A0DDE12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336ED004" w14:textId="77777777" w:rsidTr="00AF4F38">
        <w:tc>
          <w:tcPr>
            <w:tcW w:w="2065" w:type="dxa"/>
            <w:vMerge w:val="restart"/>
            <w:shd w:val="clear" w:color="auto" w:fill="FFFFFF"/>
          </w:tcPr>
          <w:p w14:paraId="77D8C55B" w14:textId="77777777" w:rsidR="00AF4F38" w:rsidRPr="00FB51D8" w:rsidRDefault="00AF4F38" w:rsidP="00AF4F38">
            <w:pPr>
              <w:widowControl w:val="0"/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b) Plan działania na lata 2030, 2040, 2050</w:t>
            </w:r>
          </w:p>
          <w:p w14:paraId="52181A1C" w14:textId="77777777" w:rsidR="00AF4F38" w:rsidRPr="00FB51D8" w:rsidRDefault="00AF4F38" w:rsidP="00AF4F38">
            <w:pPr>
              <w:widowControl w:val="0"/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01AE98B1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Cele dotyczące rocznych wskaźników renowacji energetycznej: liczba i całkowita powierzchnia użytkowa (m²):</w:t>
            </w:r>
          </w:p>
          <w:p w14:paraId="22245CB9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0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</w:t>
            </w:r>
          </w:p>
          <w:p w14:paraId="6805F54E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0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najgorsza charakterystyka energetyczna</w:t>
            </w:r>
          </w:p>
          <w:p w14:paraId="47A0A8D9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br/>
              <w:t>Informacje na podstawie art. 9 ust. 1:</w:t>
            </w:r>
          </w:p>
          <w:p w14:paraId="797A5BCE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kryteria udzielania zwolnień w przypadku poszczególnych budynków </w:t>
            </w:r>
          </w:p>
          <w:p w14:paraId="6620D8E8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szacowany odsetek budynków objętych zwolnieniem</w:t>
            </w:r>
          </w:p>
          <w:p w14:paraId="152E2BDA" w14:textId="77777777" w:rsidR="00AF4F38" w:rsidRPr="00FB51D8" w:rsidRDefault="00AF4F38" w:rsidP="00AF4F38">
            <w:pPr>
              <w:numPr>
                <w:ilvl w:val="0"/>
                <w:numId w:val="3"/>
              </w:numPr>
              <w:spacing w:before="60" w:after="60" w:line="192" w:lineRule="auto"/>
              <w:ind w:left="595" w:hanging="235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szacowana równoważna poprawa charakterystyki energetycznej ze względu na budynki objęte zwolnieniem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</w:tc>
        <w:tc>
          <w:tcPr>
            <w:tcW w:w="3402" w:type="dxa"/>
            <w:shd w:val="clear" w:color="auto" w:fill="FFFFFF"/>
          </w:tcPr>
          <w:p w14:paraId="27550F6E" w14:textId="77777777" w:rsidR="00AF4F38" w:rsidRPr="00FB51D8" w:rsidRDefault="00AF4F38" w:rsidP="00AF4F38">
            <w:pPr>
              <w:tabs>
                <w:tab w:val="left" w:pos="650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Cele dotyczące przewidywanego udziału (w %) budynków poddanych renowacji:</w:t>
            </w:r>
          </w:p>
          <w:p w14:paraId="053DC283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0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</w:t>
            </w:r>
          </w:p>
          <w:p w14:paraId="2D5BBD02" w14:textId="77777777" w:rsidR="00AF4F38" w:rsidRPr="00FB51D8" w:rsidRDefault="00AF4F38" w:rsidP="00AF4F38">
            <w:pPr>
              <w:numPr>
                <w:ilvl w:val="0"/>
                <w:numId w:val="3"/>
              </w:numPr>
              <w:tabs>
                <w:tab w:val="left" w:pos="650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stopnia gruntowności renowacji</w:t>
            </w:r>
          </w:p>
        </w:tc>
      </w:tr>
      <w:tr w:rsidR="00AF4F38" w:rsidRPr="00FB51D8" w14:paraId="375E4459" w14:textId="77777777" w:rsidTr="00AF4F38">
        <w:tc>
          <w:tcPr>
            <w:tcW w:w="2065" w:type="dxa"/>
            <w:vMerge/>
            <w:shd w:val="clear" w:color="auto" w:fill="FFFFFF"/>
          </w:tcPr>
          <w:p w14:paraId="3D2EFE92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4EE90E11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Cele dotyczące przewidywanego rocznego zużycia energii pierwotnej i końcowej (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ktoe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>):</w:t>
            </w:r>
          </w:p>
          <w:p w14:paraId="5DCD72A6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</w:t>
            </w:r>
          </w:p>
          <w:p w14:paraId="2DB4274B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według zastosowania końcowego</w:t>
            </w:r>
          </w:p>
          <w:p w14:paraId="73542BAE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  <w:p w14:paraId="7F1C9E54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Przewidywane oszczędności energii:</w:t>
            </w:r>
          </w:p>
          <w:p w14:paraId="07F300EB" w14:textId="77777777" w:rsidR="00AF4F38" w:rsidRPr="00FB51D8" w:rsidRDefault="00AF4F38" w:rsidP="00AF4F38">
            <w:pPr>
              <w:numPr>
                <w:ilvl w:val="0"/>
                <w:numId w:val="5"/>
              </w:numPr>
              <w:spacing w:before="60" w:after="60" w:line="192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</w:t>
            </w:r>
          </w:p>
          <w:p w14:paraId="1076E95A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Cele dotyczące zwiększenia udziału energii ze źródeł odnawialnych zgodnie z art. 15a dyrektywy (UE) 2023/2413</w:t>
            </w:r>
          </w:p>
          <w:p w14:paraId="3CE2DB17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Cele ilościowe dotyczące wykorzystania energii słonecznej w budynkach</w:t>
            </w:r>
          </w:p>
        </w:tc>
        <w:tc>
          <w:tcPr>
            <w:tcW w:w="3402" w:type="dxa"/>
            <w:shd w:val="clear" w:color="auto" w:fill="FFFFFF"/>
          </w:tcPr>
          <w:p w14:paraId="65FBE070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Udział energii ze źródeł odnawialnych w sektorze 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budowlanym (zainstalowane MWh lub wyprodukowane 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GWh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0ADE15C9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  <w:p w14:paraId="04F6857B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  <w:p w14:paraId="006B81C6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6D3A3249" w14:textId="77777777" w:rsidTr="00AF4F38">
        <w:tc>
          <w:tcPr>
            <w:tcW w:w="2065" w:type="dxa"/>
            <w:vMerge/>
            <w:shd w:val="clear" w:color="auto" w:fill="FFFFFF"/>
          </w:tcPr>
          <w:p w14:paraId="3670E5BF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242AA668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Docelowe poziomy przewidywanych operacyjnych emisji gazów cieplarnianych (kg ekwiwalentu CO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/(m²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.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rok)</w:t>
            </w:r>
          </w:p>
          <w:p w14:paraId="133EAB57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według rodzaju budynku</w:t>
            </w:r>
          </w:p>
          <w:p w14:paraId="663FEDFD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99E464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Docelowe poziomy przewidywanego zmniejszenia operacyjnych emisji gazów cieplarnianych (w %)</w:t>
            </w:r>
          </w:p>
          <w:p w14:paraId="53DBB63B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651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według rodzaju budynku </w:t>
            </w:r>
          </w:p>
        </w:tc>
        <w:tc>
          <w:tcPr>
            <w:tcW w:w="3402" w:type="dxa"/>
            <w:shd w:val="clear" w:color="auto" w:fill="FFFFFF"/>
          </w:tcPr>
          <w:p w14:paraId="2EEAD079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Podział na emisje objęte rozdziałem III [instalacje stacjonarne], rozdziałem 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IVa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 [nowy system handlu uprawnieniami do emisji w odniesieniu do budynków i transportu drogowego] dyrektywy 2003/87/WE oraz inne zasoby</w:t>
            </w:r>
          </w:p>
          <w:p w14:paraId="014C8009" w14:textId="77777777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  <w:p w14:paraId="6ED89715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Docelowe poziomy przewidywanych emisji gazów cieplarnianych w całym cyklu życia (kg ekwiwalentu CO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/(m².rok) w nowych budynkach:</w:t>
            </w:r>
          </w:p>
          <w:p w14:paraId="0628FB37" w14:textId="77777777" w:rsidR="00AF4F38" w:rsidRPr="00FB51D8" w:rsidRDefault="00AF4F38" w:rsidP="00AF4F38">
            <w:pPr>
              <w:numPr>
                <w:ilvl w:val="0"/>
                <w:numId w:val="5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według rodzaju budynku 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</w:tc>
      </w:tr>
      <w:tr w:rsidR="00AF4F38" w:rsidRPr="00FB51D8" w14:paraId="0D6CCCCD" w14:textId="77777777" w:rsidTr="00AF4F38">
        <w:tc>
          <w:tcPr>
            <w:tcW w:w="2065" w:type="dxa"/>
            <w:vMerge/>
            <w:shd w:val="clear" w:color="auto" w:fill="FFFFFF"/>
          </w:tcPr>
          <w:p w14:paraId="6CA81B65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082FDBB8" w14:textId="77777777" w:rsidR="00AF4F38" w:rsidRPr="00FB51D8" w:rsidRDefault="00AF4F38" w:rsidP="00AF4F38">
            <w:pPr>
              <w:tabs>
                <w:tab w:val="left" w:pos="650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Oczekiwane szersze korzyści:</w:t>
            </w:r>
          </w:p>
          <w:p w14:paraId="2F0CD638" w14:textId="13BE53C9" w:rsidR="00AF4F38" w:rsidRPr="00FB51D8" w:rsidRDefault="00AF4F38" w:rsidP="00AF4F38">
            <w:pPr>
              <w:spacing w:before="60" w:after="60" w:line="192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82FAE9" w14:textId="77777777" w:rsidR="00AF4F38" w:rsidRPr="00FB51D8" w:rsidRDefault="00AF4F38" w:rsidP="00AF4F38">
            <w:pPr>
              <w:numPr>
                <w:ilvl w:val="0"/>
                <w:numId w:val="5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zmniejszenie odsetka osób dotkniętych ubóstwem energetycznym (w %)</w:t>
            </w:r>
          </w:p>
        </w:tc>
        <w:tc>
          <w:tcPr>
            <w:tcW w:w="3402" w:type="dxa"/>
            <w:shd w:val="clear" w:color="auto" w:fill="FFFFFF"/>
          </w:tcPr>
          <w:p w14:paraId="2DE08AF2" w14:textId="77777777" w:rsidR="00AF4F38" w:rsidRPr="00FB51D8" w:rsidRDefault="00AF4F38" w:rsidP="00AF4F38">
            <w:pPr>
              <w:spacing w:before="60" w:after="60" w:line="192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3F38A3" w14:textId="77777777" w:rsidR="00AF4F38" w:rsidRPr="00FB51D8" w:rsidRDefault="00AF4F38" w:rsidP="00AF4F38">
            <w:pPr>
              <w:numPr>
                <w:ilvl w:val="0"/>
                <w:numId w:val="5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Tworzenie nowych miejsc pracy</w:t>
            </w:r>
          </w:p>
          <w:p w14:paraId="066C8D13" w14:textId="77777777" w:rsidR="00AF4F38" w:rsidRPr="00FB51D8" w:rsidRDefault="00AF4F38" w:rsidP="00AF4F38">
            <w:pPr>
              <w:numPr>
                <w:ilvl w:val="0"/>
                <w:numId w:val="5"/>
              </w:numPr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Wzrost PKB (procentowo i w mld EUR) 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</w:tc>
      </w:tr>
      <w:tr w:rsidR="00AF4F38" w:rsidRPr="00FB51D8" w14:paraId="764653A6" w14:textId="77777777" w:rsidTr="00AF4F38">
        <w:tc>
          <w:tcPr>
            <w:tcW w:w="2065" w:type="dxa"/>
            <w:vMerge w:val="restart"/>
            <w:shd w:val="clear" w:color="auto" w:fill="FFFFFF"/>
          </w:tcPr>
          <w:p w14:paraId="747EAB69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3A82D7E7" w14:textId="6F40F450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Wkład państwa członkowskiego w osiąganie unijnych celów w zakresie efektywności energetycznej zgodnie z art. 4 dyrektywy (UE) 2023/1791, który można przypisać renowacji zasobów budowlanych tego państwa (procentowo i wartość 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ktoe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FFFFFF"/>
          </w:tcPr>
          <w:p w14:paraId="48A17D07" w14:textId="4684A3D1" w:rsidR="00AF4F38" w:rsidRPr="00FB51D8" w:rsidRDefault="00AF4F38" w:rsidP="00AF4F38">
            <w:pPr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7ADF18E5" w14:textId="77777777" w:rsidTr="00AF4F38">
        <w:tc>
          <w:tcPr>
            <w:tcW w:w="2065" w:type="dxa"/>
            <w:vMerge/>
            <w:shd w:val="clear" w:color="auto" w:fill="FFFFFF"/>
          </w:tcPr>
          <w:p w14:paraId="03040CE8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FFFFFF"/>
          </w:tcPr>
          <w:p w14:paraId="4D6FCEA9" w14:textId="29E99ABF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Wkład państwa członkowskiego w osiąganie unijnych celów w zakresie energii odnawialnej zgodnie z dyrektywą (UE) 2018/2001, który można przypisać renowacji zasobów budowlanych tego państwa (procentowo, zainstalowane MWh lub wyprodukowane </w:t>
            </w:r>
            <w:proofErr w:type="spellStart"/>
            <w:r w:rsidRPr="00FB51D8">
              <w:rPr>
                <w:rFonts w:ascii="Arial" w:eastAsia="Calibri" w:hAnsi="Arial" w:cs="Arial"/>
                <w:sz w:val="20"/>
                <w:szCs w:val="20"/>
              </w:rPr>
              <w:t>GWh</w:t>
            </w:r>
            <w:proofErr w:type="spellEnd"/>
            <w:r w:rsidRPr="00FB51D8">
              <w:rPr>
                <w:rFonts w:ascii="Arial" w:eastAsia="Calibri" w:hAnsi="Arial" w:cs="Arial"/>
                <w:sz w:val="20"/>
                <w:szCs w:val="20"/>
              </w:rPr>
              <w:t>):</w:t>
            </w:r>
          </w:p>
          <w:p w14:paraId="555813F2" w14:textId="01E26AA1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14:paraId="2F0200A2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6FB0E80D" w14:textId="77777777" w:rsidTr="00AF4F38">
        <w:tc>
          <w:tcPr>
            <w:tcW w:w="2065" w:type="dxa"/>
            <w:shd w:val="clear" w:color="auto" w:fill="FFFFFF"/>
          </w:tcPr>
          <w:p w14:paraId="404AA714" w14:textId="77777777" w:rsidR="00AF4F38" w:rsidRPr="00FB51D8" w:rsidRDefault="00AF4F38" w:rsidP="00AF4F38">
            <w:pPr>
              <w:widowControl w:val="0"/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AF88814" w14:textId="77777777" w:rsidR="00AF4F38" w:rsidRPr="00FB51D8" w:rsidRDefault="00AF4F38" w:rsidP="00AF4F38">
            <w:pPr>
              <w:widowControl w:val="0"/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c) Przegląd wdrożonych i planowanych strategii i środków</w:t>
            </w:r>
          </w:p>
        </w:tc>
        <w:tc>
          <w:tcPr>
            <w:tcW w:w="4882" w:type="dxa"/>
            <w:shd w:val="clear" w:color="auto" w:fill="FFFFFF"/>
          </w:tcPr>
          <w:p w14:paraId="7B892A9F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Strategie i środki dotyczące następujących elementów:</w:t>
            </w:r>
          </w:p>
          <w:p w14:paraId="58352147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a) określenie opłacalnych podejść do renowacji w przypadku różnych rodzajów budynków i stref klimatycznych, z uwzględnieniem ewentualnych właściwych „punktów aktywacji” w cyklu życia budynku;</w:t>
            </w:r>
          </w:p>
          <w:p w14:paraId="094A8307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b) krajowe minimalne normy charakterystyki energetycznej na podstawie art. 9 oraz inne strategie i działania ukierunkowane na te segmenty krajowych zasobów budowlanych, które mają najgorszą charakterystykę energetyczną, w tym zabezpieczenia, o których mowa w art. 17 ust. 19;</w:t>
            </w:r>
          </w:p>
          <w:p w14:paraId="0A915C0B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c) wspieranie gruntownych renowacji budynków, w tym stopniowych gruntownych renowacji;</w:t>
            </w:r>
          </w:p>
          <w:p w14:paraId="0584C3D4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d) wzmocnienie pozycji i ochrona odbiorców będących w trudnej sytuacji oraz zmniejszenie ubóstwa energetycznego, w tym strategie i środki na podstawie art. 24 dyrektywy (UE) 2023/1791, oraz przystępność cenowa mieszkań;</w:t>
            </w:r>
          </w:p>
          <w:p w14:paraId="51594779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e) utworzenie na podstawie art. 18 punktów kompleksowej obsługi lub podobnych mechanizmów świadczenia doradztwa i pomocy technicznej, administracyjnej i finansowej;</w:t>
            </w:r>
          </w:p>
          <w:p w14:paraId="6917D448" w14:textId="29D7404B" w:rsidR="00AF4F38" w:rsidRPr="00FB51D8" w:rsidRDefault="00AF4F38" w:rsidP="00AF4F38">
            <w:pPr>
              <w:widowControl w:val="0"/>
              <w:tabs>
                <w:tab w:val="left" w:pos="1"/>
              </w:tabs>
              <w:spacing w:before="60" w:after="60" w:line="192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f) dekarbonizacja ogrzewania i chłodzenia, w tym poprzez systemy ciepłownicze i chłodnicze, oraz stopniowe wycofywanie paliw kopalnych z ogrzewania i chłodzenia w celu całkowitego 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wycofania kotłów na paliwa kopalne najpóźniej do 2040 r.;</w:t>
            </w:r>
          </w:p>
          <w:p w14:paraId="5237BA80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g) zapobieganie powstawaniu odpadów z budowy i rozbiórki oraz ich wysokiej jakości przetwarzanie zgodnie z dyrektywą 2008/98/WE, w szczególności z uwzględnieniem hierarchii postępowania z odpadami oraz celów gospodarki o obiegu zamkniętym;</w:t>
            </w:r>
          </w:p>
          <w:p w14:paraId="3EFAB35E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h) promowanie odnawialnych źródeł energii w budynkach zgodnie z orientacyjnym celem dotyczącym udziału energii ze źródeł odnawialnych w sektorze budowlanym, ustanowionym w art. 15a ust. 1 dyrektywy (UE) 2018/2001;</w:t>
            </w:r>
          </w:p>
          <w:p w14:paraId="32BFE215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i) montowanie na budynkach instalacji wytwarzających energię słoneczną;</w:t>
            </w:r>
          </w:p>
          <w:p w14:paraId="70EBDB05" w14:textId="05FDEC66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j) zmniejszenie emisji gazów cieplarnianych w całym cyklu życia budynków w związku z budową, renowacją, eksploatacją i wycofaniem z eksploatacji budynków oraz powszechniejsze usuwanie dwutlenku węgla;</w:t>
            </w:r>
          </w:p>
          <w:p w14:paraId="233E4DF9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k) promowanie podejść opartych na lokalnej sieci lub sąsiedztwie i zintegrowanych lokalnych programów renowacji, które mogą dotyczyć kwestii, takich jak energia, mobilność, zielona infrastruktura, gospodarka odpadami i gospodarka wodna oraz inne aspekty planowania przestrzeni miejskiej i uwzględniać lokalne i regionalne zasoby, obieg zamknięty i wystarczalność;</w:t>
            </w:r>
          </w:p>
          <w:p w14:paraId="28420660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l) poprawa stanu budynków będących własnością organów publicznych, w tym strategie i środki na podstawie art. 5, 6 i 7 dyrektywy (UE) 2023/1791;</w:t>
            </w:r>
          </w:p>
          <w:p w14:paraId="07FB5E34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m) promowanie wprowadzania w budynkach inteligentnych technologii i infrastruktury na potrzeby zrównoważonej mobilności;</w:t>
            </w:r>
          </w:p>
          <w:p w14:paraId="5159B5C0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n) usuwanie barier rynkowych i niedoskonałości rynku;</w:t>
            </w:r>
          </w:p>
          <w:p w14:paraId="799E5DD0" w14:textId="5B0ECDEC" w:rsidR="00AF4F38" w:rsidRPr="00FB51D8" w:rsidRDefault="00AF4F38" w:rsidP="00AF4F38">
            <w:pPr>
              <w:widowControl w:val="0"/>
              <w:tabs>
                <w:tab w:val="left" w:pos="1"/>
              </w:tabs>
              <w:spacing w:before="60" w:after="60" w:line="192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o) rozwiązywanie problemu braku kwalifikacji i wspieranie kształcenia, ukierunkowanego szkolenia, podnoszenia i zmiany kwalifikacji w sektorach budownictwa, efektywności energetycznej i energii ze źródeł odnawialnych</w:t>
            </w:r>
            <w:r w:rsidRPr="00FB51D8">
              <w:rPr>
                <w:rFonts w:ascii="Arial" w:eastAsia="Calibri" w:hAnsi="Arial" w:cs="Arial"/>
                <w:sz w:val="20"/>
                <w:szCs w:val="20"/>
                <w:u w:val="single"/>
              </w:rPr>
              <w:t xml:space="preserve"> 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 xml:space="preserve"> (publicznych i prywatnych) z myślą o zapewnieniu wystarczającej liczby pracowników o odpowiednim poziomie umiejętności odpowiadającej potrzebom sektora budowlanego, ze szczególnym naciskiem na grupy niedostatecznie reprezentowane;</w:t>
            </w:r>
          </w:p>
          <w:p w14:paraId="4B81F750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p) kampanie uświadamiające i inne narzędzia doradcze; oraz</w:t>
            </w:r>
          </w:p>
          <w:p w14:paraId="53F9908D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q) promowanie rozwiązań modułowych i zindustrializowanych w zakresie budownictwa i renowacji budynków.</w:t>
            </w:r>
          </w:p>
          <w:p w14:paraId="282B5EEB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 odniesieniu do wszystkich strategii i środków:</w:t>
            </w:r>
          </w:p>
          <w:p w14:paraId="22E53437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nazwa strategii lub środka</w:t>
            </w:r>
          </w:p>
          <w:p w14:paraId="4E10E976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krótki opis (dokładny zakres, cel i zasady działania)</w:t>
            </w:r>
          </w:p>
          <w:p w14:paraId="79D938A4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cel ilościowy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  <w:p w14:paraId="1D5EF78C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rodzaj strategii lub środka (np. ustawodawczy; o charakterze gospodarczym; podatkowy; szkolenie, podnoszenie świadomości)</w:t>
            </w:r>
          </w:p>
          <w:p w14:paraId="5F4B7506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planowany budżet i źródła finansowania</w:t>
            </w:r>
          </w:p>
          <w:p w14:paraId="6CD545BD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podmioty odpowiedzialne za realizację strategii</w:t>
            </w:r>
          </w:p>
          <w:p w14:paraId="4CE14657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oczekiwany wpływ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  <w:p w14:paraId="795459FC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stan wdrożenia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  <w:p w14:paraId="340D0558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dzień wejścia w życie</w:t>
            </w:r>
          </w:p>
          <w:p w14:paraId="7292D0EA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okres realizacji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  <w:p w14:paraId="056599F2" w14:textId="77777777" w:rsidR="00AF4F38" w:rsidRPr="00FB51D8" w:rsidRDefault="00AF4F38" w:rsidP="00AF4F38">
            <w:pPr>
              <w:tabs>
                <w:tab w:val="left" w:pos="788"/>
              </w:tabs>
              <w:spacing w:before="60" w:after="60" w:line="192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14:paraId="25CF92FC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Strategie i środki dotyczące następujących elementów:</w:t>
            </w:r>
          </w:p>
          <w:p w14:paraId="27469E9F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a) podnoszenie odporności budynków na zmianę klimatu;</w:t>
            </w:r>
          </w:p>
          <w:p w14:paraId="5B4001C4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b) wspieranie rynku usług energetycznych;</w:t>
            </w:r>
          </w:p>
          <w:p w14:paraId="4190AB66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c) zwiększanie bezpieczeństwa przeciwpożarowego;</w:t>
            </w:r>
          </w:p>
          <w:p w14:paraId="660C30CF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d) zwiększanie odporności na zagrożenia związane z klęskami żywiołowymi, w tym z intensywną aktywnością sejsmiczną;</w:t>
            </w:r>
          </w:p>
          <w:p w14:paraId="7CB95D59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e) usuwanie substancji niebezpiecznych, w tym azbestu;</w:t>
            </w:r>
          </w:p>
          <w:p w14:paraId="6E3F0B9A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f) dostępność dla osób z niepełnosprawnościami;</w:t>
            </w:r>
          </w:p>
          <w:p w14:paraId="03ACFEEC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g) rola społeczności energetycznych działających w zakresie energii odnawialnej i obywatelskich społeczności energetycznych w odniesieniu do podejść opartych na lokalnej sieci i sąsiedztwie;</w:t>
            </w:r>
          </w:p>
          <w:p w14:paraId="1EBC4D79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h) rozwiązywanie problemu niedopasowania zasobów ludzkich; oraz</w:t>
            </w:r>
          </w:p>
          <w:p w14:paraId="38F4D51A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i) zajęcie się poprawą jakości środowiska w pomieszczeniach.</w:t>
            </w:r>
          </w:p>
          <w:p w14:paraId="23A01E7D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W odniesieniu do wszystkich strategii i środków:</w:t>
            </w:r>
          </w:p>
          <w:p w14:paraId="50BE654B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zasoby i zdolności administracyjne</w:t>
            </w:r>
          </w:p>
          <w:p w14:paraId="3340DDD1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uwzględnione obszary:</w:t>
            </w:r>
          </w:p>
          <w:p w14:paraId="5A8A6029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najgorsza charakterystyka energetyczna</w:t>
            </w:r>
          </w:p>
          <w:p w14:paraId="0997D871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minimalne normy charakterystyki energetycznej</w:t>
            </w:r>
          </w:p>
          <w:p w14:paraId="21572ED6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ubóstwo energetyczne, lokale socjalne</w:t>
            </w:r>
          </w:p>
          <w:p w14:paraId="28AC7BAB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publiczne</w:t>
            </w:r>
          </w:p>
          <w:p w14:paraId="7C11243C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mieszkalne (jednorodzinne, wielorodzinne)</w:t>
            </w:r>
          </w:p>
          <w:p w14:paraId="38A81F30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budynki niemieszkalne</w:t>
            </w:r>
          </w:p>
          <w:p w14:paraId="24C144FD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przemysł</w:t>
            </w:r>
          </w:p>
          <w:p w14:paraId="25805B81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odnawialne źródła energii</w:t>
            </w:r>
          </w:p>
          <w:p w14:paraId="4843232D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stopniowe wycofywanie paliw kopalnych w ogrzewaniu i chłodzeniu</w:t>
            </w:r>
          </w:p>
          <w:p w14:paraId="52A961D8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emisje gazów cieplarnianych w całym cyklu życia</w:t>
            </w:r>
          </w:p>
          <w:p w14:paraId="471B75E8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gospodarka o obiegu zamkniętym i odpady</w:t>
            </w:r>
          </w:p>
          <w:p w14:paraId="03872857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punkty kompleksowej obsługi</w:t>
            </w:r>
          </w:p>
          <w:p w14:paraId="73234A06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paszporty renowacji</w:t>
            </w:r>
          </w:p>
          <w:p w14:paraId="2BDBBFC4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inteligentne technologie</w:t>
            </w:r>
          </w:p>
          <w:p w14:paraId="28589826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zrównoważona mobilność w budynkach</w:t>
            </w:r>
          </w:p>
          <w:p w14:paraId="69D1AA64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podejścia oparte na lokalnej sieci lub sąsiedztwie</w:t>
            </w:r>
          </w:p>
          <w:p w14:paraId="2B82AE33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umiejętności, szkolenia</w:t>
            </w:r>
          </w:p>
          <w:p w14:paraId="4F619545" w14:textId="77777777" w:rsidR="00AF4F38" w:rsidRPr="00FB51D8" w:rsidRDefault="00AF4F38" w:rsidP="00AF4F38">
            <w:pPr>
              <w:numPr>
                <w:ilvl w:val="0"/>
                <w:numId w:val="5"/>
              </w:numPr>
              <w:tabs>
                <w:tab w:val="left" w:pos="764"/>
              </w:tabs>
              <w:spacing w:before="60" w:after="60" w:line="192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kampanie uświadamiające i narzędzia doradcze</w:t>
            </w:r>
          </w:p>
          <w:p w14:paraId="6DA8617D" w14:textId="77777777" w:rsidR="00AF4F38" w:rsidRPr="00FB51D8" w:rsidRDefault="00AF4F38" w:rsidP="00AF4F38">
            <w:pPr>
              <w:tabs>
                <w:tab w:val="left" w:pos="651"/>
              </w:tabs>
              <w:spacing w:before="60" w:after="60" w:line="192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66C584D0" w14:textId="77777777" w:rsidTr="00AF4F38">
        <w:tc>
          <w:tcPr>
            <w:tcW w:w="2065" w:type="dxa"/>
            <w:shd w:val="clear" w:color="auto" w:fill="FFFFFF"/>
          </w:tcPr>
          <w:p w14:paraId="70C32D6F" w14:textId="77777777" w:rsidR="00AF4F38" w:rsidRPr="00FB51D8" w:rsidRDefault="00AF4F38" w:rsidP="00195D8B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d) Przegląd potrzeb inwestycyjnych, 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źródeł budżetowych i zasobów administracyjnych </w:t>
            </w:r>
          </w:p>
        </w:tc>
        <w:tc>
          <w:tcPr>
            <w:tcW w:w="4882" w:type="dxa"/>
            <w:shd w:val="clear" w:color="auto" w:fill="FFFFFF"/>
          </w:tcPr>
          <w:p w14:paraId="0AB2FF20" w14:textId="77777777" w:rsidR="00AF4F38" w:rsidRPr="00FB51D8" w:rsidRDefault="00AF4F38" w:rsidP="00195D8B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łączne potrzeby inwestycyjne na lata 2030, 2040, 2050 (mln EUR)</w:t>
            </w:r>
          </w:p>
          <w:p w14:paraId="0FF23596" w14:textId="77777777" w:rsidR="00AF4F38" w:rsidRPr="00FB51D8" w:rsidRDefault="00AF4F38" w:rsidP="00195D8B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lastRenderedPageBreak/>
              <w:t>inwestycje publiczne (mln EUR)</w:t>
            </w:r>
          </w:p>
          <w:p w14:paraId="59FE6F7E" w14:textId="77777777" w:rsidR="00AF4F38" w:rsidRPr="00FB51D8" w:rsidRDefault="00AF4F38" w:rsidP="00195D8B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inwestycje prywatne (mln EUR)</w:t>
            </w:r>
          </w:p>
          <w:p w14:paraId="7D7BAAD3" w14:textId="48ECBCAF" w:rsidR="00AF4F38" w:rsidRPr="00FB51D8" w:rsidRDefault="00AF4F38" w:rsidP="00195D8B">
            <w:pPr>
              <w:numPr>
                <w:ilvl w:val="0"/>
                <w:numId w:val="5"/>
              </w:numPr>
              <w:tabs>
                <w:tab w:val="left" w:pos="788"/>
              </w:tabs>
              <w:spacing w:before="60" w:after="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zasoby budżetowe</w:t>
            </w:r>
          </w:p>
        </w:tc>
        <w:tc>
          <w:tcPr>
            <w:tcW w:w="3402" w:type="dxa"/>
            <w:shd w:val="clear" w:color="auto" w:fill="FFFFFF"/>
          </w:tcPr>
          <w:p w14:paraId="0C5557DE" w14:textId="61FEBE0F" w:rsidR="00AF4F38" w:rsidRPr="00FB51D8" w:rsidRDefault="00AF4F38" w:rsidP="00AF4F38">
            <w:pPr>
              <w:tabs>
                <w:tab w:val="left" w:pos="651"/>
              </w:tabs>
              <w:spacing w:before="60" w:after="60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  <w:p w14:paraId="411892D3" w14:textId="77777777" w:rsidR="00AF4F38" w:rsidRPr="00FB51D8" w:rsidRDefault="00AF4F38" w:rsidP="00AF4F38">
            <w:pPr>
              <w:tabs>
                <w:tab w:val="left" w:pos="650"/>
              </w:tabs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4F38" w:rsidRPr="00FB51D8" w14:paraId="42C12CA8" w14:textId="77777777" w:rsidTr="00AF4F38">
        <w:tc>
          <w:tcPr>
            <w:tcW w:w="2065" w:type="dxa"/>
            <w:shd w:val="clear" w:color="auto" w:fill="FFFFFF"/>
          </w:tcPr>
          <w:p w14:paraId="42850970" w14:textId="58F7EF7B" w:rsidR="00AF4F38" w:rsidRPr="00FB51D8" w:rsidRDefault="00AF4F38" w:rsidP="0039338D">
            <w:pPr>
              <w:spacing w:before="60" w:after="60"/>
              <w:rPr>
                <w:rFonts w:ascii="Arial" w:eastAsia="Calibri" w:hAnsi="Arial" w:cs="Arial"/>
                <w:spacing w:val="-20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pacing w:val="-20"/>
                <w:sz w:val="20"/>
                <w:szCs w:val="20"/>
              </w:rPr>
              <w:t xml:space="preserve">e) </w:t>
            </w:r>
            <w:r w:rsidR="00195D8B">
              <w:rPr>
                <w:rFonts w:ascii="Arial" w:eastAsia="Calibri" w:hAnsi="Arial" w:cs="Arial"/>
                <w:spacing w:val="-20"/>
                <w:sz w:val="20"/>
                <w:szCs w:val="20"/>
              </w:rPr>
              <w:t xml:space="preserve"> </w:t>
            </w:r>
            <w:r w:rsidRPr="0039338D">
              <w:rPr>
                <w:rFonts w:ascii="Arial" w:eastAsia="Calibri" w:hAnsi="Arial" w:cs="Arial"/>
                <w:sz w:val="20"/>
                <w:szCs w:val="20"/>
              </w:rPr>
              <w:t xml:space="preserve">Progi dla nowych i poddanych renowacji budynków </w:t>
            </w:r>
            <w:proofErr w:type="spellStart"/>
            <w:r w:rsidRPr="0039338D">
              <w:rPr>
                <w:rFonts w:ascii="Arial" w:eastAsia="Calibri" w:hAnsi="Arial" w:cs="Arial"/>
                <w:sz w:val="20"/>
                <w:szCs w:val="20"/>
              </w:rPr>
              <w:t>bezemisyjnych</w:t>
            </w:r>
            <w:proofErr w:type="spellEnd"/>
            <w:r w:rsidRPr="0039338D">
              <w:rPr>
                <w:rFonts w:ascii="Arial" w:eastAsia="Calibri" w:hAnsi="Arial" w:cs="Arial"/>
                <w:sz w:val="20"/>
                <w:szCs w:val="20"/>
              </w:rPr>
              <w:t>, o których mowa w art. 11</w:t>
            </w:r>
          </w:p>
        </w:tc>
        <w:tc>
          <w:tcPr>
            <w:tcW w:w="4882" w:type="dxa"/>
            <w:shd w:val="clear" w:color="auto" w:fill="FFFFFF"/>
          </w:tcPr>
          <w:p w14:paraId="04C7DA6B" w14:textId="77777777" w:rsidR="00AF4F38" w:rsidRPr="0039338D" w:rsidRDefault="00AF4F38" w:rsidP="0039338D">
            <w:pPr>
              <w:numPr>
                <w:ilvl w:val="0"/>
                <w:numId w:val="6"/>
              </w:numPr>
              <w:tabs>
                <w:tab w:val="left" w:pos="788"/>
              </w:tabs>
              <w:spacing w:before="60" w:after="60"/>
              <w:ind w:left="714" w:hanging="357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9338D">
              <w:rPr>
                <w:rFonts w:ascii="Arial" w:eastAsia="Calibri" w:hAnsi="Arial" w:cs="Arial"/>
                <w:sz w:val="20"/>
                <w:szCs w:val="20"/>
              </w:rPr>
              <w:t xml:space="preserve">progi operacyjnych emisji gazów cieplarnianych w nowych budynkach </w:t>
            </w:r>
            <w:proofErr w:type="spellStart"/>
            <w:r w:rsidRPr="0039338D">
              <w:rPr>
                <w:rFonts w:ascii="Arial" w:eastAsia="Calibri" w:hAnsi="Arial" w:cs="Arial"/>
                <w:sz w:val="20"/>
                <w:szCs w:val="20"/>
              </w:rPr>
              <w:t>bezemisyjnych</w:t>
            </w:r>
            <w:proofErr w:type="spellEnd"/>
            <w:r w:rsidRPr="0039338D">
              <w:rPr>
                <w:rFonts w:ascii="Arial" w:eastAsia="Calibri" w:hAnsi="Arial" w:cs="Arial"/>
                <w:sz w:val="20"/>
                <w:szCs w:val="20"/>
              </w:rPr>
              <w:t>;</w:t>
            </w:r>
          </w:p>
          <w:p w14:paraId="0212EE5A" w14:textId="77777777" w:rsidR="00AF4F38" w:rsidRPr="0039338D" w:rsidRDefault="00AF4F38" w:rsidP="0039338D">
            <w:pPr>
              <w:numPr>
                <w:ilvl w:val="0"/>
                <w:numId w:val="6"/>
              </w:numPr>
              <w:tabs>
                <w:tab w:val="left" w:pos="788"/>
              </w:tabs>
              <w:spacing w:before="60" w:after="60"/>
              <w:ind w:left="714" w:hanging="357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9338D">
              <w:rPr>
                <w:rFonts w:ascii="Arial" w:eastAsia="Calibri" w:hAnsi="Arial" w:cs="Arial"/>
                <w:sz w:val="20"/>
                <w:szCs w:val="20"/>
              </w:rPr>
              <w:t xml:space="preserve">progi operacyjnych emisji gazów cieplarnianych w budynkach </w:t>
            </w:r>
            <w:proofErr w:type="spellStart"/>
            <w:r w:rsidRPr="0039338D">
              <w:rPr>
                <w:rFonts w:ascii="Arial" w:eastAsia="Calibri" w:hAnsi="Arial" w:cs="Arial"/>
                <w:sz w:val="20"/>
                <w:szCs w:val="20"/>
              </w:rPr>
              <w:t>bezemisyjnych</w:t>
            </w:r>
            <w:proofErr w:type="spellEnd"/>
            <w:r w:rsidRPr="0039338D">
              <w:rPr>
                <w:rFonts w:ascii="Arial" w:eastAsia="Calibri" w:hAnsi="Arial" w:cs="Arial"/>
                <w:sz w:val="20"/>
                <w:szCs w:val="20"/>
              </w:rPr>
              <w:t xml:space="preserve"> poddanych renowacji;</w:t>
            </w:r>
          </w:p>
          <w:p w14:paraId="2B4E9E01" w14:textId="77777777" w:rsidR="00AF4F38" w:rsidRPr="0039338D" w:rsidRDefault="00AF4F38" w:rsidP="0039338D">
            <w:pPr>
              <w:numPr>
                <w:ilvl w:val="0"/>
                <w:numId w:val="6"/>
              </w:numPr>
              <w:tabs>
                <w:tab w:val="left" w:pos="788"/>
              </w:tabs>
              <w:spacing w:before="60" w:after="60"/>
              <w:ind w:left="714" w:hanging="357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9338D">
              <w:rPr>
                <w:rFonts w:ascii="Arial" w:eastAsia="Calibri" w:hAnsi="Arial" w:cs="Arial"/>
                <w:sz w:val="20"/>
                <w:szCs w:val="20"/>
              </w:rPr>
              <w:t xml:space="preserve">progi rocznego zużycia energii pierwotnej w nowych budynkach </w:t>
            </w:r>
            <w:proofErr w:type="spellStart"/>
            <w:r w:rsidRPr="0039338D">
              <w:rPr>
                <w:rFonts w:ascii="Arial" w:eastAsia="Calibri" w:hAnsi="Arial" w:cs="Arial"/>
                <w:sz w:val="20"/>
                <w:szCs w:val="20"/>
              </w:rPr>
              <w:t>bezemisyjnych</w:t>
            </w:r>
            <w:proofErr w:type="spellEnd"/>
            <w:r w:rsidRPr="0039338D">
              <w:rPr>
                <w:rFonts w:ascii="Arial" w:eastAsia="Calibri" w:hAnsi="Arial" w:cs="Arial"/>
                <w:sz w:val="20"/>
                <w:szCs w:val="20"/>
              </w:rPr>
              <w:t>;</w:t>
            </w:r>
          </w:p>
          <w:p w14:paraId="021065C2" w14:textId="77777777" w:rsidR="00AF4F38" w:rsidRPr="00FB51D8" w:rsidRDefault="00AF4F38" w:rsidP="0039338D">
            <w:pPr>
              <w:numPr>
                <w:ilvl w:val="0"/>
                <w:numId w:val="6"/>
              </w:numPr>
              <w:tabs>
                <w:tab w:val="left" w:pos="788"/>
              </w:tabs>
              <w:spacing w:before="60" w:after="60"/>
              <w:ind w:left="714" w:hanging="357"/>
              <w:contextualSpacing/>
              <w:rPr>
                <w:rFonts w:ascii="Arial" w:eastAsia="Calibri" w:hAnsi="Arial" w:cs="Arial"/>
                <w:spacing w:val="-20"/>
                <w:sz w:val="20"/>
                <w:szCs w:val="20"/>
              </w:rPr>
            </w:pPr>
            <w:r w:rsidRPr="0039338D">
              <w:rPr>
                <w:rFonts w:ascii="Arial" w:eastAsia="Calibri" w:hAnsi="Arial" w:cs="Arial"/>
                <w:sz w:val="20"/>
                <w:szCs w:val="20"/>
              </w:rPr>
              <w:t xml:space="preserve">progi rocznego zużycia energii pierwotnej w budynkach </w:t>
            </w:r>
            <w:proofErr w:type="spellStart"/>
            <w:r w:rsidRPr="0039338D">
              <w:rPr>
                <w:rFonts w:ascii="Arial" w:eastAsia="Calibri" w:hAnsi="Arial" w:cs="Arial"/>
                <w:sz w:val="20"/>
                <w:szCs w:val="20"/>
              </w:rPr>
              <w:t>bezemisyjnych</w:t>
            </w:r>
            <w:proofErr w:type="spellEnd"/>
            <w:r w:rsidRPr="0039338D">
              <w:rPr>
                <w:rFonts w:ascii="Arial" w:eastAsia="Calibri" w:hAnsi="Arial" w:cs="Arial"/>
                <w:sz w:val="20"/>
                <w:szCs w:val="20"/>
              </w:rPr>
              <w:t xml:space="preserve"> poddanych renowacji</w:t>
            </w:r>
          </w:p>
        </w:tc>
        <w:tc>
          <w:tcPr>
            <w:tcW w:w="3402" w:type="dxa"/>
            <w:shd w:val="clear" w:color="auto" w:fill="FFFFFF"/>
          </w:tcPr>
          <w:p w14:paraId="4A1C8257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</w:tc>
      </w:tr>
      <w:tr w:rsidR="00AF4F38" w:rsidRPr="00FB51D8" w14:paraId="20252D13" w14:textId="77777777" w:rsidTr="00AF4F38">
        <w:tc>
          <w:tcPr>
            <w:tcW w:w="2065" w:type="dxa"/>
            <w:shd w:val="clear" w:color="auto" w:fill="FFFFFF"/>
          </w:tcPr>
          <w:p w14:paraId="07DB0CD7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f) Minimalne normy charakterystyki energetycznej dla budynków niemieszkalnych</w:t>
            </w:r>
          </w:p>
        </w:tc>
        <w:tc>
          <w:tcPr>
            <w:tcW w:w="4882" w:type="dxa"/>
            <w:shd w:val="clear" w:color="auto" w:fill="FFFFFF"/>
          </w:tcPr>
          <w:p w14:paraId="7988457B" w14:textId="77777777" w:rsidR="00AF4F38" w:rsidRPr="00FB51D8" w:rsidRDefault="00AF4F38" w:rsidP="00AF4F38">
            <w:pPr>
              <w:numPr>
                <w:ilvl w:val="0"/>
                <w:numId w:val="7"/>
              </w:numPr>
              <w:spacing w:before="60" w:after="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maksymalne progi charakterystyki energetycznej zgodnie z art. 9 ust. 1</w:t>
            </w:r>
          </w:p>
        </w:tc>
        <w:tc>
          <w:tcPr>
            <w:tcW w:w="3402" w:type="dxa"/>
            <w:shd w:val="clear" w:color="auto" w:fill="FFFFFF"/>
          </w:tcPr>
          <w:p w14:paraId="7BDE746B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</w:tc>
      </w:tr>
      <w:tr w:rsidR="00AF4F38" w:rsidRPr="00FB51D8" w14:paraId="4AFD1069" w14:textId="77777777" w:rsidTr="00AF4F38">
        <w:tc>
          <w:tcPr>
            <w:tcW w:w="2065" w:type="dxa"/>
            <w:shd w:val="clear" w:color="auto" w:fill="FFFFFF"/>
          </w:tcPr>
          <w:p w14:paraId="4D3F03A6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g) Minimalne normy charakterystyki energetycznej dla budynków mieszkalnych</w:t>
            </w:r>
          </w:p>
        </w:tc>
        <w:tc>
          <w:tcPr>
            <w:tcW w:w="4882" w:type="dxa"/>
            <w:shd w:val="clear" w:color="auto" w:fill="FFFFFF"/>
          </w:tcPr>
          <w:p w14:paraId="057BD7AB" w14:textId="75CCA198" w:rsidR="00AF4F38" w:rsidRPr="00FB51D8" w:rsidRDefault="00AF4F38" w:rsidP="00AF4F38">
            <w:pPr>
              <w:numPr>
                <w:ilvl w:val="0"/>
                <w:numId w:val="7"/>
              </w:numPr>
              <w:spacing w:before="60" w:after="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B51D8">
              <w:rPr>
                <w:rFonts w:ascii="Arial" w:eastAsia="Calibri" w:hAnsi="Arial" w:cs="Arial"/>
                <w:sz w:val="20"/>
                <w:szCs w:val="20"/>
              </w:rPr>
              <w:t>Krajowa trajektoria progresywnej renowacji zasobów budynków mieszkalnych, wraz z celami pośrednimi na lata 2030 i 2035</w:t>
            </w:r>
            <w:r w:rsidR="00FB51D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w zakresie średniego zużycia energii pierwotnej w kWh/(m²</w:t>
            </w:r>
            <w:r w:rsidRPr="00FB51D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.</w:t>
            </w:r>
            <w:r w:rsidRPr="00FB51D8">
              <w:rPr>
                <w:rFonts w:ascii="Arial" w:eastAsia="Calibri" w:hAnsi="Arial" w:cs="Arial"/>
                <w:sz w:val="20"/>
                <w:szCs w:val="20"/>
              </w:rPr>
              <w:t>rok), zgodnie z art. 9 ust. 2</w:t>
            </w:r>
          </w:p>
        </w:tc>
        <w:tc>
          <w:tcPr>
            <w:tcW w:w="3402" w:type="dxa"/>
            <w:shd w:val="clear" w:color="auto" w:fill="FFFFFF"/>
          </w:tcPr>
          <w:p w14:paraId="7B0D5EDC" w14:textId="77777777" w:rsidR="00AF4F38" w:rsidRPr="00FB51D8" w:rsidRDefault="00AF4F38" w:rsidP="00AF4F38">
            <w:pPr>
              <w:spacing w:before="60" w:after="60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</w:tc>
      </w:tr>
    </w:tbl>
    <w:p w14:paraId="642C7823" w14:textId="77777777" w:rsidR="00F17BC5" w:rsidRPr="00FB51D8" w:rsidRDefault="00F17BC5">
      <w:pPr>
        <w:rPr>
          <w:rFonts w:ascii="Arial" w:hAnsi="Arial" w:cs="Arial"/>
          <w:sz w:val="20"/>
          <w:szCs w:val="20"/>
        </w:rPr>
      </w:pPr>
    </w:p>
    <w:sectPr w:rsidR="00F17BC5" w:rsidRPr="00FB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E7D8E"/>
    <w:multiLevelType w:val="hybridMultilevel"/>
    <w:tmpl w:val="042ED522"/>
    <w:lvl w:ilvl="0" w:tplc="94947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41680"/>
    <w:multiLevelType w:val="hybridMultilevel"/>
    <w:tmpl w:val="1E90CA6A"/>
    <w:lvl w:ilvl="0" w:tplc="94947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E56A7"/>
    <w:multiLevelType w:val="hybridMultilevel"/>
    <w:tmpl w:val="40F0B836"/>
    <w:lvl w:ilvl="0" w:tplc="94947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C3117"/>
    <w:multiLevelType w:val="hybridMultilevel"/>
    <w:tmpl w:val="FAC8524A"/>
    <w:lvl w:ilvl="0" w:tplc="6E6A412E">
      <w:numFmt w:val="bullet"/>
      <w:lvlText w:val="—"/>
      <w:lvlJc w:val="left"/>
      <w:pPr>
        <w:ind w:left="369" w:hanging="282"/>
      </w:pPr>
      <w:rPr>
        <w:rFonts w:ascii="Cambria" w:eastAsia="Times New Roman" w:hAnsi="Cambria" w:hint="default"/>
        <w:w w:val="95"/>
        <w:sz w:val="19"/>
      </w:rPr>
    </w:lvl>
    <w:lvl w:ilvl="1" w:tplc="F9E8D980">
      <w:numFmt w:val="bullet"/>
      <w:lvlText w:val="—"/>
      <w:lvlJc w:val="left"/>
      <w:pPr>
        <w:ind w:left="649" w:hanging="281"/>
      </w:pPr>
      <w:rPr>
        <w:rFonts w:ascii="Cambria" w:eastAsia="Times New Roman" w:hAnsi="Cambria" w:hint="default"/>
        <w:w w:val="95"/>
        <w:sz w:val="19"/>
      </w:rPr>
    </w:lvl>
    <w:lvl w:ilvl="2" w:tplc="8A8EEA46">
      <w:numFmt w:val="bullet"/>
      <w:lvlText w:val="•"/>
      <w:lvlJc w:val="left"/>
      <w:pPr>
        <w:ind w:left="979" w:hanging="281"/>
      </w:pPr>
      <w:rPr>
        <w:rFonts w:hint="default"/>
      </w:rPr>
    </w:lvl>
    <w:lvl w:ilvl="3" w:tplc="35C8A1A8">
      <w:numFmt w:val="bullet"/>
      <w:lvlText w:val="•"/>
      <w:lvlJc w:val="left"/>
      <w:pPr>
        <w:ind w:left="1318" w:hanging="281"/>
      </w:pPr>
      <w:rPr>
        <w:rFonts w:hint="default"/>
      </w:rPr>
    </w:lvl>
    <w:lvl w:ilvl="4" w:tplc="3A68361A">
      <w:numFmt w:val="bullet"/>
      <w:lvlText w:val="•"/>
      <w:lvlJc w:val="left"/>
      <w:pPr>
        <w:ind w:left="1658" w:hanging="281"/>
      </w:pPr>
      <w:rPr>
        <w:rFonts w:hint="default"/>
      </w:rPr>
    </w:lvl>
    <w:lvl w:ilvl="5" w:tplc="FCDAD96E">
      <w:numFmt w:val="bullet"/>
      <w:lvlText w:val="•"/>
      <w:lvlJc w:val="left"/>
      <w:pPr>
        <w:ind w:left="1997" w:hanging="281"/>
      </w:pPr>
      <w:rPr>
        <w:rFonts w:hint="default"/>
      </w:rPr>
    </w:lvl>
    <w:lvl w:ilvl="6" w:tplc="023E54C8">
      <w:numFmt w:val="bullet"/>
      <w:lvlText w:val="•"/>
      <w:lvlJc w:val="left"/>
      <w:pPr>
        <w:ind w:left="2337" w:hanging="281"/>
      </w:pPr>
      <w:rPr>
        <w:rFonts w:hint="default"/>
      </w:rPr>
    </w:lvl>
    <w:lvl w:ilvl="7" w:tplc="ECCAB7FA">
      <w:numFmt w:val="bullet"/>
      <w:lvlText w:val="•"/>
      <w:lvlJc w:val="left"/>
      <w:pPr>
        <w:ind w:left="2676" w:hanging="281"/>
      </w:pPr>
      <w:rPr>
        <w:rFonts w:hint="default"/>
      </w:rPr>
    </w:lvl>
    <w:lvl w:ilvl="8" w:tplc="AA423FB8">
      <w:numFmt w:val="bullet"/>
      <w:lvlText w:val="•"/>
      <w:lvlJc w:val="left"/>
      <w:pPr>
        <w:ind w:left="3016" w:hanging="281"/>
      </w:pPr>
      <w:rPr>
        <w:rFonts w:hint="default"/>
      </w:rPr>
    </w:lvl>
  </w:abstractNum>
  <w:abstractNum w:abstractNumId="4" w15:restartNumberingAfterBreak="0">
    <w:nsid w:val="66B27D9F"/>
    <w:multiLevelType w:val="hybridMultilevel"/>
    <w:tmpl w:val="FF700F0C"/>
    <w:lvl w:ilvl="0" w:tplc="94947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7031E"/>
    <w:multiLevelType w:val="hybridMultilevel"/>
    <w:tmpl w:val="7916E096"/>
    <w:lvl w:ilvl="0" w:tplc="94947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C00A9"/>
    <w:multiLevelType w:val="hybridMultilevel"/>
    <w:tmpl w:val="D45C755A"/>
    <w:lvl w:ilvl="0" w:tplc="94947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21154"/>
    <w:multiLevelType w:val="hybridMultilevel"/>
    <w:tmpl w:val="1F7069F8"/>
    <w:lvl w:ilvl="0" w:tplc="94947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464330">
    <w:abstractNumId w:val="5"/>
  </w:num>
  <w:num w:numId="2" w16cid:durableId="392001240">
    <w:abstractNumId w:val="1"/>
  </w:num>
  <w:num w:numId="3" w16cid:durableId="525868359">
    <w:abstractNumId w:val="2"/>
  </w:num>
  <w:num w:numId="4" w16cid:durableId="1640378966">
    <w:abstractNumId w:val="4"/>
  </w:num>
  <w:num w:numId="5" w16cid:durableId="994795299">
    <w:abstractNumId w:val="6"/>
  </w:num>
  <w:num w:numId="6" w16cid:durableId="164368968">
    <w:abstractNumId w:val="0"/>
  </w:num>
  <w:num w:numId="7" w16cid:durableId="52047572">
    <w:abstractNumId w:val="7"/>
  </w:num>
  <w:num w:numId="8" w16cid:durableId="655885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38"/>
    <w:rsid w:val="00195D8B"/>
    <w:rsid w:val="0039338D"/>
    <w:rsid w:val="00AD2ABD"/>
    <w:rsid w:val="00AF4F38"/>
    <w:rsid w:val="00CF0A99"/>
    <w:rsid w:val="00F17BC5"/>
    <w:rsid w:val="00FB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67A3"/>
  <w15:chartTrackingRefBased/>
  <w15:docId w15:val="{A2D8C632-E4B6-4032-8EE8-79776143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4F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4F3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F4F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4F38"/>
    <w:rPr>
      <w:sz w:val="16"/>
      <w:szCs w:val="16"/>
    </w:rPr>
  </w:style>
  <w:style w:type="character" w:customStyle="1" w:styleId="Hipercze1">
    <w:name w:val="Hiperłącze1"/>
    <w:basedOn w:val="Domylnaczcionkaakapitu"/>
    <w:uiPriority w:val="99"/>
    <w:unhideWhenUsed/>
    <w:rsid w:val="00AF4F38"/>
    <w:rPr>
      <w:color w:val="0000FF"/>
      <w:u w:val="single"/>
    </w:rPr>
  </w:style>
  <w:style w:type="table" w:styleId="Tabela-Siatka">
    <w:name w:val="Table Grid"/>
    <w:basedOn w:val="Standardowy"/>
    <w:uiPriority w:val="39"/>
    <w:rsid w:val="00AF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F4F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1823</Words>
  <Characters>10943</Characters>
  <Application>Microsoft Office Word</Application>
  <DocSecurity>4</DocSecurity>
  <Lines>91</Lines>
  <Paragraphs>25</Paragraphs>
  <ScaleCrop>false</ScaleCrop>
  <Company>HP Inc.</Company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Wąsowska Barbara</dc:creator>
  <cp:keywords/>
  <dc:description/>
  <cp:lastModifiedBy>Wąsowska Barbara</cp:lastModifiedBy>
  <cp:revision>2</cp:revision>
  <dcterms:created xsi:type="dcterms:W3CDTF">2024-02-16T12:20:00Z</dcterms:created>
  <dcterms:modified xsi:type="dcterms:W3CDTF">2024-02-16T12:20:00Z</dcterms:modified>
</cp:coreProperties>
</file>