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4CCC" w14:textId="5A881D6E" w:rsidR="008C0E92" w:rsidRPr="004D093B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7CC758A3" w14:textId="4307D426" w:rsidR="00AD08C5" w:rsidRPr="004D093B" w:rsidRDefault="004A167B" w:rsidP="008C0E92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PROJEKT </w:t>
      </w:r>
      <w:r w:rsidR="006A7DCE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OBWIESZCZEN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IA</w:t>
      </w:r>
      <w:r w:rsidR="006A7DCE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REFUNDACYJNE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GO</w:t>
      </w:r>
      <w:r w:rsidR="006A7DCE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NR </w:t>
      </w:r>
      <w:r w:rsidR="00C34F0F">
        <w:rPr>
          <w:rFonts w:ascii="Lato" w:hAnsi="Lato"/>
          <w:b/>
          <w:bCs/>
          <w:color w:val="00B0F0"/>
          <w:sz w:val="36"/>
          <w:szCs w:val="36"/>
          <w:u w:val="single"/>
        </w:rPr>
        <w:t>7</w:t>
      </w:r>
      <w:r w:rsidR="004079C5">
        <w:rPr>
          <w:rFonts w:ascii="Lato" w:hAnsi="Lato"/>
          <w:b/>
          <w:bCs/>
          <w:color w:val="00B0F0"/>
          <w:sz w:val="36"/>
          <w:szCs w:val="36"/>
          <w:u w:val="single"/>
        </w:rPr>
        <w:t>8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 w:rsidR="004079C5">
        <w:rPr>
          <w:rFonts w:ascii="Lato" w:hAnsi="Lato"/>
          <w:b/>
          <w:bCs/>
          <w:color w:val="00B0F0"/>
          <w:sz w:val="36"/>
          <w:szCs w:val="36"/>
          <w:u w:val="single"/>
        </w:rPr>
        <w:t>KWIETNIA</w:t>
      </w:r>
      <w:r w:rsidR="00FB2364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202</w:t>
      </w:r>
      <w:r w:rsidR="004079C5">
        <w:rPr>
          <w:rFonts w:ascii="Lato" w:hAnsi="Lato"/>
          <w:b/>
          <w:bCs/>
          <w:color w:val="00B0F0"/>
          <w:sz w:val="36"/>
          <w:szCs w:val="36"/>
          <w:u w:val="single"/>
        </w:rPr>
        <w:t>5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7EFF32F9" w14:textId="77777777" w:rsidR="004A167B" w:rsidRDefault="004A167B" w:rsidP="004A167B">
      <w:pPr>
        <w:spacing w:before="240" w:after="120" w:line="360" w:lineRule="auto"/>
        <w:jc w:val="both"/>
        <w:rPr>
          <w:rFonts w:ascii="Lato" w:hAnsi="Lato"/>
          <w:b/>
          <w:bCs/>
          <w:color w:val="00B0F0"/>
          <w:sz w:val="28"/>
          <w:szCs w:val="28"/>
        </w:rPr>
      </w:pPr>
    </w:p>
    <w:p w14:paraId="3620B4D6" w14:textId="6CA7DE11" w:rsidR="00735F08" w:rsidRDefault="00735F08" w:rsidP="004A167B">
      <w:pPr>
        <w:spacing w:before="240" w:after="120" w:line="360" w:lineRule="auto"/>
        <w:jc w:val="both"/>
        <w:rPr>
          <w:rFonts w:ascii="Lato" w:hAnsi="Lato"/>
        </w:rPr>
      </w:pPr>
      <w:r w:rsidRPr="00735F08">
        <w:rPr>
          <w:rFonts w:ascii="Lato" w:hAnsi="Lato"/>
        </w:rPr>
        <w:t>Prezentowane podsumowanie projektu obwieszczenia refundacyjnego nr 7</w:t>
      </w:r>
      <w:r>
        <w:rPr>
          <w:rFonts w:ascii="Lato" w:hAnsi="Lato"/>
        </w:rPr>
        <w:t>8</w:t>
      </w:r>
      <w:r w:rsidRPr="00735F08">
        <w:rPr>
          <w:rFonts w:ascii="Lato" w:hAnsi="Lato"/>
        </w:rPr>
        <w:t xml:space="preserve"> </w:t>
      </w:r>
      <w:r w:rsidRPr="00735F08">
        <w:rPr>
          <w:rFonts w:ascii="Lato" w:hAnsi="Lato"/>
          <w:b/>
          <w:bCs/>
        </w:rPr>
        <w:t>nie stanowi jego ostatecznej wersji</w:t>
      </w:r>
      <w:r w:rsidRPr="00735F08">
        <w:rPr>
          <w:rFonts w:ascii="Lato" w:hAnsi="Lato"/>
        </w:rPr>
        <w:t xml:space="preserve">, bowiem nadal trwają prace administracyjne nad </w:t>
      </w:r>
      <w:proofErr w:type="gramStart"/>
      <w:r w:rsidRPr="00735F08">
        <w:rPr>
          <w:rFonts w:ascii="Lato" w:hAnsi="Lato"/>
        </w:rPr>
        <w:t>finalnym</w:t>
      </w:r>
      <w:proofErr w:type="gramEnd"/>
      <w:r w:rsidRPr="00735F08">
        <w:rPr>
          <w:rFonts w:ascii="Lato" w:hAnsi="Lato"/>
        </w:rPr>
        <w:t xml:space="preserve"> wykazem refundowanych leków, środków spożywczych specjalnego przeznaczenia żywieniowego oraz wyrobów medycznych obowiązującym od 1 </w:t>
      </w:r>
      <w:r>
        <w:rPr>
          <w:rFonts w:ascii="Lato" w:hAnsi="Lato"/>
        </w:rPr>
        <w:t>kwietnia</w:t>
      </w:r>
      <w:r w:rsidRPr="00735F08">
        <w:rPr>
          <w:rFonts w:ascii="Lato" w:hAnsi="Lato"/>
        </w:rPr>
        <w:t xml:space="preserve"> 202</w:t>
      </w:r>
      <w:r>
        <w:rPr>
          <w:rFonts w:ascii="Lato" w:hAnsi="Lato"/>
        </w:rPr>
        <w:t>5</w:t>
      </w:r>
      <w:r w:rsidRPr="00735F08">
        <w:rPr>
          <w:rFonts w:ascii="Lato" w:hAnsi="Lato"/>
        </w:rPr>
        <w:t xml:space="preserve"> r. </w:t>
      </w:r>
    </w:p>
    <w:p w14:paraId="5D0FE0C1" w14:textId="7820A4E5" w:rsidR="00735F08" w:rsidRPr="00735F08" w:rsidRDefault="00735F08" w:rsidP="004A167B">
      <w:pPr>
        <w:spacing w:before="240" w:after="120" w:line="360" w:lineRule="auto"/>
        <w:jc w:val="both"/>
        <w:rPr>
          <w:rFonts w:ascii="Lato" w:hAnsi="Lato"/>
        </w:rPr>
      </w:pPr>
      <w:r w:rsidRPr="00735F08">
        <w:rPr>
          <w:rFonts w:ascii="Lato" w:hAnsi="Lato"/>
        </w:rPr>
        <w:t xml:space="preserve">Uwzględniając niniejszy projekt, w trzecim wykazie w roku 2024, finansowaniem ze środków publicznych zostanie objętych </w:t>
      </w:r>
      <w:r w:rsidR="004A167B">
        <w:rPr>
          <w:rFonts w:ascii="Lato" w:hAnsi="Lato"/>
          <w:b/>
          <w:bCs/>
        </w:rPr>
        <w:t>2</w:t>
      </w:r>
      <w:r w:rsidR="004C447B">
        <w:rPr>
          <w:rFonts w:ascii="Lato" w:hAnsi="Lato"/>
          <w:b/>
          <w:bCs/>
        </w:rPr>
        <w:t>9</w:t>
      </w:r>
      <w:r w:rsidRPr="00735F08">
        <w:rPr>
          <w:rFonts w:ascii="Lato" w:hAnsi="Lato"/>
          <w:b/>
          <w:bCs/>
        </w:rPr>
        <w:t xml:space="preserve"> nowych cząsteczko – wskazań</w:t>
      </w:r>
      <w:r w:rsidRPr="00735F08">
        <w:rPr>
          <w:rFonts w:ascii="Lato" w:hAnsi="Lato"/>
        </w:rPr>
        <w:t>, w tym:</w:t>
      </w:r>
    </w:p>
    <w:p w14:paraId="452E4054" w14:textId="1BE3547A" w:rsidR="00735F08" w:rsidRPr="00433870" w:rsidRDefault="004C447B" w:rsidP="004A167B">
      <w:pPr>
        <w:pStyle w:val="Akapitzlist"/>
        <w:numPr>
          <w:ilvl w:val="0"/>
          <w:numId w:val="26"/>
        </w:numPr>
        <w:spacing w:before="240" w:after="120" w:line="360" w:lineRule="auto"/>
        <w:jc w:val="both"/>
        <w:rPr>
          <w:rFonts w:ascii="Lato" w:hAnsi="Lato"/>
        </w:rPr>
      </w:pPr>
      <w:r w:rsidRPr="00433870">
        <w:rPr>
          <w:rFonts w:ascii="Lato" w:hAnsi="Lato"/>
        </w:rPr>
        <w:t>10</w:t>
      </w:r>
      <w:r w:rsidR="00735F08" w:rsidRPr="00433870">
        <w:rPr>
          <w:rFonts w:ascii="Lato" w:hAnsi="Lato"/>
        </w:rPr>
        <w:t xml:space="preserve"> cząsteczko – wskazań onkologicznych,</w:t>
      </w:r>
    </w:p>
    <w:p w14:paraId="1A66A5CB" w14:textId="2CC6CB99" w:rsidR="00735F08" w:rsidRPr="00433870" w:rsidRDefault="004A167B" w:rsidP="004A167B">
      <w:pPr>
        <w:pStyle w:val="Akapitzlist"/>
        <w:numPr>
          <w:ilvl w:val="0"/>
          <w:numId w:val="26"/>
        </w:numPr>
        <w:spacing w:before="240" w:after="120" w:line="360" w:lineRule="auto"/>
        <w:jc w:val="both"/>
        <w:rPr>
          <w:rFonts w:ascii="Lato" w:hAnsi="Lato"/>
        </w:rPr>
      </w:pPr>
      <w:r w:rsidRPr="00433870">
        <w:rPr>
          <w:rFonts w:ascii="Lato" w:hAnsi="Lato"/>
        </w:rPr>
        <w:t>19</w:t>
      </w:r>
      <w:r w:rsidR="00735F08" w:rsidRPr="00433870">
        <w:rPr>
          <w:rFonts w:ascii="Lato" w:hAnsi="Lato"/>
        </w:rPr>
        <w:t xml:space="preserve"> cząsteczko - wskazania nieonkologiczne,</w:t>
      </w:r>
    </w:p>
    <w:p w14:paraId="4DA884A5" w14:textId="2ED385DE" w:rsidR="00433870" w:rsidRPr="006A36EA" w:rsidRDefault="004A167B" w:rsidP="00433870">
      <w:pPr>
        <w:pStyle w:val="Akapitzlist"/>
        <w:numPr>
          <w:ilvl w:val="0"/>
          <w:numId w:val="26"/>
        </w:numPr>
        <w:spacing w:before="240" w:after="120" w:line="360" w:lineRule="auto"/>
        <w:jc w:val="both"/>
        <w:rPr>
          <w:rFonts w:ascii="Lato" w:hAnsi="Lato"/>
        </w:rPr>
      </w:pPr>
      <w:r w:rsidRPr="00433870">
        <w:rPr>
          <w:rFonts w:ascii="Lato" w:hAnsi="Lato"/>
        </w:rPr>
        <w:t>7</w:t>
      </w:r>
      <w:r w:rsidR="00735F08" w:rsidRPr="00433870">
        <w:rPr>
          <w:rFonts w:ascii="Lato" w:hAnsi="Lato"/>
        </w:rPr>
        <w:t xml:space="preserve"> cząsteczko - wskazań dedykowanych chorobom rzadkim.</w:t>
      </w:r>
    </w:p>
    <w:p w14:paraId="5B10838F" w14:textId="77777777" w:rsidR="006A36EA" w:rsidRPr="00433870" w:rsidRDefault="006A36EA" w:rsidP="006A36EA">
      <w:pPr>
        <w:spacing w:before="240" w:after="120" w:line="360" w:lineRule="auto"/>
        <w:jc w:val="both"/>
        <w:rPr>
          <w:rFonts w:ascii="Lato" w:hAnsi="Lato"/>
          <w:b/>
          <w:bCs/>
          <w:u w:val="single"/>
        </w:rPr>
      </w:pPr>
      <w:r w:rsidRPr="00433870">
        <w:rPr>
          <w:rFonts w:ascii="Lato" w:hAnsi="Lato"/>
          <w:b/>
          <w:bCs/>
          <w:u w:val="single"/>
        </w:rPr>
        <w:t xml:space="preserve">Z uwagi na trwające prace formalno-prawne oraz merytoryczne </w:t>
      </w:r>
      <w:r>
        <w:rPr>
          <w:rFonts w:ascii="Lato" w:hAnsi="Lato"/>
          <w:b/>
          <w:bCs/>
          <w:u w:val="single"/>
        </w:rPr>
        <w:t>w zakresie opracowania</w:t>
      </w:r>
      <w:r w:rsidRPr="00433870">
        <w:rPr>
          <w:rFonts w:ascii="Lato" w:hAnsi="Lato"/>
          <w:b/>
          <w:bCs/>
          <w:u w:val="single"/>
        </w:rPr>
        <w:t xml:space="preserve"> ostatecznych treści programów lekowych, projekt obwieszczenia refundacyjnego nr 78 nie uwzględnia wszystkich nowych terapii</w:t>
      </w:r>
      <w:r>
        <w:rPr>
          <w:rFonts w:ascii="Lato" w:hAnsi="Lato"/>
          <w:b/>
          <w:bCs/>
          <w:u w:val="single"/>
        </w:rPr>
        <w:t>, które ujęto w poniższym zestawieniu.</w:t>
      </w:r>
    </w:p>
    <w:p w14:paraId="6B466A0C" w14:textId="7EC4E0BC" w:rsidR="004D093B" w:rsidRPr="00735F08" w:rsidRDefault="004D093B" w:rsidP="00735F08">
      <w:pPr>
        <w:spacing w:before="240" w:after="120" w:line="360" w:lineRule="auto"/>
        <w:jc w:val="both"/>
        <w:rPr>
          <w:rFonts w:ascii="Lato" w:hAnsi="Lato"/>
        </w:rPr>
      </w:pPr>
      <w:r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4D093B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1655"/>
        <w:gridCol w:w="1549"/>
        <w:gridCol w:w="1867"/>
        <w:gridCol w:w="3955"/>
        <w:gridCol w:w="4499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39255B" w:rsidRPr="004D093B" w14:paraId="2F304C7B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08CA4AAC" w:rsidR="0039255B" w:rsidRPr="0039255B" w:rsidRDefault="0039255B" w:rsidP="0039255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9255B">
              <w:rPr>
                <w:rFonts w:ascii="Lato" w:hAnsi="Lato" w:cstheme="majorHAnsi"/>
                <w:sz w:val="18"/>
                <w:szCs w:val="18"/>
              </w:rPr>
              <w:t>1</w:t>
            </w:r>
            <w:r w:rsidR="004079C5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67579A99" w:rsidR="0039255B" w:rsidRPr="004D093B" w:rsidRDefault="0039255B" w:rsidP="0039255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39255B">
              <w:rPr>
                <w:rFonts w:ascii="Lato" w:hAnsi="Lato" w:cstheme="majorHAnsi"/>
                <w:b/>
                <w:bCs/>
                <w:sz w:val="18"/>
                <w:szCs w:val="18"/>
              </w:rPr>
              <w:t>Imfinzi</w:t>
            </w:r>
            <w:proofErr w:type="spellEnd"/>
            <w:r w:rsidRPr="0039255B"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 </w:t>
            </w:r>
            <w:r w:rsidR="004079C5"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+ </w:t>
            </w:r>
            <w:proofErr w:type="spellStart"/>
            <w:r w:rsidR="004079C5" w:rsidRPr="0039255B">
              <w:rPr>
                <w:rFonts w:ascii="Lato" w:hAnsi="Lato" w:cstheme="majorHAnsi"/>
                <w:b/>
                <w:bCs/>
                <w:sz w:val="18"/>
                <w:szCs w:val="18"/>
              </w:rPr>
              <w:t>Imjudo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4D50" w14:textId="28D4F9E3" w:rsidR="0039255B" w:rsidRDefault="004079C5" w:rsidP="0039255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durwalumab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</w:p>
          <w:p w14:paraId="5894D902" w14:textId="77777777" w:rsidR="004079C5" w:rsidRDefault="004079C5" w:rsidP="0039255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+</w:t>
            </w:r>
          </w:p>
          <w:p w14:paraId="61F52E7F" w14:textId="615608AE" w:rsidR="004079C5" w:rsidRPr="0039255B" w:rsidRDefault="004079C5" w:rsidP="0039255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39255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tremelimumab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1A2057A8" w:rsidR="0039255B" w:rsidRPr="004D093B" w:rsidRDefault="0039255B" w:rsidP="0039255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9255B">
              <w:rPr>
                <w:rFonts w:ascii="Lato" w:hAnsi="Lato" w:cstheme="majorHAnsi"/>
                <w:sz w:val="18"/>
                <w:szCs w:val="18"/>
              </w:rPr>
              <w:t>B.6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656FB767" w:rsidR="0039255B" w:rsidRPr="004D093B" w:rsidRDefault="0039255B" w:rsidP="0039255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9255B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4846EBFA" w:rsidR="0039255B" w:rsidRPr="004D093B" w:rsidRDefault="0039255B" w:rsidP="0039255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735F08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</w:t>
            </w:r>
            <w:proofErr w:type="spellStart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durwalumab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tremelimumabem</w:t>
            </w:r>
            <w:proofErr w:type="spellEnd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chemioterapią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opartą na pochodnych platyny u dorosłych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proofErr w:type="spellStart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niedrobnokomórkowym</w:t>
            </w:r>
            <w:proofErr w:type="spellEnd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rakiem płuc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ekspresją PD-L1 &lt;50%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79C5" w:rsidRPr="004D093B" w14:paraId="41B567AC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539F6A02" w:rsidR="004079C5" w:rsidRPr="0039255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9255B">
              <w:rPr>
                <w:rFonts w:ascii="Lato" w:hAnsi="Lato" w:cstheme="majorHAnsi"/>
                <w:sz w:val="18"/>
                <w:szCs w:val="18"/>
              </w:rPr>
              <w:t>2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1B975C6E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9255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Alecensa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18C1B9C9" w:rsidR="004079C5" w:rsidRPr="0039255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r w:rsidRPr="0039255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le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Pr="0039255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</w:t>
            </w:r>
            <w:r w:rsidRPr="0039255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nib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5B0114FB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538ECD87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9255B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286FA6E9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adjuwantow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całkowitej resekcji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guza</w:t>
            </w: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dorosłych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pacjentów z </w:t>
            </w:r>
            <w:proofErr w:type="spellStart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niedrobnokomórkowym</w:t>
            </w:r>
            <w:proofErr w:type="spellEnd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iem</w:t>
            </w: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płuca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rearanżacją</w:t>
            </w:r>
            <w:proofErr w:type="spellEnd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genie ALK, u których występuje duże ryzyko wznowy choroby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79C5" w:rsidRPr="004D093B" w14:paraId="4193F70D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25B2B5CB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5E8FD047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C729B"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  <w:t>Verzenios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4E361772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4C729B"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  <w:t>abemacyklib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7A58599C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B.9</w:t>
            </w:r>
            <w:r w:rsidR="00E50AB6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.FM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6A3C0ABE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1C751A54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Leczenie </w:t>
            </w:r>
            <w:proofErr w:type="spellStart"/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abemacyklibem</w:t>
            </w:r>
            <w:proofErr w:type="spellEnd"/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w skojarzeniu z hormonoterapią dorosłych pacjentów na HR- dodatniego, HER2-ujemnego wczesnego raka piersi z przerzutami do węzłów chłonnych i wysokim ryzykiem nawrotu.</w:t>
            </w:r>
          </w:p>
        </w:tc>
      </w:tr>
      <w:tr w:rsidR="004079C5" w:rsidRPr="004D093B" w14:paraId="34137848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53F4ED7C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25595502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C729B"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  <w:t>Rubraca</w:t>
            </w:r>
            <w:proofErr w:type="spell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6F1EF6B4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4C729B"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  <w:t>rukaparyb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11EB5473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B.50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0C137967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NA RAKA JAJNIKA, RAKA JAJOWODU LUB RAKA OTRZEWNEJ (ICD-10: C56, C57, C48)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4C9F" w14:textId="62250BAE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Leczenie w </w:t>
            </w:r>
            <w:proofErr w:type="spellStart"/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monoterapii</w:t>
            </w:r>
            <w:proofErr w:type="spellEnd"/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nowo zdiagnozowanego zaawansowanego raka jajnika, raka jajowodu lub pierwotnego raka otrzewnej u dorosłych pacjentek niezależnie od statusu mutacji BRCA i statusu homologicznej rekombinacji (HRD). </w:t>
            </w:r>
          </w:p>
        </w:tc>
      </w:tr>
      <w:tr w:rsidR="004079C5" w:rsidRPr="004D093B" w14:paraId="79F6918C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7647857C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079C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4935BC9B" w:rsidR="004079C5" w:rsidRPr="00D1266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Elrexfio</w:t>
            </w:r>
            <w:proofErr w:type="spell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2D915A4E" w:rsidR="004079C5" w:rsidRPr="00D1266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elranatamab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3C422D91" w:rsidR="004079C5" w:rsidRPr="00D1266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B.54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51DAD53D" w:rsidR="004079C5" w:rsidRPr="00D1266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5C87" w14:textId="17D2D95B" w:rsidR="004079C5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Leczenie od </w:t>
            </w:r>
            <w:r w:rsidR="00735F08">
              <w:rPr>
                <w:rFonts w:ascii="Lato" w:hAnsi="Lato" w:cstheme="majorHAnsi"/>
                <w:sz w:val="18"/>
                <w:szCs w:val="18"/>
              </w:rPr>
              <w:t>4.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linii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elranatamabem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monoterapii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dorosłych chorych na szpiczaka plazmocytowego o stanie sprawności 0-2 wg skali ECOG, u których stosowano uprzednio co najmniej trzy linie leczenia szpiczaka plazmocytowego, w tym zawierające lek immunomodulujący, inhibitor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proteasomu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oraz przeciwciało anty-CD38.</w:t>
            </w:r>
          </w:p>
          <w:p w14:paraId="5F6D2A24" w14:textId="747178F0" w:rsidR="004079C5" w:rsidRPr="00D1266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4079C5" w:rsidRPr="004D093B" w14:paraId="59AF2A0C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B34E" w14:textId="5BB627AC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AD20" w14:textId="40397D7B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Talvey</w:t>
            </w:r>
            <w:proofErr w:type="spell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83C8" w14:textId="788FBFE8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talkwetamab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83B9" w14:textId="3DC21A85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B.54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118B" w14:textId="5A80483E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49E5" w14:textId="5C1EB00B" w:rsidR="004079C5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Leczenie od </w:t>
            </w:r>
            <w:r w:rsidR="00722C84">
              <w:rPr>
                <w:rFonts w:ascii="Lato" w:hAnsi="Lato" w:cstheme="majorHAnsi"/>
                <w:sz w:val="18"/>
                <w:szCs w:val="18"/>
              </w:rPr>
              <w:t>4.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linii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talkwetamabem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monoterapii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dorosłych chorych na szpiczaka plazmocytowego o stanie sprawności 0-2 wg skali ECOG, u których stosowano uprzednio co najmniej trzy linie leczenia szpiczaka plazmocytowego, w tym zawierające lek immunomodulujący, inhibitor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proteasomu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oraz przeciwciało anty-CD38.</w:t>
            </w:r>
          </w:p>
          <w:p w14:paraId="2749EA53" w14:textId="36FF81BA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4079C5" w:rsidRPr="004D093B" w14:paraId="6F8F1099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F8DF" w14:textId="761CE253" w:rsidR="004079C5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72A8" w14:textId="5B195D7B" w:rsidR="004079C5" w:rsidRPr="007C44CD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39255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Talzenna</w:t>
            </w:r>
            <w:proofErr w:type="spell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E633D" w14:textId="77241245" w:rsidR="004079C5" w:rsidRPr="007C44CD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</w:t>
            </w:r>
            <w:r w:rsidRPr="0039255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alazopar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</w:t>
            </w:r>
            <w:r w:rsidRPr="0039255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C438" w14:textId="3DDDD20F" w:rsidR="004079C5" w:rsidRPr="007C44CD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86DD" w14:textId="0D7F4DF1" w:rsidR="004079C5" w:rsidRPr="007C44CD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A30D" w14:textId="31FF653F" w:rsidR="004079C5" w:rsidRPr="007C44CD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talazoparybem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skojarzeniu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enzalutamidem</w:t>
            </w:r>
            <w:proofErr w:type="spellEnd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dorosłych pacjentów z opornym na kastrację rakiem gruczołu krokowego z przerzutami (</w:t>
            </w:r>
            <w:proofErr w:type="spellStart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mCRPC</w:t>
            </w:r>
            <w:proofErr w:type="spellEnd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) i mutacjami w genach HRR (BRCA2, ATM, CDK12, CHECK2, BRCA1, PALB2, RAD51C), u których chemioterapia nie jest klinicznie wskazana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03599" w:rsidRPr="004D093B" w14:paraId="5A7AB3C4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0E95" w14:textId="5899CE52" w:rsidR="00E03599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2FCF" w14:textId="0AC5AFA2" w:rsidR="00E03599" w:rsidRPr="0039255B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158F" w14:textId="5E5DA7A4" w:rsidR="00E03599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4BE02" w14:textId="2C87C4B7" w:rsidR="00E03599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B.59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08E7" w14:textId="02189B81" w:rsidR="00E03599" w:rsidRPr="0039255B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0359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CZERNIAKA SKÓRY LUB BŁON ŚLUZOWYCH (ICD-10: C43)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45E8" w14:textId="0512546C" w:rsidR="00E03599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0359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uzupełniające </w:t>
            </w:r>
            <w:proofErr w:type="spellStart"/>
            <w:r w:rsidRPr="00E03599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E0359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od 12 r. ż. po resekcji czerniaka w stopniu zaawansowania IIB/IIC.</w:t>
            </w:r>
          </w:p>
        </w:tc>
      </w:tr>
      <w:tr w:rsidR="00E03599" w:rsidRPr="004D093B" w14:paraId="57C32FC3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4F03" w14:textId="1F8CFEA7" w:rsidR="00E03599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0E9D" w14:textId="4AC61B53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Calquence</w:t>
            </w:r>
            <w:proofErr w:type="spell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85C8" w14:textId="2D131E3D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akalabrutynib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474F" w14:textId="517BD0E4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9311" w14:textId="1609A6A7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16C2" w14:textId="44E8B94E" w:rsidR="00E03599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 1. linii </w:t>
            </w:r>
            <w:proofErr w:type="spellStart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>akalabrutynib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chorych na przewlekłą białaczkę limfocytową bez del17p, bez mutTP53 i ze zmutowanym statusem </w:t>
            </w:r>
            <w:proofErr w:type="spellStart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>IgHV</w:t>
            </w:r>
            <w:proofErr w:type="spellEnd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(tj. rozszerzenie aktualnie refundowanego wskazania dla </w:t>
            </w:r>
            <w:proofErr w:type="spellStart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>akalabrutynibu</w:t>
            </w:r>
            <w:proofErr w:type="spellEnd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leczenia o populację pacjentów </w:t>
            </w:r>
            <w:proofErr w:type="spellStart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>low-risk</w:t>
            </w:r>
            <w:proofErr w:type="spellEnd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– niskiego ryzyka)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2B00C646" w14:textId="5AB4CBE5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E03599" w:rsidRPr="004D093B" w14:paraId="47FA5CCC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16AE" w14:textId="3F9FE155" w:rsidR="00E03599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D59E" w14:textId="07526F3C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D1266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Jemperli</w:t>
            </w:r>
            <w:proofErr w:type="spell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0862" w14:textId="008209E5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</w:t>
            </w:r>
            <w:r w:rsidRPr="00D1266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ostarlimab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E665A" w14:textId="17C25968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B.148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60DD" w14:textId="15EC9BA3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ENDOMETRIUM (ICD-10: C54)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D3C7" w14:textId="07E3A032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1. linii</w:t>
            </w:r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dostarlimab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karboplatyną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paklitakselem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 następnie w terapii podtrzymującej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dostarlimab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</w:t>
            </w:r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pacjentek z pierwotnym, zaawansowanym lub nawrotowym rakiem endometrium z upośledzeniem naprawy nieprawidłowo sparowanych nukleotydów (ang.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mismatch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repair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deficient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dMMR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wysoką niestabilnością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mikrosatelitarną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(ang.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microsatellite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instability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-high, MSI-H)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7F9CCF36" w14:textId="51B74B46" w:rsidR="004D093B" w:rsidRDefault="004D093B"/>
    <w:p w14:paraId="7FCF9A29" w14:textId="77777777" w:rsidR="004D093B" w:rsidRDefault="004D093B">
      <w:pPr>
        <w:suppressAutoHyphens w:val="0"/>
      </w:pPr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1655"/>
        <w:gridCol w:w="1561"/>
        <w:gridCol w:w="1983"/>
        <w:gridCol w:w="4317"/>
        <w:gridCol w:w="4009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4C447B" w:rsidRPr="004D093B" w14:paraId="1394CD71" w14:textId="77777777" w:rsidTr="004C447B">
        <w:trPr>
          <w:cantSplit/>
          <w:trHeight w:val="628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4C447B" w:rsidRPr="004D093B" w14:paraId="7522F87A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1F7FCCAB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42B60174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5B62845F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bewacyzumab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04CA0DE6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B.70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5683D2DF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CHOROBAMI SIATKÓWKI (ICD-10: H34, H35.3, H36.0)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C9BB" w14:textId="1A3D9632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bewacyzumabem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od 18 r. ż. z zakrzepem żył siatkówki w nowej, dedykowanej części programu „C. LECZENIE PACJENTÓW Z ZAKRZEPEM ŻYŁ SIATKÓWKI (RVO)”</w:t>
            </w:r>
          </w:p>
        </w:tc>
      </w:tr>
      <w:tr w:rsidR="004C447B" w:rsidRPr="004D093B" w14:paraId="67574E71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8471" w14:textId="3CDA2BA4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6D073" w14:textId="0BD5474D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Epclusa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786BE" w14:textId="7FF7F455" w:rsidR="00A45B17" w:rsidRPr="00A45B17" w:rsidRDefault="00ED1CDA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sofosbuwir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+</w:t>
            </w: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welpataswir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255B" w14:textId="7053D744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B.71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D120" w14:textId="5B764FBA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LECZENIE TERAPIĄ BEZINTERFERONOWĄ CHORYCH NA PRZEWLEKŁE WIRUSOWE ZAPALENIE WĄTROBY TYPU C (ICD-10: B18.2)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93E3" w14:textId="57B3463F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Leczenia WZW typu C w populacji pediatrycznej.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mian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zapisu kryterium minimalnego wieku chorego jako wiek 3 lat i powyżej, aktualnie określonego jako od ukończenia 18 r.ż.</w:t>
            </w:r>
          </w:p>
        </w:tc>
      </w:tr>
      <w:tr w:rsidR="004C447B" w:rsidRPr="004D093B" w14:paraId="3A184E3F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576D" w14:textId="18C91137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ADF7" w14:textId="7FC2C540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Harvoni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0AD80" w14:textId="245B5B74" w:rsidR="00A45B17" w:rsidRPr="00A45B17" w:rsidRDefault="00ED1CDA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sofosbuwir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+</w:t>
            </w: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ledipaswir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005D" w14:textId="1D83BFAB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B.71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A2BE" w14:textId="625CD2B1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LECZENIE TERAPIĄ BEZINTERFERONOWĄ CHORYCH NA PRZEWLEKŁE WIRUSOWE ZAPALENIE WĄTROBY TYPU C (ICD-10: B18.2)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F3EC" w14:textId="2A9E4C85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Leczenia WZW typu C w populacji pediatrycznej.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mianie zapisu kryterium minimalnego wieku chorego jako wiek 3 lat i powyżej, aktualnie określonego jako od ukończenia 18 r.ż.</w:t>
            </w:r>
          </w:p>
        </w:tc>
      </w:tr>
      <w:tr w:rsidR="004C447B" w:rsidRPr="004D093B" w14:paraId="2F48F654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683B" w14:textId="74A62E43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6DCE" w14:textId="3188D0A1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Maviret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77E4" w14:textId="4207213F" w:rsidR="00A45B17" w:rsidRPr="00A45B17" w:rsidRDefault="00ED1CDA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glekaprewir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+</w:t>
            </w: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pibrentaswir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29A3" w14:textId="301FA71C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B.71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3AD1" w14:textId="495AAD1F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LECZENIE TERAPIĄ BEZINTERFERONOWĄ CHORYCH NA PRZEWLEKŁE WIRUSOWE ZAPALENIE WĄTROBY TYPU C (ICD-10: B18.2)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2D48" w14:textId="6C215D97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Leczenia WZW typu C w populacji pediatrycznej.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mianie zapisu kryterium minimalnego wieku chorego jako wiek 3 lat i powyżej, aktualnie określonego jako od ukończenia 18 r.ż.</w:t>
            </w:r>
          </w:p>
        </w:tc>
      </w:tr>
      <w:tr w:rsidR="004C447B" w:rsidRPr="004D093B" w14:paraId="7F0C812A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BFD2" w14:textId="2649C4E4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A3D2" w14:textId="6C0CCBE4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Vosevi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8289" w14:textId="542AF124" w:rsidR="00A45B17" w:rsidRPr="00A45B17" w:rsidRDefault="00ED1CDA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sofosbuvir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+</w:t>
            </w: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welpataswir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+</w:t>
            </w: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woksyleprewir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940A" w14:textId="0C402306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B.71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2E68" w14:textId="138C5DB2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LECZENIE TERAPIĄ BEZINTERFERONOWĄ CHORYCH NA PRZEWLEKŁE WIRUSOWE ZAPALENIE WĄTROBY TYPU C (ICD-10: B18.2)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1F66" w14:textId="744962DC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Leczenia WZW typu C w populacji pediatrycznej.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mianie zapisu kryterium minimalnego wieku chorego jako wiek 12 lat i powyżej, aktualnie określonego jako od ukończenia 18 r.ż.</w:t>
            </w:r>
          </w:p>
        </w:tc>
      </w:tr>
      <w:tr w:rsidR="004C447B" w:rsidRPr="004D093B" w14:paraId="51E4037F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1756" w14:textId="77131EBD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1CCD" w14:textId="70BE6885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Nucala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C728" w14:textId="53BCB5D8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mepolizumab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0579" w14:textId="0998FF4E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B.75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BD8C8" w14:textId="4D871306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UKŁADOWYMI ZAPALENIAMI NACZYŃ (ICD-10: M30.1, M31.3, M31.5, M31.6, M31.7, M31.8)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B627" w14:textId="77777777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mepolizumabem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od 6 r. ż. chorych na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eozynofilową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ziarniniakowatość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zapaleniem naczyń w nowej, dedykowanej części programu „III. LECZENIE CHORYCH Z AKTYWNĄ POSTACIĄ EOZYNOFILOWEJ ZIARNINIAKOWATOŚCI Z ZAPALENIEM </w:t>
            </w:r>
            <w:proofErr w:type="gram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NACZYŃ  (</w:t>
            </w:r>
            <w:proofErr w:type="gram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EGPA) (ICD-10: M30.1)”</w:t>
            </w:r>
          </w:p>
          <w:p w14:paraId="45686B2A" w14:textId="40E5E25D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4C447B" w:rsidRPr="004D093B" w14:paraId="5ED86F3E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182C2BF8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267A387B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Kaftrio + </w:t>
            </w:r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Kalydeco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2FEE336C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iwakaftor</w:t>
            </w:r>
            <w:proofErr w:type="spellEnd"/>
            <w:r w:rsidRPr="00A45B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A45B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tezakaftor</w:t>
            </w:r>
            <w:proofErr w:type="spellEnd"/>
            <w:r w:rsidRPr="00A45B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A45B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eleksakaftor</w:t>
            </w:r>
            <w:proofErr w:type="spellEnd"/>
            <w:r w:rsidRPr="00A45B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iwakaftor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1026A614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B.112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35BE06BD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B.112. LECZENIE CHORYCH NA MUKOWISCYDOZĘ (ICD-10: E84)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4059" w14:textId="77777777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iwakaftorem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tezakaftorem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eleksakaftorem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iwakaftorem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z mukowiscydozą w wieku 2 lat i powyżej, z co najmniej jedną mutacją F508del genu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mukowiscydozowego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przezbłonowego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regulatora przewodnictwa.</w:t>
            </w:r>
          </w:p>
          <w:p w14:paraId="790C1040" w14:textId="08527F4F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4C447B" w:rsidRPr="004D093B" w14:paraId="5CE97390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104F49A2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0870D121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Livtencity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6B138832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maribawir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4E89FAF6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B.168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716EBC5C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NIEREAGUJĄCYM LUB OPORNYM NA LECZENIE ZAKAŻENIEM WIRUSEM CYTOMEGALII (CMV) (ICD-10: B25.0, B25.1, B25.2, B25.8, B25.9)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806" w14:textId="6A58142C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2. lub kolejnej linii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maribawirem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po przeszczepieniu krwiotwórczych komórek macierzystych lub narządu litego zakażonych wirusem cytomegalii (CMV).</w:t>
            </w:r>
          </w:p>
        </w:tc>
      </w:tr>
      <w:tr w:rsidR="004C447B" w:rsidRPr="004D093B" w14:paraId="1013F3CB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1B68" w14:textId="458CAB60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564D" w14:textId="7FCFEB2F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Nucala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82A3" w14:textId="667E7331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mepolizumab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B009" w14:textId="1C16083A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B.169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16D2" w14:textId="1446625A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ZESPOŁEM HIPEREOZYNOFILOWYM (HES) (ICD-10: D72.11)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E2E5" w14:textId="5429B443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="Arial"/>
                <w:bCs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 xml:space="preserve">Leczenie pacjentów dorosłych z rozpoznaniem zespołu </w:t>
            </w:r>
            <w:proofErr w:type="spellStart"/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>hipereozynofilowego</w:t>
            </w:r>
            <w:proofErr w:type="spellEnd"/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 xml:space="preserve"> (HES), niewystarczająco kontrolowanego (wystąpienie co najmniej dwóch zaostrzeń HES w ostatnim roku, z liczbą </w:t>
            </w:r>
            <w:proofErr w:type="spellStart"/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>eozynofilów</w:t>
            </w:r>
            <w:proofErr w:type="spellEnd"/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 xml:space="preserve"> ≥1000 kom./</w:t>
            </w:r>
            <w:proofErr w:type="spellStart"/>
            <w:r w:rsidRPr="00A45B17">
              <w:rPr>
                <w:rFonts w:cs="Calibri"/>
                <w:bCs/>
                <w:color w:val="000000"/>
                <w:sz w:val="18"/>
                <w:szCs w:val="18"/>
              </w:rPr>
              <w:t>μ</w:t>
            </w:r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>l</w:t>
            </w:r>
            <w:proofErr w:type="spellEnd"/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 xml:space="preserve"> w momencie kwalifikacji albo w ci</w:t>
            </w:r>
            <w:r w:rsidRPr="00A45B17">
              <w:rPr>
                <w:rFonts w:ascii="Lato" w:hAnsi="Lato" w:cs="Lato"/>
                <w:bCs/>
                <w:color w:val="000000"/>
                <w:sz w:val="18"/>
                <w:szCs w:val="18"/>
              </w:rPr>
              <w:t>ą</w:t>
            </w:r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>gu 12 miesi</w:t>
            </w:r>
            <w:r w:rsidRPr="00A45B17">
              <w:rPr>
                <w:rFonts w:ascii="Lato" w:hAnsi="Lato" w:cs="Lato"/>
                <w:bCs/>
                <w:color w:val="000000"/>
                <w:sz w:val="18"/>
                <w:szCs w:val="18"/>
              </w:rPr>
              <w:t>ę</w:t>
            </w:r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>cy poprzedzaj</w:t>
            </w:r>
            <w:r w:rsidRPr="00A45B17">
              <w:rPr>
                <w:rFonts w:ascii="Lato" w:hAnsi="Lato" w:cs="Lato"/>
                <w:bCs/>
                <w:color w:val="000000"/>
                <w:sz w:val="18"/>
                <w:szCs w:val="18"/>
              </w:rPr>
              <w:t>ą</w:t>
            </w:r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>cych kwalifikacj</w:t>
            </w:r>
            <w:r w:rsidRPr="00A45B17">
              <w:rPr>
                <w:rFonts w:ascii="Lato" w:hAnsi="Lato" w:cs="Lato"/>
                <w:bCs/>
                <w:color w:val="000000"/>
                <w:sz w:val="18"/>
                <w:szCs w:val="18"/>
              </w:rPr>
              <w:t>ę</w:t>
            </w:r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 xml:space="preserve"> chorego do leczenia w programie.</w:t>
            </w:r>
          </w:p>
          <w:p w14:paraId="6CA8500D" w14:textId="5A0860FA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4C447B" w:rsidRPr="004D093B" w14:paraId="6D899FDB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4E4E030C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15184FD9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Amvuttra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60BBF054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wutrisiran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24FF9EB5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B.170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7D785792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00110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PACJENTÓW Z POLINEUROPATIĄ W I LUB II STADIUM ZAAWANSOWANIA W PRZEBIEGU DZIEDZICZNEJ AMYLOIDOZY TRANSTYRETYNOWEJ (ICD-10 E85.1)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89BB" w14:textId="77777777" w:rsid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refundacją leku z grupy terapii wyciszających geny w dziedzicznej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amyloidozie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transtyretynowej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przebiegającej z polineuropatią, w populacji pacjentów powyżej 18 r.ż. </w:t>
            </w:r>
          </w:p>
          <w:p w14:paraId="7A6E1E34" w14:textId="6AE490FD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4C447B" w:rsidRPr="004D093B" w14:paraId="1AF8AB98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44BDB661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5C18" w14:textId="6D4887C2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C5DE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Kinpeygo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128D0D33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</w:t>
            </w:r>
            <w:r w:rsidRPr="00DC5DE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udesoni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48400A69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B.171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5BDC306A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C5DE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Z PIERWOTNĄ NEFROPATIĄ </w:t>
            </w:r>
            <w:proofErr w:type="spellStart"/>
            <w:r w:rsidRPr="00DC5DEB">
              <w:rPr>
                <w:rFonts w:ascii="Lato" w:hAnsi="Lato" w:cstheme="majorHAnsi"/>
                <w:color w:val="000000"/>
                <w:sz w:val="18"/>
                <w:szCs w:val="18"/>
              </w:rPr>
              <w:t>IgA</w:t>
            </w:r>
            <w:proofErr w:type="spellEnd"/>
            <w:r w:rsidRPr="00DC5DE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(ICD-10: N02.8)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5D71" w14:textId="293A3D48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Pr="00AA014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osób dorosłych z pierwotną nefropatią </w:t>
            </w:r>
            <w:proofErr w:type="spellStart"/>
            <w:r w:rsidRPr="00AA0145">
              <w:rPr>
                <w:rFonts w:ascii="Lato" w:hAnsi="Lato" w:cstheme="majorHAnsi"/>
                <w:color w:val="000000"/>
                <w:sz w:val="18"/>
                <w:szCs w:val="18"/>
              </w:rPr>
              <w:t>IgA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169C5300" w14:textId="177F7F2B" w:rsidR="004D093B" w:rsidRDefault="004D093B">
      <w:pPr>
        <w:suppressAutoHyphens w:val="0"/>
        <w:rPr>
          <w:rFonts w:ascii="Lato" w:hAnsi="Lato"/>
        </w:rPr>
      </w:pP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638"/>
        <w:gridCol w:w="2524"/>
        <w:gridCol w:w="9192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E50AB6" w:rsidRPr="004D093B" w14:paraId="50DA02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64D50FB1" w:rsidR="00E50AB6" w:rsidRP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50AB6"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61E6F141" w:rsidR="00E50AB6" w:rsidRP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E50AB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B.25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73C2366F" w:rsidR="00E50AB6" w:rsidRPr="00E50AB6" w:rsidRDefault="00E50AB6" w:rsidP="00E50AB6">
            <w:pPr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50AB6">
              <w:rPr>
                <w:rFonts w:ascii="Lato" w:hAnsi="Lato"/>
                <w:sz w:val="18"/>
                <w:szCs w:val="18"/>
              </w:rPr>
              <w:t>LECZENIE PACJENTÓW Z MUKOPOLISACHARYDOZĄ TYPU II (ZESPÓŁ HUNTERA) (ICD-10 E 76.1)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7CAF28C5" w:rsidR="00E50AB6" w:rsidRPr="00E50AB6" w:rsidRDefault="00E50AB6" w:rsidP="00E50AB6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E50AB6">
              <w:rPr>
                <w:rFonts w:ascii="Lato" w:hAnsi="Lato" w:cstheme="majorHAnsi"/>
                <w:sz w:val="18"/>
                <w:szCs w:val="18"/>
              </w:rPr>
              <w:t xml:space="preserve">Kompleksowa zmiana treści programu lekowego obejmująca wszystkie jego składowe. Główna zmiana dotyczy zniesienia kryterium wiekowego stosowania </w:t>
            </w:r>
            <w:proofErr w:type="spellStart"/>
            <w:r w:rsidRPr="00E50AB6">
              <w:rPr>
                <w:rFonts w:ascii="Lato" w:hAnsi="Lato" w:cstheme="majorHAnsi"/>
                <w:sz w:val="18"/>
                <w:szCs w:val="18"/>
              </w:rPr>
              <w:t>idursulfazy</w:t>
            </w:r>
            <w:proofErr w:type="spellEnd"/>
            <w:r w:rsidRPr="00E50AB6">
              <w:rPr>
                <w:rFonts w:ascii="Lato" w:hAnsi="Lato" w:cstheme="majorHAnsi"/>
                <w:sz w:val="18"/>
                <w:szCs w:val="18"/>
              </w:rPr>
              <w:t xml:space="preserve"> u pacjentów poniżej 5 r.ż. Dodatkowo wprowadzono liczne zmiany ujednolicające i porządkujące. </w:t>
            </w:r>
          </w:p>
        </w:tc>
      </w:tr>
      <w:tr w:rsidR="00E50AB6" w:rsidRPr="004D093B" w14:paraId="571B083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7C8DF49F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3D2513C1" w:rsidR="00E50AB6" w:rsidRPr="004079C5" w:rsidRDefault="00E50AB6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4079C5">
              <w:rPr>
                <w:rFonts w:ascii="Lato" w:hAnsi="Lato"/>
                <w:b/>
                <w:bCs/>
                <w:sz w:val="18"/>
                <w:szCs w:val="18"/>
              </w:rPr>
              <w:t>B.29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79649326" w:rsidR="00E50AB6" w:rsidRPr="004079C5" w:rsidRDefault="00E50AB6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079C5">
              <w:rPr>
                <w:rFonts w:ascii="Lato" w:hAnsi="Lato"/>
                <w:sz w:val="18"/>
                <w:szCs w:val="18"/>
              </w:rPr>
              <w:t>LECZENIE CHORYCH NA STWARDNIENIE ROZSIANE (ICD-10: G35)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6CF1AFAB" w:rsidR="00E50AB6" w:rsidRPr="004079C5" w:rsidRDefault="00E50AB6" w:rsidP="00E50AB6">
            <w:pPr>
              <w:pStyle w:val="Style2"/>
              <w:widowControl/>
              <w:spacing w:before="60" w:after="60" w:line="240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4079C5">
              <w:rPr>
                <w:rFonts w:ascii="Lato" w:hAnsi="Lato"/>
                <w:sz w:val="18"/>
                <w:szCs w:val="18"/>
              </w:rPr>
              <w:t xml:space="preserve">W przypadku rozpoznania postaci rzutowo - </w:t>
            </w:r>
            <w:proofErr w:type="spellStart"/>
            <w:r w:rsidRPr="004079C5">
              <w:rPr>
                <w:rFonts w:ascii="Lato" w:hAnsi="Lato"/>
                <w:sz w:val="18"/>
                <w:szCs w:val="18"/>
              </w:rPr>
              <w:t>remisyjnej</w:t>
            </w:r>
            <w:proofErr w:type="spellEnd"/>
            <w:r w:rsidRPr="004079C5">
              <w:rPr>
                <w:rFonts w:ascii="Lato" w:hAnsi="Lato"/>
                <w:sz w:val="18"/>
                <w:szCs w:val="18"/>
              </w:rPr>
              <w:t xml:space="preserve"> stwardnienia rozsianego kryterium kwalifikacji to wystąpienie minimum 1 rzutu klinicznego albo co najmniej 1 nowe ognisko GD+ w okresie 12 miesięcy przed kwalifikacją. Zmiana dotyczy ujednolicenia tego zapisu dla każdego leku refundowanego w ramach I linii RRMS. Dotychczas do leczenia kladrybiną kwalifikowano pacjentów, u których wystąpiły minimum 2 rzuty kliniczne (niezależnie od zmian MRI).</w:t>
            </w:r>
          </w:p>
        </w:tc>
      </w:tr>
      <w:tr w:rsidR="00E50AB6" w:rsidRPr="004D093B" w14:paraId="67293BB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12801BDC" w:rsidR="00E50AB6" w:rsidRP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50AB6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15F6FAEC" w:rsidR="00E50AB6" w:rsidRP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50AB6">
              <w:rPr>
                <w:rFonts w:ascii="Lato" w:hAnsi="Lato"/>
                <w:b/>
                <w:bCs/>
                <w:sz w:val="18"/>
                <w:szCs w:val="18"/>
              </w:rPr>
              <w:t>B.59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67293B80" w:rsidR="00E50AB6" w:rsidRPr="00E50AB6" w:rsidRDefault="00E50AB6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E50AB6">
              <w:rPr>
                <w:rFonts w:ascii="Lato" w:hAnsi="Lato"/>
                <w:sz w:val="18"/>
                <w:szCs w:val="18"/>
              </w:rPr>
              <w:t>LECZENIE CHORYCH NA CZERNIAKA SKÓRY LUB BŁON ŚLUZOWYCH (ICD-10: C43)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84DF" w14:textId="64D19B1C" w:rsidR="00E50AB6" w:rsidRPr="00E50AB6" w:rsidRDefault="00E50AB6" w:rsidP="00E50AB6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50AB6">
              <w:rPr>
                <w:rFonts w:ascii="Lato" w:hAnsi="Lato"/>
                <w:sz w:val="18"/>
                <w:szCs w:val="18"/>
              </w:rPr>
              <w:t xml:space="preserve">Modyfikacja zapisów umożliwiających stosowanie </w:t>
            </w:r>
            <w:proofErr w:type="spellStart"/>
            <w:r w:rsidRPr="00E50AB6">
              <w:rPr>
                <w:rFonts w:ascii="Lato" w:hAnsi="Lato"/>
                <w:sz w:val="18"/>
                <w:szCs w:val="18"/>
              </w:rPr>
              <w:t>niwolumabu</w:t>
            </w:r>
            <w:proofErr w:type="spellEnd"/>
            <w:r w:rsidRPr="00E50AB6">
              <w:rPr>
                <w:rFonts w:ascii="Lato" w:hAnsi="Lato"/>
                <w:sz w:val="18"/>
                <w:szCs w:val="18"/>
              </w:rPr>
              <w:t xml:space="preserve"> w leczeniu </w:t>
            </w:r>
            <w:proofErr w:type="spellStart"/>
            <w:r w:rsidRPr="00E50AB6">
              <w:rPr>
                <w:rFonts w:ascii="Lato" w:hAnsi="Lato"/>
                <w:sz w:val="18"/>
                <w:szCs w:val="18"/>
              </w:rPr>
              <w:t>adjuwantowym</w:t>
            </w:r>
            <w:proofErr w:type="spellEnd"/>
            <w:r w:rsidRPr="00E50AB6">
              <w:rPr>
                <w:rFonts w:ascii="Lato" w:hAnsi="Lato"/>
                <w:sz w:val="18"/>
                <w:szCs w:val="18"/>
              </w:rPr>
              <w:t xml:space="preserve"> czerniaka w stopniu zaawansowania IIB i IIC.</w:t>
            </w:r>
          </w:p>
        </w:tc>
      </w:tr>
      <w:tr w:rsidR="00E50AB6" w:rsidRPr="004D093B" w14:paraId="427A8655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964B" w14:textId="546DF4AF" w:rsidR="00E50AB6" w:rsidRP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50AB6"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DBB4C" w14:textId="1950BC36" w:rsidR="00E50AB6" w:rsidRPr="00E50AB6" w:rsidRDefault="00E50AB6" w:rsidP="00E50AB6">
            <w:pPr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E50AB6">
              <w:rPr>
                <w:rFonts w:ascii="Lato" w:hAnsi="Lato"/>
                <w:b/>
                <w:bCs/>
                <w:sz w:val="18"/>
                <w:szCs w:val="18"/>
              </w:rPr>
              <w:t>B.70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3CC8" w14:textId="495126E7" w:rsidR="00E50AB6" w:rsidRPr="00E50AB6" w:rsidRDefault="00E50AB6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50AB6">
              <w:rPr>
                <w:rFonts w:ascii="Lato" w:hAnsi="Lato"/>
                <w:sz w:val="18"/>
                <w:szCs w:val="18"/>
              </w:rPr>
              <w:t>LECZENIE PACJENTÓW Z CHOROBAMI SIATKÓWKI (ICD-10: H34, H35.3, H36.0)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AD42" w14:textId="494E4A1A" w:rsidR="00E50AB6" w:rsidRPr="00E50AB6" w:rsidRDefault="00E50AB6" w:rsidP="00E50AB6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/>
                <w:sz w:val="18"/>
                <w:szCs w:val="18"/>
              </w:rPr>
            </w:pPr>
            <w:r w:rsidRPr="00E50AB6">
              <w:rPr>
                <w:rFonts w:ascii="Lato" w:hAnsi="Lato"/>
                <w:sz w:val="18"/>
                <w:szCs w:val="18"/>
              </w:rPr>
              <w:t xml:space="preserve">Zmiany dotyczące częstości podawania </w:t>
            </w:r>
            <w:proofErr w:type="spellStart"/>
            <w:r w:rsidRPr="00E50AB6">
              <w:rPr>
                <w:rFonts w:ascii="Lato" w:hAnsi="Lato"/>
                <w:sz w:val="18"/>
                <w:szCs w:val="18"/>
              </w:rPr>
              <w:t>farycymabu</w:t>
            </w:r>
            <w:proofErr w:type="spellEnd"/>
            <w:r w:rsidRPr="00E50AB6">
              <w:rPr>
                <w:rFonts w:ascii="Lato" w:hAnsi="Lato"/>
                <w:sz w:val="18"/>
                <w:szCs w:val="18"/>
              </w:rPr>
              <w:t xml:space="preserve"> – skrócenie czasu trwania fazy nasycającej z 4 miesięcy do 3.</w:t>
            </w:r>
          </w:p>
        </w:tc>
      </w:tr>
      <w:tr w:rsidR="00E50AB6" w:rsidRPr="004D093B" w14:paraId="2AD637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5FC5" w14:textId="1E568AAC" w:rsidR="00E50AB6" w:rsidRPr="004C729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B320" w14:textId="63CE76C0" w:rsidR="00E50AB6" w:rsidRPr="004C729B" w:rsidRDefault="00E50AB6" w:rsidP="00E50AB6">
            <w:pPr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B.96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B30E" w14:textId="02AE9EF0" w:rsidR="00E50AB6" w:rsidRPr="004C729B" w:rsidRDefault="00E50AB6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C729B">
              <w:rPr>
                <w:rFonts w:ascii="Lato" w:hAnsi="Lato"/>
                <w:sz w:val="18"/>
                <w:szCs w:val="18"/>
              </w:rPr>
              <w:t>LECZENIE CHORYCH Z NOCNĄ NAPADOWĄ HEMOGLOBINURIĄ (PNH) (ICD-10 D59.5)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01FB" w14:textId="77777777" w:rsidR="00E50AB6" w:rsidRPr="004C729B" w:rsidRDefault="00E50AB6" w:rsidP="00E50AB6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sz w:val="18"/>
                <w:szCs w:val="18"/>
              </w:rPr>
              <w:t xml:space="preserve">Zmiany dotyczące sposobu podawania </w:t>
            </w:r>
            <w:proofErr w:type="spellStart"/>
            <w:r w:rsidRPr="004C729B">
              <w:rPr>
                <w:rFonts w:ascii="Lato" w:hAnsi="Lato" w:cstheme="majorHAnsi"/>
                <w:sz w:val="18"/>
                <w:szCs w:val="18"/>
              </w:rPr>
              <w:t>pegcetakoplanu</w:t>
            </w:r>
            <w:proofErr w:type="spellEnd"/>
            <w:r w:rsidRPr="004C729B">
              <w:rPr>
                <w:rFonts w:ascii="Lato" w:hAnsi="Lato" w:cstheme="majorHAnsi"/>
                <w:sz w:val="18"/>
                <w:szCs w:val="18"/>
              </w:rPr>
              <w:t>:</w:t>
            </w:r>
          </w:p>
          <w:p w14:paraId="1A9CB4C8" w14:textId="77777777" w:rsidR="00E50AB6" w:rsidRPr="004C729B" w:rsidRDefault="00E50AB6" w:rsidP="00E50AB6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sz w:val="18"/>
                <w:szCs w:val="18"/>
              </w:rPr>
              <w:t>1. skrócenie obowiązku podawania leku w ośrodku z 3 miesięcy do 3 pierwszych podań, co umożliwia szybsze</w:t>
            </w:r>
            <w:r w:rsidRPr="004C729B">
              <w:t xml:space="preserve"> </w:t>
            </w:r>
            <w:r w:rsidRPr="004C729B">
              <w:rPr>
                <w:rFonts w:ascii="Lato" w:hAnsi="Lato" w:cstheme="majorHAnsi"/>
                <w:sz w:val="18"/>
                <w:szCs w:val="18"/>
              </w:rPr>
              <w:t>stosowanie leku w warunkach domowych;</w:t>
            </w:r>
          </w:p>
          <w:p w14:paraId="34B93824" w14:textId="07D9D34E" w:rsidR="00E50AB6" w:rsidRPr="004C729B" w:rsidRDefault="00E50AB6" w:rsidP="00E50AB6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sz w:val="18"/>
                <w:szCs w:val="18"/>
              </w:rPr>
              <w:t xml:space="preserve">2. wprowadzenie opcjonalnego wykonywania </w:t>
            </w:r>
            <w:proofErr w:type="spellStart"/>
            <w:r w:rsidRPr="004C729B">
              <w:rPr>
                <w:rFonts w:ascii="Lato" w:hAnsi="Lato" w:cstheme="majorHAnsi"/>
                <w:sz w:val="18"/>
                <w:szCs w:val="18"/>
              </w:rPr>
              <w:t>trepanobiopsji</w:t>
            </w:r>
            <w:proofErr w:type="spellEnd"/>
            <w:r w:rsidRPr="004C729B">
              <w:rPr>
                <w:rFonts w:ascii="Lato" w:hAnsi="Lato" w:cstheme="majorHAnsi"/>
                <w:sz w:val="18"/>
                <w:szCs w:val="18"/>
              </w:rPr>
              <w:t xml:space="preserve">, tylko </w:t>
            </w:r>
            <w:proofErr w:type="gramStart"/>
            <w:r w:rsidRPr="004C729B">
              <w:rPr>
                <w:rFonts w:ascii="Lato" w:hAnsi="Lato" w:cstheme="majorHAnsi"/>
                <w:sz w:val="18"/>
                <w:szCs w:val="18"/>
              </w:rPr>
              <w:t>wówczas</w:t>
            </w:r>
            <w:proofErr w:type="gramEnd"/>
            <w:r w:rsidRPr="004C729B">
              <w:rPr>
                <w:rFonts w:ascii="Lato" w:hAnsi="Lato" w:cstheme="majorHAnsi"/>
                <w:sz w:val="18"/>
                <w:szCs w:val="18"/>
              </w:rPr>
              <w:t xml:space="preserve"> jeśli jest podejrzenie współistniejącej aplazji szpiku lub zespołu </w:t>
            </w:r>
            <w:proofErr w:type="spellStart"/>
            <w:r w:rsidRPr="004C729B">
              <w:rPr>
                <w:rFonts w:ascii="Lato" w:hAnsi="Lato" w:cstheme="majorHAnsi"/>
                <w:sz w:val="18"/>
                <w:szCs w:val="18"/>
              </w:rPr>
              <w:t>mielodysplastycznego</w:t>
            </w:r>
            <w:proofErr w:type="spellEnd"/>
            <w:r w:rsidRPr="004C729B">
              <w:rPr>
                <w:rFonts w:ascii="Lato" w:hAnsi="Lato" w:cstheme="majorHAnsi"/>
                <w:sz w:val="18"/>
                <w:szCs w:val="18"/>
              </w:rPr>
              <w:t>;</w:t>
            </w:r>
          </w:p>
          <w:p w14:paraId="131F1786" w14:textId="79ACFD8D" w:rsidR="00E50AB6" w:rsidRPr="004C729B" w:rsidRDefault="00E50AB6" w:rsidP="00E50AB6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sz w:val="18"/>
                <w:szCs w:val="18"/>
              </w:rPr>
              <w:t xml:space="preserve">3. wydłużenie, począwszy od 10 tygodnia stosowania </w:t>
            </w:r>
            <w:proofErr w:type="spellStart"/>
            <w:r w:rsidRPr="004C729B">
              <w:rPr>
                <w:rFonts w:ascii="Lato" w:hAnsi="Lato" w:cstheme="majorHAnsi"/>
                <w:sz w:val="18"/>
                <w:szCs w:val="18"/>
              </w:rPr>
              <w:t>pegcetakoplanu</w:t>
            </w:r>
            <w:proofErr w:type="spellEnd"/>
            <w:r w:rsidRPr="004C729B">
              <w:rPr>
                <w:rFonts w:ascii="Lato" w:hAnsi="Lato" w:cstheme="majorHAnsi"/>
                <w:sz w:val="18"/>
                <w:szCs w:val="18"/>
              </w:rPr>
              <w:t>, czasu pomiędzy kolejnymi badaniami monitorującymi z 4 tygodni do 8 tygodni.</w:t>
            </w:r>
          </w:p>
        </w:tc>
      </w:tr>
      <w:tr w:rsidR="00E50AB6" w:rsidRPr="004D093B" w14:paraId="005A9631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8531" w14:textId="7912A6AC" w:rsidR="00E50AB6" w:rsidRPr="004C729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8796" w14:textId="18E86193" w:rsidR="00E50AB6" w:rsidRPr="004C729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B.139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056B7" w14:textId="25F3F1BC" w:rsidR="00E50AB6" w:rsidRPr="004C729B" w:rsidRDefault="00E50AB6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LECZENIE PACJENTÓW Z NOWOTWORAMI NEUROENDOKRYNNYMI UKŁADU POKARMOWEGO Z ZASTOSOWANIEM RADIOFARMACEUTYKÓW (ICD-10: C25.4, C17.0-C17.9, C18.0-C18.4)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806C" w14:textId="06952BDE" w:rsidR="00E50AB6" w:rsidRPr="004C729B" w:rsidRDefault="00B7722F" w:rsidP="00E50AB6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/>
                <w:sz w:val="18"/>
                <w:szCs w:val="18"/>
              </w:rPr>
              <w:t>Zmieniono nazewnictwo</w:t>
            </w:r>
            <w:r w:rsidR="00E50AB6" w:rsidRPr="004C729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znacznika stosowanego w diagnostyce PET/CT i SPECT/CT oraz kryteria kwalifikacji (w części A oraz B) w zakresach czasu oceny stopnia zaawansowania choroby z zastosowaniem badań obrazowych.</w:t>
            </w:r>
          </w:p>
        </w:tc>
      </w:tr>
      <w:tr w:rsidR="00E50AB6" w:rsidRPr="004D093B" w14:paraId="42FEE833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85D6" w14:textId="5B910B8B" w:rsidR="00E50AB6" w:rsidRPr="004C729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4CC4" w14:textId="5E8C75B8" w:rsidR="00E50AB6" w:rsidRPr="004C729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B.155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D5F1" w14:textId="4D8D07D5" w:rsidR="00E50AB6" w:rsidRPr="004C729B" w:rsidRDefault="00E50AB6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sz w:val="18"/>
                <w:szCs w:val="18"/>
              </w:rPr>
              <w:t>LECZENIE CHORYCH Z NERWIAKOWŁÓKNIAKAMI SPLOTOWATYMI W PRZEBIEGU NEUROFIBROMATOZY TYPU 1 (NF1) (ICD-10: Q85.0)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4571F" w14:textId="3672571D" w:rsidR="00E50AB6" w:rsidRPr="004C729B" w:rsidRDefault="00E50AB6" w:rsidP="00E50AB6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sz w:val="18"/>
                <w:szCs w:val="18"/>
              </w:rPr>
              <w:t>Wydłużenie okresu pomiędzy wykonywaniem kontrolnego badania wolumetrycznego MRI w pierwszych 2 latach z 4 do 6 miesięcy.</w:t>
            </w:r>
          </w:p>
        </w:tc>
      </w:tr>
      <w:tr w:rsidR="00E50AB6" w:rsidRPr="004D093B" w14:paraId="66D571B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7F7B89D9" w:rsidR="00E50AB6" w:rsidRPr="004C729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478F3ED3" w:rsidR="00E50AB6" w:rsidRPr="004C729B" w:rsidRDefault="00E50AB6" w:rsidP="00E50AB6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729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B.119 / C.89.d.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5D6A0349" w:rsidR="00E50AB6" w:rsidRPr="004C729B" w:rsidRDefault="00E50AB6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4C729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LECZENIE PACJENTÓW ZE ZRÓŻNICOWANYM RAKIEM TARCZYCY (ICD-10: C 73) /</w:t>
            </w:r>
            <w:r w:rsidRPr="004C729B">
              <w:t xml:space="preserve"> </w:t>
            </w:r>
            <w:r w:rsidRPr="004C729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C.89.d. SORAFENIB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9C4" w14:textId="470CF12B" w:rsidR="00E50AB6" w:rsidRPr="004C729B" w:rsidRDefault="00E50AB6" w:rsidP="00E50AB6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dla substancji czynnej </w:t>
            </w:r>
            <w:proofErr w:type="spellStart"/>
            <w:r w:rsidRPr="004C729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sorafenib</w:t>
            </w:r>
            <w:proofErr w:type="spellEnd"/>
            <w:r w:rsidRPr="004C729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stosowanej w leczeniu zróżnicowanego raka tarczycy, z programu lekowego na katalog chemioterapii- załącznik C.89.d. SORAFENIB. W programie lekowym pozostanie refundowany </w:t>
            </w:r>
            <w:proofErr w:type="spellStart"/>
            <w:r w:rsidRPr="004C729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kabozantynib</w:t>
            </w:r>
            <w:proofErr w:type="spellEnd"/>
            <w:r w:rsidRPr="004C729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 po nieskuteczności terapii </w:t>
            </w:r>
            <w:proofErr w:type="spellStart"/>
            <w:r w:rsidRPr="004C729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sorafenibem</w:t>
            </w:r>
            <w:proofErr w:type="spellEnd"/>
            <w:r w:rsidRPr="004C729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</w:p>
        </w:tc>
      </w:tr>
    </w:tbl>
    <w:p w14:paraId="052EAE3A" w14:textId="32324870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</w:p>
    <w:p w14:paraId="1EAE29C1" w14:textId="77777777" w:rsidR="004C447B" w:rsidRDefault="004C447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113E50CB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C938F8" w:rsidRPr="004D093B" w14:paraId="3E62A70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2584D92B" w:rsidR="00C938F8" w:rsidRPr="004D093B" w:rsidRDefault="0075268E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3B497F8D" w:rsidR="00C938F8" w:rsidRPr="004D093B" w:rsidRDefault="00C938F8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Abrysvo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0DAF09E9" w:rsidR="00C938F8" w:rsidRPr="004D093B" w:rsidRDefault="00C938F8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zczepionka przeciw </w:t>
            </w:r>
            <w:proofErr w:type="spellStart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syncytialnemu</w:t>
            </w:r>
            <w:proofErr w:type="spellEnd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wirusowi oddechowemu (RSV) (</w:t>
            </w:r>
            <w:proofErr w:type="spellStart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biwalentna</w:t>
            </w:r>
            <w:proofErr w:type="spellEnd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, rekombinowana)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0F1BE047" w:rsidR="00C938F8" w:rsidRPr="004D093B" w:rsidRDefault="00C938F8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RSV u niemowląt poprzez zaszczepienie matki w okresie ciąży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3B77B2D9" w:rsidR="00C938F8" w:rsidRPr="004D093B" w:rsidRDefault="00C938F8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pierwszej szczepionki przeciw RSV w celu objęcia profilaktyką dzieci od urodzenia do 6 miesiąca życia po zaszczepieniu matki w ostatnich tygodniach ciąży.</w:t>
            </w:r>
          </w:p>
        </w:tc>
      </w:tr>
      <w:tr w:rsidR="00C938F8" w:rsidRPr="004D093B" w14:paraId="6E8A191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3BFD409D" w:rsidR="00C938F8" w:rsidRPr="004D093B" w:rsidRDefault="0075268E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7A150B5E" w:rsidR="00C938F8" w:rsidRPr="004D093B" w:rsidRDefault="00C938F8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Abrysvo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1461FB81" w:rsidR="00C938F8" w:rsidRPr="004D093B" w:rsidRDefault="00C938F8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zczepionka przeciw </w:t>
            </w:r>
            <w:proofErr w:type="spellStart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syncytialnemu</w:t>
            </w:r>
            <w:proofErr w:type="spellEnd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wirusowi oddechowemu (RSV) (</w:t>
            </w:r>
            <w:proofErr w:type="spellStart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biwalentna</w:t>
            </w:r>
            <w:proofErr w:type="spellEnd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, rekombinowana)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0DFA3C23" w:rsidR="00C938F8" w:rsidRPr="004D093B" w:rsidRDefault="00C938F8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RSV u pacjentów w wieku 60 lat i starszych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3724" w14:textId="53E1CE00" w:rsidR="00C938F8" w:rsidRPr="004D093B" w:rsidRDefault="00C938F8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pierwszej szczepionki przeciw RSV w celu objęcia profilaktyką pacjentów powyżej 60 roku życia.</w:t>
            </w:r>
          </w:p>
        </w:tc>
      </w:tr>
      <w:tr w:rsidR="0075268E" w:rsidRPr="004D093B" w14:paraId="0C27651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2B7566AA" w:rsidR="0075268E" w:rsidRPr="004D093B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24A9" w14:textId="4B91F3B9" w:rsidR="0075268E" w:rsidRPr="004D093B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73295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Flecainide</w:t>
            </w:r>
            <w:proofErr w:type="spellEnd"/>
            <w:r w:rsidRPr="0073295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295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acetate</w:t>
            </w:r>
            <w:proofErr w:type="spellEnd"/>
            <w:r w:rsidRPr="0073295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295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Holsten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393FEEE0" w:rsidR="0075268E" w:rsidRPr="004D093B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73295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flekainid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64BBEC14" w:rsidR="0075268E" w:rsidRPr="004D093B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Zaburzenia rytmu serca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99E7" w14:textId="77777777" w:rsidR="0075268E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nie ujętej na wykazie substancji czynnej.</w:t>
            </w:r>
          </w:p>
          <w:p w14:paraId="41D464AF" w14:textId="3388F634" w:rsidR="0075268E" w:rsidRPr="004D093B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75268E" w:rsidRPr="004D093B" w14:paraId="0B571026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64E4" w14:textId="390FCB2E" w:rsidR="0075268E" w:rsidRPr="004D093B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3D06" w14:textId="1AD5856B" w:rsidR="0075268E" w:rsidRPr="009C0460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15B2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Iporel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B984" w14:textId="6C13D100" w:rsidR="0075268E" w:rsidRDefault="006911A1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="0075268E" w:rsidRPr="0073295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lonidyna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C87C" w14:textId="2C08F5D0" w:rsidR="0075268E" w:rsidRPr="00751EEF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E43B" w14:textId="78514AFA" w:rsidR="0075268E" w:rsidRDefault="006911A1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nowej substancji czynnej</w:t>
            </w:r>
            <w:r w:rsidR="0075268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we wskazaniu określonym stanem klinicznym.</w:t>
            </w:r>
          </w:p>
          <w:p w14:paraId="3539F41F" w14:textId="78A2AA0F" w:rsidR="0075268E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75268E" w:rsidRPr="004D093B" w14:paraId="259796D7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AEB4" w14:textId="18AF1004" w:rsidR="0075268E" w:rsidRPr="004D093B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D2EFF" w14:textId="6F7E0E74" w:rsidR="0075268E" w:rsidRPr="009C0460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C04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Shingrix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0ACED" w14:textId="51FD665C" w:rsidR="0075268E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zczepionka przeciw półpaścowi (rekombinowana, z adiuwantem)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D418" w14:textId="014CB8C2" w:rsidR="0075268E" w:rsidRPr="00751EEF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Profilaktyka półpaśca i neuralgii </w:t>
            </w:r>
            <w:proofErr w:type="spellStart"/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>półpaścowej</w:t>
            </w:r>
            <w:proofErr w:type="spellEnd"/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 w wieku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18 </w:t>
            </w:r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lat i starszych o zwiększonym ryzyku zachorowania na półpasiec tj. z: przewlekłą chorobą serca, przewlekłą chorobą płuc, cukrzycą, przewlekłą niewydolnością nerek, wrodzonym lub nabytym niedoborem odporności, uogólnioną chorobą nowotworową, zakażeniem wirusem HIV, chorobą </w:t>
            </w:r>
            <w:proofErr w:type="spellStart"/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>Hodgkina</w:t>
            </w:r>
            <w:proofErr w:type="spellEnd"/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>, jatrogenną immunosupresją, białaczką, szpiczakiem mnogim, przeszczepem narządu litego, reumatoidalnym zapaleniem stawów, łuszczycą, łuszczycowym zapaleniem stawów, nieswoistym zapaleniem jelit, zesztywniającym zapaleniem stawów kręgosłupa, stwardnieniem rozsianym, toczniem układowym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67F2" w14:textId="77589C13" w:rsidR="0075268E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profilaktyki przeciw półpaścowi o pacjentów powyżej 18 roku życia o zwiększonym ryzyku zachorowania. </w:t>
            </w:r>
          </w:p>
        </w:tc>
      </w:tr>
      <w:tr w:rsidR="0075268E" w:rsidRPr="004D093B" w14:paraId="7DC7014E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C86E" w14:textId="4C6B0903" w:rsidR="0075268E" w:rsidRPr="004D093B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5EE37" w14:textId="739EA573" w:rsidR="0075268E" w:rsidRPr="009C0460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Tolutris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8E0C" w14:textId="283E0FC2" w:rsidR="0075268E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hydrochlorotiazyd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2293" w14:textId="6FEF5D5D" w:rsidR="0075268E" w:rsidRPr="00751EEF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B0258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2E6D" w14:textId="4CDDBB76" w:rsidR="0075268E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Kolejny produkt trójlekowy (lek złożony, </w:t>
            </w:r>
            <w:r w:rsidRPr="00B9791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single </w:t>
            </w:r>
            <w:proofErr w:type="spellStart"/>
            <w:r w:rsidRPr="00B9791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pill</w:t>
            </w:r>
            <w:proofErr w:type="spellEnd"/>
            <w:r w:rsidRPr="00B9791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91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combination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SPC) możliwy do zastosowania </w:t>
            </w:r>
            <w:r w:rsidRPr="006F1596">
              <w:rPr>
                <w:rFonts w:ascii="Lato" w:hAnsi="Lato" w:cstheme="majorHAnsi"/>
                <w:color w:val="000000"/>
                <w:sz w:val="18"/>
                <w:szCs w:val="18"/>
              </w:rPr>
              <w:t>w leczeniu samoistnego nadciśnienia tętniczego u dorosłych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50AB6" w:rsidRPr="004D093B" w14:paraId="6A19E6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5860" w14:textId="26BC94F6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5CE0" w14:textId="0C44877B" w:rsidR="00E50AB6" w:rsidRPr="009C0460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15B2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Vabinxo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DCD6" w14:textId="3C0E3075" w:rsid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walsartan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indapamid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C0F4" w14:textId="0765C9E1" w:rsidR="00E50AB6" w:rsidRPr="00751EEF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B0258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427DC" w14:textId="66FE7A41" w:rsid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Kolejny produkt dwulekowy (lek złożony, </w:t>
            </w:r>
            <w:r w:rsidRPr="00B9791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single </w:t>
            </w:r>
            <w:proofErr w:type="spellStart"/>
            <w:r w:rsidRPr="00B9791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pill</w:t>
            </w:r>
            <w:proofErr w:type="spellEnd"/>
            <w:r w:rsidRPr="00B9791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91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combination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SPC) możliwy do zastosowania </w:t>
            </w:r>
            <w:r w:rsidRPr="006F1596">
              <w:rPr>
                <w:rFonts w:ascii="Lato" w:hAnsi="Lato" w:cstheme="majorHAnsi"/>
                <w:color w:val="000000"/>
                <w:sz w:val="18"/>
                <w:szCs w:val="18"/>
              </w:rPr>
              <w:t>w leczeniu samoistnego nadciśnienia tętniczego u dorosłych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50AB6" w:rsidRPr="004D093B" w14:paraId="069036C5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9426" w14:textId="6835E4E1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6A52" w14:textId="25D5E0D0" w:rsidR="00E50AB6" w:rsidRPr="009C0460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15B2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Zofenil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9093" w14:textId="191E5DC3" w:rsid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159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zofenopril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2781" w14:textId="3CFFBF48" w:rsidR="00E50AB6" w:rsidRPr="00751EEF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04E6" w14:textId="77777777" w:rsid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refundacją nowej terapii z grupy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iACE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klinicznego w leczeniu nadciśnienia tętniczego.</w:t>
            </w:r>
          </w:p>
          <w:p w14:paraId="5CFA3A02" w14:textId="2A7AB9EE" w:rsid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</w:tbl>
    <w:p w14:paraId="4BD940CF" w14:textId="77777777" w:rsidR="00C167C7" w:rsidRDefault="00C167C7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6DD1A0A2" w14:textId="77777777" w:rsidR="00C167C7" w:rsidRDefault="00C167C7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6BE7839B" w14:textId="77777777" w:rsidR="004C447B" w:rsidRDefault="004C447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68E51114" w14:textId="1A8498D3" w:rsidR="00C167C7" w:rsidRPr="00C167C7" w:rsidRDefault="00C167C7" w:rsidP="00C167C7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lastRenderedPageBreak/>
        <w:t xml:space="preserve">ZMIANY NA BEZPŁATNYCH WYKAZACH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2673"/>
        <w:gridCol w:w="5656"/>
        <w:gridCol w:w="5192"/>
      </w:tblGrid>
      <w:tr w:rsidR="00C938F8" w:rsidRPr="001A28EB" w14:paraId="63C93161" w14:textId="77777777" w:rsidTr="00C167C7">
        <w:trPr>
          <w:trHeight w:val="310"/>
        </w:trPr>
        <w:tc>
          <w:tcPr>
            <w:tcW w:w="5000" w:type="pct"/>
            <w:gridSpan w:val="4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1367" w14:textId="77777777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2" w:name="_Hlk148004033"/>
            <w:r w:rsidRPr="001A28EB">
              <w:rPr>
                <w:rFonts w:ascii="Lato" w:hAnsi="Lato" w:cstheme="majorHAnsi"/>
                <w:b/>
                <w:bCs/>
                <w:color w:val="FFFFFF"/>
              </w:rPr>
              <w:t>Zmiany na liście 65+</w:t>
            </w:r>
          </w:p>
        </w:tc>
      </w:tr>
      <w:tr w:rsidR="00C938F8" w:rsidRPr="001A28EB" w14:paraId="4AEAE593" w14:textId="77777777" w:rsidTr="00C167C7">
        <w:trPr>
          <w:trHeight w:val="334"/>
        </w:trPr>
        <w:tc>
          <w:tcPr>
            <w:tcW w:w="169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843B6" w14:textId="77777777" w:rsidR="00C938F8" w:rsidRPr="00C167C7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955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A5F0D" w14:textId="77777777" w:rsidR="00C938F8" w:rsidRPr="00C167C7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Substancja czynna</w:t>
            </w:r>
          </w:p>
        </w:tc>
        <w:tc>
          <w:tcPr>
            <w:tcW w:w="2021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6FEF" w14:textId="77777777" w:rsidR="00C938F8" w:rsidRPr="00C167C7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Wskazanie refundacyjne</w:t>
            </w:r>
          </w:p>
        </w:tc>
        <w:tc>
          <w:tcPr>
            <w:tcW w:w="1856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BE131" w14:textId="77777777" w:rsidR="00C938F8" w:rsidRPr="00C167C7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Dodatkowe informacje</w:t>
            </w:r>
          </w:p>
        </w:tc>
      </w:tr>
      <w:tr w:rsidR="00C938F8" w:rsidRPr="001A28EB" w14:paraId="5F3DB327" w14:textId="77777777" w:rsidTr="00C167C7">
        <w:trPr>
          <w:trHeight w:val="733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0AE6" w14:textId="77777777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F2DF" w14:textId="3126E446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zczepionka przeciw </w:t>
            </w:r>
            <w:proofErr w:type="spellStart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syncytialnemu</w:t>
            </w:r>
            <w:proofErr w:type="spellEnd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wirusowi oddechowemu (RSV) </w:t>
            </w:r>
          </w:p>
        </w:tc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1C45" w14:textId="77777777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RSV u pacjentów w wieku 60 lat i starszych</w:t>
            </w:r>
          </w:p>
        </w:tc>
        <w:tc>
          <w:tcPr>
            <w:tcW w:w="18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52F1" w14:textId="769A7190" w:rsidR="00C938F8" w:rsidRPr="001A28EB" w:rsidRDefault="00C938F8" w:rsidP="00A451D5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Dodanie do wykazu pierwszej szczepionki przeciw RSV</w:t>
            </w:r>
            <w:r w:rsidR="0075268E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C938F8" w:rsidRPr="001A28EB" w14:paraId="7D9FC65B" w14:textId="77777777" w:rsidTr="00C167C7">
        <w:trPr>
          <w:trHeight w:val="2354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C392" w14:textId="77777777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1A12B" w14:textId="53CEA26F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zczepionka przeciw półpaścowi</w:t>
            </w:r>
          </w:p>
        </w:tc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9C08" w14:textId="77777777" w:rsidR="00C938F8" w:rsidRPr="00596E33" w:rsidRDefault="00C938F8" w:rsidP="00A451D5">
            <w:pPr>
              <w:spacing w:before="60" w:after="60" w:line="240" w:lineRule="auto"/>
              <w:jc w:val="center"/>
              <w:rPr>
                <w:rFonts w:cstheme="majorHAnsi"/>
                <w:i/>
                <w:iCs/>
                <w:color w:val="000000"/>
                <w:sz w:val="18"/>
                <w:szCs w:val="18"/>
              </w:rPr>
            </w:pPr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Profilaktyka półpaśca i neuralgii </w:t>
            </w:r>
            <w:proofErr w:type="spellStart"/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>półpaścowej</w:t>
            </w:r>
            <w:proofErr w:type="spellEnd"/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 w wieku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18 </w:t>
            </w:r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lat i starszych o zwiększonym ryzyku zachorowania na półpasiec tj. z: przewlekłą chorobą serca, przewlekłą chorobą płuc, cukrzycą, przewlekłą niewydolnością nerek, wrodzonym lub nabytym niedoborem odporności, uogólnioną chorobą nowotworową, zakażeniem wirusem HIV, chorobą </w:t>
            </w:r>
            <w:proofErr w:type="spellStart"/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>Hodgkina</w:t>
            </w:r>
            <w:proofErr w:type="spellEnd"/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>, jatrogenną immunosupresją, białaczką, szpiczakiem mnogim, przeszczepem narządu litego, reumatoidalnym zapaleniem stawów, łuszczycą, łuszczycowym zapaleniem stawów, nieswoistym zapaleniem jelit, zesztywniającym zapaleniem stawów kręgosłupa, stwardnieniem rozsianym, toczniem układowym</w:t>
            </w:r>
          </w:p>
        </w:tc>
        <w:tc>
          <w:tcPr>
            <w:tcW w:w="18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953C" w14:textId="2C0EC42D" w:rsidR="00C938F8" w:rsidRPr="00092B07" w:rsidRDefault="0075268E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Dodanie</w:t>
            </w:r>
            <w:r w:rsidR="00C938F8" w:rsidRPr="00092B0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wykazu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pierwszej </w:t>
            </w:r>
            <w:r w:rsidR="00C938F8" w:rsidRPr="00092B07">
              <w:rPr>
                <w:rFonts w:ascii="Lato" w:hAnsi="Lato" w:cstheme="majorHAnsi"/>
                <w:color w:val="000000"/>
                <w:sz w:val="18"/>
                <w:szCs w:val="18"/>
              </w:rPr>
              <w:t>szczepionki przeciw półpaścowi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802EE3" w:rsidRPr="001A28EB" w14:paraId="346033C8" w14:textId="77777777" w:rsidTr="00C167C7">
        <w:trPr>
          <w:trHeight w:val="990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8DA9" w14:textId="6DEB4E0E" w:rsidR="00802EE3" w:rsidRPr="001A28EB" w:rsidRDefault="00802EE3" w:rsidP="00802EE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8F4C" w14:textId="3D41A0C6" w:rsidR="00802EE3" w:rsidRPr="001A28EB" w:rsidRDefault="00802EE3" w:rsidP="00802EE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3295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</w:t>
            </w:r>
            <w:proofErr w:type="spellEnd"/>
            <w:r w:rsidRPr="0073295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95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</w:t>
            </w:r>
            <w:r w:rsidRPr="0073295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pina</w:t>
            </w:r>
            <w:proofErr w:type="spellEnd"/>
            <w:r w:rsidRPr="0073295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95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hydrochlorotiazyd</w:t>
            </w:r>
            <w:proofErr w:type="spellEnd"/>
          </w:p>
        </w:tc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16AD" w14:textId="19C1A193" w:rsidR="00802EE3" w:rsidRPr="001A28EB" w:rsidRDefault="00802EE3" w:rsidP="00802EE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B0258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4F7B" w14:textId="77777777" w:rsidR="00802EE3" w:rsidRDefault="00802EE3" w:rsidP="00802EE3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Produkt leczniczy złożony. </w:t>
            </w:r>
          </w:p>
          <w:p w14:paraId="498CA9F0" w14:textId="6DD5FBAC" w:rsidR="00802EE3" w:rsidRPr="001A28EB" w:rsidRDefault="00802EE3" w:rsidP="00802EE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Obecnie na wykazie 65+ znajdują się produkty lecznicze dwuskładnikowe z </w:t>
            </w:r>
            <w:proofErr w:type="spellStart"/>
            <w:r w:rsidRPr="00CA1A58">
              <w:rPr>
                <w:rFonts w:ascii="Lato" w:hAnsi="Lato" w:cstheme="majorHAnsi"/>
                <w:color w:val="000000"/>
                <w:sz w:val="18"/>
                <w:szCs w:val="18"/>
              </w:rPr>
              <w:t>telmisartan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Pr="00CA1A5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CA1A58">
              <w:rPr>
                <w:rFonts w:ascii="Lato" w:hAnsi="Lato" w:cstheme="majorHAnsi"/>
                <w:color w:val="000000"/>
                <w:sz w:val="18"/>
                <w:szCs w:val="18"/>
              </w:rPr>
              <w:t>hydrochlorotiazyd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jednoskładnikowe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amlodypiną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802EE3" w:rsidRPr="001A28EB" w14:paraId="14673212" w14:textId="77777777" w:rsidTr="00C167C7">
        <w:trPr>
          <w:trHeight w:val="772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C334" w14:textId="6241E26D" w:rsidR="00802EE3" w:rsidRPr="001A28EB" w:rsidRDefault="00802EE3" w:rsidP="00802EE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9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7150" w14:textId="4524D518" w:rsidR="00802EE3" w:rsidRPr="001A28EB" w:rsidRDefault="00802EE3" w:rsidP="00802EE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walsartan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indapamid</w:t>
            </w:r>
            <w:proofErr w:type="spellEnd"/>
          </w:p>
        </w:tc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F896" w14:textId="310FCADE" w:rsidR="00802EE3" w:rsidRPr="001A28EB" w:rsidRDefault="00802EE3" w:rsidP="00802EE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B0258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759F" w14:textId="77777777" w:rsidR="00802EE3" w:rsidRDefault="00802EE3" w:rsidP="00802EE3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Produkt leczniczy złożony. </w:t>
            </w:r>
          </w:p>
          <w:p w14:paraId="0F6442E6" w14:textId="353B3FD6" w:rsidR="00802EE3" w:rsidRPr="001A28EB" w:rsidRDefault="00802EE3" w:rsidP="00802EE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Obecnie na wykazie 65+ znajdują się produkty lecznicze jednoskładnikowe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walsartanem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indapamidem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bookmarkEnd w:id="2"/>
    </w:tbl>
    <w:p w14:paraId="033ABAA7" w14:textId="77777777" w:rsidR="00C938F8" w:rsidRDefault="00C938F8" w:rsidP="00C938F8">
      <w:pPr>
        <w:suppressAutoHyphens w:val="0"/>
        <w:rPr>
          <w:rFonts w:ascii="Lato" w:hAnsi="Lato"/>
          <w:b/>
          <w:bCs/>
          <w:color w:val="00B0F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550"/>
        <w:gridCol w:w="5673"/>
        <w:gridCol w:w="5209"/>
      </w:tblGrid>
      <w:tr w:rsidR="00C938F8" w:rsidRPr="001A28EB" w14:paraId="3E23FE58" w14:textId="77777777" w:rsidTr="00C167C7">
        <w:trPr>
          <w:trHeight w:val="328"/>
        </w:trPr>
        <w:tc>
          <w:tcPr>
            <w:tcW w:w="5000" w:type="pct"/>
            <w:gridSpan w:val="4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5BA6" w14:textId="77777777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1A28EB">
              <w:rPr>
                <w:rFonts w:ascii="Lato" w:hAnsi="Lato" w:cstheme="majorHAnsi"/>
                <w:b/>
                <w:bCs/>
                <w:color w:val="FFFFFF"/>
              </w:rPr>
              <w:t xml:space="preserve">Zmiany na liście </w:t>
            </w:r>
            <w:r>
              <w:rPr>
                <w:rFonts w:ascii="Lato" w:hAnsi="Lato" w:cstheme="majorHAnsi"/>
                <w:b/>
                <w:bCs/>
                <w:color w:val="FFFFFF"/>
              </w:rPr>
              <w:t>ciąża+</w:t>
            </w:r>
          </w:p>
        </w:tc>
      </w:tr>
      <w:tr w:rsidR="00C938F8" w:rsidRPr="001A28EB" w14:paraId="06DA2E1E" w14:textId="77777777" w:rsidTr="00C167C7">
        <w:tc>
          <w:tcPr>
            <w:tcW w:w="201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15D4C" w14:textId="77777777" w:rsidR="00C938F8" w:rsidRPr="00C167C7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911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4F298" w14:textId="77777777" w:rsidR="00C938F8" w:rsidRPr="00C167C7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Substancja czynna</w:t>
            </w:r>
          </w:p>
        </w:tc>
        <w:tc>
          <w:tcPr>
            <w:tcW w:w="2027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7DB8" w14:textId="77777777" w:rsidR="00C938F8" w:rsidRPr="00C167C7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Wskazanie refundacyjne</w:t>
            </w:r>
          </w:p>
        </w:tc>
        <w:tc>
          <w:tcPr>
            <w:tcW w:w="1861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2E724" w14:textId="77777777" w:rsidR="00C938F8" w:rsidRPr="00C167C7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Dodatkowe informacje</w:t>
            </w:r>
          </w:p>
        </w:tc>
      </w:tr>
      <w:tr w:rsidR="00C938F8" w:rsidRPr="001A28EB" w14:paraId="597C6437" w14:textId="77777777" w:rsidTr="00C167C7">
        <w:tc>
          <w:tcPr>
            <w:tcW w:w="2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E6CC" w14:textId="77777777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1F43" w14:textId="650FFB41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zczepionka przeciw </w:t>
            </w:r>
            <w:proofErr w:type="spellStart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syncytialnemu</w:t>
            </w:r>
            <w:proofErr w:type="spellEnd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wirusowi oddechowemu (RSV)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309F" w14:textId="77777777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RSV u niemowląt poprzez zaszczepienie matki w okresie ciąży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01117" w14:textId="77777777" w:rsidR="00C938F8" w:rsidRPr="001A28EB" w:rsidRDefault="00C938F8" w:rsidP="00A451D5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Dodanie do wykazu pierwszej szczepionki przeciw RSV</w:t>
            </w:r>
          </w:p>
        </w:tc>
      </w:tr>
    </w:tbl>
    <w:p w14:paraId="1BFB3E37" w14:textId="77777777" w:rsidR="00C938F8" w:rsidRDefault="00C938F8" w:rsidP="00C167C7">
      <w:pPr>
        <w:suppressAutoHyphens w:val="0"/>
        <w:rPr>
          <w:rFonts w:ascii="Lato" w:hAnsi="Lato"/>
          <w:b/>
          <w:bCs/>
          <w:color w:val="00B0F0"/>
        </w:rPr>
      </w:pPr>
    </w:p>
    <w:sectPr w:rsidR="00C938F8" w:rsidSect="005058F2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4FBC" w14:textId="77777777" w:rsidR="00835F45" w:rsidRDefault="00835F45">
      <w:pPr>
        <w:spacing w:after="0" w:line="240" w:lineRule="auto"/>
      </w:pPr>
      <w:r>
        <w:separator/>
      </w:r>
    </w:p>
  </w:endnote>
  <w:endnote w:type="continuationSeparator" w:id="0">
    <w:p w14:paraId="133FB750" w14:textId="77777777" w:rsidR="00835F45" w:rsidRDefault="0083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3E59" w14:textId="77777777" w:rsidR="00835F45" w:rsidRDefault="00835F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4C444C" w14:textId="77777777" w:rsidR="00835F45" w:rsidRDefault="00835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6CF" w14:textId="4633511D" w:rsidR="005058F2" w:rsidRDefault="00143D0B">
    <w:pPr>
      <w:pStyle w:val="Nagwek"/>
    </w:pPr>
    <w:bookmarkStart w:id="3" w:name="_Hlk74147372"/>
    <w:bookmarkEnd w:id="3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6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30263"/>
    <w:multiLevelType w:val="hybridMultilevel"/>
    <w:tmpl w:val="8910B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2"/>
  </w:num>
  <w:num w:numId="6" w16cid:durableId="1164782895">
    <w:abstractNumId w:val="4"/>
  </w:num>
  <w:num w:numId="7" w16cid:durableId="1764568987">
    <w:abstractNumId w:val="8"/>
  </w:num>
  <w:num w:numId="8" w16cid:durableId="1605840971">
    <w:abstractNumId w:val="9"/>
  </w:num>
  <w:num w:numId="9" w16cid:durableId="969629549">
    <w:abstractNumId w:val="19"/>
  </w:num>
  <w:num w:numId="10" w16cid:durableId="1576276737">
    <w:abstractNumId w:val="1"/>
  </w:num>
  <w:num w:numId="11" w16cid:durableId="409036424">
    <w:abstractNumId w:val="23"/>
  </w:num>
  <w:num w:numId="12" w16cid:durableId="1526747669">
    <w:abstractNumId w:val="2"/>
  </w:num>
  <w:num w:numId="13" w16cid:durableId="1746950255">
    <w:abstractNumId w:val="10"/>
  </w:num>
  <w:num w:numId="14" w16cid:durableId="329715522">
    <w:abstractNumId w:val="12"/>
  </w:num>
  <w:num w:numId="15" w16cid:durableId="1837842867">
    <w:abstractNumId w:val="11"/>
  </w:num>
  <w:num w:numId="16" w16cid:durableId="1970238000">
    <w:abstractNumId w:val="21"/>
  </w:num>
  <w:num w:numId="17" w16cid:durableId="485172914">
    <w:abstractNumId w:val="15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7"/>
  </w:num>
  <w:num w:numId="22" w16cid:durableId="1157845039">
    <w:abstractNumId w:val="16"/>
  </w:num>
  <w:num w:numId="23" w16cid:durableId="1318220489">
    <w:abstractNumId w:val="13"/>
  </w:num>
  <w:num w:numId="24" w16cid:durableId="791442922">
    <w:abstractNumId w:val="18"/>
  </w:num>
  <w:num w:numId="25" w16cid:durableId="799500458">
    <w:abstractNumId w:val="14"/>
  </w:num>
  <w:num w:numId="26" w16cid:durableId="18527903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5011B"/>
    <w:rsid w:val="00052E44"/>
    <w:rsid w:val="000702E4"/>
    <w:rsid w:val="00070A13"/>
    <w:rsid w:val="00070A89"/>
    <w:rsid w:val="0008118E"/>
    <w:rsid w:val="00086074"/>
    <w:rsid w:val="0009112E"/>
    <w:rsid w:val="00097B17"/>
    <w:rsid w:val="000A4576"/>
    <w:rsid w:val="000A688D"/>
    <w:rsid w:val="000A6B96"/>
    <w:rsid w:val="000B21F0"/>
    <w:rsid w:val="000B32C4"/>
    <w:rsid w:val="000B7075"/>
    <w:rsid w:val="000D02C0"/>
    <w:rsid w:val="000D2FED"/>
    <w:rsid w:val="000E3BBE"/>
    <w:rsid w:val="000E649C"/>
    <w:rsid w:val="000F077F"/>
    <w:rsid w:val="000F13ED"/>
    <w:rsid w:val="000F3ED2"/>
    <w:rsid w:val="000F5E24"/>
    <w:rsid w:val="001030B2"/>
    <w:rsid w:val="001204EA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D6485"/>
    <w:rsid w:val="001E2320"/>
    <w:rsid w:val="001E610A"/>
    <w:rsid w:val="001E721F"/>
    <w:rsid w:val="00205C55"/>
    <w:rsid w:val="00206C0B"/>
    <w:rsid w:val="0021509B"/>
    <w:rsid w:val="00221A2A"/>
    <w:rsid w:val="002270E2"/>
    <w:rsid w:val="00230BB7"/>
    <w:rsid w:val="0024697E"/>
    <w:rsid w:val="00255E53"/>
    <w:rsid w:val="00263781"/>
    <w:rsid w:val="00275115"/>
    <w:rsid w:val="00280311"/>
    <w:rsid w:val="00281BE7"/>
    <w:rsid w:val="00286651"/>
    <w:rsid w:val="00287196"/>
    <w:rsid w:val="0029287B"/>
    <w:rsid w:val="0029403F"/>
    <w:rsid w:val="002C0340"/>
    <w:rsid w:val="002C19DE"/>
    <w:rsid w:val="002D55B8"/>
    <w:rsid w:val="002D6ED9"/>
    <w:rsid w:val="002E46AC"/>
    <w:rsid w:val="002F0FB2"/>
    <w:rsid w:val="002F61E3"/>
    <w:rsid w:val="003051DF"/>
    <w:rsid w:val="0031104C"/>
    <w:rsid w:val="003130CA"/>
    <w:rsid w:val="00326537"/>
    <w:rsid w:val="003357D9"/>
    <w:rsid w:val="00337B00"/>
    <w:rsid w:val="00355899"/>
    <w:rsid w:val="00356E75"/>
    <w:rsid w:val="0035733E"/>
    <w:rsid w:val="00374DBE"/>
    <w:rsid w:val="0037704D"/>
    <w:rsid w:val="0037714E"/>
    <w:rsid w:val="003841AB"/>
    <w:rsid w:val="0039255B"/>
    <w:rsid w:val="003935E8"/>
    <w:rsid w:val="003975D4"/>
    <w:rsid w:val="003A0F16"/>
    <w:rsid w:val="003A5B7D"/>
    <w:rsid w:val="003A6433"/>
    <w:rsid w:val="003B46BF"/>
    <w:rsid w:val="003D2AE2"/>
    <w:rsid w:val="003D71C6"/>
    <w:rsid w:val="003F072E"/>
    <w:rsid w:val="00404F9B"/>
    <w:rsid w:val="004079C5"/>
    <w:rsid w:val="00411C64"/>
    <w:rsid w:val="004156E6"/>
    <w:rsid w:val="00415707"/>
    <w:rsid w:val="00416F70"/>
    <w:rsid w:val="0041703B"/>
    <w:rsid w:val="00433870"/>
    <w:rsid w:val="004403B4"/>
    <w:rsid w:val="00446466"/>
    <w:rsid w:val="00447CE9"/>
    <w:rsid w:val="00453B55"/>
    <w:rsid w:val="00457779"/>
    <w:rsid w:val="00466FE8"/>
    <w:rsid w:val="004744CD"/>
    <w:rsid w:val="004776AE"/>
    <w:rsid w:val="0048011A"/>
    <w:rsid w:val="004850DC"/>
    <w:rsid w:val="00490715"/>
    <w:rsid w:val="00491267"/>
    <w:rsid w:val="00491300"/>
    <w:rsid w:val="00492285"/>
    <w:rsid w:val="0049535D"/>
    <w:rsid w:val="004A167B"/>
    <w:rsid w:val="004A2F20"/>
    <w:rsid w:val="004A2F45"/>
    <w:rsid w:val="004A5135"/>
    <w:rsid w:val="004B2F38"/>
    <w:rsid w:val="004C35E7"/>
    <w:rsid w:val="004C447B"/>
    <w:rsid w:val="004C729B"/>
    <w:rsid w:val="004D093B"/>
    <w:rsid w:val="004D2191"/>
    <w:rsid w:val="004D7DDC"/>
    <w:rsid w:val="004E4723"/>
    <w:rsid w:val="004F3FEF"/>
    <w:rsid w:val="005058F2"/>
    <w:rsid w:val="00512C38"/>
    <w:rsid w:val="00512C7C"/>
    <w:rsid w:val="005130EF"/>
    <w:rsid w:val="005143E4"/>
    <w:rsid w:val="0055182D"/>
    <w:rsid w:val="00553AE5"/>
    <w:rsid w:val="0056748F"/>
    <w:rsid w:val="00574D83"/>
    <w:rsid w:val="005871C9"/>
    <w:rsid w:val="005B06B3"/>
    <w:rsid w:val="005B598A"/>
    <w:rsid w:val="005C1959"/>
    <w:rsid w:val="005C499F"/>
    <w:rsid w:val="005C608D"/>
    <w:rsid w:val="005C6551"/>
    <w:rsid w:val="005D269A"/>
    <w:rsid w:val="005D3140"/>
    <w:rsid w:val="005D5D31"/>
    <w:rsid w:val="005E4CF5"/>
    <w:rsid w:val="005E7898"/>
    <w:rsid w:val="005F70FE"/>
    <w:rsid w:val="006008CD"/>
    <w:rsid w:val="00602883"/>
    <w:rsid w:val="00633806"/>
    <w:rsid w:val="00633883"/>
    <w:rsid w:val="00634434"/>
    <w:rsid w:val="0064109C"/>
    <w:rsid w:val="0064487F"/>
    <w:rsid w:val="006648F3"/>
    <w:rsid w:val="006666D0"/>
    <w:rsid w:val="00670C14"/>
    <w:rsid w:val="0068046C"/>
    <w:rsid w:val="00680B0E"/>
    <w:rsid w:val="00687B5F"/>
    <w:rsid w:val="00687E5A"/>
    <w:rsid w:val="006905E7"/>
    <w:rsid w:val="006911A1"/>
    <w:rsid w:val="006967BC"/>
    <w:rsid w:val="006A03EB"/>
    <w:rsid w:val="006A36EA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7964"/>
    <w:rsid w:val="006F498A"/>
    <w:rsid w:val="006F5BEB"/>
    <w:rsid w:val="007135A8"/>
    <w:rsid w:val="007156F6"/>
    <w:rsid w:val="00715B91"/>
    <w:rsid w:val="00722C84"/>
    <w:rsid w:val="007321D8"/>
    <w:rsid w:val="00733AF9"/>
    <w:rsid w:val="00734732"/>
    <w:rsid w:val="00735F08"/>
    <w:rsid w:val="00740ABA"/>
    <w:rsid w:val="007422B0"/>
    <w:rsid w:val="0074295D"/>
    <w:rsid w:val="0075268E"/>
    <w:rsid w:val="00755E27"/>
    <w:rsid w:val="0078723A"/>
    <w:rsid w:val="007A4FB5"/>
    <w:rsid w:val="007B043E"/>
    <w:rsid w:val="007C4332"/>
    <w:rsid w:val="007C44CD"/>
    <w:rsid w:val="007C4C95"/>
    <w:rsid w:val="007D0493"/>
    <w:rsid w:val="007D1551"/>
    <w:rsid w:val="007D273D"/>
    <w:rsid w:val="007D6A3A"/>
    <w:rsid w:val="007D6B6F"/>
    <w:rsid w:val="007D74E2"/>
    <w:rsid w:val="007F016E"/>
    <w:rsid w:val="007F7ECB"/>
    <w:rsid w:val="008008F6"/>
    <w:rsid w:val="008017A7"/>
    <w:rsid w:val="00802EE3"/>
    <w:rsid w:val="00823875"/>
    <w:rsid w:val="00827817"/>
    <w:rsid w:val="00827986"/>
    <w:rsid w:val="008279BD"/>
    <w:rsid w:val="00835F45"/>
    <w:rsid w:val="0084154E"/>
    <w:rsid w:val="00843352"/>
    <w:rsid w:val="00844624"/>
    <w:rsid w:val="008462C0"/>
    <w:rsid w:val="00865B9B"/>
    <w:rsid w:val="0087118E"/>
    <w:rsid w:val="008771C8"/>
    <w:rsid w:val="00882DCA"/>
    <w:rsid w:val="0088727A"/>
    <w:rsid w:val="00896D35"/>
    <w:rsid w:val="008B00C4"/>
    <w:rsid w:val="008B43B0"/>
    <w:rsid w:val="008C0493"/>
    <w:rsid w:val="008C0E92"/>
    <w:rsid w:val="008D45C3"/>
    <w:rsid w:val="008E18D7"/>
    <w:rsid w:val="008E33C7"/>
    <w:rsid w:val="008E5925"/>
    <w:rsid w:val="008F1D35"/>
    <w:rsid w:val="009066C7"/>
    <w:rsid w:val="0092216D"/>
    <w:rsid w:val="00933339"/>
    <w:rsid w:val="00953B84"/>
    <w:rsid w:val="00982754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F413F"/>
    <w:rsid w:val="009F550A"/>
    <w:rsid w:val="009F7497"/>
    <w:rsid w:val="00A01F60"/>
    <w:rsid w:val="00A118F0"/>
    <w:rsid w:val="00A159DA"/>
    <w:rsid w:val="00A22494"/>
    <w:rsid w:val="00A22A7B"/>
    <w:rsid w:val="00A242D8"/>
    <w:rsid w:val="00A434EB"/>
    <w:rsid w:val="00A45B17"/>
    <w:rsid w:val="00A5351C"/>
    <w:rsid w:val="00A54C06"/>
    <w:rsid w:val="00A633F0"/>
    <w:rsid w:val="00A6481E"/>
    <w:rsid w:val="00A66140"/>
    <w:rsid w:val="00A66626"/>
    <w:rsid w:val="00A666CE"/>
    <w:rsid w:val="00A7064A"/>
    <w:rsid w:val="00A7345A"/>
    <w:rsid w:val="00A73A5C"/>
    <w:rsid w:val="00A75027"/>
    <w:rsid w:val="00A90397"/>
    <w:rsid w:val="00A90CB0"/>
    <w:rsid w:val="00A9374D"/>
    <w:rsid w:val="00A94461"/>
    <w:rsid w:val="00A960EA"/>
    <w:rsid w:val="00AA4608"/>
    <w:rsid w:val="00AA6179"/>
    <w:rsid w:val="00AB1235"/>
    <w:rsid w:val="00AB2D5E"/>
    <w:rsid w:val="00AC0511"/>
    <w:rsid w:val="00AD08C5"/>
    <w:rsid w:val="00AE069A"/>
    <w:rsid w:val="00AF1EBC"/>
    <w:rsid w:val="00B1467F"/>
    <w:rsid w:val="00B31928"/>
    <w:rsid w:val="00B326A9"/>
    <w:rsid w:val="00B45ED3"/>
    <w:rsid w:val="00B543E9"/>
    <w:rsid w:val="00B57127"/>
    <w:rsid w:val="00B76B2B"/>
    <w:rsid w:val="00B7722F"/>
    <w:rsid w:val="00B8251D"/>
    <w:rsid w:val="00B94288"/>
    <w:rsid w:val="00B9538B"/>
    <w:rsid w:val="00B9791D"/>
    <w:rsid w:val="00BA15A9"/>
    <w:rsid w:val="00BB30C0"/>
    <w:rsid w:val="00BC376D"/>
    <w:rsid w:val="00BD18E8"/>
    <w:rsid w:val="00BD20BC"/>
    <w:rsid w:val="00C15673"/>
    <w:rsid w:val="00C15E6F"/>
    <w:rsid w:val="00C167C7"/>
    <w:rsid w:val="00C210A9"/>
    <w:rsid w:val="00C22821"/>
    <w:rsid w:val="00C243BF"/>
    <w:rsid w:val="00C25F63"/>
    <w:rsid w:val="00C276AE"/>
    <w:rsid w:val="00C34F0F"/>
    <w:rsid w:val="00C4237C"/>
    <w:rsid w:val="00C4561E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38F8"/>
    <w:rsid w:val="00C97315"/>
    <w:rsid w:val="00CA1AD2"/>
    <w:rsid w:val="00CA2878"/>
    <w:rsid w:val="00CA7D06"/>
    <w:rsid w:val="00CB2E2B"/>
    <w:rsid w:val="00CB3D33"/>
    <w:rsid w:val="00CC0463"/>
    <w:rsid w:val="00CC7F58"/>
    <w:rsid w:val="00CD47C3"/>
    <w:rsid w:val="00CE099F"/>
    <w:rsid w:val="00CE73E2"/>
    <w:rsid w:val="00CF402D"/>
    <w:rsid w:val="00CF44C6"/>
    <w:rsid w:val="00CF5E4F"/>
    <w:rsid w:val="00CF7674"/>
    <w:rsid w:val="00D1266B"/>
    <w:rsid w:val="00D17D3E"/>
    <w:rsid w:val="00D44A5D"/>
    <w:rsid w:val="00D510E8"/>
    <w:rsid w:val="00D51976"/>
    <w:rsid w:val="00D554A2"/>
    <w:rsid w:val="00D5628B"/>
    <w:rsid w:val="00D63F4F"/>
    <w:rsid w:val="00D6426A"/>
    <w:rsid w:val="00D66456"/>
    <w:rsid w:val="00D77CD0"/>
    <w:rsid w:val="00D9306F"/>
    <w:rsid w:val="00DB0B88"/>
    <w:rsid w:val="00DD18C6"/>
    <w:rsid w:val="00DD6D00"/>
    <w:rsid w:val="00DE00F0"/>
    <w:rsid w:val="00DE1894"/>
    <w:rsid w:val="00DE5079"/>
    <w:rsid w:val="00DF6B3A"/>
    <w:rsid w:val="00E03599"/>
    <w:rsid w:val="00E10271"/>
    <w:rsid w:val="00E34DF7"/>
    <w:rsid w:val="00E35DF6"/>
    <w:rsid w:val="00E50AB6"/>
    <w:rsid w:val="00E50D44"/>
    <w:rsid w:val="00E52765"/>
    <w:rsid w:val="00E64133"/>
    <w:rsid w:val="00E66456"/>
    <w:rsid w:val="00E738D5"/>
    <w:rsid w:val="00E8288D"/>
    <w:rsid w:val="00E8348C"/>
    <w:rsid w:val="00E900DE"/>
    <w:rsid w:val="00E91E64"/>
    <w:rsid w:val="00EA326D"/>
    <w:rsid w:val="00EB1B3E"/>
    <w:rsid w:val="00EB5A68"/>
    <w:rsid w:val="00EB77EA"/>
    <w:rsid w:val="00EC0C4F"/>
    <w:rsid w:val="00EC2B8F"/>
    <w:rsid w:val="00EC74BA"/>
    <w:rsid w:val="00ED15F0"/>
    <w:rsid w:val="00ED1CDA"/>
    <w:rsid w:val="00ED6A67"/>
    <w:rsid w:val="00EE169B"/>
    <w:rsid w:val="00EE4384"/>
    <w:rsid w:val="00EE4BD7"/>
    <w:rsid w:val="00EF3551"/>
    <w:rsid w:val="00F017D6"/>
    <w:rsid w:val="00F12CF6"/>
    <w:rsid w:val="00F147FC"/>
    <w:rsid w:val="00F15BD4"/>
    <w:rsid w:val="00F31A79"/>
    <w:rsid w:val="00F42214"/>
    <w:rsid w:val="00F5061B"/>
    <w:rsid w:val="00F61A7D"/>
    <w:rsid w:val="00F63AA8"/>
    <w:rsid w:val="00F67CA2"/>
    <w:rsid w:val="00F859A8"/>
    <w:rsid w:val="00F9203E"/>
    <w:rsid w:val="00F957B7"/>
    <w:rsid w:val="00FA4D77"/>
    <w:rsid w:val="00FA53DF"/>
    <w:rsid w:val="00FB2364"/>
    <w:rsid w:val="00FB30AC"/>
    <w:rsid w:val="00FB3B6F"/>
    <w:rsid w:val="00FC712D"/>
    <w:rsid w:val="00FD39E3"/>
    <w:rsid w:val="00FD48BC"/>
    <w:rsid w:val="00FE1242"/>
    <w:rsid w:val="00FE6EDA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2374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Tobiaszewski Paweł</cp:lastModifiedBy>
  <cp:revision>15</cp:revision>
  <dcterms:created xsi:type="dcterms:W3CDTF">2025-03-10T16:39:00Z</dcterms:created>
  <dcterms:modified xsi:type="dcterms:W3CDTF">2025-03-12T13:15:00Z</dcterms:modified>
</cp:coreProperties>
</file>