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7CC758A3" w14:textId="4307D426" w:rsidR="00AD08C5" w:rsidRPr="004D093B" w:rsidRDefault="004A167B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PROJEKT 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IA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GO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NR </w:t>
      </w:r>
      <w:r w:rsidR="00C34F0F">
        <w:rPr>
          <w:rFonts w:ascii="Lato" w:hAnsi="Lato"/>
          <w:b/>
          <w:bCs/>
          <w:color w:val="00B0F0"/>
          <w:sz w:val="36"/>
          <w:szCs w:val="36"/>
          <w:u w:val="single"/>
        </w:rPr>
        <w:t>7</w:t>
      </w:r>
      <w:r w:rsidR="004079C5">
        <w:rPr>
          <w:rFonts w:ascii="Lato" w:hAnsi="Lato"/>
          <w:b/>
          <w:bCs/>
          <w:color w:val="00B0F0"/>
          <w:sz w:val="36"/>
          <w:szCs w:val="36"/>
          <w:u w:val="single"/>
        </w:rPr>
        <w:t>8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4079C5">
        <w:rPr>
          <w:rFonts w:ascii="Lato" w:hAnsi="Lato"/>
          <w:b/>
          <w:bCs/>
          <w:color w:val="00B0F0"/>
          <w:sz w:val="36"/>
          <w:szCs w:val="36"/>
          <w:u w:val="single"/>
        </w:rPr>
        <w:t>KWIETNIA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 w:rsidR="004079C5">
        <w:rPr>
          <w:rFonts w:ascii="Lato" w:hAnsi="Lato"/>
          <w:b/>
          <w:bCs/>
          <w:color w:val="00B0F0"/>
          <w:sz w:val="36"/>
          <w:szCs w:val="36"/>
          <w:u w:val="single"/>
        </w:rPr>
        <w:t>5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7EFF32F9" w14:textId="77777777" w:rsidR="004A167B" w:rsidRDefault="004A167B" w:rsidP="004A167B">
      <w:pPr>
        <w:spacing w:before="240" w:after="120" w:line="360" w:lineRule="auto"/>
        <w:jc w:val="both"/>
        <w:rPr>
          <w:rFonts w:ascii="Lato" w:hAnsi="Lato"/>
          <w:b/>
          <w:bCs/>
          <w:color w:val="00B0F0"/>
          <w:sz w:val="28"/>
          <w:szCs w:val="28"/>
        </w:rPr>
      </w:pPr>
    </w:p>
    <w:p w14:paraId="3620B4D6" w14:textId="6CA7DE11" w:rsidR="00735F08" w:rsidRDefault="00735F08" w:rsidP="004A167B">
      <w:pPr>
        <w:spacing w:before="240" w:after="120" w:line="360" w:lineRule="auto"/>
        <w:jc w:val="both"/>
        <w:rPr>
          <w:rFonts w:ascii="Lato" w:hAnsi="Lato"/>
        </w:rPr>
      </w:pPr>
      <w:r w:rsidRPr="00735F08">
        <w:rPr>
          <w:rFonts w:ascii="Lato" w:hAnsi="Lato"/>
        </w:rPr>
        <w:t>Prezentowane podsumowanie projektu obwieszczenia refundacyjnego nr 7</w:t>
      </w:r>
      <w:r>
        <w:rPr>
          <w:rFonts w:ascii="Lato" w:hAnsi="Lato"/>
        </w:rPr>
        <w:t>8</w:t>
      </w:r>
      <w:r w:rsidRPr="00735F08">
        <w:rPr>
          <w:rFonts w:ascii="Lato" w:hAnsi="Lato"/>
        </w:rPr>
        <w:t xml:space="preserve"> </w:t>
      </w:r>
      <w:r w:rsidRPr="00735F08">
        <w:rPr>
          <w:rFonts w:ascii="Lato" w:hAnsi="Lato"/>
          <w:b/>
          <w:bCs/>
        </w:rPr>
        <w:t>nie stanowi jego ostatecznej wersji</w:t>
      </w:r>
      <w:r w:rsidRPr="00735F08">
        <w:rPr>
          <w:rFonts w:ascii="Lato" w:hAnsi="Lato"/>
        </w:rPr>
        <w:t xml:space="preserve">, bowiem nadal trwają prace administracyjne nad </w:t>
      </w:r>
      <w:proofErr w:type="gramStart"/>
      <w:r w:rsidRPr="00735F08">
        <w:rPr>
          <w:rFonts w:ascii="Lato" w:hAnsi="Lato"/>
        </w:rPr>
        <w:t>finalnym</w:t>
      </w:r>
      <w:proofErr w:type="gramEnd"/>
      <w:r w:rsidRPr="00735F08">
        <w:rPr>
          <w:rFonts w:ascii="Lato" w:hAnsi="Lato"/>
        </w:rPr>
        <w:t xml:space="preserve"> wykazem refundowanych leków, środków spożywczych specjalnego przeznaczenia żywieniowego oraz wyrobów medycznych obowiązującym od 1 </w:t>
      </w:r>
      <w:r>
        <w:rPr>
          <w:rFonts w:ascii="Lato" w:hAnsi="Lato"/>
        </w:rPr>
        <w:t>kwietnia</w:t>
      </w:r>
      <w:r w:rsidRPr="00735F08">
        <w:rPr>
          <w:rFonts w:ascii="Lato" w:hAnsi="Lato"/>
        </w:rPr>
        <w:t xml:space="preserve"> 202</w:t>
      </w:r>
      <w:r>
        <w:rPr>
          <w:rFonts w:ascii="Lato" w:hAnsi="Lato"/>
        </w:rPr>
        <w:t>5</w:t>
      </w:r>
      <w:r w:rsidRPr="00735F08">
        <w:rPr>
          <w:rFonts w:ascii="Lato" w:hAnsi="Lato"/>
        </w:rPr>
        <w:t xml:space="preserve"> r. </w:t>
      </w:r>
    </w:p>
    <w:p w14:paraId="5D0FE0C1" w14:textId="7820A4E5" w:rsidR="00735F08" w:rsidRPr="00735F08" w:rsidRDefault="00735F08" w:rsidP="004A167B">
      <w:pPr>
        <w:spacing w:before="240" w:after="120" w:line="360" w:lineRule="auto"/>
        <w:jc w:val="both"/>
        <w:rPr>
          <w:rFonts w:ascii="Lato" w:hAnsi="Lato"/>
        </w:rPr>
      </w:pPr>
      <w:r w:rsidRPr="00735F08">
        <w:rPr>
          <w:rFonts w:ascii="Lato" w:hAnsi="Lato"/>
        </w:rPr>
        <w:t xml:space="preserve">Uwzględniając niniejszy projekt, w trzecim wykazie w roku 2024, finansowaniem ze środków publicznych zostanie objętych </w:t>
      </w:r>
      <w:r w:rsidR="004A167B">
        <w:rPr>
          <w:rFonts w:ascii="Lato" w:hAnsi="Lato"/>
          <w:b/>
          <w:bCs/>
        </w:rPr>
        <w:t>2</w:t>
      </w:r>
      <w:r w:rsidR="004C447B">
        <w:rPr>
          <w:rFonts w:ascii="Lato" w:hAnsi="Lato"/>
          <w:b/>
          <w:bCs/>
        </w:rPr>
        <w:t>9</w:t>
      </w:r>
      <w:r w:rsidRPr="00735F08">
        <w:rPr>
          <w:rFonts w:ascii="Lato" w:hAnsi="Lato"/>
          <w:b/>
          <w:bCs/>
        </w:rPr>
        <w:t xml:space="preserve"> nowych cząsteczko – wskazań</w:t>
      </w:r>
      <w:r w:rsidRPr="00735F08">
        <w:rPr>
          <w:rFonts w:ascii="Lato" w:hAnsi="Lato"/>
        </w:rPr>
        <w:t>, w tym:</w:t>
      </w:r>
    </w:p>
    <w:p w14:paraId="452E4054" w14:textId="1BE3547A" w:rsidR="00735F08" w:rsidRPr="00433870" w:rsidRDefault="004C447B" w:rsidP="004A167B">
      <w:pPr>
        <w:pStyle w:val="Akapitzlist"/>
        <w:numPr>
          <w:ilvl w:val="0"/>
          <w:numId w:val="26"/>
        </w:numPr>
        <w:spacing w:before="240" w:after="120" w:line="360" w:lineRule="auto"/>
        <w:jc w:val="both"/>
        <w:rPr>
          <w:rFonts w:ascii="Lato" w:hAnsi="Lato"/>
        </w:rPr>
      </w:pPr>
      <w:r w:rsidRPr="00433870">
        <w:rPr>
          <w:rFonts w:ascii="Lato" w:hAnsi="Lato"/>
        </w:rPr>
        <w:t>10</w:t>
      </w:r>
      <w:r w:rsidR="00735F08" w:rsidRPr="00433870">
        <w:rPr>
          <w:rFonts w:ascii="Lato" w:hAnsi="Lato"/>
        </w:rPr>
        <w:t xml:space="preserve"> cząsteczko – wskazań onkologicznych,</w:t>
      </w:r>
    </w:p>
    <w:p w14:paraId="1A66A5CB" w14:textId="2CC6CB99" w:rsidR="00735F08" w:rsidRPr="00433870" w:rsidRDefault="004A167B" w:rsidP="004A167B">
      <w:pPr>
        <w:pStyle w:val="Akapitzlist"/>
        <w:numPr>
          <w:ilvl w:val="0"/>
          <w:numId w:val="26"/>
        </w:numPr>
        <w:spacing w:before="240" w:after="120" w:line="360" w:lineRule="auto"/>
        <w:jc w:val="both"/>
        <w:rPr>
          <w:rFonts w:ascii="Lato" w:hAnsi="Lato"/>
        </w:rPr>
      </w:pPr>
      <w:r w:rsidRPr="00433870">
        <w:rPr>
          <w:rFonts w:ascii="Lato" w:hAnsi="Lato"/>
        </w:rPr>
        <w:t>19</w:t>
      </w:r>
      <w:r w:rsidR="00735F08" w:rsidRPr="00433870">
        <w:rPr>
          <w:rFonts w:ascii="Lato" w:hAnsi="Lato"/>
        </w:rPr>
        <w:t xml:space="preserve"> cząsteczko - wskazania nieonkologiczne,</w:t>
      </w:r>
    </w:p>
    <w:p w14:paraId="4DA884A5" w14:textId="2ED385DE" w:rsidR="00433870" w:rsidRPr="006A36EA" w:rsidRDefault="004A167B" w:rsidP="00433870">
      <w:pPr>
        <w:pStyle w:val="Akapitzlist"/>
        <w:numPr>
          <w:ilvl w:val="0"/>
          <w:numId w:val="26"/>
        </w:numPr>
        <w:spacing w:before="240" w:after="120" w:line="360" w:lineRule="auto"/>
        <w:jc w:val="both"/>
        <w:rPr>
          <w:rFonts w:ascii="Lato" w:hAnsi="Lato"/>
        </w:rPr>
      </w:pPr>
      <w:r w:rsidRPr="00433870">
        <w:rPr>
          <w:rFonts w:ascii="Lato" w:hAnsi="Lato"/>
        </w:rPr>
        <w:t>7</w:t>
      </w:r>
      <w:r w:rsidR="00735F08" w:rsidRPr="00433870">
        <w:rPr>
          <w:rFonts w:ascii="Lato" w:hAnsi="Lato"/>
        </w:rPr>
        <w:t xml:space="preserve"> cząsteczko - wskazań dedykowanych chorobom rzadkim.</w:t>
      </w:r>
    </w:p>
    <w:p w14:paraId="5B10838F" w14:textId="77777777" w:rsidR="006A36EA" w:rsidRPr="00433870" w:rsidRDefault="006A36EA" w:rsidP="006A36EA">
      <w:pPr>
        <w:spacing w:before="240" w:after="120" w:line="360" w:lineRule="auto"/>
        <w:jc w:val="both"/>
        <w:rPr>
          <w:rFonts w:ascii="Lato" w:hAnsi="Lato"/>
          <w:b/>
          <w:bCs/>
          <w:u w:val="single"/>
        </w:rPr>
      </w:pPr>
      <w:r w:rsidRPr="00433870">
        <w:rPr>
          <w:rFonts w:ascii="Lato" w:hAnsi="Lato"/>
          <w:b/>
          <w:bCs/>
          <w:u w:val="single"/>
        </w:rPr>
        <w:t xml:space="preserve">Z uwagi na trwające prace formalno-prawne oraz merytoryczne </w:t>
      </w:r>
      <w:r>
        <w:rPr>
          <w:rFonts w:ascii="Lato" w:hAnsi="Lato"/>
          <w:b/>
          <w:bCs/>
          <w:u w:val="single"/>
        </w:rPr>
        <w:t>w zakresie opracowania</w:t>
      </w:r>
      <w:r w:rsidRPr="00433870">
        <w:rPr>
          <w:rFonts w:ascii="Lato" w:hAnsi="Lato"/>
          <w:b/>
          <w:bCs/>
          <w:u w:val="single"/>
        </w:rPr>
        <w:t xml:space="preserve"> ostatecznych treści programów lekowych, projekt obwieszczenia refundacyjnego nr 78 nie uwzględnia wszystkich nowych terapii</w:t>
      </w:r>
      <w:r>
        <w:rPr>
          <w:rFonts w:ascii="Lato" w:hAnsi="Lato"/>
          <w:b/>
          <w:bCs/>
          <w:u w:val="single"/>
        </w:rPr>
        <w:t>, które ujęto w poniższym zestawieniu.</w:t>
      </w:r>
    </w:p>
    <w:p w14:paraId="6B466A0C" w14:textId="7EC4E0BC" w:rsidR="004D093B" w:rsidRPr="00735F08" w:rsidRDefault="004D093B" w:rsidP="00735F08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655"/>
        <w:gridCol w:w="1549"/>
        <w:gridCol w:w="1867"/>
        <w:gridCol w:w="3955"/>
        <w:gridCol w:w="4499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39255B" w:rsidRPr="004D093B" w14:paraId="2F304C7B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08CA4AAC" w:rsidR="0039255B" w:rsidRPr="0039255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1</w:t>
            </w:r>
            <w:r w:rsidR="004079C5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67579A99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b/>
                <w:bCs/>
                <w:sz w:val="18"/>
                <w:szCs w:val="18"/>
              </w:rPr>
              <w:t>Imfinzi</w:t>
            </w:r>
            <w:proofErr w:type="spellEnd"/>
            <w:r w:rsidRPr="0039255B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r w:rsidR="004079C5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+ </w:t>
            </w:r>
            <w:proofErr w:type="spellStart"/>
            <w:r w:rsidR="004079C5" w:rsidRPr="0039255B">
              <w:rPr>
                <w:rFonts w:ascii="Lato" w:hAnsi="Lato" w:cstheme="majorHAnsi"/>
                <w:b/>
                <w:bCs/>
                <w:sz w:val="18"/>
                <w:szCs w:val="18"/>
              </w:rPr>
              <w:t>Imjudo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4D50" w14:textId="28D4F9E3" w:rsidR="0039255B" w:rsidRDefault="004079C5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durwalumab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</w:p>
          <w:p w14:paraId="5894D902" w14:textId="77777777" w:rsidR="004079C5" w:rsidRDefault="004079C5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</w:p>
          <w:p w14:paraId="61F52E7F" w14:textId="615608AE" w:rsidR="004079C5" w:rsidRPr="0039255B" w:rsidRDefault="004079C5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tremelimumab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A2057A8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656FB767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4846EBFA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735F08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durwalumab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tremelimumabem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chemioterapią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opartą na pochodnych platyny u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niedrobnokomórkowym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rakiem płuc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ekspresją PD-L1 &lt;50%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79C5" w:rsidRPr="004D093B" w14:paraId="41B567A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539F6A02" w:rsidR="004079C5" w:rsidRPr="0039255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2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1B975C6E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Alecensa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8C1B9C9" w:rsidR="004079C5" w:rsidRPr="0039255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nib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5B0114FB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538ECD87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286FA6E9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adjuwantow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całkowitej resekcji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guza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pacjentów 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niedrobnokomórkowym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iem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płuca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rearanżacją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genie ALK, u których występuje duże ryzyko wznowy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79C5" w:rsidRPr="004D093B" w14:paraId="4193F70D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5B2B5CB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5E8FD047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Verzenios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E361772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abemacyklib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7A58599C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B.9</w:t>
            </w:r>
            <w:r w:rsidR="00E50AB6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.FM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6A3C0ABE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1C751A54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</w:t>
            </w:r>
            <w:proofErr w:type="spellStart"/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abemacyklibem</w:t>
            </w:r>
            <w:proofErr w:type="spellEnd"/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w skojarzeniu z hormonoterapią dorosłych pacjentów na HR- dodatniego, HER2-ujemnego wczesnego raka piersi z przerzutami do węzłów chłonnych i wysokim ryzykiem nawrotu.</w:t>
            </w:r>
          </w:p>
        </w:tc>
      </w:tr>
      <w:tr w:rsidR="004079C5" w:rsidRPr="004D093B" w14:paraId="34137848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53F4ED7C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25595502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Rubraca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6F1EF6B4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rukaparyb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11EB5473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B.50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0C137967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62250BAE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w </w:t>
            </w:r>
            <w:proofErr w:type="spellStart"/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monoterapii</w:t>
            </w:r>
            <w:proofErr w:type="spellEnd"/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nowo zdiagnozowanego zaawansowanego raka jajnika, raka jajowodu lub pierwotnego raka otrzewnej u dorosłych pacjentek niezależnie od statusu mutacji BRCA i statusu homologicznej rekombinacji (HRD). </w:t>
            </w:r>
          </w:p>
        </w:tc>
      </w:tr>
      <w:tr w:rsidR="004079C5" w:rsidRPr="004D093B" w14:paraId="79F6918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647857C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079C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4935BC9B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Elrexfio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2D915A4E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elranatamab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3C422D91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B.54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51DAD53D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5C87" w14:textId="17D2D95B" w:rsidR="004079C5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Leczenie od </w:t>
            </w:r>
            <w:r w:rsidR="00735F08">
              <w:rPr>
                <w:rFonts w:ascii="Lato" w:hAnsi="Lato" w:cstheme="majorHAnsi"/>
                <w:sz w:val="18"/>
                <w:szCs w:val="18"/>
              </w:rPr>
              <w:t>4.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linii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elranatamabem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dorosłych chorych na szpiczaka plazmocytowego o stanie sprawności 0-2 wg skali ECOG, u których stosowano uprzednio co najmniej trzy linie leczenia szpiczaka plazmocytowego, w tym zawierające lek immunomodulujący, inhibitor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proteasomu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oraz przeciwciało anty-CD38.</w:t>
            </w:r>
          </w:p>
          <w:p w14:paraId="5F6D2A24" w14:textId="747178F0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079C5" w:rsidRPr="004D093B" w14:paraId="59AF2A0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5BB627AC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40397D7B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Talvey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788FBFE8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talkwetamab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3DC21A85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B.54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5A80483E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049E5" w14:textId="5C1EB00B" w:rsidR="004079C5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Leczenie od </w:t>
            </w:r>
            <w:r w:rsidR="00722C84">
              <w:rPr>
                <w:rFonts w:ascii="Lato" w:hAnsi="Lato" w:cstheme="majorHAnsi"/>
                <w:sz w:val="18"/>
                <w:szCs w:val="18"/>
              </w:rPr>
              <w:t>4.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linii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talkwetamabem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dorosłych chorych na szpiczaka plazmocytowego o stanie sprawności 0-2 wg skali ECOG, u których stosowano uprzednio co najmniej trzy linie leczenia szpiczaka plazmocytowego, w tym zawierające lek immunomodulujący, inhibitor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proteasomu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oraz przeciwciało anty-CD38.</w:t>
            </w:r>
          </w:p>
          <w:p w14:paraId="2749EA53" w14:textId="36FF81BA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079C5" w:rsidRPr="004D093B" w14:paraId="6F8F1099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F8DF" w14:textId="761CE253" w:rsidR="004079C5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72A8" w14:textId="5B195D7B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Talzenna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E633D" w14:textId="77241245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alazopar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438" w14:textId="3DDDD20F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86DD" w14:textId="0D7F4DF1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FA30D" w14:textId="31FF653F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talazoparybem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skojarzeniu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enzalutamidem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pacjentów z opornym na kastrację rakiem gruczołu krokowego z przerzutami (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mCRPC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) i mutacjami w genach HRR (BRCA2, ATM, CDK12, CHECK2, BRCA1, PALB2, RAD51C), u których chemioterapia nie jest klinicznie wskazana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03599" w:rsidRPr="004D093B" w14:paraId="5A7AB3C4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E0E95" w14:textId="5899CE52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22FCF" w14:textId="0AC5AFA2" w:rsidR="00E03599" w:rsidRPr="0039255B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158F" w14:textId="5E5DA7A4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4BE02" w14:textId="2C87C4B7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08E7" w14:textId="02189B81" w:rsidR="00E03599" w:rsidRPr="0039255B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45E8" w14:textId="0512546C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</w:t>
            </w:r>
            <w:proofErr w:type="spellStart"/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12 r. ż. po resekcji czerniaka w stopniu zaawansowania IIB/IIC.</w:t>
            </w:r>
          </w:p>
        </w:tc>
      </w:tr>
      <w:tr w:rsidR="00E03599" w:rsidRPr="004D093B" w14:paraId="57C32FC3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4F03" w14:textId="1F8CFEA7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C0E9D" w14:textId="4AC61B53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Calquence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85C8" w14:textId="2D131E3D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akalabrutynib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E474F" w14:textId="517BD0E4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29311" w14:textId="1609A6A7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B16C2" w14:textId="44E8B94E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1. linii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akalabrutynib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chorych na przewlekłą białaczkę limfocytową bez del17p, bez mutTP53 i ze zmutowanym statusem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IgHV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(tj. rozszerzenie aktualnie refundowanego wskazania dla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akalabrutynibu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leczenia o populację pacjentów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low-risk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niskiego ryzyka)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B00C646" w14:textId="5AB4CBE5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E03599" w:rsidRPr="004D093B" w14:paraId="47FA5CC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16AE" w14:textId="3F9FE155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D59E" w14:textId="07526F3C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 w:rsidRPr="00D1266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Jemperli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0862" w14:textId="008209E5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D126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ostarlimab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E665A" w14:textId="17C25968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B.148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60DD" w14:textId="15EC9BA3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5D3C7" w14:textId="07E3A032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1. linii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dostarlimab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 następnie w terapii podtrzymującej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dostarlimab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pacjentek z pierwotnym, zaawansowanym lub nawrotowym rakiem endometrium z upośledzeniem naprawy nieprawidłowo sparowanych nukleotydów (ang.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mismatch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repair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deficient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wysoką niestabilnością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mikrosatelitarną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(ang.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microsatellite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instability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-high, MSI-H)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655"/>
        <w:gridCol w:w="1561"/>
        <w:gridCol w:w="1983"/>
        <w:gridCol w:w="4317"/>
        <w:gridCol w:w="4009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4C447B" w:rsidRPr="004D093B" w14:paraId="1394CD71" w14:textId="77777777" w:rsidTr="004C447B">
        <w:trPr>
          <w:cantSplit/>
          <w:trHeight w:val="628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4C447B" w:rsidRPr="004D093B" w14:paraId="7522F87A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1F7FCCAB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42B60174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5B62845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bewacyzumab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04CA0DE6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B.70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5683D2D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CHOROBAMI SIATKÓWKI (ICD-10: H34, H35.3, H36.0)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1A3D9632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bewacyzumabem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18 r. ż. z zakrzepem żył siatkówki w nowej, dedykowanej części programu „C. LECZENIE PACJENTÓW Z ZAKRZEPEM ŻYŁ SIATKÓWKI (RVO)”</w:t>
            </w:r>
          </w:p>
        </w:tc>
      </w:tr>
      <w:tr w:rsidR="004C447B" w:rsidRPr="004D093B" w14:paraId="67574E71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58471" w14:textId="3CDA2BA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6D073" w14:textId="0BD5474D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Epclusa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86BE" w14:textId="7FF7F455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sofosbuwir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welpataswir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9255B" w14:textId="7053D74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D120" w14:textId="5B764FBA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593E3" w14:textId="57B3463F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zapisu kryterium minimalnego wieku chorego jako wiek 3 lat i powyżej, aktualnie określonego jako od ukończenia 18 r.ż.</w:t>
            </w:r>
          </w:p>
        </w:tc>
      </w:tr>
      <w:tr w:rsidR="004C447B" w:rsidRPr="004D093B" w14:paraId="3A184E3F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4576D" w14:textId="18C91137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ADF7" w14:textId="7FC2C540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Harvoni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0AD80" w14:textId="245B5B74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sofosbuwir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ledipaswir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D005D" w14:textId="1D83BFAB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A2BE" w14:textId="625CD2B1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F3EC" w14:textId="2A9E4C85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mianie zapisu kryterium minimalnego wieku chorego jako wiek 3 lat i powyżej, aktualnie określonego jako od ukończenia 18 r.ż.</w:t>
            </w:r>
          </w:p>
        </w:tc>
      </w:tr>
      <w:tr w:rsidR="004C447B" w:rsidRPr="004D093B" w14:paraId="2F48F654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683B" w14:textId="74A62E43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76DCE" w14:textId="3188D0A1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Maviret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77E4" w14:textId="4207213F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glekaprewir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pibrentaswir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29A3" w14:textId="301FA71C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3AD1" w14:textId="495AAD1F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2D48" w14:textId="6C215D97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mianie zapisu kryterium minimalnego wieku chorego jako wiek 3 lat i powyżej, aktualnie określonego jako od ukończenia 18 r.ż.</w:t>
            </w:r>
          </w:p>
        </w:tc>
      </w:tr>
      <w:tr w:rsidR="004C447B" w:rsidRPr="004D093B" w14:paraId="7F0C812A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BFD2" w14:textId="2649C4E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A3D2" w14:textId="6C0CCBE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Vosevi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8289" w14:textId="542AF124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sofosbuvir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welpataswir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woksyleprewir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940A" w14:textId="0C402306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2E68" w14:textId="138C5DB2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1F66" w14:textId="744962DC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mianie zapisu kryterium minimalnego wieku chorego jako wiek 12 lat i powyżej, aktualnie określonego jako od ukończenia 18 r.ż.</w:t>
            </w:r>
          </w:p>
        </w:tc>
      </w:tr>
      <w:tr w:rsidR="004C447B" w:rsidRPr="004D093B" w14:paraId="51E4037F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B1756" w14:textId="77131EBD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1CCD" w14:textId="70BE6885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Nucala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CC728" w14:textId="53BCB5D8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mepolizumab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0579" w14:textId="0998FF4E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BD8C8" w14:textId="4D871306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M30.1, M31.3, M31.5, M31.6, M31.7, M31.8)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B627" w14:textId="77777777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mepolizumabem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6 r. ż. chorych na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eozynofilową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ziarniniakowatość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zapaleniem naczyń w nowej, dedykowanej części programu „III. LECZENIE CHORYCH Z AKTYWNĄ POSTACIĄ EOZYNOFILOWEJ ZIARNINIAKOWATOŚCI Z ZAPALENIEM </w:t>
            </w:r>
            <w:proofErr w:type="gram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NACZYŃ  (</w:t>
            </w:r>
            <w:proofErr w:type="gram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EGPA) (ICD-10: M30.1)”</w:t>
            </w:r>
          </w:p>
          <w:p w14:paraId="45686B2A" w14:textId="40E5E25D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5ED86F3E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182C2BF8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267A387B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Kaftrio + </w:t>
            </w: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Kalydeco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2FEE336C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iwakaftor</w:t>
            </w:r>
            <w:proofErr w:type="spellEnd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tezakaftor</w:t>
            </w:r>
            <w:proofErr w:type="spellEnd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eleksakaftor</w:t>
            </w:r>
            <w:proofErr w:type="spellEnd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iwakaftor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1026A614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B.112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35BE06BD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B.112. LECZENIE CHORYCH NA MUKOWISCYDOZĘ (ICD-10: E84)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4059" w14:textId="77777777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iwakaftorem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tezakaftorem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eleksakaftorem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iwakaftorem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mukowiscydozą w wieku 2 lat i powyżej, z co najmniej jedną mutacją F508del genu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mukowiscydozowego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przezbłonowego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regulatora przewodnictwa.</w:t>
            </w:r>
          </w:p>
          <w:p w14:paraId="790C1040" w14:textId="08527F4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5CE97390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104F49A2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0870D121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Livtencity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6B138832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maribawir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4E89FAF6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B.168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716EBC5C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NIEREAGUJĄCYM LUB OPORNYM NA LECZENIE ZAKAŻENIEM WIRUSEM CYTOMEGALII (CMV) (ICD-10: B25.0, B25.1, B25.2, B25.8, B25.9)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6A58142C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2. lub kolejnej linii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maribawirem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po przeszczepieniu krwiotwórczych komórek macierzystych lub narządu litego zakażonych wirusem cytomegalii (CMV).</w:t>
            </w:r>
          </w:p>
        </w:tc>
      </w:tr>
      <w:tr w:rsidR="004C447B" w:rsidRPr="004D093B" w14:paraId="1013F3CB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1B68" w14:textId="458CAB60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3564D" w14:textId="7FCFEB2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Nucala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82A3" w14:textId="667E7331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mepolizumab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AB009" w14:textId="1C16083A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B.169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16D2" w14:textId="1446625A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ZESPOŁEM HIPEREOZYNOFILOWYM (HES) (ICD-10: D72.11)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E2E5" w14:textId="5429B443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="Arial"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Leczenie pacjentów dorosłych z rozpoznaniem zespołu </w:t>
            </w:r>
            <w:proofErr w:type="spellStart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hipereozynofilowego</w:t>
            </w:r>
            <w:proofErr w:type="spellEnd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(HES), niewystarczająco kontrolowanego (wystąpienie co najmniej dwóch zaostrzeń HES w ostatnim roku, z liczbą </w:t>
            </w:r>
            <w:proofErr w:type="spellStart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eozynofilów</w:t>
            </w:r>
            <w:proofErr w:type="spellEnd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≥1000 kom./</w:t>
            </w:r>
            <w:proofErr w:type="spellStart"/>
            <w:r w:rsidRPr="00A45B17">
              <w:rPr>
                <w:rFonts w:cs="Calibri"/>
                <w:bCs/>
                <w:color w:val="000000"/>
                <w:sz w:val="18"/>
                <w:szCs w:val="18"/>
              </w:rPr>
              <w:t>μ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l</w:t>
            </w:r>
            <w:proofErr w:type="spellEnd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w momencie kwalifikacji albo w ci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ą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gu 12 miesi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ę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cy poprzedzaj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ą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cych kwalifikacj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ę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chorego do leczenia w programie.</w:t>
            </w:r>
          </w:p>
          <w:p w14:paraId="6CA8500D" w14:textId="5A0860FA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6D899FDB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4E4E030C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15184FD9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Amvuttra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60BBF054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wutrisiran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24FF9EB5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B.170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7D785792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00110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POLINEUROPATIĄ W I LUB II STADIUM ZAAWANSOWANIA W PRZEBIEGU DZIEDZICZNEJ AMYLOIDOZY TRANSTYRETYNOWEJ (ICD-10 E85.1)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489BB" w14:textId="77777777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leku z grupy terapii wyciszających geny w dziedzicznej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amyloidozie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transtyretynowej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przebiegającej z polineuropatią, w populacji pacjentów powyżej 18 r.ż. </w:t>
            </w:r>
          </w:p>
          <w:p w14:paraId="7A6E1E34" w14:textId="6AE490FD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1AF8AB98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44BDB661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6D4887C2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C5DE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Kinpeygo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128D0D33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r w:rsidRPr="00DC5DE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udesoni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48400A69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5BDC306A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C5D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PIERWOTNĄ NEFROPATIĄ </w:t>
            </w:r>
            <w:proofErr w:type="spellStart"/>
            <w:r w:rsidRPr="00DC5DEB">
              <w:rPr>
                <w:rFonts w:ascii="Lato" w:hAnsi="Lato" w:cstheme="majorHAnsi"/>
                <w:color w:val="000000"/>
                <w:sz w:val="18"/>
                <w:szCs w:val="18"/>
              </w:rPr>
              <w:t>IgA</w:t>
            </w:r>
            <w:proofErr w:type="spellEnd"/>
            <w:r w:rsidRPr="00DC5D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(ICD-10: N02.8)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293A3D48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AA014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osób dorosłych z pierwotną nefropatią </w:t>
            </w:r>
            <w:proofErr w:type="spellStart"/>
            <w:r w:rsidRPr="00AA0145">
              <w:rPr>
                <w:rFonts w:ascii="Lato" w:hAnsi="Lato" w:cstheme="majorHAnsi"/>
                <w:color w:val="000000"/>
                <w:sz w:val="18"/>
                <w:szCs w:val="18"/>
              </w:rPr>
              <w:t>IgA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169C5300" w14:textId="177F7F2B" w:rsidR="004D093B" w:rsidRDefault="004D093B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638"/>
        <w:gridCol w:w="2524"/>
        <w:gridCol w:w="9192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E50AB6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64D50FB1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61E6F141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73C2366F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PACJENTÓW Z MUKOPOLISACHARYDOZĄ TYPU II (ZESPÓŁ HUNTERA) (ICD-10 E 76.1)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7CAF28C5" w:rsidR="00E50AB6" w:rsidRPr="00E50AB6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Kompleksowa zmiana treści programu lekowego obejmująca wszystkie jego składowe. Główna zmiana dotyczy zniesienia kryterium wiekowego stosowania </w:t>
            </w:r>
            <w:proofErr w:type="spellStart"/>
            <w:r w:rsidRPr="00E50AB6">
              <w:rPr>
                <w:rFonts w:ascii="Lato" w:hAnsi="Lato" w:cstheme="majorHAnsi"/>
                <w:sz w:val="18"/>
                <w:szCs w:val="18"/>
              </w:rPr>
              <w:t>idursulfazy</w:t>
            </w:r>
            <w:proofErr w:type="spellEnd"/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u pacjentów poniżej 5 r.ż. Dodatkowo wprowadzono liczne zmiany ujednolicające i porządkujące. </w:t>
            </w:r>
          </w:p>
        </w:tc>
      </w:tr>
      <w:tr w:rsidR="00E50AB6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7C8DF49F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3D2513C1" w:rsidR="00E50AB6" w:rsidRPr="004079C5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4079C5">
              <w:rPr>
                <w:rFonts w:ascii="Lato" w:hAnsi="Lato"/>
                <w:b/>
                <w:bCs/>
                <w:sz w:val="18"/>
                <w:szCs w:val="18"/>
              </w:rPr>
              <w:t>B.29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79649326" w:rsidR="00E50AB6" w:rsidRPr="004079C5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079C5">
              <w:rPr>
                <w:rFonts w:ascii="Lato" w:hAnsi="Lato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6CF1AFAB" w:rsidR="00E50AB6" w:rsidRPr="004079C5" w:rsidRDefault="00E50AB6" w:rsidP="00E50AB6">
            <w:pPr>
              <w:pStyle w:val="Style2"/>
              <w:widowControl/>
              <w:spacing w:before="60" w:after="60" w:line="240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4079C5">
              <w:rPr>
                <w:rFonts w:ascii="Lato" w:hAnsi="Lato"/>
                <w:sz w:val="18"/>
                <w:szCs w:val="18"/>
              </w:rPr>
              <w:t xml:space="preserve">W przypadku rozpoznania postaci rzutowo - </w:t>
            </w:r>
            <w:proofErr w:type="spellStart"/>
            <w:r w:rsidRPr="004079C5">
              <w:rPr>
                <w:rFonts w:ascii="Lato" w:hAnsi="Lato"/>
                <w:sz w:val="18"/>
                <w:szCs w:val="18"/>
              </w:rPr>
              <w:t>remisyjnej</w:t>
            </w:r>
            <w:proofErr w:type="spellEnd"/>
            <w:r w:rsidRPr="004079C5">
              <w:rPr>
                <w:rFonts w:ascii="Lato" w:hAnsi="Lato"/>
                <w:sz w:val="18"/>
                <w:szCs w:val="18"/>
              </w:rPr>
              <w:t xml:space="preserve"> stwardnienia rozsianego kryterium kwalifikacji to wystąpienie minimum 1 rzutu klinicznego albo co najmniej 1 nowe ognisko GD+ w okresie 12 miesięcy przed kwalifikacją. Zmiana dotyczy ujednolicenia tego zapisu dla każdego leku refundowanego w ramach I linii RRMS. Dotychczas do leczenia kladrybiną kwalifikowano pacjentów, u których wystąpiły minimum 2 rzuty kliniczne (niezależnie od zmian MRI).</w:t>
            </w:r>
          </w:p>
        </w:tc>
      </w:tr>
      <w:tr w:rsidR="00E50AB6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12801BDC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15F6FAEC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/>
                <w:b/>
                <w:bCs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67293B80" w:rsidR="00E50AB6" w:rsidRPr="00E50AB6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64D19B1C" w:rsidR="00E50AB6" w:rsidRPr="00E50AB6" w:rsidRDefault="00E50AB6" w:rsidP="00E50A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 xml:space="preserve">Modyfikacja zapisów umożliwiających stosowanie </w:t>
            </w:r>
            <w:proofErr w:type="spellStart"/>
            <w:r w:rsidRPr="00E50AB6">
              <w:rPr>
                <w:rFonts w:ascii="Lato" w:hAnsi="Lato"/>
                <w:sz w:val="18"/>
                <w:szCs w:val="18"/>
              </w:rPr>
              <w:t>niwolumabu</w:t>
            </w:r>
            <w:proofErr w:type="spellEnd"/>
            <w:r w:rsidRPr="00E50AB6">
              <w:rPr>
                <w:rFonts w:ascii="Lato" w:hAnsi="Lato"/>
                <w:sz w:val="18"/>
                <w:szCs w:val="18"/>
              </w:rPr>
              <w:t xml:space="preserve"> w leczeniu </w:t>
            </w:r>
            <w:proofErr w:type="spellStart"/>
            <w:r w:rsidRPr="00E50AB6">
              <w:rPr>
                <w:rFonts w:ascii="Lato" w:hAnsi="Lato"/>
                <w:sz w:val="18"/>
                <w:szCs w:val="18"/>
              </w:rPr>
              <w:t>adjuwantowym</w:t>
            </w:r>
            <w:proofErr w:type="spellEnd"/>
            <w:r w:rsidRPr="00E50AB6">
              <w:rPr>
                <w:rFonts w:ascii="Lato" w:hAnsi="Lato"/>
                <w:sz w:val="18"/>
                <w:szCs w:val="18"/>
              </w:rPr>
              <w:t xml:space="preserve"> czerniaka w stopniu zaawansowania IIB i IIC.</w:t>
            </w:r>
          </w:p>
        </w:tc>
      </w:tr>
      <w:tr w:rsidR="00E50AB6" w:rsidRPr="004D093B" w14:paraId="427A8655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964B" w14:textId="546DF4AF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DBB4C" w14:textId="1950BC36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E50AB6">
              <w:rPr>
                <w:rFonts w:ascii="Lato" w:hAnsi="Lato"/>
                <w:b/>
                <w:bCs/>
                <w:sz w:val="18"/>
                <w:szCs w:val="18"/>
              </w:rPr>
              <w:t>B.70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3CC8" w14:textId="495126E7" w:rsidR="00E50AB6" w:rsidRPr="00E50AB6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PACJENTÓW Z CHOROBAMI SIATKÓWKI (ICD-10: H34, H35.3, H36.0)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AD42" w14:textId="494E4A1A" w:rsidR="00E50AB6" w:rsidRPr="00E50AB6" w:rsidRDefault="00E50AB6" w:rsidP="00E50A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 xml:space="preserve">Zmiany dotyczące częstości podawania </w:t>
            </w:r>
            <w:proofErr w:type="spellStart"/>
            <w:r w:rsidRPr="00E50AB6">
              <w:rPr>
                <w:rFonts w:ascii="Lato" w:hAnsi="Lato"/>
                <w:sz w:val="18"/>
                <w:szCs w:val="18"/>
              </w:rPr>
              <w:t>farycymabu</w:t>
            </w:r>
            <w:proofErr w:type="spellEnd"/>
            <w:r w:rsidRPr="00E50AB6">
              <w:rPr>
                <w:rFonts w:ascii="Lato" w:hAnsi="Lato"/>
                <w:sz w:val="18"/>
                <w:szCs w:val="18"/>
              </w:rPr>
              <w:t xml:space="preserve"> – skrócenie czasu trwania fazy nasycającej z 4 miesięcy do 3.</w:t>
            </w:r>
          </w:p>
        </w:tc>
      </w:tr>
      <w:tr w:rsidR="00E50AB6" w:rsidRPr="004D093B" w14:paraId="2AD637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5FC5" w14:textId="1E568AAC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B320" w14:textId="63CE76C0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1B30E" w14:textId="02AE9EF0" w:rsidR="00E50AB6" w:rsidRPr="004C729B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C729B">
              <w:rPr>
                <w:rFonts w:ascii="Lato" w:hAnsi="Lato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01FB" w14:textId="77777777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 xml:space="preserve">Zmiany dotyczące sposobu podawania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pegcetakoplanu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>:</w:t>
            </w:r>
          </w:p>
          <w:p w14:paraId="1A9CB4C8" w14:textId="77777777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>1. skrócenie obowiązku podawania leku w ośrodku z 3 miesięcy do 3 pierwszych podań, co umożliwia szybsze</w:t>
            </w:r>
            <w:r w:rsidRPr="004C729B">
              <w:t xml:space="preserve"> </w:t>
            </w:r>
            <w:r w:rsidRPr="004C729B">
              <w:rPr>
                <w:rFonts w:ascii="Lato" w:hAnsi="Lato" w:cstheme="majorHAnsi"/>
                <w:sz w:val="18"/>
                <w:szCs w:val="18"/>
              </w:rPr>
              <w:t>stosowanie leku w warunkach domowych;</w:t>
            </w:r>
          </w:p>
          <w:p w14:paraId="34B93824" w14:textId="07D9D34E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 xml:space="preserve">2. wprowadzenie opcjonalnego wykonywania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trepanobiopsji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 xml:space="preserve">, tylko </w:t>
            </w:r>
            <w:proofErr w:type="gramStart"/>
            <w:r w:rsidRPr="004C729B">
              <w:rPr>
                <w:rFonts w:ascii="Lato" w:hAnsi="Lato" w:cstheme="majorHAnsi"/>
                <w:sz w:val="18"/>
                <w:szCs w:val="18"/>
              </w:rPr>
              <w:t>wówczas</w:t>
            </w:r>
            <w:proofErr w:type="gramEnd"/>
            <w:r w:rsidRPr="004C729B">
              <w:rPr>
                <w:rFonts w:ascii="Lato" w:hAnsi="Lato" w:cstheme="majorHAnsi"/>
                <w:sz w:val="18"/>
                <w:szCs w:val="18"/>
              </w:rPr>
              <w:t xml:space="preserve"> jeśli jest podejrzenie współistniejącej aplazji szpiku lub zespołu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mielodysplastycznego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>;</w:t>
            </w:r>
          </w:p>
          <w:p w14:paraId="131F1786" w14:textId="79ACFD8D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 xml:space="preserve">3. wydłużenie, począwszy od 10 tygodnia stosowania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pegcetakoplanu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>, czasu pomiędzy kolejnymi badaniami monitorującymi z 4 tygodni do 8 tygodni.</w:t>
            </w:r>
          </w:p>
        </w:tc>
      </w:tr>
      <w:tr w:rsidR="00E50AB6" w:rsidRPr="004D093B" w14:paraId="005A963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88531" w14:textId="7912A6AC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8796" w14:textId="18E86193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B.139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056B7" w14:textId="25F3F1BC" w:rsidR="00E50AB6" w:rsidRPr="004C729B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LECZENIE PACJENTÓW Z NOWOTWORAMI NEUROENDOKRYNNYMI UKŁADU POKARMOWEGO Z ZASTOSOWANIEM RADIOFARMACEUTYKÓW (ICD-10: C25.4, C17.0-C17.9, C18.0-C18.4)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806C" w14:textId="06952BDE" w:rsidR="00E50AB6" w:rsidRPr="004C729B" w:rsidRDefault="00B7722F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>Zmieniono nazewnictwo</w:t>
            </w:r>
            <w:r w:rsidR="00E50AB6"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znacznika stosowanego w diagnostyce PET/CT i SPECT/CT oraz kryteria kwalifikacji (w części A oraz B) w zakresach czasu oceny stopnia zaawansowania choroby z zastosowaniem badań obrazowych.</w:t>
            </w:r>
          </w:p>
        </w:tc>
      </w:tr>
      <w:tr w:rsidR="00E50AB6" w:rsidRPr="004D093B" w14:paraId="42FEE833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85D6" w14:textId="5B910B8B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4CC4" w14:textId="5E8C75B8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8D5F1" w14:textId="4D8D07D5" w:rsidR="00E50AB6" w:rsidRPr="004C729B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>LECZENIE CHORYCH Z NERWIAKOWŁÓKNIAKAMI SPLOTOWATYMI W PRZEBIEGU NEUROFIBROMATOZY TYPU 1 (NF1) (ICD-10: Q85.0)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571F" w14:textId="3672571D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>Wydłużenie okresu pomiędzy wykonywaniem kontrolnego badania wolumetrycznego MRI w pierwszych 2 latach z 4 do 6 miesięcy.</w:t>
            </w:r>
          </w:p>
        </w:tc>
      </w:tr>
      <w:tr w:rsidR="00E50AB6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7F7B89D9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478F3ED3" w:rsidR="00E50AB6" w:rsidRPr="004C729B" w:rsidRDefault="00E50AB6" w:rsidP="00E50AB6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B.119 / C.89.d.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D6A0349" w:rsidR="00E50AB6" w:rsidRPr="004C729B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LECZENIE PACJENTÓW ZE ZRÓŻNICOWANYM RAKIEM TARCZYCY (ICD-10: C 73) /</w:t>
            </w:r>
            <w:r w:rsidRPr="004C729B">
              <w:t xml:space="preserve"> </w:t>
            </w:r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C.89.d. SORAFENIB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470CF12B" w:rsidR="00E50AB6" w:rsidRPr="004C729B" w:rsidRDefault="00E50AB6" w:rsidP="00E50A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dla substancji czynnej </w:t>
            </w:r>
            <w:proofErr w:type="spellStart"/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sorafenib</w:t>
            </w:r>
            <w:proofErr w:type="spellEnd"/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stosowanej w leczeniu zróżnicowanego raka tarczycy, z programu lekowego na katalog chemioterapii- załącznik C.89.d. SORAFENIB. W programie lekowym pozostanie refundowany </w:t>
            </w:r>
            <w:proofErr w:type="spellStart"/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kabozantynib</w:t>
            </w:r>
            <w:proofErr w:type="spellEnd"/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po nieskuteczności terapii </w:t>
            </w:r>
            <w:proofErr w:type="spellStart"/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sorafenibem</w:t>
            </w:r>
            <w:proofErr w:type="spellEnd"/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</w:tc>
      </w:tr>
    </w:tbl>
    <w:p w14:paraId="052EAE3A" w14:textId="32324870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1EAE29C1" w14:textId="77777777" w:rsidR="004C447B" w:rsidRDefault="004C447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113E50CB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C938F8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584D92B" w:rsidR="00C938F8" w:rsidRPr="004D093B" w:rsidRDefault="0075268E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3B497F8D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Abrysvo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0DAF09E9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 (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biwalentna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, rekombinowana)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0F1BE047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niemowląt poprzez zaszczepienie matki w okresie ciąży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3B77B2D9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pierwszej szczepionki przeciw RSV w celu objęcia profilaktyką dzieci od urodzenia do 6 miesiąca życia po zaszczepieniu matki w ostatnich tygodniach ciąży.</w:t>
            </w:r>
          </w:p>
        </w:tc>
      </w:tr>
      <w:tr w:rsidR="00C938F8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3BFD409D" w:rsidR="00C938F8" w:rsidRPr="004D093B" w:rsidRDefault="0075268E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7A150B5E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Abrysvo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1461FB81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 (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biwalentna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, rekombinowana)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0DFA3C23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53E1CE00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pierwszej szczepionki przeciw RSV w celu objęcia profilaktyką pacjentów powyżej 60 roku życia.</w:t>
            </w:r>
          </w:p>
        </w:tc>
      </w:tr>
      <w:tr w:rsidR="0075268E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2B7566AA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4B91F3B9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Flecainide</w:t>
            </w:r>
            <w:proofErr w:type="spellEnd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acetate</w:t>
            </w:r>
            <w:proofErr w:type="spellEnd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Holsten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93FEEE0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flekainid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64BBEC14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Zaburzenia rytmu serca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C99E7" w14:textId="77777777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41D464AF" w14:textId="3388F634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5268E" w:rsidRPr="004D093B" w14:paraId="0B571026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D64E4" w14:textId="390FCB2E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3D06" w14:textId="1AD5856B" w:rsidR="0075268E" w:rsidRPr="009C0460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Iporel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B984" w14:textId="6C13D100" w:rsidR="0075268E" w:rsidRDefault="006911A1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="0075268E"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lonidyna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AC87C" w14:textId="2C08F5D0" w:rsidR="0075268E" w:rsidRPr="00751EEF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E43B" w14:textId="78514AFA" w:rsidR="0075268E" w:rsidRDefault="006911A1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nowej substancji czynnej</w:t>
            </w:r>
            <w:r w:rsidR="0075268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we wskazaniu określonym stanem klinicznym.</w:t>
            </w:r>
          </w:p>
          <w:p w14:paraId="3539F41F" w14:textId="78A2AA0F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5268E" w:rsidRPr="004D093B" w14:paraId="259796D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AEB4" w14:textId="18AF1004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2EFF" w14:textId="6F7E0E74" w:rsidR="0075268E" w:rsidRPr="009C0460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04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Shingrix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ACED" w14:textId="51FD665C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zczepionka przeciw półpaścowi (rekombinowana, z adiuwantem)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D418" w14:textId="014CB8C2" w:rsidR="0075268E" w:rsidRPr="00751EEF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Profilaktyka półpaśca i neuralgii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półpaścowej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w wieku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18 </w:t>
            </w: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lat i starszych o zwiększonym ryzyku zachorowania na półpasiec tj. z: przewlekłą chorobą serca, przewlekłą chorobą płuc, cukrzycą, przewlekłą niewydolnością nerek, wrodzonym lub nabytym niedoborem odporności, uogólnioną chorobą nowotworową, zakażeniem wirusem HIV, chorobą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Hodgkina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, jatrogenną immunosupresją, białaczką, szpiczakiem mnogim, przeszczepem narządu litego, reumatoidalnym zapaleniem stawów, łuszczycą, łuszczycowym zapaleniem stawów, nieswoistym zapaleniem jelit, zesztywniającym zapaleniem stawów kręgosłupa, stwardnieniem rozsianym, toczniem układowym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67F2" w14:textId="77589C13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profilaktyki przeciw półpaścowi o pacjentów powyżej 18 roku życia o zwiększonym ryzyku zachorowania. </w:t>
            </w:r>
          </w:p>
        </w:tc>
      </w:tr>
      <w:tr w:rsidR="0075268E" w:rsidRPr="004D093B" w14:paraId="7DC7014E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C86E" w14:textId="4C6B0903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5EE37" w14:textId="739EA573" w:rsidR="0075268E" w:rsidRPr="009C0460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Tolutris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E0C" w14:textId="283E0FC2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2293" w14:textId="6FEF5D5D" w:rsidR="0075268E" w:rsidRPr="00751EEF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92E6D" w14:textId="4CDDBB76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produkt trójlekowy (lek złożony, </w:t>
            </w:r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single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pill</w:t>
            </w:r>
            <w:proofErr w:type="spellEnd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combination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</w:t>
            </w:r>
            <w:r w:rsidRPr="006F1596">
              <w:rPr>
                <w:rFonts w:ascii="Lato" w:hAnsi="Lato" w:cstheme="majorHAnsi"/>
                <w:color w:val="000000"/>
                <w:sz w:val="18"/>
                <w:szCs w:val="18"/>
              </w:rPr>
              <w:t>w leczeniu samoistnego nadciśnienia tętniczego u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50AB6" w:rsidRPr="004D093B" w14:paraId="6A19E6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5860" w14:textId="26BC94F6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5CE0" w14:textId="0C44877B" w:rsidR="00E50AB6" w:rsidRPr="009C0460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Vabinxo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CD6" w14:textId="3C0E3075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1C0F4" w14:textId="0765C9E1" w:rsidR="00E50AB6" w:rsidRPr="00751EEF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427DC" w14:textId="66FE7A41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produkt dwulekowy (lek złożony, </w:t>
            </w:r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single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pill</w:t>
            </w:r>
            <w:proofErr w:type="spellEnd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combination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</w:t>
            </w:r>
            <w:r w:rsidRPr="006F1596">
              <w:rPr>
                <w:rFonts w:ascii="Lato" w:hAnsi="Lato" w:cstheme="majorHAnsi"/>
                <w:color w:val="000000"/>
                <w:sz w:val="18"/>
                <w:szCs w:val="18"/>
              </w:rPr>
              <w:t>w leczeniu samoistnego nadciśnienia tętniczego u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50AB6" w:rsidRPr="004D093B" w14:paraId="069036C5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49426" w14:textId="6835E4E1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6A52" w14:textId="25D5E0D0" w:rsidR="00E50AB6" w:rsidRPr="009C0460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Zofenil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F9093" w14:textId="191E5DC3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159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zofenopril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2781" w14:textId="3CFFBF48" w:rsidR="00E50AB6" w:rsidRPr="00751EEF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04E6" w14:textId="77777777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nowej terapii z grupy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iACE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klinicznego w leczeniu nadciśnienia tętniczego.</w:t>
            </w:r>
          </w:p>
          <w:p w14:paraId="5CFA3A02" w14:textId="2A7AB9EE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</w:tbl>
    <w:p w14:paraId="4BD940CF" w14:textId="77777777" w:rsidR="00C167C7" w:rsidRDefault="00C167C7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DD1A0A2" w14:textId="77777777" w:rsidR="00C167C7" w:rsidRDefault="00C167C7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BE7839B" w14:textId="77777777" w:rsidR="004C447B" w:rsidRDefault="004C447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68E51114" w14:textId="1A8498D3" w:rsidR="00C167C7" w:rsidRPr="00C167C7" w:rsidRDefault="00C167C7" w:rsidP="00C167C7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lastRenderedPageBreak/>
        <w:t xml:space="preserve">ZMIANY NA BEZPŁATNYCH WYKAZACH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2673"/>
        <w:gridCol w:w="5656"/>
        <w:gridCol w:w="5192"/>
      </w:tblGrid>
      <w:tr w:rsidR="00C938F8" w:rsidRPr="001A28EB" w14:paraId="63C93161" w14:textId="77777777" w:rsidTr="00C167C7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41367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48004033"/>
            <w:r w:rsidRPr="001A28EB">
              <w:rPr>
                <w:rFonts w:ascii="Lato" w:hAnsi="Lato" w:cstheme="majorHAnsi"/>
                <w:b/>
                <w:bCs/>
                <w:color w:val="FFFFFF"/>
              </w:rPr>
              <w:t>Zmiany na liście 65+</w:t>
            </w:r>
          </w:p>
        </w:tc>
      </w:tr>
      <w:tr w:rsidR="00C938F8" w:rsidRPr="001A28EB" w14:paraId="4AEAE593" w14:textId="77777777" w:rsidTr="00C167C7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843B6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955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A5F0D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202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D6FEF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1856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BE131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C938F8" w:rsidRPr="001A28EB" w14:paraId="5F3DB327" w14:textId="77777777" w:rsidTr="00C167C7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0AE6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F2DF" w14:textId="3126E446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 </w:t>
            </w:r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1C45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52F1" w14:textId="769A7190" w:rsidR="00C938F8" w:rsidRPr="001A28EB" w:rsidRDefault="00C938F8" w:rsidP="00A4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Dodanie do wykazu pierwszej szczepionki przeciw RSV</w:t>
            </w:r>
            <w:r w:rsidR="0075268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C938F8" w:rsidRPr="001A28EB" w14:paraId="7D9FC65B" w14:textId="77777777" w:rsidTr="00C167C7">
        <w:trPr>
          <w:trHeight w:val="2354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C392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A12B" w14:textId="53CEA26F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zczepionka przeciw półpaścowi</w:t>
            </w:r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09C08" w14:textId="77777777" w:rsidR="00C938F8" w:rsidRPr="00596E33" w:rsidRDefault="00C938F8" w:rsidP="00A451D5">
            <w:pPr>
              <w:spacing w:before="60" w:after="60" w:line="240" w:lineRule="auto"/>
              <w:jc w:val="center"/>
              <w:rPr>
                <w:rFonts w:cstheme="majorHAnsi"/>
                <w:i/>
                <w:iCs/>
                <w:color w:val="000000"/>
                <w:sz w:val="18"/>
                <w:szCs w:val="18"/>
              </w:rPr>
            </w:pP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Profilaktyka półpaśca i neuralgii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półpaścowej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w wieku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18 </w:t>
            </w: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lat i starszych o zwiększonym ryzyku zachorowania na półpasiec tj. z: przewlekłą chorobą serca, przewlekłą chorobą płuc, cukrzycą, przewlekłą niewydolnością nerek, wrodzonym lub nabytym niedoborem odporności, uogólnioną chorobą nowotworową, zakażeniem wirusem HIV, chorobą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Hodgkina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, jatrogenną immunosupresją, białaczką, szpiczakiem mnogim, przeszczepem narządu litego, reumatoidalnym zapaleniem stawów, łuszczycą, łuszczycowym zapaleniem stawów, nieswoistym zapaleniem jelit, zesztywniającym zapaleniem stawów kręgosłupa, stwardnieniem rozsianym, toczniem układowym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953C" w14:textId="2C0EC42D" w:rsidR="00C938F8" w:rsidRPr="00092B07" w:rsidRDefault="0075268E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Dodanie</w:t>
            </w:r>
            <w:r w:rsidR="00C938F8" w:rsidRPr="00092B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wykazu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pierwszej </w:t>
            </w:r>
            <w:r w:rsidR="00C938F8" w:rsidRPr="00092B07">
              <w:rPr>
                <w:rFonts w:ascii="Lato" w:hAnsi="Lato" w:cstheme="majorHAnsi"/>
                <w:color w:val="000000"/>
                <w:sz w:val="18"/>
                <w:szCs w:val="18"/>
              </w:rPr>
              <w:t>szczepionki przeciw półpaścowi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02EE3" w:rsidRPr="001A28EB" w14:paraId="346033C8" w14:textId="77777777" w:rsidTr="00C167C7">
        <w:trPr>
          <w:trHeight w:val="990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98DA9" w14:textId="6DEB4E0E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C8F4C" w14:textId="3D41A0C6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pina</w:t>
            </w:r>
            <w:proofErr w:type="spellEnd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216AD" w14:textId="19C1A193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4F7B" w14:textId="77777777" w:rsidR="00802EE3" w:rsidRDefault="00802EE3" w:rsidP="00802EE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złożony. </w:t>
            </w:r>
          </w:p>
          <w:p w14:paraId="498CA9F0" w14:textId="6DD5FBAC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Obecnie na wykazie 65+ znajdują się produkty lecznicze dwuskładnikowe z </w:t>
            </w:r>
            <w:proofErr w:type="spellStart"/>
            <w:r w:rsidRPr="00CA1A58">
              <w:rPr>
                <w:rFonts w:ascii="Lato" w:hAnsi="Lato" w:cstheme="majorHAnsi"/>
                <w:color w:val="000000"/>
                <w:sz w:val="18"/>
                <w:szCs w:val="18"/>
              </w:rPr>
              <w:t>telmisartan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CA1A5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CA1A58">
              <w:rPr>
                <w:rFonts w:ascii="Lato" w:hAnsi="Lato" w:cstheme="majorHAnsi"/>
                <w:color w:val="000000"/>
                <w:sz w:val="18"/>
                <w:szCs w:val="18"/>
              </w:rPr>
              <w:t>hydrochlorotiazyd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jednoskładnikowe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amlodypiną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02EE3" w:rsidRPr="001A28EB" w14:paraId="14673212" w14:textId="77777777" w:rsidTr="00C167C7">
        <w:trPr>
          <w:trHeight w:val="772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C334" w14:textId="6241E26D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C7150" w14:textId="4524D518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F896" w14:textId="310FCADE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759F" w14:textId="77777777" w:rsidR="00802EE3" w:rsidRDefault="00802EE3" w:rsidP="00802EE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złożony. </w:t>
            </w:r>
          </w:p>
          <w:p w14:paraId="0F6442E6" w14:textId="353B3FD6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Obecnie na wykazie 65+ znajdują się produkty lecznicze jednoskładnikowe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walsartanem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indapamidem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bookmarkEnd w:id="2"/>
    </w:tbl>
    <w:p w14:paraId="033ABAA7" w14:textId="77777777" w:rsidR="00C938F8" w:rsidRDefault="00C938F8" w:rsidP="00C938F8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50"/>
        <w:gridCol w:w="5673"/>
        <w:gridCol w:w="5209"/>
      </w:tblGrid>
      <w:tr w:rsidR="00C938F8" w:rsidRPr="001A28EB" w14:paraId="3E23FE58" w14:textId="77777777" w:rsidTr="00C167C7">
        <w:trPr>
          <w:trHeight w:val="328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75BA6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A28EB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ciąża+</w:t>
            </w:r>
          </w:p>
        </w:tc>
      </w:tr>
      <w:tr w:rsidR="00C938F8" w:rsidRPr="001A28EB" w14:paraId="06DA2E1E" w14:textId="77777777" w:rsidTr="00C167C7">
        <w:tc>
          <w:tcPr>
            <w:tcW w:w="20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15D4C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91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4F298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B7DB8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2E724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C938F8" w:rsidRPr="001A28EB" w14:paraId="597C6437" w14:textId="77777777" w:rsidTr="00C167C7">
        <w:tc>
          <w:tcPr>
            <w:tcW w:w="2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E6CC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91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E1F43" w14:textId="650FFB41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309F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niemowląt poprzez zaszczepienie matki w okresie ciąży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1117" w14:textId="77777777" w:rsidR="00C938F8" w:rsidRPr="001A28EB" w:rsidRDefault="00C938F8" w:rsidP="00A4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Dodanie do wykazu pierwszej szczepionki przeciw RSV</w:t>
            </w:r>
          </w:p>
        </w:tc>
      </w:tr>
    </w:tbl>
    <w:p w14:paraId="1BFB3E37" w14:textId="77777777" w:rsidR="00C938F8" w:rsidRDefault="00C938F8" w:rsidP="00C167C7">
      <w:pPr>
        <w:suppressAutoHyphens w:val="0"/>
        <w:rPr>
          <w:rFonts w:ascii="Lato" w:hAnsi="Lato"/>
          <w:b/>
          <w:bCs/>
          <w:color w:val="00B0F0"/>
        </w:rPr>
      </w:pPr>
    </w:p>
    <w:sectPr w:rsidR="00C938F8" w:rsidSect="005058F2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F4FBC" w14:textId="77777777" w:rsidR="00835F45" w:rsidRDefault="00835F45">
      <w:pPr>
        <w:spacing w:after="0" w:line="240" w:lineRule="auto"/>
      </w:pPr>
      <w:r>
        <w:separator/>
      </w:r>
    </w:p>
  </w:endnote>
  <w:endnote w:type="continuationSeparator" w:id="0">
    <w:p w14:paraId="133FB750" w14:textId="77777777" w:rsidR="00835F45" w:rsidRDefault="00835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3E59" w14:textId="77777777" w:rsidR="00835F45" w:rsidRDefault="00835F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4C444C" w14:textId="77777777" w:rsidR="00835F45" w:rsidRDefault="00835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6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2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9"/>
  </w:num>
  <w:num w:numId="9" w16cid:durableId="969629549">
    <w:abstractNumId w:val="19"/>
  </w:num>
  <w:num w:numId="10" w16cid:durableId="1576276737">
    <w:abstractNumId w:val="1"/>
  </w:num>
  <w:num w:numId="11" w16cid:durableId="409036424">
    <w:abstractNumId w:val="23"/>
  </w:num>
  <w:num w:numId="12" w16cid:durableId="1526747669">
    <w:abstractNumId w:val="2"/>
  </w:num>
  <w:num w:numId="13" w16cid:durableId="1746950255">
    <w:abstractNumId w:val="10"/>
  </w:num>
  <w:num w:numId="14" w16cid:durableId="329715522">
    <w:abstractNumId w:val="12"/>
  </w:num>
  <w:num w:numId="15" w16cid:durableId="1837842867">
    <w:abstractNumId w:val="11"/>
  </w:num>
  <w:num w:numId="16" w16cid:durableId="1970238000">
    <w:abstractNumId w:val="21"/>
  </w:num>
  <w:num w:numId="17" w16cid:durableId="485172914">
    <w:abstractNumId w:val="15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7"/>
  </w:num>
  <w:num w:numId="22" w16cid:durableId="1157845039">
    <w:abstractNumId w:val="16"/>
  </w:num>
  <w:num w:numId="23" w16cid:durableId="1318220489">
    <w:abstractNumId w:val="13"/>
  </w:num>
  <w:num w:numId="24" w16cid:durableId="791442922">
    <w:abstractNumId w:val="18"/>
  </w:num>
  <w:num w:numId="25" w16cid:durableId="799500458">
    <w:abstractNumId w:val="14"/>
  </w:num>
  <w:num w:numId="26" w16cid:durableId="18527903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13ED"/>
    <w:rsid w:val="000F3ED2"/>
    <w:rsid w:val="000F5E24"/>
    <w:rsid w:val="001030B2"/>
    <w:rsid w:val="001204EA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509B"/>
    <w:rsid w:val="00221A2A"/>
    <w:rsid w:val="002270E2"/>
    <w:rsid w:val="00230BB7"/>
    <w:rsid w:val="0024697E"/>
    <w:rsid w:val="00255E53"/>
    <w:rsid w:val="00263781"/>
    <w:rsid w:val="00275115"/>
    <w:rsid w:val="00280311"/>
    <w:rsid w:val="00281BE7"/>
    <w:rsid w:val="00286651"/>
    <w:rsid w:val="00287196"/>
    <w:rsid w:val="0029287B"/>
    <w:rsid w:val="0029403F"/>
    <w:rsid w:val="002C0340"/>
    <w:rsid w:val="002C19DE"/>
    <w:rsid w:val="002D55B8"/>
    <w:rsid w:val="002D6ED9"/>
    <w:rsid w:val="002E46AC"/>
    <w:rsid w:val="002F0FB2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255B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404F9B"/>
    <w:rsid w:val="004079C5"/>
    <w:rsid w:val="00411C64"/>
    <w:rsid w:val="004156E6"/>
    <w:rsid w:val="00415707"/>
    <w:rsid w:val="00416F70"/>
    <w:rsid w:val="0041703B"/>
    <w:rsid w:val="00433870"/>
    <w:rsid w:val="004403B4"/>
    <w:rsid w:val="00446466"/>
    <w:rsid w:val="00447CE9"/>
    <w:rsid w:val="00453B55"/>
    <w:rsid w:val="00457779"/>
    <w:rsid w:val="00466FE8"/>
    <w:rsid w:val="004744CD"/>
    <w:rsid w:val="004776AE"/>
    <w:rsid w:val="0048011A"/>
    <w:rsid w:val="004850DC"/>
    <w:rsid w:val="00490715"/>
    <w:rsid w:val="00491267"/>
    <w:rsid w:val="00491300"/>
    <w:rsid w:val="00492285"/>
    <w:rsid w:val="0049535D"/>
    <w:rsid w:val="004A167B"/>
    <w:rsid w:val="004A2F20"/>
    <w:rsid w:val="004A2F45"/>
    <w:rsid w:val="004A5135"/>
    <w:rsid w:val="004B2F38"/>
    <w:rsid w:val="004C35E7"/>
    <w:rsid w:val="004C447B"/>
    <w:rsid w:val="004C729B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5182D"/>
    <w:rsid w:val="00553AE5"/>
    <w:rsid w:val="0056748F"/>
    <w:rsid w:val="00574D83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02883"/>
    <w:rsid w:val="00633806"/>
    <w:rsid w:val="00633883"/>
    <w:rsid w:val="00634434"/>
    <w:rsid w:val="0064109C"/>
    <w:rsid w:val="0064487F"/>
    <w:rsid w:val="006648F3"/>
    <w:rsid w:val="006666D0"/>
    <w:rsid w:val="00670C14"/>
    <w:rsid w:val="0068046C"/>
    <w:rsid w:val="00680B0E"/>
    <w:rsid w:val="00687B5F"/>
    <w:rsid w:val="00687E5A"/>
    <w:rsid w:val="006905E7"/>
    <w:rsid w:val="006911A1"/>
    <w:rsid w:val="006967BC"/>
    <w:rsid w:val="006A03EB"/>
    <w:rsid w:val="006A36EA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F498A"/>
    <w:rsid w:val="006F5BEB"/>
    <w:rsid w:val="007135A8"/>
    <w:rsid w:val="007156F6"/>
    <w:rsid w:val="00715B91"/>
    <w:rsid w:val="00722C84"/>
    <w:rsid w:val="007321D8"/>
    <w:rsid w:val="00733AF9"/>
    <w:rsid w:val="00734732"/>
    <w:rsid w:val="00735F08"/>
    <w:rsid w:val="00740ABA"/>
    <w:rsid w:val="007422B0"/>
    <w:rsid w:val="0074295D"/>
    <w:rsid w:val="0075268E"/>
    <w:rsid w:val="00755E27"/>
    <w:rsid w:val="0078723A"/>
    <w:rsid w:val="007A4FB5"/>
    <w:rsid w:val="007B043E"/>
    <w:rsid w:val="007C4332"/>
    <w:rsid w:val="007C44CD"/>
    <w:rsid w:val="007C4C95"/>
    <w:rsid w:val="007D0493"/>
    <w:rsid w:val="007D1551"/>
    <w:rsid w:val="007D273D"/>
    <w:rsid w:val="007D6A3A"/>
    <w:rsid w:val="007D6B6F"/>
    <w:rsid w:val="007D74E2"/>
    <w:rsid w:val="007F016E"/>
    <w:rsid w:val="007F7ECB"/>
    <w:rsid w:val="008008F6"/>
    <w:rsid w:val="008017A7"/>
    <w:rsid w:val="00802EE3"/>
    <w:rsid w:val="00823875"/>
    <w:rsid w:val="00827817"/>
    <w:rsid w:val="00827986"/>
    <w:rsid w:val="008279BD"/>
    <w:rsid w:val="00835F45"/>
    <w:rsid w:val="0084154E"/>
    <w:rsid w:val="00843352"/>
    <w:rsid w:val="00844624"/>
    <w:rsid w:val="008462C0"/>
    <w:rsid w:val="00865B9B"/>
    <w:rsid w:val="0087118E"/>
    <w:rsid w:val="008771C8"/>
    <w:rsid w:val="00882DCA"/>
    <w:rsid w:val="0088727A"/>
    <w:rsid w:val="00896D35"/>
    <w:rsid w:val="008B00C4"/>
    <w:rsid w:val="008B43B0"/>
    <w:rsid w:val="008C0493"/>
    <w:rsid w:val="008C0E92"/>
    <w:rsid w:val="008D45C3"/>
    <w:rsid w:val="008E18D7"/>
    <w:rsid w:val="008E33C7"/>
    <w:rsid w:val="008E5925"/>
    <w:rsid w:val="008F1D35"/>
    <w:rsid w:val="009066C7"/>
    <w:rsid w:val="0092216D"/>
    <w:rsid w:val="00933339"/>
    <w:rsid w:val="00953B84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434EB"/>
    <w:rsid w:val="00A45B17"/>
    <w:rsid w:val="00A5351C"/>
    <w:rsid w:val="00A54C06"/>
    <w:rsid w:val="00A633F0"/>
    <w:rsid w:val="00A6481E"/>
    <w:rsid w:val="00A66140"/>
    <w:rsid w:val="00A66626"/>
    <w:rsid w:val="00A666CE"/>
    <w:rsid w:val="00A7064A"/>
    <w:rsid w:val="00A7345A"/>
    <w:rsid w:val="00A73A5C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F1EBC"/>
    <w:rsid w:val="00B1467F"/>
    <w:rsid w:val="00B31928"/>
    <w:rsid w:val="00B326A9"/>
    <w:rsid w:val="00B45ED3"/>
    <w:rsid w:val="00B543E9"/>
    <w:rsid w:val="00B57127"/>
    <w:rsid w:val="00B76B2B"/>
    <w:rsid w:val="00B7722F"/>
    <w:rsid w:val="00B8251D"/>
    <w:rsid w:val="00B94288"/>
    <w:rsid w:val="00B9538B"/>
    <w:rsid w:val="00B9791D"/>
    <w:rsid w:val="00BA15A9"/>
    <w:rsid w:val="00BB30C0"/>
    <w:rsid w:val="00BC376D"/>
    <w:rsid w:val="00BD18E8"/>
    <w:rsid w:val="00BD20BC"/>
    <w:rsid w:val="00C15673"/>
    <w:rsid w:val="00C15E6F"/>
    <w:rsid w:val="00C167C7"/>
    <w:rsid w:val="00C210A9"/>
    <w:rsid w:val="00C22821"/>
    <w:rsid w:val="00C243BF"/>
    <w:rsid w:val="00C25F63"/>
    <w:rsid w:val="00C276AE"/>
    <w:rsid w:val="00C34F0F"/>
    <w:rsid w:val="00C4237C"/>
    <w:rsid w:val="00C4561E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38F8"/>
    <w:rsid w:val="00C97315"/>
    <w:rsid w:val="00CA1AD2"/>
    <w:rsid w:val="00CA2878"/>
    <w:rsid w:val="00CA7D06"/>
    <w:rsid w:val="00CB2E2B"/>
    <w:rsid w:val="00CB3D33"/>
    <w:rsid w:val="00CC0463"/>
    <w:rsid w:val="00CC7F58"/>
    <w:rsid w:val="00CD47C3"/>
    <w:rsid w:val="00CE099F"/>
    <w:rsid w:val="00CE73E2"/>
    <w:rsid w:val="00CF402D"/>
    <w:rsid w:val="00CF44C6"/>
    <w:rsid w:val="00CF5E4F"/>
    <w:rsid w:val="00CF7674"/>
    <w:rsid w:val="00D1266B"/>
    <w:rsid w:val="00D17D3E"/>
    <w:rsid w:val="00D44A5D"/>
    <w:rsid w:val="00D510E8"/>
    <w:rsid w:val="00D51976"/>
    <w:rsid w:val="00D554A2"/>
    <w:rsid w:val="00D5628B"/>
    <w:rsid w:val="00D63F4F"/>
    <w:rsid w:val="00D6426A"/>
    <w:rsid w:val="00D66456"/>
    <w:rsid w:val="00D77CD0"/>
    <w:rsid w:val="00D9306F"/>
    <w:rsid w:val="00DB0B88"/>
    <w:rsid w:val="00DD18C6"/>
    <w:rsid w:val="00DD6D00"/>
    <w:rsid w:val="00DE00F0"/>
    <w:rsid w:val="00DE1894"/>
    <w:rsid w:val="00DE5079"/>
    <w:rsid w:val="00DF6B3A"/>
    <w:rsid w:val="00E03599"/>
    <w:rsid w:val="00E10271"/>
    <w:rsid w:val="00E34DF7"/>
    <w:rsid w:val="00E35DF6"/>
    <w:rsid w:val="00E50AB6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D1CDA"/>
    <w:rsid w:val="00ED6A67"/>
    <w:rsid w:val="00EE169B"/>
    <w:rsid w:val="00EE4384"/>
    <w:rsid w:val="00EE4BD7"/>
    <w:rsid w:val="00EF3551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859A8"/>
    <w:rsid w:val="00F9203E"/>
    <w:rsid w:val="00F957B7"/>
    <w:rsid w:val="00FA4D7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2374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15</cp:revision>
  <dcterms:created xsi:type="dcterms:W3CDTF">2025-03-10T16:39:00Z</dcterms:created>
  <dcterms:modified xsi:type="dcterms:W3CDTF">2025-03-12T13:15:00Z</dcterms:modified>
</cp:coreProperties>
</file>